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Fibromyalgia</w:t>
      </w:r>
    </w:p>
    <w:p>
      <w:pPr>
        <w:spacing w:before="0" w:after="160"/>
      </w:pPr>
      <w:r>
        <w:rPr>
          <w:rFonts w:ascii="Calibri" w:hAnsi="Calibri"/>
          <w:b/>
          <w:i w:val="0"/>
          <w:color w:val="212121"/>
          <w:sz w:val="22"/>
        </w:rPr>
        <w:t xml:space="preserve">AKA </w:t>
      </w:r>
      <w:r>
        <w:rPr>
          <w:rFonts w:ascii="Calibri" w:hAnsi="Calibri"/>
          <w:b w:val="0"/>
          <w:i w:val="0"/>
          <w:color w:val="212121"/>
          <w:sz w:val="22"/>
        </w:rPr>
        <w:t>i.e., Fibromyalgia syndrome (FMS), Fibrositis (historical/obsolete), Chronic widespread pain syndrome, Fibromyalgic syndrome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Fibromyalgia is a chronic disorder of central pain processing — a “nociplastic” pain state — characterised by widespread musculoskeletal pain, persistent fatigue, non-restorative sleep, cognitive disturbance (“fibro fog”) and heightened sensitivity to pain and other sensory stimuli, in the absence of structural joint or tissue damage. It is driven by central sensitisation: amplified pain signalling in the brain and spinal cord with excess excitatory neurotransmitters (glutamate, substance P) and deficient descending inhibition (serotonin, noradrenaline). Fibromyalgia is neither inflammatory nor degenerative, and routine laboratory and imaging tests are characteristically normal, so it remains a clinical diagnosis of recognition-and-exclusion.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Fibromyalgia affects an estimated 2–4% of adults worldwide, with a strong female predominance. Indian community data mirror this: population surveys from Lucknow put fibromyalgia at about 41 per 1,000 (≈4.1%) in urban and 32 per 1,000 (≈3.2%) in rural adults, while COPCORD soft-tissue-rheumatism prevalence ranges 1.2–3.8% and rheumatic musculoskeletal disorders overall burden roughly 25–30% of the Indian population. It is one of the commonest reasons for referral to Indian rheumatology and pain clinics, yet remains widely under-recognised and mislabelled.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Fibromyalgia is a clinical diagnosis — there is no confirmatory laboratory or imaging test. The 2016 revision of the ACR (2010/2011) criteria is most widely used and requires ALL of the following, applied after reasonable exclusion of alternative causes: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generalised pain, defined as pain in at least 4 of 5 body regions, present at a similar level for ≥ 3 months;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Widespread Pain Index (WPI) ≥ 7 AND Symptom Severity Scale (SSS) score ≥ 5; OR WPI 3–6 AND SSS ≥ 9;</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symptoms of fatigue, waking unrefreshed, and cognitive difficulty present at a similar level for at least 3 months;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diagnosis of fibromyalgia is valid irrespective of other diagnoses and does not exclude the presence of other clinically important illnesses;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conditions that would otherwise fully explain the pain (inflammatory arthritis, polymyalgia rheumatica, hypothyroidism, osteomalacia/severe vitamin-D deficiency, myopathy) by history, examination and limited targeted tests.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Fibromyalgia is best described along several practical axes rather than by rigid subtypes:</w:t>
      </w:r>
    </w:p>
    <w:p>
      <w:pPr>
        <w:spacing w:before="0" w:after="80"/>
      </w:pPr>
      <w:r>
        <w:rPr>
          <w:rFonts w:ascii="Calibri" w:hAnsi="Calibri"/>
          <w:b w:val="0"/>
          <w:i w:val="0"/>
          <w:color w:val="212121"/>
          <w:sz w:val="21"/>
        </w:rPr>
        <w:t>(1) Primary (idiopathic) fibromyalgia — occurring without an identifiable associated disorder;</w:t>
      </w:r>
    </w:p>
    <w:p>
      <w:pPr>
        <w:spacing w:before="0" w:after="80"/>
      </w:pPr>
      <w:r>
        <w:rPr>
          <w:rFonts w:ascii="Calibri" w:hAnsi="Calibri"/>
          <w:b w:val="0"/>
          <w:i w:val="0"/>
          <w:color w:val="212121"/>
          <w:sz w:val="21"/>
        </w:rPr>
        <w:t>(2) Secondary / concomitant fibromyalgia — coexisting with and amplifying pain in another disease (rheumatoid arthritis, systemic lupus erythematosus, ankylosing spondylitis, osteoarthritis, hypothyroidism); this overlap is very common and frequently under-recognised in Indian rheumatology practice, where it inflates disease-activity scores of the underlying condition;</w:t>
      </w:r>
    </w:p>
    <w:p>
      <w:pPr>
        <w:spacing w:before="0" w:after="80"/>
      </w:pPr>
      <w:r>
        <w:rPr>
          <w:rFonts w:ascii="Calibri" w:hAnsi="Calibri"/>
          <w:b w:val="0"/>
          <w:i w:val="0"/>
          <w:color w:val="212121"/>
          <w:sz w:val="21"/>
        </w:rPr>
        <w:t>(3) Juvenile fibromyalgia — presenting in children and adolescents, often with headache, abdominal pain and other functional somatic symptoms;</w:t>
      </w:r>
    </w:p>
    <w:p>
      <w:pPr>
        <w:spacing w:before="0" w:after="80"/>
      </w:pPr>
      <w:r>
        <w:rPr>
          <w:rFonts w:ascii="Calibri" w:hAnsi="Calibri"/>
          <w:b w:val="0"/>
          <w:i w:val="0"/>
          <w:color w:val="212121"/>
          <w:sz w:val="21"/>
        </w:rPr>
        <w:t>(4) By severity — graded as mild, moderate or severe using the revised Fibromyalgia Impact Questionnaire (FIQR) and the 2016 WPI/SSS-derived polysymptomatic-distress (“fibromyalgianess”) scale, which places burden on a continuum rather than a yes/no threshold.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Central sensitisation: amplified central nociceptive processing with elevated excitatory neurotransmitters (glutamate, substance P) and deficient descending serotonergic/noradrenergic inhibition — the core mechanism producing hyperalgesia and allodynia.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Genetic predisposition: familial aggregation with polymorphisms in serotonin, dopamine and catecholamine-O-methyltransferase (COMT) pathways lowering the pain threshold.</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Female sex and hormonal factors: marked female predominance; fluctuations in oestrogen and hypothalamic-pituitary-adrenal (HPA) axis dysregulation modulate pain sensitivity.</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Triggering stressors: physical trauma, surgery, infection or major psychological/emotional stress commonly precipitate onset in predisposed individuals.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Sleep dysfunction: non-restorative sleep with alpha-wave intrusion perpetuates pain amplification, fatigue and cognitive symptoms.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Psychological comorbidity: depression, anxiety, post-traumatic stress and adverse childhood experiences lower pain thresholds and drive symptom persistence.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Peripheral pain generators &amp; autonomic dysfunction: chronic nociceptive input (osteoarthritis, rheumatoid arthritis) and dysautonomia can prime and maintain central sensitisation.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(30–50 years)</w:t>
            </w:r>
          </w:p>
        </w:tc>
        <w:tc>
          <w:tcPr>
            <w:tcW w:type="dxa" w:w="4276"/>
            <w:vAlign w:val="top"/>
          </w:tcPr>
          <w:p>
            <w:pPr>
              <w:spacing w:after="60" w:line="259" w:lineRule="auto"/>
            </w:pPr>
            <w:r>
              <w:rPr>
                <w:rFonts w:ascii="Calibri" w:hAnsi="Calibri"/>
                <w:b w:val="0"/>
                <w:i w:val="0"/>
                <w:color w:val="212121"/>
                <w:sz w:val="19"/>
              </w:rPr>
              <w:t>Fibromyalgia most often emerges in midlife, when cumulative physical/psychological stressors and maturing central pain-modulation converge to lower the pain threshold. Works by amplifying how the brain and spinal cord process ordinary sensory signals into pain.</w:t>
            </w:r>
          </w:p>
          <w:p>
            <w:pPr>
              <w:spacing w:after="40" w:before="60" w:line="259" w:lineRule="auto"/>
            </w:pPr>
            <w:r>
              <w:rPr>
                <w:rFonts w:ascii="Calibri" w:hAnsi="Calibri"/>
                <w:b w:val="0"/>
                <w:i w:val="0"/>
                <w:color w:val="212121"/>
                <w:sz w:val="19"/>
              </w:rPr>
              <w:t>Peak incidence in women is between the ages of 20 and 55; symptoms typically begin and consolidate in this working-age window.</w:t>
            </w:r>
          </w:p>
          <w:p>
            <w:pPr>
              <w:spacing w:after="40" w:line="252" w:lineRule="auto"/>
            </w:pPr>
            <w:hyperlink r:id="rId9">
              <w:r>
                <w:rPr>
                  <w:rFonts w:ascii="Calibri" w:hAnsi="Calibri" w:cs="Calibri"/>
                  <w:sz w:val="18"/>
                  <w:color w:val="1155CC"/>
                  <w:u w:val="single"/>
                </w:rPr>
                <w:t xml:space="preserve">ncbi.nlm.nih.gov — StatPearls: Fibromyalgia</w:t>
              </w:r>
            </w:hyperlink>
          </w:p>
          <w:p>
            <w:pPr>
              <w:spacing w:before="60" w:after="40"/>
            </w:pPr>
            <w:r>
              <w:rPr>
                <w:rFonts w:ascii="Calibri" w:hAnsi="Calibri"/>
                <w:b w:val="0"/>
                <w:i w:val="0"/>
                <w:color w:val="5A5A5A"/>
                <w:sz w:val="18"/>
              </w:rPr>
              <w:t>#fibromyalgia  #centralsensitization  #midlife  #chronicpain  #worklife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Prevalence rises with age and the picture is complicated by overlap with osteoarthritis, degenerative spine disease and polypharmacy, which both mimic and amplify fibromyalgia pain and delay recognition.</w:t>
            </w:r>
          </w:p>
          <w:p>
            <w:pPr>
              <w:spacing w:after="40" w:before="60" w:line="259" w:lineRule="auto"/>
            </w:pPr>
            <w:r>
              <w:rPr>
                <w:rFonts w:ascii="Calibri" w:hAnsi="Calibri"/>
                <w:b w:val="0"/>
                <w:i w:val="0"/>
                <w:color w:val="212121"/>
                <w:sz w:val="19"/>
              </w:rPr>
              <w:t>Reported prevalence increases with advancing age; in older adults fibromyalgia frequently coexists with osteoarthritis and other painful conditions.</w:t>
            </w:r>
          </w:p>
          <w:p>
            <w:pPr>
              <w:spacing w:after="40" w:line="252" w:lineRule="auto"/>
            </w:pPr>
            <w:hyperlink r:id="rId9">
              <w:r>
                <w:rPr>
                  <w:rFonts w:ascii="Calibri" w:hAnsi="Calibri" w:cs="Calibri"/>
                  <w:sz w:val="18"/>
                  <w:color w:val="1155CC"/>
                  <w:u w:val="single"/>
                </w:rPr>
                <w:t xml:space="preserve">ncbi.nlm.nih.gov — StatPearls: Fibromyalgia</w:t>
              </w:r>
            </w:hyperlink>
          </w:p>
          <w:p>
            <w:pPr>
              <w:spacing w:before="60" w:after="40"/>
            </w:pPr>
            <w:r>
              <w:rPr>
                <w:rFonts w:ascii="Calibri" w:hAnsi="Calibri"/>
                <w:b w:val="0"/>
                <w:i w:val="0"/>
                <w:color w:val="5A5A5A"/>
                <w:sz w:val="18"/>
              </w:rPr>
              <w:t>#ageing  #osteoarthritis  #polypharmacy  #overlap</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are affected far more than men, reflecting hormonal modulation of pain, HPA-axis differences and greater central pain sensitivity. Indian clinic cohorts are overwhelmingly female.</w:t>
            </w:r>
          </w:p>
          <w:p>
            <w:pPr>
              <w:spacing w:after="40" w:before="60" w:line="259" w:lineRule="auto"/>
            </w:pPr>
            <w:r>
              <w:rPr>
                <w:rFonts w:ascii="Calibri" w:hAnsi="Calibri"/>
                <w:b w:val="0"/>
                <w:i w:val="0"/>
                <w:color w:val="212121"/>
                <w:sz w:val="19"/>
              </w:rPr>
              <w:t>US prevalence is 7.7% in women versus 4.9% in men; a single-centre Indian fibromyalgia study (n=139) comprised entirely female patients.</w:t>
            </w:r>
          </w:p>
          <w:p>
            <w:pPr>
              <w:spacing w:after="40" w:line="252" w:lineRule="auto"/>
            </w:pPr>
            <w:hyperlink r:id="rId9">
              <w:r>
                <w:rPr>
                  <w:rFonts w:ascii="Calibri" w:hAnsi="Calibri" w:cs="Calibri"/>
                  <w:sz w:val="18"/>
                  <w:color w:val="1155CC"/>
                  <w:u w:val="single"/>
                </w:rPr>
                <w:t xml:space="preserve">ncbi.nlm.nih.gov — StatPearls: Fibromyalgia</w:t>
              </w:r>
            </w:hyperlink>
          </w:p>
          <w:p>
            <w:pPr>
              <w:spacing w:before="60" w:after="40"/>
            </w:pPr>
            <w:r>
              <w:rPr>
                <w:rFonts w:ascii="Calibri" w:hAnsi="Calibri"/>
                <w:b w:val="0"/>
                <w:i w:val="0"/>
                <w:color w:val="5A5A5A"/>
                <w:sz w:val="18"/>
              </w:rPr>
              <w:t>#women  #hormonal  #painsensitivity  #femalepredominance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 (under-recognised)</w:t>
            </w:r>
          </w:p>
        </w:tc>
        <w:tc>
          <w:tcPr>
            <w:tcW w:type="dxa" w:w="4276"/>
            <w:vAlign w:val="top"/>
          </w:tcPr>
          <w:p>
            <w:pPr>
              <w:spacing w:after="60" w:line="259" w:lineRule="auto"/>
            </w:pPr>
            <w:r>
              <w:rPr>
                <w:rFonts w:ascii="Calibri" w:hAnsi="Calibri"/>
                <w:b w:val="0"/>
                <w:i w:val="0"/>
                <w:color w:val="212121"/>
                <w:sz w:val="19"/>
              </w:rPr>
              <w:t>Men develop fibromyalgia less often and are frequently under-diagnosed because presentation may be atypical and clinicians expect a female patient, delaying management.</w:t>
            </w:r>
          </w:p>
          <w:p>
            <w:pPr>
              <w:spacing w:after="40" w:before="60" w:line="259" w:lineRule="auto"/>
            </w:pPr>
            <w:r>
              <w:rPr>
                <w:rFonts w:ascii="Calibri" w:hAnsi="Calibri"/>
                <w:b w:val="0"/>
                <w:i w:val="0"/>
                <w:color w:val="212121"/>
                <w:sz w:val="19"/>
              </w:rPr>
              <w:t>Historically only about 4–20% of diagnosed cases are male, and under-diagnosis in men is considered likely.</w:t>
            </w:r>
          </w:p>
          <w:p>
            <w:pPr>
              <w:spacing w:after="40" w:line="252" w:lineRule="auto"/>
            </w:pPr>
            <w:hyperlink r:id="rId10">
              <w:r>
                <w:rPr>
                  <w:rFonts w:ascii="Calibri" w:hAnsi="Calibri" w:cs="Calibri"/>
                  <w:sz w:val="18"/>
                  <w:color w:val="1155CC"/>
                  <w:u w:val="single"/>
                </w:rPr>
                <w:t xml:space="preserve">en.wikipedia.org — Fibromyalgia</w:t>
              </w:r>
            </w:hyperlink>
          </w:p>
          <w:p>
            <w:pPr>
              <w:spacing w:before="60" w:after="40"/>
            </w:pPr>
            <w:r>
              <w:rPr>
                <w:rFonts w:ascii="Calibri" w:hAnsi="Calibri"/>
                <w:b w:val="0"/>
                <w:i w:val="0"/>
                <w:color w:val="5A5A5A"/>
                <w:sz w:val="18"/>
              </w:rPr>
              <w:t>#men  #underdiagnosed  #atypical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Manual labourers, homemakers, lower-income adults</w:t>
            </w:r>
          </w:p>
        </w:tc>
        <w:tc>
          <w:tcPr>
            <w:tcW w:type="dxa" w:w="4276"/>
            <w:vAlign w:val="top"/>
          </w:tcPr>
          <w:p>
            <w:pPr>
              <w:spacing w:after="60" w:line="259" w:lineRule="auto"/>
            </w:pPr>
            <w:r>
              <w:rPr>
                <w:rFonts w:ascii="Calibri" w:hAnsi="Calibri"/>
                <w:b w:val="0"/>
                <w:i w:val="0"/>
                <w:color w:val="212121"/>
                <w:sz w:val="19"/>
              </w:rPr>
              <w:t>Physically demanding work, repetitive strain, psychosocial stress and limited access to timely diagnosis concentrate chronic widespread pain in lower socioeconomic groups, who are often labelled with vague ‘body ache’ and treated with analgesics alone.</w:t>
            </w:r>
          </w:p>
          <w:p>
            <w:pPr>
              <w:spacing w:after="40" w:before="60" w:line="259" w:lineRule="auto"/>
            </w:pPr>
            <w:r>
              <w:rPr>
                <w:rFonts w:ascii="Calibri" w:hAnsi="Calibri"/>
                <w:b w:val="0"/>
                <w:i w:val="0"/>
                <w:color w:val="212121"/>
                <w:sz w:val="19"/>
              </w:rPr>
              <w:t>Rheumatic musculoskeletal disorders affect roughly 25–30% of the Indian population and rank among the top 25 causes of disability nationally.</w:t>
            </w:r>
          </w:p>
          <w:p>
            <w:pPr>
              <w:spacing w:after="40" w:line="252" w:lineRule="auto"/>
            </w:pPr>
            <w:hyperlink r:id="rId11">
              <w:r>
                <w:rPr>
                  <w:rFonts w:ascii="Calibri" w:hAnsi="Calibri" w:cs="Calibri"/>
                  <w:sz w:val="18"/>
                  <w:color w:val="1155CC"/>
                  <w:u w:val="single"/>
                </w:rPr>
                <w:t xml:space="preserve">journals.sagepub.com — Epidemiology of Rheumatic Diseases in India (2024)</w:t>
              </w:r>
            </w:hyperlink>
          </w:p>
          <w:p>
            <w:pPr>
              <w:spacing w:before="60" w:after="40"/>
            </w:pPr>
            <w:r>
              <w:rPr>
                <w:rFonts w:ascii="Calibri" w:hAnsi="Calibri"/>
                <w:b w:val="0"/>
                <w:i w:val="0"/>
                <w:color w:val="5A5A5A"/>
                <w:sz w:val="18"/>
              </w:rPr>
              <w:t>#socioeconomic  #manuallabour  #homemakers  #disability  #India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Urbanisation</w:t>
            </w:r>
          </w:p>
        </w:tc>
        <w:tc>
          <w:tcPr>
            <w:tcW w:type="dxa" w:w="2160"/>
            <w:vAlign w:val="top"/>
          </w:tcPr>
          <w:p>
            <w:pPr>
              <w:spacing w:after="40" w:before="0" w:line="259" w:lineRule="auto"/>
            </w:pPr>
            <w:r>
              <w:rPr>
                <w:rFonts w:ascii="Calibri" w:hAnsi="Calibri"/>
                <w:b w:val="0"/>
                <w:i w:val="0"/>
                <w:color w:val="212121"/>
                <w:sz w:val="19"/>
              </w:rPr>
              <w:t>Urban North Indian adults</w:t>
            </w:r>
          </w:p>
        </w:tc>
        <w:tc>
          <w:tcPr>
            <w:tcW w:type="dxa" w:w="4276"/>
            <w:vAlign w:val="top"/>
          </w:tcPr>
          <w:p>
            <w:pPr>
              <w:spacing w:after="60" w:line="259" w:lineRule="auto"/>
            </w:pPr>
            <w:r>
              <w:rPr>
                <w:rFonts w:ascii="Calibri" w:hAnsi="Calibri"/>
                <w:b w:val="0"/>
                <w:i w:val="0"/>
                <w:color w:val="212121"/>
                <w:sz w:val="19"/>
              </w:rPr>
              <w:t>Urban living — sedentary jobs, chronic stress, disturbed sleep and lower sun exposure — is associated with a higher burden of fibromyalgia than rural settings.</w:t>
            </w:r>
          </w:p>
          <w:p>
            <w:pPr>
              <w:spacing w:after="40" w:before="60" w:line="259" w:lineRule="auto"/>
            </w:pPr>
            <w:r>
              <w:rPr>
                <w:rFonts w:ascii="Calibri" w:hAnsi="Calibri"/>
                <w:b w:val="0"/>
                <w:i w:val="0"/>
                <w:color w:val="212121"/>
                <w:sz w:val="19"/>
              </w:rPr>
              <w:t>In Lucknow surveys fibromyalgia prevalence was 41.2 per 1,000 (≈4.1%) in urban versus 32.4 per 1,000 (≈3.2%) in rural populations.</w:t>
            </w:r>
          </w:p>
          <w:p>
            <w:pPr>
              <w:spacing w:after="40" w:line="252" w:lineRule="auto"/>
            </w:pPr>
            <w:hyperlink r:id="rId11">
              <w:r>
                <w:rPr>
                  <w:rFonts w:ascii="Calibri" w:hAnsi="Calibri" w:cs="Calibri"/>
                  <w:sz w:val="18"/>
                  <w:color w:val="1155CC"/>
                  <w:u w:val="single"/>
                </w:rPr>
                <w:t xml:space="preserve">journals.sagepub.com — Epidemiology of Rheumatic Diseases in India (2024)</w:t>
              </w:r>
            </w:hyperlink>
          </w:p>
          <w:p>
            <w:pPr>
              <w:spacing w:before="60" w:after="40"/>
            </w:pPr>
            <w:r>
              <w:rPr>
                <w:rFonts w:ascii="Calibri" w:hAnsi="Calibri"/>
                <w:b w:val="0"/>
                <w:i w:val="0"/>
                <w:color w:val="5A5A5A"/>
                <w:sz w:val="18"/>
              </w:rPr>
              <w:t>#urban  #India  #stress  #sedentary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Occupation</w:t>
            </w:r>
          </w:p>
        </w:tc>
        <w:tc>
          <w:tcPr>
            <w:tcW w:type="dxa" w:w="2160"/>
            <w:vAlign w:val="top"/>
          </w:tcPr>
          <w:p>
            <w:pPr>
              <w:spacing w:after="40" w:before="0" w:line="259" w:lineRule="auto"/>
            </w:pPr>
            <w:r>
              <w:rPr>
                <w:rFonts w:ascii="Calibri" w:hAnsi="Calibri"/>
                <w:b w:val="0"/>
                <w:i w:val="0"/>
                <w:color w:val="212121"/>
                <w:sz w:val="19"/>
              </w:rPr>
              <w:t>Rural agricultural &amp; manual workers</w:t>
            </w:r>
          </w:p>
        </w:tc>
        <w:tc>
          <w:tcPr>
            <w:tcW w:type="dxa" w:w="4276"/>
            <w:vAlign w:val="top"/>
          </w:tcPr>
          <w:p>
            <w:pPr>
              <w:spacing w:after="60" w:line="259" w:lineRule="auto"/>
            </w:pPr>
            <w:r>
              <w:rPr>
                <w:rFonts w:ascii="Calibri" w:hAnsi="Calibri"/>
                <w:b w:val="0"/>
                <w:i w:val="0"/>
                <w:color w:val="212121"/>
                <w:sz w:val="19"/>
              </w:rPr>
              <w:t>Sustained physical overload and repetitive musculoskeletal strain in agrarian work generate chronic peripheral pain input that can prime central sensitisation and soft-tissue rheumatism.</w:t>
            </w:r>
          </w:p>
          <w:p>
            <w:pPr>
              <w:spacing w:after="40" w:before="60" w:line="259" w:lineRule="auto"/>
            </w:pPr>
            <w:r>
              <w:rPr>
                <w:rFonts w:ascii="Calibri" w:hAnsi="Calibri"/>
                <w:b w:val="0"/>
                <w:i w:val="0"/>
                <w:color w:val="212121"/>
                <w:sz w:val="19"/>
              </w:rPr>
              <w:t>COPCORD surveys report age/sex-adjusted soft-tissue rheumatism of up to 3.77% in rural Maharashtra, with rural fibromyalgia around 32.4 per 1,000.</w:t>
            </w:r>
          </w:p>
          <w:p>
            <w:pPr>
              <w:spacing w:after="40" w:line="252" w:lineRule="auto"/>
            </w:pPr>
            <w:hyperlink r:id="rId11">
              <w:r>
                <w:rPr>
                  <w:rFonts w:ascii="Calibri" w:hAnsi="Calibri" w:cs="Calibri"/>
                  <w:sz w:val="18"/>
                  <w:color w:val="1155CC"/>
                  <w:u w:val="single"/>
                </w:rPr>
                <w:t xml:space="preserve">journals.sagepub.com — Epidemiology of Rheumatic Diseases in India (2024)</w:t>
              </w:r>
            </w:hyperlink>
          </w:p>
          <w:p>
            <w:pPr>
              <w:spacing w:before="60" w:after="40"/>
            </w:pPr>
            <w:r>
              <w:rPr>
                <w:rFonts w:ascii="Calibri" w:hAnsi="Calibri"/>
                <w:b w:val="0"/>
                <w:i w:val="0"/>
                <w:color w:val="5A5A5A"/>
                <w:sz w:val="18"/>
              </w:rPr>
              <w:t>#rural  #occupational  #softtissuerheumatism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Sunlight / Vitamin D status</w:t>
            </w:r>
          </w:p>
        </w:tc>
        <w:tc>
          <w:tcPr>
            <w:tcW w:type="dxa" w:w="2160"/>
            <w:vAlign w:val="top"/>
          </w:tcPr>
          <w:p>
            <w:pPr>
              <w:spacing w:after="40" w:before="0" w:line="259" w:lineRule="auto"/>
            </w:pPr>
            <w:r>
              <w:rPr>
                <w:rFonts w:ascii="Calibri" w:hAnsi="Calibri"/>
                <w:b w:val="0"/>
                <w:i w:val="0"/>
                <w:color w:val="212121"/>
                <w:sz w:val="19"/>
              </w:rPr>
              <w:t>Vitamin-D-deficient populations (indoor workers, veiled women, elderly)</w:t>
            </w:r>
          </w:p>
        </w:tc>
        <w:tc>
          <w:tcPr>
            <w:tcW w:type="dxa" w:w="4276"/>
            <w:vAlign w:val="top"/>
          </w:tcPr>
          <w:p>
            <w:pPr>
              <w:spacing w:after="60" w:line="259" w:lineRule="auto"/>
            </w:pPr>
            <w:r>
              <w:rPr>
                <w:rFonts w:ascii="Calibri" w:hAnsi="Calibri"/>
                <w:b w:val="0"/>
                <w:i w:val="0"/>
                <w:color w:val="212121"/>
                <w:sz w:val="19"/>
              </w:rPr>
              <w:t>Vitamin-D deficiency is highly prevalent across India even in sunny regions (indoor lifestyles, pollution, skin pigmentation, conservative dress) and is associated with chronic widespread pain and greater fibromyalgia severity.</w:t>
            </w:r>
          </w:p>
          <w:p>
            <w:pPr>
              <w:spacing w:after="40" w:before="60" w:line="259" w:lineRule="auto"/>
            </w:pPr>
            <w:r>
              <w:rPr>
                <w:rFonts w:ascii="Calibri" w:hAnsi="Calibri"/>
                <w:b w:val="0"/>
                <w:i w:val="0"/>
                <w:color w:val="212121"/>
                <w:sz w:val="19"/>
              </w:rPr>
              <w:t>An Indian tertiary-care (Kolkata) study found lower serum vitamin D associated with greater fibromyalgia severity, consistent with a broader association between deficiency and fibromyalgia.</w:t>
            </w:r>
          </w:p>
          <w:p>
            <w:pPr>
              <w:spacing w:after="40" w:line="252" w:lineRule="auto"/>
            </w:pPr>
            <w:hyperlink r:id="rId12">
              <w:r>
                <w:rPr>
                  <w:rFonts w:ascii="Calibri" w:hAnsi="Calibri" w:cs="Calibri"/>
                  <w:sz w:val="18"/>
                  <w:color w:val="1155CC"/>
                  <w:u w:val="single"/>
                </w:rPr>
                <w:t xml:space="preserve">nepjol.info — Vitamin D &amp; fibromyalgia severity, Kolkata (2024)</w:t>
              </w:r>
            </w:hyperlink>
          </w:p>
          <w:p>
            <w:pPr>
              <w:spacing w:before="60" w:after="40"/>
            </w:pPr>
            <w:r>
              <w:rPr>
                <w:rFonts w:ascii="Calibri" w:hAnsi="Calibri"/>
                <w:b w:val="0"/>
                <w:i w:val="0"/>
                <w:color w:val="5A5A5A"/>
                <w:sz w:val="18"/>
              </w:rPr>
              <w:t>#vitaminD  #India  #widespreadpain  #deficiency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Deconditioned office workers &amp; homemakers</w:t>
            </w:r>
          </w:p>
        </w:tc>
        <w:tc>
          <w:tcPr>
            <w:tcW w:type="dxa" w:w="4276"/>
            <w:vAlign w:val="top"/>
          </w:tcPr>
          <w:p>
            <w:pPr>
              <w:spacing w:after="60" w:line="259" w:lineRule="auto"/>
            </w:pPr>
            <w:r>
              <w:rPr>
                <w:rFonts w:ascii="Calibri" w:hAnsi="Calibri"/>
                <w:b w:val="0"/>
                <w:i w:val="0"/>
                <w:color w:val="212121"/>
                <w:sz w:val="19"/>
              </w:rPr>
              <w:t>Physical inactivity and deconditioning worsen pain, fatigue and sleep, creating a vicious ‘pain–avoidance–deconditioning’ cycle; graded exercise is the single best-evidenced treatment.</w:t>
            </w:r>
          </w:p>
          <w:p>
            <w:pPr>
              <w:spacing w:after="40" w:before="60" w:line="259" w:lineRule="auto"/>
            </w:pPr>
            <w:r>
              <w:rPr>
                <w:rFonts w:ascii="Calibri" w:hAnsi="Calibri"/>
                <w:b w:val="0"/>
                <w:i w:val="0"/>
                <w:color w:val="212121"/>
                <w:sz w:val="19"/>
              </w:rPr>
              <w:t>Aerobic exercise (a minimum of about 30 minutes three times a week) improves pain and function; inactivity amplifies symptoms.</w:t>
            </w:r>
          </w:p>
          <w:p>
            <w:pPr>
              <w:spacing w:after="40" w:line="252" w:lineRule="auto"/>
            </w:pPr>
            <w:hyperlink r:id="rId9">
              <w:r>
                <w:rPr>
                  <w:rFonts w:ascii="Calibri" w:hAnsi="Calibri" w:cs="Calibri"/>
                  <w:sz w:val="18"/>
                  <w:color w:val="1155CC"/>
                  <w:u w:val="single"/>
                </w:rPr>
                <w:t xml:space="preserve">ncbi.nlm.nih.gov — StatPearls: Fibromyalgia</w:t>
              </w:r>
            </w:hyperlink>
          </w:p>
          <w:p>
            <w:pPr>
              <w:spacing w:before="60" w:after="40"/>
            </w:pPr>
            <w:r>
              <w:rPr>
                <w:rFonts w:ascii="Calibri" w:hAnsi="Calibri"/>
                <w:b w:val="0"/>
                <w:i w:val="0"/>
                <w:color w:val="5A5A5A"/>
                <w:sz w:val="18"/>
              </w:rPr>
              <w:t>#sedentary  #deconditioning  #exercise  #screenbound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Smoking is associated with greater pain intensity, more tender points, worse sleep and poorer function in fibromyalgia, and it aggravates overall symptom burden.</w:t>
            </w:r>
          </w:p>
          <w:p>
            <w:pPr>
              <w:spacing w:after="40" w:before="60" w:line="259" w:lineRule="auto"/>
            </w:pPr>
            <w:r>
              <w:rPr>
                <w:rFonts w:ascii="Calibri" w:hAnsi="Calibri"/>
                <w:b w:val="0"/>
                <w:i w:val="0"/>
                <w:color w:val="212121"/>
                <w:sz w:val="19"/>
              </w:rPr>
              <w:t>Observational data link smoking to higher pain and symptom severity in fibromyalgia (general clinical finding).</w:t>
            </w:r>
          </w:p>
          <w:p>
            <w:pPr>
              <w:spacing w:before="60" w:after="40"/>
            </w:pPr>
            <w:r>
              <w:rPr>
                <w:rFonts w:ascii="Calibri" w:hAnsi="Calibri"/>
                <w:b w:val="0"/>
                <w:i w:val="0"/>
                <w:color w:val="5A5A5A"/>
                <w:sz w:val="18"/>
              </w:rPr>
              <w:t>#smoking  #painintensity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dependent drinkers</w:t>
            </w:r>
          </w:p>
        </w:tc>
        <w:tc>
          <w:tcPr>
            <w:tcW w:type="dxa" w:w="4276"/>
            <w:vAlign w:val="top"/>
          </w:tcPr>
          <w:p>
            <w:pPr>
              <w:spacing w:after="60" w:line="259" w:lineRule="auto"/>
            </w:pPr>
            <w:r>
              <w:rPr>
                <w:rFonts w:ascii="Calibri" w:hAnsi="Calibri"/>
                <w:b w:val="0"/>
                <w:i w:val="0"/>
                <w:color w:val="212121"/>
                <w:sz w:val="19"/>
              </w:rPr>
              <w:t>Heavy alcohol use fragments sleep, worsens mood and interacts dangerously with common fibromyalgia drugs (pregabalin, duloxetine, amitriptyline), amplifying sedation and symptom load.</w:t>
            </w:r>
          </w:p>
          <w:p>
            <w:pPr>
              <w:spacing w:after="40" w:before="60" w:line="259" w:lineRule="auto"/>
            </w:pPr>
            <w:r>
              <w:rPr>
                <w:rFonts w:ascii="Calibri" w:hAnsi="Calibri"/>
                <w:b w:val="0"/>
                <w:i w:val="0"/>
                <w:color w:val="212121"/>
                <w:sz w:val="19"/>
              </w:rPr>
              <w:t>Heavy intake is discouraged; any protective signal reported for light intake does not justify recommending alcohol (general clinical finding).</w:t>
            </w:r>
          </w:p>
          <w:p>
            <w:pPr>
              <w:spacing w:before="60" w:after="40"/>
            </w:pPr>
            <w:r>
              <w:rPr>
                <w:rFonts w:ascii="Calibri" w:hAnsi="Calibri"/>
                <w:b w:val="0"/>
                <w:i w:val="0"/>
                <w:color w:val="5A5A5A"/>
                <w:sz w:val="18"/>
              </w:rPr>
              <w:t>#alcohol  #sleep  #druginteraction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adults (Asian BMI ≥ 23)</w:t>
            </w:r>
          </w:p>
        </w:tc>
        <w:tc>
          <w:tcPr>
            <w:tcW w:type="dxa" w:w="4276"/>
            <w:vAlign w:val="top"/>
          </w:tcPr>
          <w:p>
            <w:pPr>
              <w:spacing w:after="60" w:line="259" w:lineRule="auto"/>
            </w:pPr>
            <w:r>
              <w:rPr>
                <w:rFonts w:ascii="Calibri" w:hAnsi="Calibri"/>
                <w:b w:val="0"/>
                <w:i w:val="0"/>
                <w:color w:val="212121"/>
                <w:sz w:val="19"/>
              </w:rPr>
              <w:t>Excess weight adds mechanical load, promotes low-grade inflammation and worsens sleep and mood, all of which lower the pain threshold in fibromyalgia.</w:t>
            </w:r>
          </w:p>
          <w:p>
            <w:pPr>
              <w:spacing w:after="40" w:before="60" w:line="259" w:lineRule="auto"/>
            </w:pPr>
            <w:r>
              <w:rPr>
                <w:rFonts w:ascii="Calibri" w:hAnsi="Calibri"/>
                <w:b w:val="0"/>
                <w:i w:val="0"/>
                <w:color w:val="212121"/>
                <w:sz w:val="19"/>
              </w:rPr>
              <w:t>Asia-Pacific cut-offs classify BMI ≥ 23 as overweight; higher body weight tracks with greater fibromyalgia symptom burden.</w:t>
            </w:r>
          </w:p>
          <w:p>
            <w:pPr>
              <w:spacing w:before="60" w:after="40"/>
            </w:pPr>
            <w:r>
              <w:rPr>
                <w:rFonts w:ascii="Calibri" w:hAnsi="Calibri"/>
                <w:b w:val="0"/>
                <w:i w:val="0"/>
                <w:color w:val="5A5A5A"/>
                <w:sz w:val="18"/>
              </w:rPr>
              <w:t>#overweight  #AsianBMI  #inflammation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Obese adults (Asian BMI ≥ 25)</w:t>
            </w:r>
          </w:p>
        </w:tc>
        <w:tc>
          <w:tcPr>
            <w:tcW w:type="dxa" w:w="4276"/>
            <w:vAlign w:val="top"/>
          </w:tcPr>
          <w:p>
            <w:pPr>
              <w:spacing w:after="60" w:line="259" w:lineRule="auto"/>
            </w:pPr>
            <w:r>
              <w:rPr>
                <w:rFonts w:ascii="Calibri" w:hAnsi="Calibri"/>
                <w:b w:val="0"/>
                <w:i w:val="0"/>
                <w:color w:val="212121"/>
                <w:sz w:val="19"/>
              </w:rPr>
              <w:t>Obesity is consistently associated with worse fibromyalgia — more pain, tender points, fatigue, poorer sleep and lower quality of life — and weight reduction improves symptoms.</w:t>
            </w:r>
          </w:p>
          <w:p>
            <w:pPr>
              <w:spacing w:after="40" w:before="60" w:line="259" w:lineRule="auto"/>
            </w:pPr>
            <w:r>
              <w:rPr>
                <w:rFonts w:ascii="Calibri" w:hAnsi="Calibri"/>
                <w:b w:val="0"/>
                <w:i w:val="0"/>
                <w:color w:val="212121"/>
                <w:sz w:val="19"/>
              </w:rPr>
              <w:t>An Indian study reported that obesity is associated with greater fibromyalgia severity and worse allied symptoms.</w:t>
            </w:r>
          </w:p>
          <w:p>
            <w:pPr>
              <w:spacing w:after="40" w:line="252" w:lineRule="auto"/>
            </w:pPr>
            <w:hyperlink r:id="rId13">
              <w:r>
                <w:rPr>
                  <w:rFonts w:ascii="Calibri" w:hAnsi="Calibri" w:cs="Calibri"/>
                  <w:sz w:val="18"/>
                  <w:color w:val="1155CC"/>
                  <w:u w:val="single"/>
                </w:rPr>
                <w:t xml:space="preserve">J Family Med Prim Care (2023) — obesity &amp; fibromyalgia, India</w:t>
              </w:r>
            </w:hyperlink>
          </w:p>
          <w:p>
            <w:pPr>
              <w:spacing w:before="60" w:after="40"/>
            </w:pPr>
            <w:r>
              <w:rPr>
                <w:rFonts w:ascii="Calibri" w:hAnsi="Calibri"/>
                <w:b w:val="0"/>
                <w:i w:val="0"/>
                <w:color w:val="5A5A5A"/>
                <w:sz w:val="18"/>
              </w:rPr>
              <w:t>#obesity  #severity  #weightloss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Vegetarian / low vitamin-D, B12 &amp; magnesium intake</w:t>
            </w:r>
          </w:p>
        </w:tc>
        <w:tc>
          <w:tcPr>
            <w:tcW w:type="dxa" w:w="4276"/>
            <w:vAlign w:val="top"/>
          </w:tcPr>
          <w:p>
            <w:pPr>
              <w:spacing w:after="60" w:line="259" w:lineRule="auto"/>
            </w:pPr>
            <w:r>
              <w:rPr>
                <w:rFonts w:ascii="Calibri" w:hAnsi="Calibri"/>
                <w:b w:val="0"/>
                <w:i w:val="0"/>
                <w:color w:val="212121"/>
                <w:sz w:val="19"/>
              </w:rPr>
              <w:t>Predominantly vegetarian Indian diets, when unbalanced, predispose to vitamin-D, B12 and magnesium insufficiency — states linked to fatigue and chronic widespread pain that overlap with and aggravate fibromyalgia.</w:t>
            </w:r>
          </w:p>
          <w:p>
            <w:pPr>
              <w:spacing w:after="40" w:before="60" w:line="259" w:lineRule="auto"/>
            </w:pPr>
            <w:r>
              <w:rPr>
                <w:rFonts w:ascii="Calibri" w:hAnsi="Calibri"/>
                <w:b w:val="0"/>
                <w:i w:val="0"/>
                <w:color w:val="212121"/>
                <w:sz w:val="19"/>
              </w:rPr>
              <w:t>A systematic review found an association between vitamin-D deficiency and fibromyalgia, though supplementation effects on pain are inconsistent.</w:t>
            </w:r>
          </w:p>
          <w:p>
            <w:pPr>
              <w:spacing w:after="40" w:line="252" w:lineRule="auto"/>
            </w:pPr>
            <w:hyperlink r:id="rId14">
              <w:r>
                <w:rPr>
                  <w:rFonts w:ascii="Calibri" w:hAnsi="Calibri" w:cs="Calibri"/>
                  <w:sz w:val="18"/>
                  <w:color w:val="1155CC"/>
                  <w:u w:val="single"/>
                </w:rPr>
                <w:t xml:space="preserve">BMC Rheumatology (2018) — vitamin D in fibromyalgia (review)</w:t>
              </w:r>
            </w:hyperlink>
          </w:p>
          <w:p>
            <w:pPr>
              <w:spacing w:before="60" w:after="40"/>
            </w:pPr>
            <w:r>
              <w:rPr>
                <w:rFonts w:ascii="Calibri" w:hAnsi="Calibri"/>
                <w:b w:val="0"/>
                <w:i w:val="0"/>
                <w:color w:val="5A5A5A"/>
                <w:sz w:val="18"/>
              </w:rPr>
              <w:t>#vegetarian  #vitaminD  #B12  #magnesium  #India</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fibromyalgia / chronic pain / mood disorder</w:t>
            </w:r>
          </w:p>
        </w:tc>
        <w:tc>
          <w:tcPr>
            <w:tcW w:type="dxa" w:w="4276"/>
            <w:vAlign w:val="top"/>
          </w:tcPr>
          <w:p>
            <w:pPr>
              <w:spacing w:after="60" w:line="259" w:lineRule="auto"/>
            </w:pPr>
            <w:r>
              <w:rPr>
                <w:rFonts w:ascii="Calibri" w:hAnsi="Calibri"/>
                <w:b w:val="0"/>
                <w:i w:val="0"/>
                <w:color w:val="212121"/>
                <w:sz w:val="19"/>
              </w:rPr>
              <w:t>Fibromyalgia clusters in families through inherited differences in pain-processing and neurotransmitter pathways; relatives of affected individuals have substantially higher risk.</w:t>
            </w:r>
          </w:p>
          <w:p>
            <w:pPr>
              <w:spacing w:after="40" w:before="60" w:line="259" w:lineRule="auto"/>
            </w:pPr>
            <w:r>
              <w:rPr>
                <w:rFonts w:ascii="Calibri" w:hAnsi="Calibri"/>
                <w:b w:val="0"/>
                <w:i w:val="0"/>
                <w:color w:val="212121"/>
                <w:sz w:val="19"/>
              </w:rPr>
              <w:t>Fibromyalgia tends to run in families; having a biological relative with the condition raises the likelihood of developing it.</w:t>
            </w:r>
          </w:p>
          <w:p>
            <w:pPr>
              <w:spacing w:after="40" w:line="252" w:lineRule="auto"/>
            </w:pPr>
            <w:hyperlink r:id="rId15">
              <w:r>
                <w:rPr>
                  <w:rFonts w:ascii="Calibri" w:hAnsi="Calibri" w:cs="Calibri"/>
                  <w:sz w:val="18"/>
                  <w:color w:val="1155CC"/>
                  <w:u w:val="single"/>
                </w:rPr>
                <w:t xml:space="preserve">mayoclinic.org — Fibromyalgia (risk factors)</w:t>
              </w:r>
            </w:hyperlink>
          </w:p>
          <w:p>
            <w:pPr>
              <w:spacing w:before="60" w:after="40"/>
            </w:pPr>
            <w:r>
              <w:rPr>
                <w:rFonts w:ascii="Calibri" w:hAnsi="Calibri"/>
                <w:b w:val="0"/>
                <w:i w:val="0"/>
                <w:color w:val="5A5A5A"/>
                <w:sz w:val="18"/>
              </w:rPr>
              <w:t>#familyhistory  #genetics  #heritability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Rheumatoid arthritis</w:t>
            </w:r>
          </w:p>
        </w:tc>
        <w:tc>
          <w:tcPr>
            <w:tcW w:type="dxa" w:w="2160"/>
            <w:vAlign w:val="top"/>
          </w:tcPr>
          <w:p>
            <w:pPr>
              <w:spacing w:after="40" w:before="0" w:line="259" w:lineRule="auto"/>
            </w:pPr>
            <w:r>
              <w:rPr>
                <w:rFonts w:ascii="Calibri" w:hAnsi="Calibri"/>
                <w:b w:val="0"/>
                <w:i w:val="0"/>
                <w:color w:val="212121"/>
                <w:sz w:val="19"/>
              </w:rPr>
              <w:t>Patients with rheumatoid arthritis</w:t>
            </w:r>
          </w:p>
        </w:tc>
        <w:tc>
          <w:tcPr>
            <w:tcW w:type="dxa" w:w="4276"/>
            <w:vAlign w:val="top"/>
          </w:tcPr>
          <w:p>
            <w:pPr>
              <w:spacing w:after="60" w:line="259" w:lineRule="auto"/>
            </w:pPr>
            <w:r>
              <w:rPr>
                <w:rFonts w:ascii="Calibri" w:hAnsi="Calibri"/>
                <w:b w:val="0"/>
                <w:i w:val="0"/>
                <w:color w:val="212121"/>
                <w:sz w:val="19"/>
              </w:rPr>
              <w:t>Chronic inflammatory joint pain provides ongoing nociceptive drive that can trigger secondary fibromyalgia; the overlap inflates RA disease-activity scores and can lead to over-treatment if unrecognised.</w:t>
            </w:r>
          </w:p>
          <w:p>
            <w:pPr>
              <w:spacing w:after="40" w:before="60" w:line="259" w:lineRule="auto"/>
            </w:pPr>
            <w:r>
              <w:rPr>
                <w:rFonts w:ascii="Calibri" w:hAnsi="Calibri"/>
                <w:b w:val="0"/>
                <w:i w:val="0"/>
                <w:color w:val="212121"/>
                <w:sz w:val="19"/>
              </w:rPr>
              <w:t>Osteoarthritis, rheumatoid arthritis and lupus are recognised conditions that increase the risk of coexisting fibromyalgia.</w:t>
            </w:r>
          </w:p>
          <w:p>
            <w:pPr>
              <w:spacing w:after="40" w:line="252" w:lineRule="auto"/>
            </w:pPr>
            <w:hyperlink r:id="rId15">
              <w:r>
                <w:rPr>
                  <w:rFonts w:ascii="Calibri" w:hAnsi="Calibri" w:cs="Calibri"/>
                  <w:sz w:val="18"/>
                  <w:color w:val="1155CC"/>
                  <w:u w:val="single"/>
                </w:rPr>
                <w:t xml:space="preserve">mayoclinic.org — Fibromyalgia (risk factors)</w:t>
              </w:r>
            </w:hyperlink>
          </w:p>
          <w:p>
            <w:pPr>
              <w:spacing w:before="60" w:after="40"/>
            </w:pPr>
            <w:r>
              <w:rPr>
                <w:rFonts w:ascii="Calibri" w:hAnsi="Calibri"/>
                <w:b w:val="0"/>
                <w:i w:val="0"/>
                <w:color w:val="5A5A5A"/>
                <w:sz w:val="18"/>
              </w:rPr>
              <w:t>#rheumatoidarthritis  #secondaryFM  #diseaseactivity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Systemic lupus / autoimmune disease</w:t>
            </w:r>
          </w:p>
        </w:tc>
        <w:tc>
          <w:tcPr>
            <w:tcW w:type="dxa" w:w="2160"/>
            <w:vAlign w:val="top"/>
          </w:tcPr>
          <w:p>
            <w:pPr>
              <w:spacing w:after="40" w:before="0" w:line="259" w:lineRule="auto"/>
            </w:pPr>
            <w:r>
              <w:rPr>
                <w:rFonts w:ascii="Calibri" w:hAnsi="Calibri"/>
                <w:b w:val="0"/>
                <w:i w:val="0"/>
                <w:color w:val="212121"/>
                <w:sz w:val="19"/>
              </w:rPr>
              <w:t>Patients with SLE or other connective-tissue disease</w:t>
            </w:r>
          </w:p>
        </w:tc>
        <w:tc>
          <w:tcPr>
            <w:tcW w:type="dxa" w:w="4276"/>
            <w:vAlign w:val="top"/>
          </w:tcPr>
          <w:p>
            <w:pPr>
              <w:spacing w:after="60" w:line="259" w:lineRule="auto"/>
            </w:pPr>
            <w:r>
              <w:rPr>
                <w:rFonts w:ascii="Calibri" w:hAnsi="Calibri"/>
                <w:b w:val="0"/>
                <w:i w:val="0"/>
                <w:color w:val="212121"/>
                <w:sz w:val="19"/>
              </w:rPr>
              <w:t>Autoimmune diseases frequently harbour concomitant fibromyalgia, complicating assessment of ‘active’ disease and requiring the pain to be managed separately from immunosuppression.</w:t>
            </w:r>
          </w:p>
          <w:p>
            <w:pPr>
              <w:spacing w:after="40" w:before="60" w:line="259" w:lineRule="auto"/>
            </w:pPr>
            <w:r>
              <w:rPr>
                <w:rFonts w:ascii="Calibri" w:hAnsi="Calibri"/>
                <w:b w:val="0"/>
                <w:i w:val="0"/>
                <w:color w:val="212121"/>
                <w:sz w:val="19"/>
              </w:rPr>
              <w:t>Lupus is among the rheumatic diseases associated with a higher likelihood of developing fibromyalgia.</w:t>
            </w:r>
          </w:p>
          <w:p>
            <w:pPr>
              <w:spacing w:after="40" w:line="252" w:lineRule="auto"/>
            </w:pPr>
            <w:hyperlink r:id="rId15">
              <w:r>
                <w:rPr>
                  <w:rFonts w:ascii="Calibri" w:hAnsi="Calibri" w:cs="Calibri"/>
                  <w:sz w:val="18"/>
                  <w:color w:val="1155CC"/>
                  <w:u w:val="single"/>
                </w:rPr>
                <w:t xml:space="preserve">mayoclinic.org — Fibromyalgia (risk factors)</w:t>
              </w:r>
            </w:hyperlink>
          </w:p>
          <w:p>
            <w:pPr>
              <w:spacing w:before="60" w:after="40"/>
            </w:pPr>
            <w:r>
              <w:rPr>
                <w:rFonts w:ascii="Calibri" w:hAnsi="Calibri"/>
                <w:b w:val="0"/>
                <w:i w:val="0"/>
                <w:color w:val="5A5A5A"/>
                <w:sz w:val="18"/>
              </w:rPr>
              <w:t>#lupus  #autoimmune  #overlap  #secondaryFM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 / Anxiety</w:t>
            </w:r>
          </w:p>
        </w:tc>
        <w:tc>
          <w:tcPr>
            <w:tcW w:type="dxa" w:w="2160"/>
            <w:vAlign w:val="top"/>
          </w:tcPr>
          <w:p>
            <w:pPr>
              <w:spacing w:after="40" w:before="0" w:line="259" w:lineRule="auto"/>
            </w:pPr>
            <w:r>
              <w:rPr>
                <w:rFonts w:ascii="Calibri" w:hAnsi="Calibri"/>
                <w:b w:val="0"/>
                <w:i w:val="0"/>
                <w:color w:val="212121"/>
                <w:sz w:val="19"/>
              </w:rPr>
              <w:t>Patients with depression or anxiety disorders</w:t>
            </w:r>
          </w:p>
        </w:tc>
        <w:tc>
          <w:tcPr>
            <w:tcW w:type="dxa" w:w="4276"/>
            <w:vAlign w:val="top"/>
          </w:tcPr>
          <w:p>
            <w:pPr>
              <w:spacing w:after="60" w:line="259" w:lineRule="auto"/>
            </w:pPr>
            <w:r>
              <w:rPr>
                <w:rFonts w:ascii="Calibri" w:hAnsi="Calibri"/>
                <w:b w:val="0"/>
                <w:i w:val="0"/>
                <w:color w:val="212121"/>
                <w:sz w:val="19"/>
              </w:rPr>
              <w:t>Mood disorders and fibromyalgia share serotonergic/noradrenergic and stress-axis mechanisms and reinforce each other bidirectionally, worsening pain, sleep and treatment response.</w:t>
            </w:r>
          </w:p>
          <w:p>
            <w:pPr>
              <w:spacing w:after="40" w:before="60" w:line="259" w:lineRule="auto"/>
            </w:pPr>
            <w:r>
              <w:rPr>
                <w:rFonts w:ascii="Calibri" w:hAnsi="Calibri"/>
                <w:b w:val="0"/>
                <w:i w:val="0"/>
                <w:color w:val="212121"/>
                <w:sz w:val="19"/>
              </w:rPr>
              <w:t>People with fibromyalgia are about 5 times more likely to have depression than the general population.</w:t>
            </w:r>
          </w:p>
          <w:p>
            <w:pPr>
              <w:spacing w:after="40" w:line="252" w:lineRule="auto"/>
            </w:pPr>
            <w:hyperlink r:id="rId10">
              <w:r>
                <w:rPr>
                  <w:rFonts w:ascii="Calibri" w:hAnsi="Calibri" w:cs="Calibri"/>
                  <w:sz w:val="18"/>
                  <w:color w:val="1155CC"/>
                  <w:u w:val="single"/>
                </w:rPr>
                <w:t xml:space="preserve">en.wikipedia.org — Fibromyalgia (comorbidities)</w:t>
              </w:r>
            </w:hyperlink>
          </w:p>
          <w:p>
            <w:pPr>
              <w:spacing w:before="60" w:after="40"/>
            </w:pPr>
            <w:r>
              <w:rPr>
                <w:rFonts w:ascii="Calibri" w:hAnsi="Calibri"/>
                <w:b w:val="0"/>
                <w:i w:val="0"/>
                <w:color w:val="5A5A5A"/>
                <w:sz w:val="18"/>
              </w:rPr>
              <w:t>#depression  #anxiety  #bidirectional  #moodpain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Irritable bowel syndrome</w:t>
            </w:r>
          </w:p>
        </w:tc>
        <w:tc>
          <w:tcPr>
            <w:tcW w:type="dxa" w:w="2160"/>
            <w:vAlign w:val="top"/>
          </w:tcPr>
          <w:p>
            <w:pPr>
              <w:spacing w:after="40" w:before="0" w:line="259" w:lineRule="auto"/>
            </w:pPr>
            <w:r>
              <w:rPr>
                <w:rFonts w:ascii="Calibri" w:hAnsi="Calibri"/>
                <w:b w:val="0"/>
                <w:i w:val="0"/>
                <w:color w:val="212121"/>
                <w:sz w:val="19"/>
              </w:rPr>
              <w:t>Patients with IBS / functional GI disorders</w:t>
            </w:r>
          </w:p>
        </w:tc>
        <w:tc>
          <w:tcPr>
            <w:tcW w:type="dxa" w:w="4276"/>
            <w:vAlign w:val="top"/>
          </w:tcPr>
          <w:p>
            <w:pPr>
              <w:spacing w:after="60" w:line="259" w:lineRule="auto"/>
            </w:pPr>
            <w:r>
              <w:rPr>
                <w:rFonts w:ascii="Calibri" w:hAnsi="Calibri"/>
                <w:b w:val="0"/>
                <w:i w:val="0"/>
                <w:color w:val="212121"/>
                <w:sz w:val="19"/>
              </w:rPr>
              <w:t>IBS and fibromyalgia are overlapping central-sensitisation syndromes (visceral and somatic hypersensitivity), commonly co-occurring in the same patient.</w:t>
            </w:r>
          </w:p>
          <w:p>
            <w:pPr>
              <w:spacing w:after="40" w:before="60" w:line="259" w:lineRule="auto"/>
            </w:pPr>
            <w:r>
              <w:rPr>
                <w:rFonts w:ascii="Calibri" w:hAnsi="Calibri"/>
                <w:b w:val="0"/>
                <w:i w:val="0"/>
                <w:color w:val="212121"/>
                <w:sz w:val="19"/>
              </w:rPr>
              <w:t>Irritable bowel syndrome is among the conditions that frequently coexist with fibromyalgia.</w:t>
            </w:r>
          </w:p>
          <w:p>
            <w:pPr>
              <w:spacing w:after="40" w:line="252" w:lineRule="auto"/>
            </w:pPr>
            <w:hyperlink r:id="rId15">
              <w:r>
                <w:rPr>
                  <w:rFonts w:ascii="Calibri" w:hAnsi="Calibri" w:cs="Calibri"/>
                  <w:sz w:val="18"/>
                  <w:color w:val="1155CC"/>
                  <w:u w:val="single"/>
                </w:rPr>
                <w:t xml:space="preserve">mayoclinic.org — Fibromyalgia (associated conditions)</w:t>
              </w:r>
            </w:hyperlink>
          </w:p>
          <w:p>
            <w:pPr>
              <w:spacing w:before="60" w:after="40"/>
            </w:pPr>
            <w:r>
              <w:rPr>
                <w:rFonts w:ascii="Calibri" w:hAnsi="Calibri"/>
                <w:b w:val="0"/>
                <w:i w:val="0"/>
                <w:color w:val="5A5A5A"/>
                <w:sz w:val="18"/>
              </w:rPr>
              <w:t>#IBS  #visceralhypersensitivity  #centralsensitization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Graded aerobic and strengthening exercise is the best-evidenced intervention for fibromyalgia, reducing pain and fatigue and improving function; deconditioning and inactivity worsen symptoms. Aerobic exercise of roughly 30 minutes three times a week is a common starting prescription.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 single fibromyalgia diet exists, but obesity worsens severity and weight loss improves symptoms, while deficiencies of vitamin D, B12 and magnesium — common on unbalanced Indian vegetarian diets — may aggravate widespread pain and fatigue.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Non-restorative, fragmented sleep is core to fibromyalgia and both triggers and amplifies pain, fatigue and cognitive symptoms; sleep quality correlates with clinical severity, and up to ~90% of patients report sleep disturbance.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is associated with greater pain intensity, more tender points and worse function in fibromyalgia; cessation is advised as part of symptom control.</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drinking worsens sleep and mood and interacts with core fibromyalgia medications; some observational data suggest light intake associates with lower severity, but alcohol is not recommended as therapy.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Depression, anxiety, post-traumatic stress and ongoing stress strongly influence onset, severity and treatment response; the relationship with pain is bidirectional, and patients with fibromyalgia are about 5x more likely to have depression.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wellbeing and reduces constipation and headache, but there is no direct evidence that water intake modifies fibromyalgia pain.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Excess caffeine can worsen sleep and anxiety and thereby amplify symptoms; modest amounts may transiently reduce fatigue, so the net effect is minor and individual.</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General self-care, skin and dental hygiene support wellbeing but are not causally linked to fibromyalgia; behavioural ‘sleep hygiene’ is the relevant, high-impact element.</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Physical trauma (road-traffic accident, surgery), infections and acute psychological stress commonly precipitate onset or trigger flares in predisposed individuals.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Sustained poor posture, ergonomic strain and myofascial overload can perpetuate regional pain that feeds central sensitisation; posture correction and ergonomics are useful adjuncts rather than primary drivers.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Aerobic exercise (minutes/week)</w:t>
            </w:r>
          </w:p>
        </w:tc>
        <w:tc>
          <w:tcPr>
            <w:tcW w:type="dxa" w:w="1655"/>
            <w:vAlign w:val="top"/>
          </w:tcPr>
          <w:p>
            <w:pPr>
              <w:spacing w:after="40" w:before="0" w:line="259" w:lineRule="auto"/>
            </w:pPr>
            <w:r>
              <w:rPr>
                <w:rFonts w:ascii="Calibri" w:hAnsi="Calibri"/>
                <w:b w:val="0"/>
                <w:i w:val="0"/>
                <w:color w:val="212121"/>
                <w:sz w:val="19"/>
              </w:rPr>
              <w:t>All adults with FM</w:t>
            </w:r>
          </w:p>
        </w:tc>
        <w:tc>
          <w:tcPr>
            <w:tcW w:type="dxa" w:w="1512"/>
            <w:vAlign w:val="top"/>
          </w:tcPr>
          <w:p>
            <w:pPr>
              <w:spacing w:after="40" w:before="0" w:line="259" w:lineRule="auto"/>
            </w:pPr>
            <w:r>
              <w:rPr>
                <w:rFonts w:ascii="Calibri" w:hAnsi="Calibri"/>
                <w:b w:val="0"/>
                <w:i w:val="0"/>
                <w:color w:val="212121"/>
                <w:sz w:val="19"/>
              </w:rPr>
              <w:t>≥ 150 min/week moderate (start ~30 min × 3/week)</w:t>
            </w:r>
          </w:p>
        </w:tc>
        <w:tc>
          <w:tcPr>
            <w:tcW w:type="dxa" w:w="1512"/>
            <w:vAlign w:val="top"/>
          </w:tcPr>
          <w:p>
            <w:pPr>
              <w:spacing w:after="40" w:before="0" w:line="259" w:lineRule="auto"/>
            </w:pPr>
            <w:r>
              <w:rPr>
                <w:rFonts w:ascii="Calibri" w:hAnsi="Calibri"/>
                <w:b w:val="0"/>
                <w:i w:val="0"/>
                <w:color w:val="212121"/>
                <w:sz w:val="19"/>
              </w:rPr>
              <w:t>&lt; 60 min/week</w:t>
            </w:r>
          </w:p>
        </w:tc>
        <w:tc>
          <w:tcPr>
            <w:tcW w:type="dxa" w:w="1468"/>
            <w:vAlign w:val="top"/>
          </w:tcPr>
          <w:p>
            <w:pPr>
              <w:spacing w:after="60" w:line="259" w:lineRule="auto"/>
            </w:pPr>
            <w:r>
              <w:rPr>
                <w:rFonts w:ascii="Calibri" w:hAnsi="Calibri"/>
                <w:b w:val="0"/>
                <w:i w:val="0"/>
                <w:color w:val="212121"/>
                <w:sz w:val="19"/>
              </w:rPr>
              <w:t>Graded aerobic activity reduces pain and fatigue; start low and go slow to avoid flares</w:t>
            </w:r>
          </w:p>
          <w:p>
            <w:pPr>
              <w:spacing w:after="40" w:line="252" w:lineRule="auto"/>
            </w:pPr>
            <w:hyperlink r:id="rId9">
              <w:r>
                <w:rPr>
                  <w:rFonts w:ascii="Calibri" w:hAnsi="Calibri" w:cs="Calibri"/>
                  <w:sz w:val="18"/>
                  <w:color w:val="1155CC"/>
                  <w:u w:val="single"/>
                </w:rPr>
                <w:t xml:space="preserve">https://www.ncbi.nlm.nih.gov/books/NBK540974/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(Asian cut-offs)</w:t>
            </w:r>
          </w:p>
        </w:tc>
        <w:tc>
          <w:tcPr>
            <w:tcW w:type="dxa" w:w="1655"/>
            <w:vAlign w:val="top"/>
          </w:tcPr>
          <w:p>
            <w:pPr>
              <w:spacing w:after="40" w:before="0" w:line="259" w:lineRule="auto"/>
            </w:pPr>
            <w:r>
              <w:rPr>
                <w:rFonts w:ascii="Calibri" w:hAnsi="Calibri"/>
                <w:b w:val="0"/>
                <w:i w:val="0"/>
                <w:color w:val="212121"/>
                <w:sz w:val="19"/>
              </w:rPr>
              <w:t>Overweight/obese adults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60" w:line="259" w:lineRule="auto"/>
            </w:pPr>
            <w:r>
              <w:rPr>
                <w:rFonts w:ascii="Calibri" w:hAnsi="Calibri"/>
                <w:b w:val="0"/>
                <w:i w:val="0"/>
                <w:color w:val="212121"/>
                <w:sz w:val="19"/>
              </w:rPr>
              <w:t>Higher BMI tracks with greater fibromyalgia severity; weight loss improves symptoms</w:t>
            </w:r>
          </w:p>
          <w:p>
            <w:pPr>
              <w:spacing w:after="40" w:line="252" w:lineRule="auto"/>
            </w:pPr>
            <w:hyperlink r:id="rId13">
              <w:r>
                <w:rPr>
                  <w:rFonts w:ascii="Calibri" w:hAnsi="Calibri" w:cs="Calibri"/>
                  <w:sz w:val="18"/>
                  <w:color w:val="1155CC"/>
                  <w:u w:val="single"/>
                </w:rPr>
                <w:t xml:space="preserve">https://doi.org/10.4103/jfmpc.jfmpc_2052_22</w:t>
              </w:r>
            </w:hyperlink>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 with FM</w:t>
            </w:r>
          </w:p>
        </w:tc>
        <w:tc>
          <w:tcPr>
            <w:tcW w:type="dxa" w:w="1512"/>
            <w:vAlign w:val="top"/>
          </w:tcPr>
          <w:p>
            <w:pPr>
              <w:spacing w:after="40" w:before="0" w:line="259" w:lineRule="auto"/>
            </w:pPr>
            <w:r>
              <w:rPr>
                <w:rFonts w:ascii="Calibri" w:hAnsi="Calibri"/>
                <w:b w:val="0"/>
                <w:i w:val="0"/>
                <w:color w:val="212121"/>
                <w:sz w:val="19"/>
              </w:rPr>
              <w:t>7–9 hours</w:t>
            </w:r>
          </w:p>
        </w:tc>
        <w:tc>
          <w:tcPr>
            <w:tcW w:type="dxa" w:w="1512"/>
            <w:vAlign w:val="top"/>
          </w:tcPr>
          <w:p>
            <w:pPr>
              <w:spacing w:after="40" w:before="0" w:line="259" w:lineRule="auto"/>
            </w:pPr>
            <w:r>
              <w:rPr>
                <w:rFonts w:ascii="Calibri" w:hAnsi="Calibri"/>
                <w:b w:val="0"/>
                <w:i w:val="0"/>
                <w:color w:val="212121"/>
                <w:sz w:val="19"/>
              </w:rPr>
              <w:t>&lt; 6 hours or non-restorative</w:t>
            </w:r>
          </w:p>
        </w:tc>
        <w:tc>
          <w:tcPr>
            <w:tcW w:type="dxa" w:w="1468"/>
            <w:vAlign w:val="top"/>
          </w:tcPr>
          <w:p>
            <w:pPr>
              <w:spacing w:after="60" w:line="259" w:lineRule="auto"/>
            </w:pPr>
            <w:r>
              <w:rPr>
                <w:rFonts w:ascii="Calibri" w:hAnsi="Calibri"/>
                <w:b w:val="0"/>
                <w:i w:val="0"/>
                <w:color w:val="212121"/>
                <w:sz w:val="19"/>
              </w:rPr>
              <w:t>Non-restorative sleep amplifies pain and fatigue and correlates with severity</w:t>
            </w:r>
          </w:p>
          <w:p>
            <w:pPr>
              <w:spacing w:after="40" w:line="252" w:lineRule="auto"/>
            </w:pPr>
            <w:hyperlink r:id="rId16">
              <w:r>
                <w:rPr>
                  <w:rFonts w:ascii="Calibri" w:hAnsi="Calibri" w:cs="Calibri"/>
                  <w:sz w:val="18"/>
                  <w:color w:val="1155CC"/>
                  <w:u w:val="single"/>
                </w:rPr>
                <w:t xml:space="preserve">https://doi.org/10.1016/j.jtumed.2023.08.010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Pittsburgh Sleep Quality Index (PSQI)</w:t>
            </w:r>
          </w:p>
        </w:tc>
        <w:tc>
          <w:tcPr>
            <w:tcW w:type="dxa" w:w="1655"/>
            <w:vAlign w:val="top"/>
          </w:tcPr>
          <w:p>
            <w:pPr>
              <w:spacing w:after="40" w:before="0" w:line="259" w:lineRule="auto"/>
            </w:pPr>
            <w:r>
              <w:rPr>
                <w:rFonts w:ascii="Calibri" w:hAnsi="Calibri"/>
                <w:b w:val="0"/>
                <w:i w:val="0"/>
                <w:color w:val="212121"/>
                <w:sz w:val="19"/>
              </w:rPr>
              <w:t>Adults with FM</w:t>
            </w:r>
          </w:p>
        </w:tc>
        <w:tc>
          <w:tcPr>
            <w:tcW w:type="dxa" w:w="1512"/>
            <w:vAlign w:val="top"/>
          </w:tcPr>
          <w:p>
            <w:pPr>
              <w:spacing w:after="40" w:before="0" w:line="259" w:lineRule="auto"/>
            </w:pPr>
            <w:r>
              <w:rPr>
                <w:rFonts w:ascii="Calibri" w:hAnsi="Calibri"/>
                <w:b w:val="0"/>
                <w:i w:val="0"/>
                <w:color w:val="212121"/>
                <w:sz w:val="19"/>
              </w:rPr>
              <w:t>≤ 5 (good sleeper)</w:t>
            </w:r>
          </w:p>
        </w:tc>
        <w:tc>
          <w:tcPr>
            <w:tcW w:type="dxa" w:w="1512"/>
            <w:vAlign w:val="top"/>
          </w:tcPr>
          <w:p>
            <w:pPr>
              <w:spacing w:after="40" w:before="0" w:line="259" w:lineRule="auto"/>
            </w:pPr>
            <w:r>
              <w:rPr>
                <w:rFonts w:ascii="Calibri" w:hAnsi="Calibri"/>
                <w:b w:val="0"/>
                <w:i w:val="0"/>
                <w:color w:val="212121"/>
                <w:sz w:val="19"/>
              </w:rPr>
              <w:t>&gt; 5 (poor sleeper)</w:t>
            </w:r>
          </w:p>
        </w:tc>
        <w:tc>
          <w:tcPr>
            <w:tcW w:type="dxa" w:w="1468"/>
            <w:vAlign w:val="top"/>
          </w:tcPr>
          <w:p>
            <w:pPr>
              <w:spacing w:after="60" w:line="259" w:lineRule="auto"/>
            </w:pPr>
            <w:r>
              <w:rPr>
                <w:rFonts w:ascii="Calibri" w:hAnsi="Calibri"/>
                <w:b w:val="0"/>
                <w:i w:val="0"/>
                <w:color w:val="212121"/>
                <w:sz w:val="19"/>
              </w:rPr>
              <w:t>Poor sleep quality is near-universal in fibromyalgia and a treatment target</w:t>
            </w:r>
          </w:p>
          <w:p>
            <w:pPr>
              <w:spacing w:after="40" w:line="252" w:lineRule="auto"/>
            </w:pPr>
            <w:hyperlink r:id="rId16">
              <w:r>
                <w:rPr>
                  <w:rFonts w:ascii="Calibri" w:hAnsi="Calibri" w:cs="Calibri"/>
                  <w:sz w:val="18"/>
                  <w:color w:val="1155CC"/>
                  <w:u w:val="single"/>
                </w:rPr>
                <w:t xml:space="preserve">https://doi.org/10.1016/j.jtumed.2023.08.010</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 smokers with FM</w:t>
            </w:r>
          </w:p>
        </w:tc>
        <w:tc>
          <w:tcPr>
            <w:tcW w:type="dxa" w:w="1512"/>
            <w:vAlign w:val="top"/>
          </w:tcPr>
          <w:p>
            <w:pPr>
              <w:spacing w:after="40" w:before="0" w:line="259" w:lineRule="auto"/>
            </w:pPr>
            <w:r>
              <w:rPr>
                <w:rFonts w:ascii="Calibri" w:hAnsi="Calibri"/>
                <w:b w:val="0"/>
                <w:i w:val="0"/>
                <w:color w:val="212121"/>
                <w:sz w:val="19"/>
              </w:rPr>
              <w:t>0/day</w:t>
            </w:r>
          </w:p>
        </w:tc>
        <w:tc>
          <w:tcPr>
            <w:tcW w:type="dxa" w:w="1512"/>
            <w:vAlign w:val="top"/>
          </w:tcPr>
          <w:p>
            <w:pPr>
              <w:spacing w:after="40" w:before="0" w:line="259" w:lineRule="auto"/>
            </w:pPr>
            <w:r>
              <w:rPr>
                <w:rFonts w:ascii="Calibri" w:hAnsi="Calibri"/>
                <w:b w:val="0"/>
                <w:i w:val="0"/>
                <w:color w:val="212121"/>
                <w:sz w:val="19"/>
              </w:rPr>
              <w:t>≥ 1/day</w:t>
            </w:r>
          </w:p>
        </w:tc>
        <w:tc>
          <w:tcPr>
            <w:tcW w:type="dxa" w:w="1468"/>
            <w:vAlign w:val="top"/>
          </w:tcPr>
          <w:p>
            <w:pPr>
              <w:spacing w:after="40" w:before="0" w:line="259" w:lineRule="auto"/>
            </w:pPr>
            <w:r>
              <w:rPr>
                <w:rFonts w:ascii="Calibri" w:hAnsi="Calibri"/>
                <w:b w:val="0"/>
                <w:i w:val="0"/>
                <w:color w:val="212121"/>
                <w:sz w:val="19"/>
              </w:rPr>
              <w:t>Any smoking is associated with higher pain and worse function</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Adults with FM</w:t>
            </w:r>
          </w:p>
        </w:tc>
        <w:tc>
          <w:tcPr>
            <w:tcW w:type="dxa" w:w="1512"/>
            <w:vAlign w:val="top"/>
          </w:tcPr>
          <w:p>
            <w:pPr>
              <w:spacing w:after="40" w:before="0" w:line="259" w:lineRule="auto"/>
            </w:pPr>
            <w:r>
              <w:rPr>
                <w:rFonts w:ascii="Calibri" w:hAnsi="Calibri"/>
                <w:b w:val="0"/>
                <w:i w:val="0"/>
                <w:color w:val="212121"/>
                <w:sz w:val="19"/>
              </w:rPr>
              <w:t>0–minimal</w:t>
            </w:r>
          </w:p>
        </w:tc>
        <w:tc>
          <w:tcPr>
            <w:tcW w:type="dxa" w:w="1512"/>
            <w:vAlign w:val="top"/>
          </w:tcPr>
          <w:p>
            <w:pPr>
              <w:spacing w:after="40" w:before="0" w:line="259" w:lineRule="auto"/>
            </w:pPr>
            <w:r>
              <w:rPr>
                <w:rFonts w:ascii="Calibri" w:hAnsi="Calibri"/>
                <w:b w:val="0"/>
                <w:i w:val="0"/>
                <w:color w:val="212121"/>
                <w:sz w:val="19"/>
              </w:rPr>
              <w:t>Heavy/binge use</w:t>
            </w:r>
          </w:p>
        </w:tc>
        <w:tc>
          <w:tcPr>
            <w:tcW w:type="dxa" w:w="1468"/>
            <w:vAlign w:val="top"/>
          </w:tcPr>
          <w:p>
            <w:pPr>
              <w:spacing w:after="40" w:before="0" w:line="259" w:lineRule="auto"/>
            </w:pPr>
            <w:r>
              <w:rPr>
                <w:rFonts w:ascii="Calibri" w:hAnsi="Calibri"/>
                <w:b w:val="0"/>
                <w:i w:val="0"/>
                <w:color w:val="212121"/>
                <w:sz w:val="19"/>
              </w:rPr>
              <w:t>Interacts with pregabalin/duloxetine/amitriptyline and disrupts sleep</w:t>
            </w:r>
          </w:p>
        </w:tc>
      </w:tr>
      <w:tr>
        <w:trPr>
          <w:cantSplit/>
        </w:trPr>
        <w:tc>
          <w:tcPr>
            <w:tcW w:type="dxa" w:w="1512"/>
            <w:vMerge w:val="restart"/>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screen (PHQ-9)</w:t>
            </w:r>
          </w:p>
        </w:tc>
        <w:tc>
          <w:tcPr>
            <w:tcW w:type="dxa" w:w="1655"/>
            <w:vAlign w:val="top"/>
          </w:tcPr>
          <w:p>
            <w:pPr>
              <w:spacing w:after="40" w:before="0" w:line="259" w:lineRule="auto"/>
            </w:pPr>
            <w:r>
              <w:rPr>
                <w:rFonts w:ascii="Calibri" w:hAnsi="Calibri"/>
                <w:b w:val="0"/>
                <w:i w:val="0"/>
                <w:color w:val="212121"/>
                <w:sz w:val="19"/>
              </w:rPr>
              <w:t>Adults with FM</w:t>
            </w:r>
          </w:p>
        </w:tc>
        <w:tc>
          <w:tcPr>
            <w:tcW w:type="dxa" w:w="1512"/>
            <w:vAlign w:val="top"/>
          </w:tcPr>
          <w:p>
            <w:pPr>
              <w:spacing w:after="40" w:before="0" w:line="259" w:lineRule="auto"/>
            </w:pPr>
            <w:r>
              <w:rPr>
                <w:rFonts w:ascii="Calibri" w:hAnsi="Calibri"/>
                <w:b w:val="0"/>
                <w:i w:val="0"/>
                <w:color w:val="212121"/>
                <w:sz w:val="19"/>
              </w:rPr>
              <w:t>&lt; 5 (none/minimal)</w:t>
            </w:r>
          </w:p>
        </w:tc>
        <w:tc>
          <w:tcPr>
            <w:tcW w:type="dxa" w:w="1512"/>
            <w:vAlign w:val="top"/>
          </w:tcPr>
          <w:p>
            <w:pPr>
              <w:spacing w:after="40" w:before="0" w:line="259" w:lineRule="auto"/>
            </w:pPr>
            <w:r>
              <w:rPr>
                <w:rFonts w:ascii="Calibri" w:hAnsi="Calibri"/>
                <w:b w:val="0"/>
                <w:i w:val="0"/>
                <w:color w:val="212121"/>
                <w:sz w:val="19"/>
              </w:rPr>
              <w:t>≥ 10 (moderate depression)</w:t>
            </w:r>
          </w:p>
        </w:tc>
        <w:tc>
          <w:tcPr>
            <w:tcW w:type="dxa" w:w="1468"/>
            <w:vAlign w:val="top"/>
          </w:tcPr>
          <w:p>
            <w:pPr>
              <w:spacing w:after="40" w:before="0" w:line="259" w:lineRule="auto"/>
            </w:pPr>
            <w:r>
              <w:rPr>
                <w:rFonts w:ascii="Calibri" w:hAnsi="Calibri"/>
                <w:b w:val="0"/>
                <w:i w:val="0"/>
                <w:color w:val="212121"/>
                <w:sz w:val="19"/>
              </w:rPr>
              <w:t>Screen and treat comorbid depression; strongly affects outcomes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Anxiety screen (GAD-7)</w:t>
            </w:r>
          </w:p>
        </w:tc>
        <w:tc>
          <w:tcPr>
            <w:tcW w:type="dxa" w:w="1655"/>
            <w:vAlign w:val="top"/>
          </w:tcPr>
          <w:p>
            <w:pPr>
              <w:spacing w:after="40" w:before="0" w:line="259" w:lineRule="auto"/>
            </w:pPr>
            <w:r>
              <w:rPr>
                <w:rFonts w:ascii="Calibri" w:hAnsi="Calibri"/>
                <w:b w:val="0"/>
                <w:i w:val="0"/>
                <w:color w:val="212121"/>
                <w:sz w:val="19"/>
              </w:rPr>
              <w:t>Adults with FM</w:t>
            </w:r>
          </w:p>
        </w:tc>
        <w:tc>
          <w:tcPr>
            <w:tcW w:type="dxa" w:w="1512"/>
            <w:vAlign w:val="top"/>
          </w:tcPr>
          <w:p>
            <w:pPr>
              <w:spacing w:after="40" w:before="0" w:line="259" w:lineRule="auto"/>
            </w:pPr>
            <w:r>
              <w:rPr>
                <w:rFonts w:ascii="Calibri" w:hAnsi="Calibri"/>
                <w:b w:val="0"/>
                <w:i w:val="0"/>
                <w:color w:val="212121"/>
                <w:sz w:val="19"/>
              </w:rPr>
              <w:t>&lt; 5</w:t>
            </w:r>
          </w:p>
        </w:tc>
        <w:tc>
          <w:tcPr>
            <w:tcW w:type="dxa" w:w="1512"/>
            <w:vAlign w:val="top"/>
          </w:tcPr>
          <w:p>
            <w:pPr>
              <w:spacing w:after="40" w:before="0" w:line="259" w:lineRule="auto"/>
            </w:pPr>
            <w:r>
              <w:rPr>
                <w:rFonts w:ascii="Calibri" w:hAnsi="Calibri"/>
                <w:b w:val="0"/>
                <w:i w:val="0"/>
                <w:color w:val="212121"/>
                <w:sz w:val="19"/>
              </w:rPr>
              <w:t>≥ 10 (moderate anxiety)</w:t>
            </w:r>
          </w:p>
        </w:tc>
        <w:tc>
          <w:tcPr>
            <w:tcW w:type="dxa" w:w="1468"/>
            <w:vAlign w:val="top"/>
          </w:tcPr>
          <w:p>
            <w:pPr>
              <w:spacing w:after="40" w:before="0" w:line="259" w:lineRule="auto"/>
            </w:pPr>
            <w:r>
              <w:rPr>
                <w:rFonts w:ascii="Calibri" w:hAnsi="Calibri"/>
                <w:b w:val="0"/>
                <w:i w:val="0"/>
                <w:color w:val="212121"/>
                <w:sz w:val="19"/>
              </w:rPr>
              <w:t>Anxiety amplifies pain perception and disability</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Widespread Pain Index (WPI, 0–19)</w:t>
            </w:r>
          </w:p>
        </w:tc>
        <w:tc>
          <w:tcPr>
            <w:tcW w:type="dxa" w:w="1655"/>
            <w:vAlign w:val="top"/>
          </w:tcPr>
          <w:p>
            <w:pPr>
              <w:spacing w:after="40" w:before="0" w:line="259" w:lineRule="auto"/>
            </w:pPr>
            <w:r>
              <w:rPr>
                <w:rFonts w:ascii="Calibri" w:hAnsi="Calibri"/>
                <w:b w:val="0"/>
                <w:i w:val="0"/>
                <w:color w:val="212121"/>
                <w:sz w:val="19"/>
              </w:rPr>
              <w:t>Suspected FM</w:t>
            </w:r>
          </w:p>
        </w:tc>
        <w:tc>
          <w:tcPr>
            <w:tcW w:type="dxa" w:w="1512"/>
            <w:vAlign w:val="top"/>
          </w:tcPr>
          <w:p>
            <w:pPr>
              <w:spacing w:after="40" w:before="0" w:line="259" w:lineRule="auto"/>
            </w:pPr>
            <w:r>
              <w:rPr>
                <w:rFonts w:ascii="Calibri" w:hAnsi="Calibri"/>
                <w:b w:val="0"/>
                <w:i w:val="0"/>
                <w:color w:val="212121"/>
                <w:sz w:val="19"/>
              </w:rPr>
              <w:t>Low / &lt; 7</w:t>
            </w:r>
          </w:p>
        </w:tc>
        <w:tc>
          <w:tcPr>
            <w:tcW w:type="dxa" w:w="1512"/>
            <w:vAlign w:val="top"/>
          </w:tcPr>
          <w:p>
            <w:pPr>
              <w:spacing w:after="40" w:before="0" w:line="259" w:lineRule="auto"/>
            </w:pPr>
            <w:r>
              <w:rPr>
                <w:rFonts w:ascii="Calibri" w:hAnsi="Calibri"/>
                <w:b w:val="0"/>
                <w:i w:val="0"/>
                <w:color w:val="212121"/>
                <w:sz w:val="19"/>
              </w:rPr>
              <w:t>≥ 7 (or 3–6 with high SSS)</w:t>
            </w:r>
          </w:p>
        </w:tc>
        <w:tc>
          <w:tcPr>
            <w:tcW w:type="dxa" w:w="1468"/>
            <w:vAlign w:val="top"/>
          </w:tcPr>
          <w:p>
            <w:pPr>
              <w:spacing w:after="60" w:line="259" w:lineRule="auto"/>
            </w:pPr>
            <w:r>
              <w:rPr>
                <w:rFonts w:ascii="Calibri" w:hAnsi="Calibri"/>
                <w:b w:val="0"/>
                <w:i w:val="0"/>
                <w:color w:val="212121"/>
                <w:sz w:val="19"/>
              </w:rPr>
              <w:t>Core ACR-2016 diagnostic and severity metric</w:t>
            </w:r>
          </w:p>
          <w:p>
            <w:pPr>
              <w:spacing w:after="40" w:line="252" w:lineRule="auto"/>
            </w:pPr>
            <w:hyperlink r:id="rId9">
              <w:r>
                <w:rPr>
                  <w:rFonts w:ascii="Calibri" w:hAnsi="Calibri" w:cs="Calibri"/>
                  <w:sz w:val="18"/>
                  <w:color w:val="1155CC"/>
                  <w:u w:val="single"/>
                </w:rPr>
                <w:t xml:space="preserve">https://www.ncbi.nlm.nih.gov/books/NBK540974/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Symptom Severity Scale (SSS, 0–12)</w:t>
            </w:r>
          </w:p>
        </w:tc>
        <w:tc>
          <w:tcPr>
            <w:tcW w:type="dxa" w:w="1655"/>
            <w:vAlign w:val="top"/>
          </w:tcPr>
          <w:p>
            <w:pPr>
              <w:spacing w:after="40" w:before="0" w:line="259" w:lineRule="auto"/>
            </w:pPr>
            <w:r>
              <w:rPr>
                <w:rFonts w:ascii="Calibri" w:hAnsi="Calibri"/>
                <w:b w:val="0"/>
                <w:i w:val="0"/>
                <w:color w:val="212121"/>
                <w:sz w:val="19"/>
              </w:rPr>
              <w:t>Suspected FM</w:t>
            </w:r>
          </w:p>
        </w:tc>
        <w:tc>
          <w:tcPr>
            <w:tcW w:type="dxa" w:w="1512"/>
            <w:vAlign w:val="top"/>
          </w:tcPr>
          <w:p>
            <w:pPr>
              <w:spacing w:after="40" w:before="0" w:line="259" w:lineRule="auto"/>
            </w:pPr>
            <w:r>
              <w:rPr>
                <w:rFonts w:ascii="Calibri" w:hAnsi="Calibri"/>
                <w:b w:val="0"/>
                <w:i w:val="0"/>
                <w:color w:val="212121"/>
                <w:sz w:val="19"/>
              </w:rPr>
              <w:t>Low</w:t>
            </w:r>
          </w:p>
        </w:tc>
        <w:tc>
          <w:tcPr>
            <w:tcW w:type="dxa" w:w="1512"/>
            <w:vAlign w:val="top"/>
          </w:tcPr>
          <w:p>
            <w:pPr>
              <w:spacing w:after="40" w:before="0" w:line="259" w:lineRule="auto"/>
            </w:pPr>
            <w:r>
              <w:rPr>
                <w:rFonts w:ascii="Calibri" w:hAnsi="Calibri"/>
                <w:b w:val="0"/>
                <w:i w:val="0"/>
                <w:color w:val="212121"/>
                <w:sz w:val="19"/>
              </w:rPr>
              <w:t>≥ 5 (with WPI≥7) or ≥ 9 (with WPI 3–6)</w:t>
            </w:r>
          </w:p>
        </w:tc>
        <w:tc>
          <w:tcPr>
            <w:tcW w:type="dxa" w:w="1468"/>
            <w:vAlign w:val="top"/>
          </w:tcPr>
          <w:p>
            <w:pPr>
              <w:spacing w:after="60" w:line="259" w:lineRule="auto"/>
            </w:pPr>
            <w:r>
              <w:rPr>
                <w:rFonts w:ascii="Calibri" w:hAnsi="Calibri"/>
                <w:b w:val="0"/>
                <w:i w:val="0"/>
                <w:color w:val="212121"/>
                <w:sz w:val="19"/>
              </w:rPr>
              <w:t>Captures fatigue, unrefreshing sleep and cognitive symptoms</w:t>
            </w:r>
          </w:p>
          <w:p>
            <w:pPr>
              <w:spacing w:after="40" w:line="252" w:lineRule="auto"/>
            </w:pPr>
            <w:hyperlink r:id="rId9">
              <w:r>
                <w:rPr>
                  <w:rFonts w:ascii="Calibri" w:hAnsi="Calibri" w:cs="Calibri"/>
                  <w:sz w:val="18"/>
                  <w:color w:val="1155CC"/>
                  <w:u w:val="single"/>
                </w:rPr>
                <w:t xml:space="preserve">https://www.ncbi.nlm.nih.gov/books/NBK540974/</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Revised Fibromyalgia Impact Questionnaire (FIQR, 0–100)</w:t>
            </w:r>
          </w:p>
        </w:tc>
        <w:tc>
          <w:tcPr>
            <w:tcW w:type="dxa" w:w="1655"/>
            <w:vAlign w:val="top"/>
          </w:tcPr>
          <w:p>
            <w:pPr>
              <w:spacing w:after="40" w:before="0" w:line="259" w:lineRule="auto"/>
            </w:pPr>
            <w:r>
              <w:rPr>
                <w:rFonts w:ascii="Calibri" w:hAnsi="Calibri"/>
                <w:b w:val="0"/>
                <w:i w:val="0"/>
                <w:color w:val="212121"/>
                <w:sz w:val="19"/>
              </w:rPr>
              <w:t>Adults with FM</w:t>
            </w:r>
          </w:p>
        </w:tc>
        <w:tc>
          <w:tcPr>
            <w:tcW w:type="dxa" w:w="1512"/>
            <w:vAlign w:val="top"/>
          </w:tcPr>
          <w:p>
            <w:pPr>
              <w:spacing w:after="40" w:before="0" w:line="259" w:lineRule="auto"/>
            </w:pPr>
            <w:r>
              <w:rPr>
                <w:rFonts w:ascii="Calibri" w:hAnsi="Calibri"/>
                <w:b w:val="0"/>
                <w:i w:val="0"/>
                <w:color w:val="212121"/>
                <w:sz w:val="19"/>
              </w:rPr>
              <w:t>&lt; 39 (mild)</w:t>
            </w:r>
          </w:p>
        </w:tc>
        <w:tc>
          <w:tcPr>
            <w:tcW w:type="dxa" w:w="1512"/>
            <w:vAlign w:val="top"/>
          </w:tcPr>
          <w:p>
            <w:pPr>
              <w:spacing w:after="40" w:before="0" w:line="259" w:lineRule="auto"/>
            </w:pPr>
            <w:r>
              <w:rPr>
                <w:rFonts w:ascii="Calibri" w:hAnsi="Calibri"/>
                <w:b w:val="0"/>
                <w:i w:val="0"/>
                <w:color w:val="212121"/>
                <w:sz w:val="19"/>
              </w:rPr>
              <w:t>≥ 59 (severe)</w:t>
            </w:r>
          </w:p>
        </w:tc>
        <w:tc>
          <w:tcPr>
            <w:tcW w:type="dxa" w:w="1468"/>
            <w:vAlign w:val="top"/>
          </w:tcPr>
          <w:p>
            <w:pPr>
              <w:spacing w:after="40" w:before="0" w:line="259" w:lineRule="auto"/>
            </w:pPr>
            <w:r>
              <w:rPr>
                <w:rFonts w:ascii="Calibri" w:hAnsi="Calibri"/>
                <w:b w:val="0"/>
                <w:i w:val="0"/>
                <w:color w:val="212121"/>
                <w:sz w:val="19"/>
              </w:rPr>
              <w:t>Tracks functional impact over time for monitoring</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25(OH) vitamin D (ng/mL)</w:t>
            </w:r>
          </w:p>
        </w:tc>
        <w:tc>
          <w:tcPr>
            <w:tcW w:type="dxa" w:w="1655"/>
            <w:vAlign w:val="top"/>
          </w:tcPr>
          <w:p>
            <w:pPr>
              <w:spacing w:after="40" w:before="0" w:line="259" w:lineRule="auto"/>
            </w:pPr>
            <w:r>
              <w:rPr>
                <w:rFonts w:ascii="Calibri" w:hAnsi="Calibri"/>
                <w:b w:val="0"/>
                <w:i w:val="0"/>
                <w:color w:val="212121"/>
                <w:sz w:val="19"/>
              </w:rPr>
              <w:t>Indoor/veiled/elderly, vegetarians</w:t>
            </w:r>
          </w:p>
        </w:tc>
        <w:tc>
          <w:tcPr>
            <w:tcW w:type="dxa" w:w="1512"/>
            <w:vAlign w:val="top"/>
          </w:tcPr>
          <w:p>
            <w:pPr>
              <w:spacing w:after="40" w:before="0" w:line="259" w:lineRule="auto"/>
            </w:pPr>
            <w:r>
              <w:rPr>
                <w:rFonts w:ascii="Calibri" w:hAnsi="Calibri"/>
                <w:b w:val="0"/>
                <w:i w:val="0"/>
                <w:color w:val="212121"/>
                <w:sz w:val="19"/>
              </w:rPr>
              <w:t>≥ 30 ng/mL</w:t>
            </w:r>
          </w:p>
        </w:tc>
        <w:tc>
          <w:tcPr>
            <w:tcW w:type="dxa" w:w="1512"/>
            <w:vAlign w:val="top"/>
          </w:tcPr>
          <w:p>
            <w:pPr>
              <w:spacing w:after="40" w:before="0" w:line="259" w:lineRule="auto"/>
            </w:pPr>
            <w:r>
              <w:rPr>
                <w:rFonts w:ascii="Calibri" w:hAnsi="Calibri"/>
                <w:b w:val="0"/>
                <w:i w:val="0"/>
                <w:color w:val="212121"/>
                <w:sz w:val="19"/>
              </w:rPr>
              <w:t>&lt; 20 ng/mL (deficient)</w:t>
            </w:r>
          </w:p>
        </w:tc>
        <w:tc>
          <w:tcPr>
            <w:tcW w:type="dxa" w:w="1468"/>
            <w:vAlign w:val="top"/>
          </w:tcPr>
          <w:p>
            <w:pPr>
              <w:spacing w:after="60" w:line="259" w:lineRule="auto"/>
            </w:pPr>
            <w:r>
              <w:rPr>
                <w:rFonts w:ascii="Calibri" w:hAnsi="Calibri"/>
                <w:b w:val="0"/>
                <w:i w:val="0"/>
                <w:color w:val="212121"/>
                <w:sz w:val="19"/>
              </w:rPr>
              <w:t>Deficiency is common in India and associated with chronic widespread pain; correct and reassess</w:t>
            </w:r>
          </w:p>
          <w:p>
            <w:pPr>
              <w:spacing w:after="40" w:line="252" w:lineRule="auto"/>
            </w:pPr>
            <w:hyperlink r:id="rId14">
              <w:r>
                <w:rPr>
                  <w:rFonts w:ascii="Calibri" w:hAnsi="Calibri" w:cs="Calibri"/>
                  <w:sz w:val="18"/>
                  <w:color w:val="1155CC"/>
                  <w:u w:val="single"/>
                </w:rPr>
                <w:t xml:space="preserve">https://link.springer.com/article/10.1186/s41927-018-0035-6</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Inflammatory markers</w:t>
            </w:r>
          </w:p>
        </w:tc>
        <w:tc>
          <w:tcPr>
            <w:tcW w:type="dxa" w:w="1036"/>
            <w:vAlign w:val="top"/>
          </w:tcPr>
          <w:p>
            <w:pPr>
              <w:spacing w:after="40" w:before="0" w:line="259" w:lineRule="auto"/>
            </w:pPr>
            <w:r>
              <w:rPr>
                <w:rFonts w:ascii="Calibri" w:hAnsi="Calibri"/>
                <w:b w:val="0"/>
                <w:i w:val="0"/>
                <w:color w:val="212121"/>
                <w:sz w:val="16"/>
              </w:rPr>
              <w:t>ESR &amp; CRP</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ESR &lt; 20 mm/hr; CRP &lt; 5 mg/L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Normal in fibromyalgia; elevation points to an inflammatory or infective alternative (RA, PMR, infection)</w:t>
            </w:r>
          </w:p>
        </w:tc>
        <w:tc>
          <w:tcPr>
            <w:tcW w:type="dxa" w:w="1036"/>
            <w:vAlign w:val="top"/>
          </w:tcPr>
          <w:p>
            <w:pPr>
              <w:spacing w:after="40" w:before="0" w:line="259" w:lineRule="auto"/>
            </w:pPr>
            <w:r>
              <w:rPr>
                <w:rFonts w:ascii="Calibri" w:hAnsi="Calibri"/>
                <w:b w:val="0"/>
                <w:i w:val="0"/>
                <w:color w:val="212121"/>
                <w:sz w:val="16"/>
              </w:rPr>
              <w:t>All suspected FM, older adults, secondary FM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Fibromyalgia is not an inflammatory disease — normal markers are expected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TSH (± free T4)</w:t>
            </w:r>
          </w:p>
        </w:tc>
        <w:tc>
          <w:tcPr>
            <w:tcW w:type="dxa" w:w="892"/>
            <w:vAlign w:val="top"/>
          </w:tcPr>
          <w:p>
            <w:pPr>
              <w:spacing w:after="40" w:before="0" w:line="259" w:lineRule="auto"/>
            </w:pPr>
            <w:r>
              <w:rPr>
                <w:rFonts w:ascii="Calibri" w:hAnsi="Calibri"/>
                <w:b w:val="0"/>
                <w:i w:val="0"/>
                <w:color w:val="212121"/>
                <w:sz w:val="16"/>
              </w:rPr>
              <w:t>Thyroid function</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TSH &gt; 4.0 (hypothyroid)</w:t>
            </w:r>
          </w:p>
        </w:tc>
        <w:tc>
          <w:tcPr>
            <w:tcW w:type="dxa" w:w="1036"/>
            <w:vAlign w:val="top"/>
          </w:tcPr>
          <w:p>
            <w:pPr>
              <w:spacing w:after="40" w:before="0" w:line="259" w:lineRule="auto"/>
            </w:pPr>
            <w:r>
              <w:rPr>
                <w:rFonts w:ascii="Calibri" w:hAnsi="Calibri"/>
                <w:b w:val="0"/>
                <w:i w:val="0"/>
                <w:color w:val="212121"/>
                <w:sz w:val="16"/>
              </w:rPr>
              <w:t>Hypothyroidism mimics and coexists with fibromyalgia; common in Indian women</w:t>
            </w:r>
          </w:p>
        </w:tc>
        <w:tc>
          <w:tcPr>
            <w:tcW w:type="dxa" w:w="1036"/>
            <w:vAlign w:val="top"/>
          </w:tcPr>
          <w:p>
            <w:pPr>
              <w:spacing w:after="40" w:before="0" w:line="259" w:lineRule="auto"/>
            </w:pPr>
            <w:r>
              <w:rPr>
                <w:rFonts w:ascii="Calibri" w:hAnsi="Calibri"/>
                <w:b w:val="0"/>
                <w:i w:val="0"/>
                <w:color w:val="212121"/>
                <w:sz w:val="16"/>
              </w:rPr>
              <w:t>Women, fatigue, weight gain, cold intolerance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 / Exclusionary</w:t>
            </w:r>
          </w:p>
        </w:tc>
        <w:tc>
          <w:tcPr>
            <w:tcW w:type="dxa" w:w="720"/>
            <w:vAlign w:val="top"/>
          </w:tcPr>
          <w:p>
            <w:pPr>
              <w:spacing w:after="40" w:before="0" w:line="259" w:lineRule="auto"/>
            </w:pPr>
            <w:r>
              <w:rPr>
                <w:rFonts w:ascii="Calibri" w:hAnsi="Calibri"/>
                <w:b w:val="0"/>
                <w:i w:val="0"/>
                <w:color w:val="212121"/>
                <w:sz w:val="16"/>
              </w:rPr>
              <w:t>Correct thyroid status before attributing all symptoms to FM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Vitamin / Bone</w:t>
            </w:r>
          </w:p>
        </w:tc>
        <w:tc>
          <w:tcPr>
            <w:tcW w:type="dxa" w:w="1036"/>
            <w:vAlign w:val="top"/>
          </w:tcPr>
          <w:p>
            <w:pPr>
              <w:spacing w:after="40" w:before="0" w:line="259" w:lineRule="auto"/>
            </w:pPr>
            <w:r>
              <w:rPr>
                <w:rFonts w:ascii="Calibri" w:hAnsi="Calibri"/>
                <w:b w:val="0"/>
                <w:i w:val="0"/>
                <w:color w:val="212121"/>
                <w:sz w:val="16"/>
              </w:rPr>
              <w:t>Serum 25(OH) vitamin D</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 30 ng/mL</w:t>
            </w:r>
          </w:p>
        </w:tc>
        <w:tc>
          <w:tcPr>
            <w:tcW w:type="dxa" w:w="950"/>
            <w:vAlign w:val="top"/>
          </w:tcPr>
          <w:p>
            <w:pPr>
              <w:spacing w:after="40" w:before="0" w:line="259" w:lineRule="auto"/>
            </w:pPr>
            <w:r>
              <w:rPr>
                <w:rFonts w:ascii="Calibri" w:hAnsi="Calibri"/>
                <w:b w:val="0"/>
                <w:i w:val="0"/>
                <w:color w:val="212121"/>
                <w:sz w:val="16"/>
              </w:rPr>
              <w:t>&lt; 20 ng/mL (deficiency)</w:t>
            </w:r>
          </w:p>
        </w:tc>
        <w:tc>
          <w:tcPr>
            <w:tcW w:type="dxa" w:w="1036"/>
            <w:vAlign w:val="top"/>
          </w:tcPr>
          <w:p>
            <w:pPr>
              <w:spacing w:after="40" w:before="0" w:line="259" w:lineRule="auto"/>
            </w:pPr>
            <w:r>
              <w:rPr>
                <w:rFonts w:ascii="Calibri" w:hAnsi="Calibri"/>
                <w:b w:val="0"/>
                <w:i w:val="0"/>
                <w:color w:val="212121"/>
                <w:sz w:val="16"/>
              </w:rPr>
              <w:t>Deficiency is highly prevalent in India and associated with chronic widespread pain and greater FM severity</w:t>
            </w:r>
          </w:p>
        </w:tc>
        <w:tc>
          <w:tcPr>
            <w:tcW w:type="dxa" w:w="1036"/>
            <w:vAlign w:val="top"/>
          </w:tcPr>
          <w:p>
            <w:pPr>
              <w:spacing w:after="40" w:before="0" w:line="259" w:lineRule="auto"/>
            </w:pPr>
            <w:r>
              <w:rPr>
                <w:rFonts w:ascii="Calibri" w:hAnsi="Calibri"/>
                <w:b w:val="0"/>
                <w:i w:val="0"/>
                <w:color w:val="212121"/>
                <w:sz w:val="16"/>
              </w:rPr>
              <w:t>Indoor workers, veiled women, vegetarians, elderly</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Replace and reassess symptoms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Bone chemistry</w:t>
            </w:r>
          </w:p>
        </w:tc>
        <w:tc>
          <w:tcPr>
            <w:tcW w:type="dxa" w:w="1036"/>
            <w:vAlign w:val="top"/>
          </w:tcPr>
          <w:p>
            <w:pPr>
              <w:spacing w:after="40" w:before="0" w:line="259" w:lineRule="auto"/>
            </w:pPr>
            <w:r>
              <w:rPr>
                <w:rFonts w:ascii="Calibri" w:hAnsi="Calibri"/>
                <w:b w:val="0"/>
                <w:i w:val="0"/>
                <w:color w:val="212121"/>
                <w:sz w:val="16"/>
              </w:rPr>
              <w:t>Serum calcium, phosphate, ALP</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Normal Ca / PO₄ / ALP</w:t>
            </w:r>
          </w:p>
        </w:tc>
        <w:tc>
          <w:tcPr>
            <w:tcW w:type="dxa" w:w="950"/>
            <w:vAlign w:val="top"/>
          </w:tcPr>
          <w:p>
            <w:pPr>
              <w:spacing w:after="40" w:before="0" w:line="259" w:lineRule="auto"/>
            </w:pPr>
            <w:r>
              <w:rPr>
                <w:rFonts w:ascii="Calibri" w:hAnsi="Calibri"/>
                <w:b w:val="0"/>
                <w:i w:val="0"/>
                <w:color w:val="212121"/>
                <w:sz w:val="16"/>
              </w:rPr>
              <w:t>Low Ca/PO₄ with high ALP</w:t>
            </w:r>
          </w:p>
        </w:tc>
        <w:tc>
          <w:tcPr>
            <w:tcW w:type="dxa" w:w="1036"/>
            <w:vAlign w:val="top"/>
          </w:tcPr>
          <w:p>
            <w:pPr>
              <w:spacing w:after="40" w:before="0" w:line="259" w:lineRule="auto"/>
            </w:pPr>
            <w:r>
              <w:rPr>
                <w:rFonts w:ascii="Calibri" w:hAnsi="Calibri"/>
                <w:b w:val="0"/>
                <w:i w:val="0"/>
                <w:color w:val="212121"/>
                <w:sz w:val="16"/>
              </w:rPr>
              <w:t>Screens osteomalacia — a treatable mimic of diffuse bone and muscle pain, prevalent in vitamin-D-deficient India</w:t>
            </w:r>
          </w:p>
        </w:tc>
        <w:tc>
          <w:tcPr>
            <w:tcW w:type="dxa" w:w="1036"/>
            <w:vAlign w:val="top"/>
          </w:tcPr>
          <w:p>
            <w:pPr>
              <w:spacing w:after="40" w:before="0" w:line="259" w:lineRule="auto"/>
            </w:pPr>
            <w:r>
              <w:rPr>
                <w:rFonts w:ascii="Calibri" w:hAnsi="Calibri"/>
                <w:b w:val="0"/>
                <w:i w:val="0"/>
                <w:color w:val="212121"/>
                <w:sz w:val="16"/>
              </w:rPr>
              <w:t>Poor sun exposure, bone pain, proximal weakness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Osteomalacic pain resolves with vitamin-D/calcium repletion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Muscle enzyme</w:t>
            </w:r>
          </w:p>
        </w:tc>
        <w:tc>
          <w:tcPr>
            <w:tcW w:type="dxa" w:w="1036"/>
            <w:vAlign w:val="top"/>
          </w:tcPr>
          <w:p>
            <w:pPr>
              <w:spacing w:after="40" w:before="0" w:line="259" w:lineRule="auto"/>
            </w:pPr>
            <w:r>
              <w:rPr>
                <w:rFonts w:ascii="Calibri" w:hAnsi="Calibri"/>
                <w:b w:val="0"/>
                <w:i w:val="0"/>
                <w:color w:val="212121"/>
                <w:sz w:val="16"/>
              </w:rPr>
              <w:t>Creatine kinase (CK)</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Normal in fibromyalgia; elevation suggests inflammatory or drug-induced (statin) myopathy</w:t>
            </w:r>
          </w:p>
        </w:tc>
        <w:tc>
          <w:tcPr>
            <w:tcW w:type="dxa" w:w="1036"/>
            <w:vAlign w:val="top"/>
          </w:tcPr>
          <w:p>
            <w:pPr>
              <w:spacing w:after="40" w:before="0" w:line="259" w:lineRule="auto"/>
            </w:pPr>
            <w:r>
              <w:rPr>
                <w:rFonts w:ascii="Calibri" w:hAnsi="Calibri"/>
                <w:b w:val="0"/>
                <w:i w:val="0"/>
                <w:color w:val="212121"/>
                <w:sz w:val="16"/>
              </w:rPr>
              <w:t>Proximal weakness, statin users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Weakness is NOT a feature of fibromyalgia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ANA, RF, anti-CCP</w:t>
            </w:r>
          </w:p>
        </w:tc>
        <w:tc>
          <w:tcPr>
            <w:tcW w:type="dxa" w:w="892"/>
            <w:vAlign w:val="top"/>
          </w:tcPr>
          <w:p>
            <w:pPr>
              <w:spacing w:after="40" w:before="0" w:line="259" w:lineRule="auto"/>
            </w:pPr>
            <w:r>
              <w:rPr>
                <w:rFonts w:ascii="Calibri" w:hAnsi="Calibri"/>
                <w:b w:val="0"/>
                <w:i w:val="0"/>
                <w:color w:val="212121"/>
                <w:sz w:val="16"/>
              </w:rPr>
              <w:t>Autoantibodies</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(in clinical context)</w:t>
            </w:r>
          </w:p>
        </w:tc>
        <w:tc>
          <w:tcPr>
            <w:tcW w:type="dxa" w:w="1036"/>
            <w:vAlign w:val="top"/>
          </w:tcPr>
          <w:p>
            <w:pPr>
              <w:spacing w:after="40" w:before="0" w:line="259" w:lineRule="auto"/>
            </w:pPr>
            <w:r>
              <w:rPr>
                <w:rFonts w:ascii="Calibri" w:hAnsi="Calibri"/>
                <w:b w:val="0"/>
                <w:i w:val="0"/>
                <w:color w:val="212121"/>
                <w:sz w:val="16"/>
              </w:rPr>
              <w:t>Order only when objective autoimmune features are present; positivity suggests RA/SLE with possible secondary fibromyalgia</w:t>
            </w:r>
          </w:p>
        </w:tc>
        <w:tc>
          <w:tcPr>
            <w:tcW w:type="dxa" w:w="1036"/>
            <w:vAlign w:val="top"/>
          </w:tcPr>
          <w:p>
            <w:pPr>
              <w:spacing w:after="40" w:before="0" w:line="259" w:lineRule="auto"/>
            </w:pPr>
            <w:r>
              <w:rPr>
                <w:rFonts w:ascii="Calibri" w:hAnsi="Calibri"/>
                <w:b w:val="0"/>
                <w:i w:val="0"/>
                <w:color w:val="212121"/>
                <w:sz w:val="16"/>
              </w:rPr>
              <w:t>Joint swelling, rashes, sicca, Raynaud</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Low-titre ANA is common in healthy people — avoid indiscriminate testing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Metabolic</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HbA1c &lt; 5.7%</w:t>
            </w:r>
          </w:p>
        </w:tc>
        <w:tc>
          <w:tcPr>
            <w:tcW w:type="dxa" w:w="950"/>
            <w:vAlign w:val="top"/>
          </w:tcPr>
          <w:p>
            <w:pPr>
              <w:spacing w:after="40" w:before="0" w:line="259" w:lineRule="auto"/>
            </w:pPr>
            <w:r>
              <w:rPr>
                <w:rFonts w:ascii="Calibri" w:hAnsi="Calibri"/>
                <w:b w:val="0"/>
                <w:i w:val="0"/>
                <w:color w:val="212121"/>
                <w:sz w:val="16"/>
              </w:rPr>
              <w:t>HbA1c ≥ 6.5%</w:t>
            </w:r>
          </w:p>
        </w:tc>
        <w:tc>
          <w:tcPr>
            <w:tcW w:type="dxa" w:w="1036"/>
            <w:vAlign w:val="top"/>
          </w:tcPr>
          <w:p>
            <w:pPr>
              <w:spacing w:after="40" w:before="0" w:line="259" w:lineRule="auto"/>
            </w:pPr>
            <w:r>
              <w:rPr>
                <w:rFonts w:ascii="Calibri" w:hAnsi="Calibri"/>
                <w:b w:val="0"/>
                <w:i w:val="0"/>
                <w:color w:val="212121"/>
                <w:sz w:val="16"/>
              </w:rPr>
              <w:t>Screens diabetes (common comorbidity; diabetic neuropathy can mimic or aggravate pain)</w:t>
            </w:r>
          </w:p>
        </w:tc>
        <w:tc>
          <w:tcPr>
            <w:tcW w:type="dxa" w:w="1036"/>
            <w:vAlign w:val="top"/>
          </w:tcPr>
          <w:p>
            <w:pPr>
              <w:spacing w:after="40" w:before="0" w:line="259" w:lineRule="auto"/>
            </w:pPr>
            <w:r>
              <w:rPr>
                <w:rFonts w:ascii="Calibri" w:hAnsi="Calibri"/>
                <w:b w:val="0"/>
                <w:i w:val="0"/>
                <w:color w:val="212121"/>
                <w:sz w:val="16"/>
              </w:rPr>
              <w:t>Overweight, family history of diabetes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Metabolic comorbidity is frequent in FM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Haematinics</w:t>
            </w:r>
          </w:p>
        </w:tc>
        <w:tc>
          <w:tcPr>
            <w:tcW w:type="dxa" w:w="1036"/>
            <w:vAlign w:val="top"/>
          </w:tcPr>
          <w:p>
            <w:pPr>
              <w:spacing w:after="40" w:before="0" w:line="259" w:lineRule="auto"/>
            </w:pPr>
            <w:r>
              <w:rPr>
                <w:rFonts w:ascii="Calibri" w:hAnsi="Calibri"/>
                <w:b w:val="0"/>
                <w:i w:val="0"/>
                <w:color w:val="212121"/>
                <w:sz w:val="16"/>
              </w:rPr>
              <w:t>CBC, ferritin, vitamin B12</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Normal indices</w:t>
            </w:r>
          </w:p>
        </w:tc>
        <w:tc>
          <w:tcPr>
            <w:tcW w:type="dxa" w:w="950"/>
            <w:vAlign w:val="top"/>
          </w:tcPr>
          <w:p>
            <w:pPr>
              <w:spacing w:after="40" w:before="0" w:line="259" w:lineRule="auto"/>
            </w:pPr>
            <w:r>
              <w:rPr>
                <w:rFonts w:ascii="Calibri" w:hAnsi="Calibri"/>
                <w:b w:val="0"/>
                <w:i w:val="0"/>
                <w:color w:val="212121"/>
                <w:sz w:val="16"/>
              </w:rPr>
              <w:t>Anaemia, low ferritin/B12</w:t>
            </w:r>
          </w:p>
        </w:tc>
        <w:tc>
          <w:tcPr>
            <w:tcW w:type="dxa" w:w="1036"/>
            <w:vAlign w:val="top"/>
          </w:tcPr>
          <w:p>
            <w:pPr>
              <w:spacing w:after="40" w:before="0" w:line="259" w:lineRule="auto"/>
            </w:pPr>
            <w:r>
              <w:rPr>
                <w:rFonts w:ascii="Calibri" w:hAnsi="Calibri"/>
                <w:b w:val="0"/>
                <w:i w:val="0"/>
                <w:color w:val="212121"/>
                <w:sz w:val="16"/>
              </w:rPr>
              <w:t>Identifies reversible causes of fatigue — anaemia and iron/B12 deficiency, common in Indian vegetarians and menstruating women</w:t>
            </w:r>
          </w:p>
        </w:tc>
        <w:tc>
          <w:tcPr>
            <w:tcW w:type="dxa" w:w="1036"/>
            <w:vAlign w:val="top"/>
          </w:tcPr>
          <w:p>
            <w:pPr>
              <w:spacing w:after="40" w:before="0" w:line="259" w:lineRule="auto"/>
            </w:pPr>
            <w:r>
              <w:rPr>
                <w:rFonts w:ascii="Calibri" w:hAnsi="Calibri"/>
                <w:b w:val="0"/>
                <w:i w:val="0"/>
                <w:color w:val="212121"/>
                <w:sz w:val="16"/>
              </w:rPr>
              <w:t>Fatigue, vegetarian diet, menorrhagia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Treat deficiencies before attributing fatigue solely to FM</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Widespread pain ≥ 3 months, fatigue, unrefreshed sleep, cognitive fog</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Pain in ≥ 4 of 5 body regions with fatigue/sleep/cognitive symptoms</w:t>
            </w:r>
          </w:p>
        </w:tc>
        <w:tc>
          <w:tcPr>
            <w:tcW w:type="dxa" w:w="1036"/>
            <w:vAlign w:val="top"/>
          </w:tcPr>
          <w:p>
            <w:pPr>
              <w:spacing w:after="40" w:before="0" w:line="259" w:lineRule="auto"/>
            </w:pPr>
            <w:r>
              <w:rPr>
                <w:rFonts w:ascii="Calibri" w:hAnsi="Calibri"/>
                <w:b w:val="0"/>
                <w:i w:val="0"/>
                <w:color w:val="212121"/>
                <w:sz w:val="16"/>
              </w:rPr>
              <w:t>Core clinical picture of fibromyalgia</w:t>
            </w:r>
          </w:p>
        </w:tc>
        <w:tc>
          <w:tcPr>
            <w:tcW w:type="dxa" w:w="1036"/>
            <w:vAlign w:val="top"/>
          </w:tcPr>
          <w:p>
            <w:pPr>
              <w:spacing w:after="40" w:before="0" w:line="259" w:lineRule="auto"/>
            </w:pPr>
            <w:r>
              <w:rPr>
                <w:rFonts w:ascii="Calibri" w:hAnsi="Calibri"/>
                <w:b w:val="0"/>
                <w:i w:val="0"/>
                <w:color w:val="212121"/>
                <w:sz w:val="16"/>
              </w:rPr>
              <w:t>Adult women, secondary FM</w:t>
            </w:r>
          </w:p>
        </w:tc>
        <w:tc>
          <w:tcPr>
            <w:tcW w:type="dxa" w:w="720"/>
            <w:vAlign w:val="top"/>
          </w:tcPr>
          <w:p>
            <w:pPr>
              <w:spacing w:after="40" w:before="0" w:line="259" w:lineRule="auto"/>
            </w:pPr>
            <w:r>
              <w:rPr>
                <w:rFonts w:ascii="Calibri" w:hAnsi="Calibri"/>
                <w:b w:val="0"/>
                <w:i w:val="0"/>
                <w:color w:val="212121"/>
                <w:sz w:val="16"/>
              </w:rPr>
              <w:t>Sleep; 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Pain is bilateral and both above and below the waist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ACR-2016 severity indices</w:t>
            </w:r>
          </w:p>
        </w:tc>
        <w:tc>
          <w:tcPr>
            <w:tcW w:type="dxa" w:w="979"/>
            <w:vAlign w:val="top"/>
          </w:tcPr>
          <w:p>
            <w:pPr>
              <w:spacing w:after="40" w:before="0" w:line="259" w:lineRule="auto"/>
            </w:pPr>
            <w:r>
              <w:rPr>
                <w:rFonts w:ascii="Calibri" w:hAnsi="Calibri"/>
                <w:b w:val="0"/>
                <w:i w:val="0"/>
                <w:color w:val="212121"/>
                <w:sz w:val="16"/>
              </w:rPr>
              <w:t>Widespread Pain Index &amp; Symptom Severity Scale</w:t>
            </w:r>
          </w:p>
        </w:tc>
        <w:tc>
          <w:tcPr>
            <w:tcW w:type="dxa" w:w="950"/>
            <w:vAlign w:val="top"/>
          </w:tcPr>
          <w:p>
            <w:pPr>
              <w:spacing w:after="40" w:before="0" w:line="259" w:lineRule="auto"/>
            </w:pPr>
            <w:r>
              <w:rPr>
                <w:rFonts w:ascii="Calibri" w:hAnsi="Calibri"/>
                <w:b w:val="0"/>
                <w:i w:val="0"/>
                <w:color w:val="212121"/>
                <w:sz w:val="16"/>
              </w:rPr>
              <w:t>WPI &lt; 7 and SSS &lt; 5</w:t>
            </w:r>
          </w:p>
        </w:tc>
        <w:tc>
          <w:tcPr>
            <w:tcW w:type="dxa" w:w="950"/>
            <w:vAlign w:val="top"/>
          </w:tcPr>
          <w:p>
            <w:pPr>
              <w:spacing w:after="40" w:before="0" w:line="259" w:lineRule="auto"/>
            </w:pPr>
            <w:r>
              <w:rPr>
                <w:rFonts w:ascii="Calibri" w:hAnsi="Calibri"/>
                <w:b w:val="0"/>
                <w:i w:val="0"/>
                <w:color w:val="212121"/>
                <w:sz w:val="16"/>
              </w:rPr>
              <w:t>WPI ≥ 7 &amp; SSS ≥ 5, or WPI 3–6 &amp; SSS ≥ 9</w:t>
            </w:r>
          </w:p>
        </w:tc>
        <w:tc>
          <w:tcPr>
            <w:tcW w:type="dxa" w:w="1036"/>
            <w:vAlign w:val="top"/>
          </w:tcPr>
          <w:p>
            <w:pPr>
              <w:spacing w:after="40" w:before="0" w:line="259" w:lineRule="auto"/>
            </w:pPr>
            <w:r>
              <w:rPr>
                <w:rFonts w:ascii="Calibri" w:hAnsi="Calibri"/>
                <w:b w:val="0"/>
                <w:i w:val="0"/>
                <w:color w:val="212121"/>
                <w:sz w:val="16"/>
              </w:rPr>
              <w:t>Operationalises the diagnosis and grades severity</w:t>
            </w:r>
          </w:p>
        </w:tc>
        <w:tc>
          <w:tcPr>
            <w:tcW w:type="dxa" w:w="1036"/>
            <w:vAlign w:val="top"/>
          </w:tcPr>
          <w:p>
            <w:pPr>
              <w:spacing w:after="40" w:before="0" w:line="259" w:lineRule="auto"/>
            </w:pPr>
            <w:r>
              <w:rPr>
                <w:rFonts w:ascii="Calibri" w:hAnsi="Calibri"/>
                <w:b w:val="0"/>
                <w:i w:val="0"/>
                <w:color w:val="212121"/>
                <w:sz w:val="16"/>
              </w:rPr>
              <w:t>All suspected FM</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Replaces reliance on tender-point count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Trigger &amp; psychosocial history</w:t>
            </w:r>
          </w:p>
        </w:tc>
        <w:tc>
          <w:tcPr>
            <w:tcW w:type="dxa" w:w="979"/>
            <w:vAlign w:val="top"/>
          </w:tcPr>
          <w:p>
            <w:pPr>
              <w:spacing w:after="40" w:before="0" w:line="259" w:lineRule="auto"/>
            </w:pPr>
            <w:r>
              <w:rPr>
                <w:rFonts w:ascii="Calibri" w:hAnsi="Calibri"/>
                <w:b w:val="0"/>
                <w:i w:val="0"/>
                <w:color w:val="212121"/>
                <w:sz w:val="16"/>
              </w:rPr>
              <w:t>Trauma, infection, stress, mood, sleep, adverse childhood experiences</w:t>
            </w:r>
          </w:p>
        </w:tc>
        <w:tc>
          <w:tcPr>
            <w:tcW w:type="dxa" w:w="950"/>
            <w:vAlign w:val="top"/>
          </w:tcPr>
          <w:p>
            <w:pPr>
              <w:spacing w:after="40" w:before="0" w:line="259" w:lineRule="auto"/>
            </w:pPr>
            <w:r>
              <w:rPr>
                <w:rFonts w:ascii="Calibri" w:hAnsi="Calibri"/>
                <w:b w:val="0"/>
                <w:i w:val="0"/>
                <w:color w:val="212121"/>
                <w:sz w:val="16"/>
              </w:rPr>
              <w:t>None identified</w:t>
            </w:r>
          </w:p>
        </w:tc>
        <w:tc>
          <w:tcPr>
            <w:tcW w:type="dxa" w:w="950"/>
            <w:vAlign w:val="top"/>
          </w:tcPr>
          <w:p>
            <w:pPr>
              <w:spacing w:after="40" w:before="0" w:line="259" w:lineRule="auto"/>
            </w:pPr>
            <w:r>
              <w:rPr>
                <w:rFonts w:ascii="Calibri" w:hAnsi="Calibri"/>
                <w:b w:val="0"/>
                <w:i w:val="0"/>
                <w:color w:val="212121"/>
                <w:sz w:val="16"/>
              </w:rPr>
              <w:t>Identifiable precipitant or high psychosocial load</w:t>
            </w:r>
          </w:p>
        </w:tc>
        <w:tc>
          <w:tcPr>
            <w:tcW w:type="dxa" w:w="1036"/>
            <w:vAlign w:val="top"/>
          </w:tcPr>
          <w:p>
            <w:pPr>
              <w:spacing w:after="40" w:before="0" w:line="259" w:lineRule="auto"/>
            </w:pPr>
            <w:r>
              <w:rPr>
                <w:rFonts w:ascii="Calibri" w:hAnsi="Calibri"/>
                <w:b w:val="0"/>
                <w:i w:val="0"/>
                <w:color w:val="212121"/>
                <w:sz w:val="16"/>
              </w:rPr>
              <w:t>Precipitating and perpetuating factors guide management</w:t>
            </w:r>
          </w:p>
        </w:tc>
        <w:tc>
          <w:tcPr>
            <w:tcW w:type="dxa" w:w="1036"/>
            <w:vAlign w:val="top"/>
          </w:tcPr>
          <w:p>
            <w:pPr>
              <w:spacing w:after="40" w:before="0" w:line="259" w:lineRule="auto"/>
            </w:pPr>
            <w:r>
              <w:rPr>
                <w:rFonts w:ascii="Calibri" w:hAnsi="Calibri"/>
                <w:b w:val="0"/>
                <w:i w:val="0"/>
                <w:color w:val="212121"/>
                <w:sz w:val="16"/>
              </w:rPr>
              <w:t>Post-trauma, high stress, depression/anxiety</w:t>
            </w:r>
          </w:p>
        </w:tc>
        <w:tc>
          <w:tcPr>
            <w:tcW w:type="dxa" w:w="720"/>
            <w:vAlign w:val="top"/>
          </w:tcPr>
          <w:p>
            <w:pPr>
              <w:spacing w:after="40" w:before="0" w:line="259" w:lineRule="auto"/>
            </w:pPr>
            <w:r>
              <w:rPr>
                <w:rFonts w:ascii="Calibri" w:hAnsi="Calibri"/>
                <w:b w:val="0"/>
                <w:i w:val="0"/>
                <w:color w:val="212121"/>
                <w:sz w:val="16"/>
              </w:rPr>
              <w:t>Mental health;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Screen mood with PHQ-9 / GAD-7</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Soft-tissue tenderness</w:t>
            </w:r>
          </w:p>
        </w:tc>
        <w:tc>
          <w:tcPr>
            <w:tcW w:type="dxa" w:w="979"/>
            <w:vAlign w:val="top"/>
          </w:tcPr>
          <w:p>
            <w:pPr>
              <w:spacing w:after="40" w:before="0" w:line="259" w:lineRule="auto"/>
            </w:pPr>
            <w:r>
              <w:rPr>
                <w:rFonts w:ascii="Calibri" w:hAnsi="Calibri"/>
                <w:b w:val="0"/>
                <w:i w:val="0"/>
                <w:color w:val="212121"/>
                <w:sz w:val="16"/>
              </w:rPr>
              <w:t>Digital palpation / pressure-pain threshold</w:t>
            </w:r>
          </w:p>
        </w:tc>
        <w:tc>
          <w:tcPr>
            <w:tcW w:type="dxa" w:w="950"/>
            <w:vAlign w:val="top"/>
          </w:tcPr>
          <w:p>
            <w:pPr>
              <w:spacing w:after="40" w:before="0" w:line="259" w:lineRule="auto"/>
            </w:pPr>
            <w:r>
              <w:rPr>
                <w:rFonts w:ascii="Calibri" w:hAnsi="Calibri"/>
                <w:b w:val="0"/>
                <w:i w:val="0"/>
                <w:color w:val="212121"/>
                <w:sz w:val="16"/>
              </w:rPr>
              <w:t>No excess tenderness</w:t>
            </w:r>
          </w:p>
        </w:tc>
        <w:tc>
          <w:tcPr>
            <w:tcW w:type="dxa" w:w="950"/>
            <w:vAlign w:val="top"/>
          </w:tcPr>
          <w:p>
            <w:pPr>
              <w:spacing w:after="40" w:before="0" w:line="259" w:lineRule="auto"/>
            </w:pPr>
            <w:r>
              <w:rPr>
                <w:rFonts w:ascii="Calibri" w:hAnsi="Calibri"/>
                <w:b w:val="0"/>
                <w:i w:val="0"/>
                <w:color w:val="212121"/>
                <w:sz w:val="16"/>
              </w:rPr>
              <w:t>Diffuse tenderness and low pressure-pain threshold (historically ≥ 11 of 18 tender points)</w:t>
            </w:r>
          </w:p>
        </w:tc>
        <w:tc>
          <w:tcPr>
            <w:tcW w:type="dxa" w:w="1036"/>
            <w:vAlign w:val="top"/>
          </w:tcPr>
          <w:p>
            <w:pPr>
              <w:spacing w:after="40" w:before="0" w:line="259" w:lineRule="auto"/>
            </w:pPr>
            <w:r>
              <w:rPr>
                <w:rFonts w:ascii="Calibri" w:hAnsi="Calibri"/>
                <w:b w:val="0"/>
                <w:i w:val="0"/>
                <w:color w:val="212121"/>
                <w:sz w:val="16"/>
              </w:rPr>
              <w:t>Supports central sensitisation; tender-point count is no longer required but remains informative</w:t>
            </w:r>
          </w:p>
        </w:tc>
        <w:tc>
          <w:tcPr>
            <w:tcW w:type="dxa" w:w="1036"/>
            <w:vAlign w:val="top"/>
          </w:tcPr>
          <w:p>
            <w:pPr>
              <w:spacing w:after="40" w:before="0" w:line="259" w:lineRule="auto"/>
            </w:pPr>
            <w:r>
              <w:rPr>
                <w:rFonts w:ascii="Calibri" w:hAnsi="Calibri"/>
                <w:b w:val="0"/>
                <w:i w:val="0"/>
                <w:color w:val="212121"/>
                <w:sz w:val="16"/>
              </w:rPr>
              <w:t>All suspected FM</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Tenderness is symmetric and widespread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Joint &amp; neurological exam</w:t>
            </w:r>
          </w:p>
        </w:tc>
        <w:tc>
          <w:tcPr>
            <w:tcW w:type="dxa" w:w="979"/>
            <w:vAlign w:val="top"/>
          </w:tcPr>
          <w:p>
            <w:pPr>
              <w:spacing w:after="40" w:before="0" w:line="259" w:lineRule="auto"/>
            </w:pPr>
            <w:r>
              <w:rPr>
                <w:rFonts w:ascii="Calibri" w:hAnsi="Calibri"/>
                <w:b w:val="0"/>
                <w:i w:val="0"/>
                <w:color w:val="212121"/>
                <w:sz w:val="16"/>
              </w:rPr>
              <w:t>Synovitis, power, reflexes, sensation</w:t>
            </w:r>
          </w:p>
        </w:tc>
        <w:tc>
          <w:tcPr>
            <w:tcW w:type="dxa" w:w="950"/>
            <w:vAlign w:val="top"/>
          </w:tcPr>
          <w:p>
            <w:pPr>
              <w:spacing w:after="40" w:before="0" w:line="259" w:lineRule="auto"/>
            </w:pPr>
            <w:r>
              <w:rPr>
                <w:rFonts w:ascii="Calibri" w:hAnsi="Calibri"/>
                <w:b w:val="0"/>
                <w:i w:val="0"/>
                <w:color w:val="212121"/>
                <w:sz w:val="16"/>
              </w:rPr>
              <w:t>Normal joints, power and reflexes</w:t>
            </w:r>
          </w:p>
        </w:tc>
        <w:tc>
          <w:tcPr>
            <w:tcW w:type="dxa" w:w="950"/>
            <w:vAlign w:val="top"/>
          </w:tcPr>
          <w:p>
            <w:pPr>
              <w:spacing w:after="40" w:before="0" w:line="259" w:lineRule="auto"/>
            </w:pPr>
            <w:r>
              <w:rPr>
                <w:rFonts w:ascii="Calibri" w:hAnsi="Calibri"/>
                <w:b w:val="0"/>
                <w:i w:val="0"/>
                <w:color w:val="212121"/>
                <w:sz w:val="16"/>
              </w:rPr>
              <w:t>Synovitis or focal deficit → alternative diagnosis</w:t>
            </w:r>
          </w:p>
        </w:tc>
        <w:tc>
          <w:tcPr>
            <w:tcW w:type="dxa" w:w="1036"/>
            <w:vAlign w:val="top"/>
          </w:tcPr>
          <w:p>
            <w:pPr>
              <w:spacing w:after="40" w:before="0" w:line="259" w:lineRule="auto"/>
            </w:pPr>
            <w:r>
              <w:rPr>
                <w:rFonts w:ascii="Calibri" w:hAnsi="Calibri"/>
                <w:b w:val="0"/>
                <w:i w:val="0"/>
                <w:color w:val="212121"/>
                <w:sz w:val="16"/>
              </w:rPr>
              <w:t>A normal exam distinguishes fibromyalgia from inflammatory arthritis and neuropathy</w:t>
            </w:r>
          </w:p>
        </w:tc>
        <w:tc>
          <w:tcPr>
            <w:tcW w:type="dxa" w:w="1036"/>
            <w:vAlign w:val="top"/>
          </w:tcPr>
          <w:p>
            <w:pPr>
              <w:spacing w:after="40" w:before="0" w:line="259" w:lineRule="auto"/>
            </w:pPr>
            <w:r>
              <w:rPr>
                <w:rFonts w:ascii="Calibri" w:hAnsi="Calibri"/>
                <w:b w:val="0"/>
                <w:i w:val="0"/>
                <w:color w:val="212121"/>
                <w:sz w:val="16"/>
              </w:rPr>
              <w:t>Secondary FM, elderly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FM does not cause joint swelling or objective weakness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Screening tools</w:t>
            </w:r>
          </w:p>
        </w:tc>
        <w:tc>
          <w:tcPr>
            <w:tcW w:type="dxa" w:w="950"/>
            <w:vAlign w:val="top"/>
          </w:tcPr>
          <w:p>
            <w:pPr>
              <w:spacing w:after="40" w:before="0" w:line="259" w:lineRule="auto"/>
            </w:pPr>
            <w:r>
              <w:rPr>
                <w:rFonts w:ascii="Calibri" w:hAnsi="Calibri"/>
                <w:b w:val="0"/>
                <w:i w:val="0"/>
                <w:color w:val="212121"/>
                <w:sz w:val="16"/>
              </w:rPr>
              <w:t>Questionnaires</w:t>
            </w:r>
          </w:p>
        </w:tc>
        <w:tc>
          <w:tcPr>
            <w:tcW w:type="dxa" w:w="979"/>
            <w:vAlign w:val="top"/>
          </w:tcPr>
          <w:p>
            <w:pPr>
              <w:spacing w:after="40" w:before="0" w:line="259" w:lineRule="auto"/>
            </w:pPr>
            <w:r>
              <w:rPr>
                <w:rFonts w:ascii="Calibri" w:hAnsi="Calibri"/>
                <w:b w:val="0"/>
                <w:i w:val="0"/>
                <w:color w:val="212121"/>
                <w:sz w:val="16"/>
              </w:rPr>
              <w:t>FIQR, PHQ-9, GAD-7, PSQI</w:t>
            </w:r>
          </w:p>
        </w:tc>
        <w:tc>
          <w:tcPr>
            <w:tcW w:type="dxa" w:w="950"/>
            <w:vAlign w:val="top"/>
          </w:tcPr>
          <w:p>
            <w:pPr>
              <w:spacing w:after="40" w:before="0" w:line="259" w:lineRule="auto"/>
            </w:pPr>
            <w:r>
              <w:rPr>
                <w:rFonts w:ascii="Calibri" w:hAnsi="Calibri"/>
                <w:b w:val="0"/>
                <w:i w:val="0"/>
                <w:color w:val="212121"/>
                <w:sz w:val="16"/>
              </w:rPr>
              <w:t>Low scores</w:t>
            </w:r>
          </w:p>
        </w:tc>
        <w:tc>
          <w:tcPr>
            <w:tcW w:type="dxa" w:w="950"/>
            <w:vAlign w:val="top"/>
          </w:tcPr>
          <w:p>
            <w:pPr>
              <w:spacing w:after="40" w:before="0" w:line="259" w:lineRule="auto"/>
            </w:pPr>
            <w:r>
              <w:rPr>
                <w:rFonts w:ascii="Calibri" w:hAnsi="Calibri"/>
                <w:b w:val="0"/>
                <w:i w:val="0"/>
                <w:color w:val="212121"/>
                <w:sz w:val="16"/>
              </w:rPr>
              <w:t>High scores</w:t>
            </w:r>
          </w:p>
        </w:tc>
        <w:tc>
          <w:tcPr>
            <w:tcW w:type="dxa" w:w="1036"/>
            <w:vAlign w:val="top"/>
          </w:tcPr>
          <w:p>
            <w:pPr>
              <w:spacing w:after="40" w:before="0" w:line="259" w:lineRule="auto"/>
            </w:pPr>
            <w:r>
              <w:rPr>
                <w:rFonts w:ascii="Calibri" w:hAnsi="Calibri"/>
                <w:b w:val="0"/>
                <w:i w:val="0"/>
                <w:color w:val="212121"/>
                <w:sz w:val="16"/>
              </w:rPr>
              <w:t>Quantify functional impact, mood and sleep for baseline and monitoring</w:t>
            </w:r>
          </w:p>
        </w:tc>
        <w:tc>
          <w:tcPr>
            <w:tcW w:type="dxa" w:w="1036"/>
            <w:vAlign w:val="top"/>
          </w:tcPr>
          <w:p>
            <w:pPr>
              <w:spacing w:after="40" w:before="0" w:line="259" w:lineRule="auto"/>
            </w:pPr>
            <w:r>
              <w:rPr>
                <w:rFonts w:ascii="Calibri" w:hAnsi="Calibri"/>
                <w:b w:val="0"/>
                <w:i w:val="0"/>
                <w:color w:val="212121"/>
                <w:sz w:val="16"/>
              </w:rPr>
              <w:t>All FM, treatment follow-up</w:t>
            </w:r>
          </w:p>
        </w:tc>
        <w:tc>
          <w:tcPr>
            <w:tcW w:type="dxa" w:w="720"/>
            <w:vAlign w:val="top"/>
          </w:tcPr>
          <w:p>
            <w:pPr>
              <w:spacing w:after="40" w:before="0" w:line="259" w:lineRule="auto"/>
            </w:pPr>
            <w:r>
              <w:rPr>
                <w:rFonts w:ascii="Calibri" w:hAnsi="Calibri"/>
                <w:b w:val="0"/>
                <w:i w:val="0"/>
                <w:color w:val="212121"/>
                <w:sz w:val="16"/>
              </w:rPr>
              <w:t>Mental health; Sleep</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Useful to demonstrate change with therapy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Red-flag / mimic screen</w:t>
            </w:r>
          </w:p>
        </w:tc>
        <w:tc>
          <w:tcPr>
            <w:tcW w:type="dxa" w:w="979"/>
            <w:vAlign w:val="top"/>
          </w:tcPr>
          <w:p>
            <w:pPr>
              <w:spacing w:after="40" w:before="0" w:line="259" w:lineRule="auto"/>
            </w:pPr>
            <w:r>
              <w:rPr>
                <w:rFonts w:ascii="Calibri" w:hAnsi="Calibri"/>
                <w:b w:val="0"/>
                <w:i w:val="0"/>
                <w:color w:val="212121"/>
                <w:sz w:val="16"/>
              </w:rPr>
              <w:t>Thyroid signs, proximal weakness, rash, lymphadenopathy, weight loss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 → investigate further</w:t>
            </w:r>
          </w:p>
        </w:tc>
        <w:tc>
          <w:tcPr>
            <w:tcW w:type="dxa" w:w="1036"/>
            <w:vAlign w:val="top"/>
          </w:tcPr>
          <w:p>
            <w:pPr>
              <w:spacing w:after="40" w:before="0" w:line="259" w:lineRule="auto"/>
            </w:pPr>
            <w:r>
              <w:rPr>
                <w:rFonts w:ascii="Calibri" w:hAnsi="Calibri"/>
                <w:b w:val="0"/>
                <w:i w:val="0"/>
                <w:color w:val="212121"/>
                <w:sz w:val="16"/>
              </w:rPr>
              <w:t>Flags endocrine, inflammatory or malignant mimics before labelling FM</w:t>
            </w:r>
          </w:p>
        </w:tc>
        <w:tc>
          <w:tcPr>
            <w:tcW w:type="dxa" w:w="1036"/>
            <w:vAlign w:val="top"/>
          </w:tcPr>
          <w:p>
            <w:pPr>
              <w:spacing w:after="40" w:before="0" w:line="259" w:lineRule="auto"/>
            </w:pPr>
            <w:r>
              <w:rPr>
                <w:rFonts w:ascii="Calibri" w:hAnsi="Calibri"/>
                <w:b w:val="0"/>
                <w:i w:val="0"/>
                <w:color w:val="212121"/>
                <w:sz w:val="16"/>
              </w:rPr>
              <w:t>Atypical features, red flags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Safety</w:t>
            </w:r>
          </w:p>
        </w:tc>
        <w:tc>
          <w:tcPr>
            <w:tcW w:type="dxa" w:w="720"/>
            <w:vAlign w:val="top"/>
          </w:tcPr>
          <w:p>
            <w:pPr>
              <w:spacing w:after="40" w:before="0" w:line="259" w:lineRule="auto"/>
            </w:pPr>
            <w:r>
              <w:rPr>
                <w:rFonts w:ascii="Calibri" w:hAnsi="Calibri"/>
                <w:b w:val="0"/>
                <w:i w:val="0"/>
                <w:color w:val="212121"/>
                <w:sz w:val="16"/>
              </w:rPr>
              <w:t>Fever, weight loss and night pain are red flags against a pure FM diagnosis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Chronic widespread musculoskeletal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aching or burning pain on both sides of the body and above and below the waist for ≥ 3 months — the defining symptom.</w:t>
            </w:r>
          </w:p>
        </w:tc>
      </w:tr>
      <w:tr>
        <w:trPr>
          <w:cantSplit/>
        </w:trPr>
        <w:tc>
          <w:tcPr>
            <w:tcW w:type="dxa" w:w="2304"/>
            <w:vAlign w:val="top"/>
          </w:tcPr>
          <w:p>
            <w:pPr>
              <w:spacing w:after="40" w:before="0" w:line="259" w:lineRule="auto"/>
            </w:pPr>
            <w:r>
              <w:rPr>
                <w:rFonts w:ascii="Calibri" w:hAnsi="Calibri"/>
                <w:b/>
                <w:i w:val="0"/>
                <w:color w:val="212121"/>
                <w:sz w:val="19"/>
              </w:rPr>
              <w:t>Fatigue / exhaustion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physical and mental tiredness, often unrelieved by rest and worsened by exertion.</w:t>
            </w:r>
          </w:p>
        </w:tc>
      </w:tr>
      <w:tr>
        <w:trPr>
          <w:cantSplit/>
        </w:trPr>
        <w:tc>
          <w:tcPr>
            <w:tcW w:type="dxa" w:w="2304"/>
            <w:vAlign w:val="top"/>
          </w:tcPr>
          <w:p>
            <w:pPr>
              <w:spacing w:after="40" w:before="0" w:line="259" w:lineRule="auto"/>
            </w:pPr>
            <w:r>
              <w:rPr>
                <w:rFonts w:ascii="Calibri" w:hAnsi="Calibri"/>
                <w:b/>
                <w:i w:val="0"/>
                <w:color w:val="212121"/>
                <w:sz w:val="19"/>
              </w:rPr>
              <w:t>Non-restorative sleep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Light, fragmented sleep with waking unrefreshed; alpha-wave intrusion on sleep studies.</w:t>
            </w:r>
          </w:p>
        </w:tc>
      </w:tr>
      <w:tr>
        <w:trPr>
          <w:cantSplit/>
        </w:trPr>
        <w:tc>
          <w:tcPr>
            <w:tcW w:type="dxa" w:w="2304"/>
            <w:vAlign w:val="top"/>
          </w:tcPr>
          <w:p>
            <w:pPr>
              <w:spacing w:after="40" w:before="0" w:line="259" w:lineRule="auto"/>
            </w:pPr>
            <w:r>
              <w:rPr>
                <w:rFonts w:ascii="Calibri" w:hAnsi="Calibri"/>
                <w:b/>
                <w:i w:val="0"/>
                <w:color w:val="212121"/>
                <w:sz w:val="19"/>
              </w:rPr>
              <w:t>Cognitive dysfunction (“fibro fog”)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with attention, concentration, word-finding and short-term memory.</w:t>
            </w:r>
          </w:p>
        </w:tc>
      </w:tr>
      <w:tr>
        <w:trPr>
          <w:cantSplit/>
        </w:trPr>
        <w:tc>
          <w:tcPr>
            <w:tcW w:type="dxa" w:w="2304"/>
            <w:vAlign w:val="top"/>
          </w:tcPr>
          <w:p>
            <w:pPr>
              <w:spacing w:after="40" w:before="0" w:line="259" w:lineRule="auto"/>
            </w:pPr>
            <w:r>
              <w:rPr>
                <w:rFonts w:ascii="Calibri" w:hAnsi="Calibri"/>
                <w:b/>
                <w:i w:val="0"/>
                <w:color w:val="212121"/>
                <w:sz w:val="19"/>
              </w:rPr>
              <w:t>Generalised morning stiffness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Diffuse stiffness on waking, typically without joint swelling, distinguishing it from inflammatory arthritis.</w:t>
            </w:r>
          </w:p>
        </w:tc>
      </w:tr>
      <w:tr>
        <w:trPr>
          <w:cantSplit/>
        </w:trPr>
        <w:tc>
          <w:tcPr>
            <w:tcW w:type="dxa" w:w="2304"/>
            <w:vAlign w:val="top"/>
          </w:tcPr>
          <w:p>
            <w:pPr>
              <w:spacing w:after="40" w:before="0" w:line="259" w:lineRule="auto"/>
            </w:pPr>
            <w:r>
              <w:rPr>
                <w:rFonts w:ascii="Calibri" w:hAnsi="Calibri"/>
                <w:b/>
                <w:i w:val="0"/>
                <w:color w:val="212121"/>
                <w:sz w:val="19"/>
              </w:rPr>
              <w:t>Heightened pain sensitivity (hyperalgesia / allodynia)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Increased pain from mildly painful or even non-painful stimuli such as touch or pressure.</w:t>
            </w:r>
          </w:p>
        </w:tc>
      </w:tr>
      <w:tr>
        <w:trPr>
          <w:cantSplit/>
        </w:trPr>
        <w:tc>
          <w:tcPr>
            <w:tcW w:type="dxa" w:w="2304"/>
            <w:vAlign w:val="top"/>
          </w:tcPr>
          <w:p>
            <w:pPr>
              <w:spacing w:after="40" w:before="0" w:line="259" w:lineRule="auto"/>
            </w:pPr>
            <w:r>
              <w:rPr>
                <w:rFonts w:ascii="Calibri" w:hAnsi="Calibri"/>
                <w:b/>
                <w:i w:val="0"/>
                <w:color w:val="212121"/>
                <w:sz w:val="19"/>
              </w:rPr>
              <w:t>Headaches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Recurrent tension-type or migraine headaches.</w:t>
            </w:r>
          </w:p>
        </w:tc>
      </w:tr>
      <w:tr>
        <w:trPr>
          <w:cantSplit/>
        </w:trPr>
        <w:tc>
          <w:tcPr>
            <w:tcW w:type="dxa" w:w="2304"/>
            <w:vAlign w:val="top"/>
          </w:tcPr>
          <w:p>
            <w:pPr>
              <w:spacing w:after="40" w:before="0" w:line="259" w:lineRule="auto"/>
            </w:pPr>
            <w:r>
              <w:rPr>
                <w:rFonts w:ascii="Calibri" w:hAnsi="Calibri"/>
                <w:b/>
                <w:i w:val="0"/>
                <w:color w:val="212121"/>
                <w:sz w:val="19"/>
              </w:rPr>
              <w:t>Paraesthesiae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Numbness or tingling of hands and feet without a nerve-distribution pattern or objective deficit.</w:t>
            </w:r>
          </w:p>
        </w:tc>
      </w:tr>
      <w:tr>
        <w:trPr>
          <w:cantSplit/>
        </w:trPr>
        <w:tc>
          <w:tcPr>
            <w:tcW w:type="dxa" w:w="2304"/>
            <w:vAlign w:val="top"/>
          </w:tcPr>
          <w:p>
            <w:pPr>
              <w:spacing w:after="40" w:before="0" w:line="259" w:lineRule="auto"/>
            </w:pPr>
            <w:r>
              <w:rPr>
                <w:rFonts w:ascii="Calibri" w:hAnsi="Calibri"/>
                <w:b/>
                <w:i w:val="0"/>
                <w:color w:val="212121"/>
                <w:sz w:val="19"/>
              </w:rPr>
              <w:t>Mood disturbance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 mood, anxiety and irritability that frequently coexist and worsen pain.</w:t>
            </w:r>
          </w:p>
        </w:tc>
      </w:tr>
      <w:tr>
        <w:trPr>
          <w:cantSplit/>
        </w:trPr>
        <w:tc>
          <w:tcPr>
            <w:tcW w:type="dxa" w:w="2304"/>
            <w:vAlign w:val="top"/>
          </w:tcPr>
          <w:p>
            <w:pPr>
              <w:spacing w:after="40" w:before="0" w:line="259" w:lineRule="auto"/>
            </w:pPr>
            <w:r>
              <w:rPr>
                <w:rFonts w:ascii="Calibri" w:hAnsi="Calibri"/>
                <w:b/>
                <w:i w:val="0"/>
                <w:color w:val="212121"/>
                <w:sz w:val="19"/>
              </w:rPr>
              <w:t>Irritable-bowel-type symptoms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Bloating, abdominal discomfort and alternating constipation and diarrhoea.</w:t>
            </w:r>
          </w:p>
        </w:tc>
      </w:tr>
      <w:tr>
        <w:trPr>
          <w:cantSplit/>
        </w:trPr>
        <w:tc>
          <w:tcPr>
            <w:tcW w:type="dxa" w:w="2304"/>
            <w:vAlign w:val="top"/>
          </w:tcPr>
          <w:p>
            <w:pPr>
              <w:spacing w:after="40" w:before="0" w:line="259" w:lineRule="auto"/>
            </w:pPr>
            <w:r>
              <w:rPr>
                <w:rFonts w:ascii="Calibri" w:hAnsi="Calibri"/>
                <w:b/>
                <w:i w:val="0"/>
                <w:color w:val="212121"/>
                <w:sz w:val="19"/>
              </w:rPr>
              <w:t>Heightened sensory sensitivity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Intolerance of bright light, loud noise, strong odours and temperature extremes.</w:t>
            </w:r>
          </w:p>
        </w:tc>
      </w:tr>
      <w:tr>
        <w:trPr>
          <w:cantSplit/>
        </w:trPr>
        <w:tc>
          <w:tcPr>
            <w:tcW w:type="dxa" w:w="2304"/>
            <w:vAlign w:val="top"/>
          </w:tcPr>
          <w:p>
            <w:pPr>
              <w:spacing w:after="40" w:before="0" w:line="259" w:lineRule="auto"/>
            </w:pPr>
            <w:r>
              <w:rPr>
                <w:rFonts w:ascii="Calibri" w:hAnsi="Calibri"/>
                <w:b/>
                <w:i w:val="0"/>
                <w:color w:val="212121"/>
                <w:sz w:val="19"/>
              </w:rPr>
              <w:t>Temporomandibular (jaw)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Facial and jaw pain from TMJ dysfunction, often with headache.</w:t>
            </w:r>
          </w:p>
        </w:tc>
      </w:tr>
      <w:tr>
        <w:trPr>
          <w:cantSplit/>
        </w:trPr>
        <w:tc>
          <w:tcPr>
            <w:tcW w:type="dxa" w:w="2304"/>
            <w:vAlign w:val="top"/>
          </w:tcPr>
          <w:p>
            <w:pPr>
              <w:spacing w:after="40" w:before="0" w:line="259" w:lineRule="auto"/>
            </w:pPr>
            <w:r>
              <w:rPr>
                <w:rFonts w:ascii="Calibri" w:hAnsi="Calibri"/>
                <w:b/>
                <w:i w:val="0"/>
                <w:color w:val="212121"/>
                <w:sz w:val="19"/>
              </w:rPr>
              <w:t>Restless legs / limb dysaesthesia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An urge to move the legs at rest that further disturbs sleep.</w:t>
            </w:r>
          </w:p>
        </w:tc>
      </w:tr>
      <w:tr>
        <w:trPr>
          <w:cantSplit/>
        </w:trPr>
        <w:tc>
          <w:tcPr>
            <w:tcW w:type="dxa" w:w="2304"/>
            <w:vAlign w:val="top"/>
          </w:tcPr>
          <w:p>
            <w:pPr>
              <w:spacing w:after="40" w:before="0" w:line="259" w:lineRule="auto"/>
            </w:pPr>
            <w:r>
              <w:rPr>
                <w:rFonts w:ascii="Calibri" w:hAnsi="Calibri"/>
                <w:b/>
                <w:i w:val="0"/>
                <w:color w:val="212121"/>
                <w:sz w:val="19"/>
              </w:rPr>
              <w:t>Bladder pain / urinary frequency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Urgency, frequency or bladder pain overlapping with painful bladder syndrome.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Diffuse soft-tissue tenderness on palpation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Low pressure-pain threshold on digital palpation; historically ≥ 11 of 18 defined tender points.</w:t>
            </w:r>
          </w:p>
        </w:tc>
      </w:tr>
      <w:tr>
        <w:trPr>
          <w:cantSplit/>
        </w:trPr>
        <w:tc>
          <w:tcPr>
            <w:tcW w:type="dxa" w:w="3456"/>
            <w:vAlign w:val="top"/>
          </w:tcPr>
          <w:p>
            <w:pPr>
              <w:spacing w:after="40" w:before="0" w:line="259" w:lineRule="auto"/>
            </w:pPr>
            <w:r>
              <w:rPr>
                <w:rFonts w:ascii="Calibri" w:hAnsi="Calibri"/>
                <w:b/>
                <w:i w:val="0"/>
                <w:color w:val="212121"/>
                <w:sz w:val="19"/>
              </w:rPr>
              <w:t>Cutaneous allodynia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Pain or marked discomfort on light touch or gentle skin pressure.</w:t>
            </w:r>
          </w:p>
        </w:tc>
      </w:tr>
      <w:tr>
        <w:trPr>
          <w:cantSplit/>
        </w:trPr>
        <w:tc>
          <w:tcPr>
            <w:tcW w:type="dxa" w:w="3456"/>
            <w:vAlign w:val="top"/>
          </w:tcPr>
          <w:p>
            <w:pPr>
              <w:spacing w:after="40" w:before="0" w:line="259" w:lineRule="auto"/>
            </w:pPr>
            <w:r>
              <w:rPr>
                <w:rFonts w:ascii="Calibri" w:hAnsi="Calibri"/>
                <w:b/>
                <w:i w:val="0"/>
                <w:color w:val="212121"/>
                <w:sz w:val="19"/>
              </w:rPr>
              <w:t>Absence of joint swelling or synovitis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Normal joint examination despite widespread pain — a key negative sign separating FM from arthritis.</w:t>
            </w:r>
          </w:p>
        </w:tc>
      </w:tr>
      <w:tr>
        <w:trPr>
          <w:cantSplit/>
        </w:trPr>
        <w:tc>
          <w:tcPr>
            <w:tcW w:type="dxa" w:w="3456"/>
            <w:vAlign w:val="top"/>
          </w:tcPr>
          <w:p>
            <w:pPr>
              <w:spacing w:after="40" w:before="0" w:line="259" w:lineRule="auto"/>
            </w:pPr>
            <w:r>
              <w:rPr>
                <w:rFonts w:ascii="Calibri" w:hAnsi="Calibri"/>
                <w:b/>
                <w:i w:val="0"/>
                <w:color w:val="212121"/>
                <w:sz w:val="19"/>
              </w:rPr>
              <w:t>Normal muscle power and deep-tendon reflexes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 objective weakness or neurological deficit on examination.</w:t>
            </w:r>
          </w:p>
        </w:tc>
      </w:tr>
      <w:tr>
        <w:trPr>
          <w:cantSplit/>
        </w:trPr>
        <w:tc>
          <w:tcPr>
            <w:tcW w:type="dxa" w:w="3456"/>
            <w:vAlign w:val="top"/>
          </w:tcPr>
          <w:p>
            <w:pPr>
              <w:spacing w:after="40" w:before="0" w:line="259" w:lineRule="auto"/>
            </w:pPr>
            <w:r>
              <w:rPr>
                <w:rFonts w:ascii="Calibri" w:hAnsi="Calibri"/>
                <w:b/>
                <w:i w:val="0"/>
                <w:color w:val="212121"/>
                <w:sz w:val="19"/>
              </w:rPr>
              <w:t>Tenderness at characteristic sites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Focal tenderness over occiput, trapezius, costochondral junctions, lateral epicondyles, gluteal, greater trochanter and medial knee.</w:t>
            </w:r>
          </w:p>
        </w:tc>
      </w:tr>
      <w:tr>
        <w:trPr>
          <w:cantSplit/>
        </w:trPr>
        <w:tc>
          <w:tcPr>
            <w:tcW w:type="dxa" w:w="3456"/>
            <w:vAlign w:val="top"/>
          </w:tcPr>
          <w:p>
            <w:pPr>
              <w:spacing w:after="40" w:before="0" w:line="259" w:lineRule="auto"/>
            </w:pPr>
            <w:r>
              <w:rPr>
                <w:rFonts w:ascii="Calibri" w:hAnsi="Calibri"/>
                <w:b/>
                <w:i w:val="0"/>
                <w:color w:val="212121"/>
                <w:sz w:val="19"/>
              </w:rPr>
              <w:t>Unremarkable inflammatory markers and imaging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Normal ESR/CRP, radiographs and scans support the diagnosis by exclusion.</w:t>
            </w:r>
          </w:p>
        </w:tc>
      </w:tr>
      <w:tr>
        <w:trPr>
          <w:cantSplit/>
        </w:trPr>
        <w:tc>
          <w:tcPr>
            <w:tcW w:type="dxa" w:w="3456"/>
            <w:vAlign w:val="top"/>
          </w:tcPr>
          <w:p>
            <w:pPr>
              <w:spacing w:after="40" w:before="0" w:line="259" w:lineRule="auto"/>
            </w:pPr>
            <w:r>
              <w:rPr>
                <w:rFonts w:ascii="Calibri" w:hAnsi="Calibri"/>
                <w:b/>
                <w:i w:val="0"/>
                <w:color w:val="212121"/>
                <w:sz w:val="19"/>
              </w:rPr>
              <w:t>Positive skin-roll (hyperalgesic skinfold) test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Exaggerated tenderness and reactive erythema when a fold of skin is rolled over the upper back.</w:t>
            </w:r>
          </w:p>
        </w:tc>
      </w:tr>
      <w:tr>
        <w:trPr>
          <w:cantSplit/>
        </w:trPr>
        <w:tc>
          <w:tcPr>
            <w:tcW w:type="dxa" w:w="3456"/>
            <w:vAlign w:val="top"/>
          </w:tcPr>
          <w:p>
            <w:pPr>
              <w:spacing w:after="40" w:before="0" w:line="259" w:lineRule="auto"/>
            </w:pPr>
            <w:r>
              <w:rPr>
                <w:rFonts w:ascii="Calibri" w:hAnsi="Calibri"/>
                <w:b/>
                <w:i w:val="0"/>
                <w:color w:val="212121"/>
                <w:sz w:val="19"/>
              </w:rPr>
              <w:t>Dermatographism / reactive skin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Skin weal or marking on stroking, reflecting autonomic reactivity.</w:t>
            </w:r>
          </w:p>
        </w:tc>
      </w:tr>
      <w:tr>
        <w:trPr>
          <w:cantSplit/>
        </w:trPr>
        <w:tc>
          <w:tcPr>
            <w:tcW w:type="dxa" w:w="3456"/>
            <w:vAlign w:val="top"/>
          </w:tcPr>
          <w:p>
            <w:pPr>
              <w:spacing w:after="40" w:before="0" w:line="259" w:lineRule="auto"/>
            </w:pPr>
            <w:r>
              <w:rPr>
                <w:rFonts w:ascii="Calibri" w:hAnsi="Calibri"/>
                <w:b/>
                <w:i w:val="0"/>
                <w:color w:val="212121"/>
                <w:sz w:val="19"/>
              </w:rPr>
              <w:t>Cool, mottled or clammy extremities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Peripheral signs of autonomic dysregulation (dysautonomia).</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often refractory widespread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disabling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sleep deprivation and non-restorative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Cognitive impairment (‘fibro fog’) affecting daily function</w:t>
            </w:r>
          </w:p>
        </w:tc>
        <w:tc>
          <w:tcPr>
            <w:tcW w:type="dxa" w:w="2980"/>
            <w:vAlign w:val="top"/>
          </w:tcPr>
          <w:p>
            <w:pPr>
              <w:spacing w:after="40" w:before="0" w:line="259" w:lineRule="auto"/>
            </w:pPr>
            <w:r>
              <w:rPr>
                <w:rFonts w:ascii="Calibri" w:hAnsi="Calibri"/>
                <w:b w:val="0"/>
                <w:i w:val="0"/>
                <w:color w:val="212121"/>
                <w:sz w:val="19"/>
              </w:rPr>
              <w:t>Direct consequences of sustained central sensitisation and disturbed sleep–pain physiology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and anxiety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Physical deconditioning, reduced activity and weight gain/obesity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Analgesic overuse and dependence (opioids, sedatives) with adverse effects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work productivity, absenteeism and financial strain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Worsening of coexisting rheumatic disease scores (secondary FM)</w:t>
            </w:r>
          </w:p>
        </w:tc>
        <w:tc>
          <w:tcPr>
            <w:tcW w:type="dxa" w:w="2980"/>
            <w:vAlign w:val="top"/>
          </w:tcPr>
          <w:p>
            <w:pPr>
              <w:spacing w:after="40" w:before="0" w:line="259" w:lineRule="auto"/>
            </w:pPr>
            <w:r>
              <w:rPr>
                <w:rFonts w:ascii="Calibri" w:hAnsi="Calibri"/>
                <w:b w:val="0"/>
                <w:i w:val="0"/>
                <w:color w:val="212121"/>
                <w:sz w:val="19"/>
              </w:rPr>
              <w:t>Downstream effects of chronic pain, inactivity, mood disturbance and treatment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disability and job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isolation and relationship breakdown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cardiovascular risk via inactivity, obesity and dyslipidaemia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healthcare utilisation and repeated investigation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Suicidality in the context of severe depression</w:t>
            </w:r>
          </w:p>
        </w:tc>
        <w:tc>
          <w:tcPr>
            <w:tcW w:type="dxa" w:w="2980"/>
            <w:vAlign w:val="top"/>
          </w:tcPr>
          <w:p>
            <w:pPr>
              <w:spacing w:after="40" w:before="0" w:line="259" w:lineRule="auto"/>
            </w:pPr>
            <w:r>
              <w:rPr>
                <w:rFonts w:ascii="Calibri" w:hAnsi="Calibri"/>
                <w:b w:val="0"/>
                <w:i w:val="0"/>
                <w:color w:val="212121"/>
                <w:sz w:val="19"/>
              </w:rPr>
              <w:t>Irreversible or life-altering outcomes of longstanding, poorly controlled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serotonergic/noradrenergic and stress-axis mechanisms with fibromyalgia and reinforces it bidirectionally, worsening pain, sleep and treatment response.</w:t>
            </w:r>
          </w:p>
          <w:p>
            <w:pPr>
              <w:spacing w:after="40" w:before="0" w:line="259" w:lineRule="auto"/>
            </w:pPr>
            <w:r>
              <w:rPr>
                <w:rFonts w:ascii="Calibri" w:hAnsi="Calibri"/>
                <w:b/>
                <w:i w:val="0"/>
                <w:color w:val="212121"/>
                <w:sz w:val="19"/>
              </w:rPr>
              <w:t>Up to ~30% (≈5× general-population rate)</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Frequently coexist and amplify pain perception and disability; screening and joint management improve outcomes.</w:t>
            </w:r>
          </w:p>
        </w:tc>
      </w:tr>
      <w:tr>
        <w:trPr>
          <w:cantSplit/>
        </w:trPr>
        <w:tc>
          <w:tcPr>
            <w:tcW w:type="dxa" w:w="2232"/>
            <w:vAlign w:val="top"/>
          </w:tcPr>
          <w:p>
            <w:pPr>
              <w:spacing w:after="40" w:before="0" w:line="259" w:lineRule="auto"/>
            </w:pPr>
            <w:r>
              <w:rPr>
                <w:rFonts w:ascii="Calibri" w:hAnsi="Calibri"/>
                <w:b/>
                <w:i w:val="0"/>
                <w:color w:val="212121"/>
                <w:sz w:val="19"/>
              </w:rPr>
              <w:t>Irritable bowel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Overlapping central-sensitisation syndrome with visceral hypersensitivity; commonly present in the same patient.</w:t>
            </w:r>
          </w:p>
        </w:tc>
      </w:tr>
      <w:tr>
        <w:trPr>
          <w:cantSplit/>
        </w:trPr>
        <w:tc>
          <w:tcPr>
            <w:tcW w:type="dxa" w:w="2232"/>
            <w:vAlign w:val="top"/>
          </w:tcPr>
          <w:p>
            <w:pPr>
              <w:spacing w:after="40" w:before="0" w:line="259" w:lineRule="auto"/>
            </w:pPr>
            <w:r>
              <w:rPr>
                <w:rFonts w:ascii="Calibri" w:hAnsi="Calibri"/>
                <w:b/>
                <w:i w:val="0"/>
                <w:color w:val="212121"/>
                <w:sz w:val="19"/>
              </w:rPr>
              <w:t>Chronic fatigue syndrome (ME/CFS)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Substantial symptom overlap (fatigue, post-exertional malaise, unrefreshing sleep) and shared neuro-immune/central mechanisms.</w:t>
            </w:r>
          </w:p>
        </w:tc>
      </w:tr>
      <w:tr>
        <w:trPr>
          <w:cantSplit/>
        </w:trPr>
        <w:tc>
          <w:tcPr>
            <w:tcW w:type="dxa" w:w="2232"/>
            <w:vAlign w:val="top"/>
          </w:tcPr>
          <w:p>
            <w:pPr>
              <w:spacing w:after="40" w:before="0" w:line="259" w:lineRule="auto"/>
            </w:pPr>
            <w:r>
              <w:rPr>
                <w:rFonts w:ascii="Calibri" w:hAnsi="Calibri"/>
                <w:b/>
                <w:i w:val="0"/>
                <w:color w:val="212121"/>
                <w:sz w:val="19"/>
              </w:rPr>
              <w:t>Migraine &amp; tension-type headache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Common comorbid pain conditions reflecting shared central pain amplification.</w:t>
            </w:r>
          </w:p>
        </w:tc>
      </w:tr>
      <w:tr>
        <w:trPr>
          <w:cantSplit/>
        </w:trPr>
        <w:tc>
          <w:tcPr>
            <w:tcW w:type="dxa" w:w="2232"/>
            <w:vAlign w:val="top"/>
          </w:tcPr>
          <w:p>
            <w:pPr>
              <w:spacing w:after="40" w:before="0" w:line="259" w:lineRule="auto"/>
            </w:pPr>
            <w:r>
              <w:rPr>
                <w:rFonts w:ascii="Calibri" w:hAnsi="Calibri"/>
                <w:b/>
                <w:i w:val="0"/>
                <w:color w:val="212121"/>
                <w:sz w:val="19"/>
              </w:rPr>
              <w:t>Restless legs syndrome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Occurs more often in fibromyalgia and further fragments sleep, worsening daytime symptoms.</w:t>
            </w:r>
          </w:p>
        </w:tc>
      </w:tr>
      <w:tr>
        <w:trPr>
          <w:cantSplit/>
        </w:trPr>
        <w:tc>
          <w:tcPr>
            <w:tcW w:type="dxa" w:w="2232"/>
            <w:vAlign w:val="top"/>
          </w:tcPr>
          <w:p>
            <w:pPr>
              <w:spacing w:after="40" w:before="0" w:line="259" w:lineRule="auto"/>
            </w:pPr>
            <w:r>
              <w:rPr>
                <w:rFonts w:ascii="Calibri" w:hAnsi="Calibri"/>
                <w:b/>
                <w:i w:val="0"/>
                <w:color w:val="212121"/>
                <w:sz w:val="19"/>
              </w:rPr>
              <w:t>Rheumatoid arthritis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inflammatory nociceptive drive can trigger secondary fibromyalgia; overlap inflates RA disease-activity scores and risks over-immunosuppression if unrecognised.</w:t>
            </w:r>
          </w:p>
        </w:tc>
      </w:tr>
      <w:tr>
        <w:trPr>
          <w:cantSplit/>
        </w:trPr>
        <w:tc>
          <w:tcPr>
            <w:tcW w:type="dxa" w:w="2232"/>
            <w:vAlign w:val="top"/>
          </w:tcPr>
          <w:p>
            <w:pPr>
              <w:spacing w:after="40" w:before="0" w:line="259" w:lineRule="auto"/>
            </w:pPr>
            <w:r>
              <w:rPr>
                <w:rFonts w:ascii="Calibri" w:hAnsi="Calibri"/>
                <w:b/>
                <w:i w:val="0"/>
                <w:color w:val="212121"/>
                <w:sz w:val="19"/>
              </w:rPr>
              <w:t>Systemic lupus erythematosus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Concomitant fibromyalgia is frequent and complicates assessment of ‘active’ lupus, requiring the pain to be managed separately from immunosuppression.</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Mimics and coexists with fibromyalgia (fatigue, pain, low mood); must be identified and corrected before attributing all symptoms to FM.</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Worsens fibromyalgia pain, fatigue and sleep and lowers quality of life; weight reduction improves symptoms — a bidirectional, modifiable link.</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Intermittent hypoxia and sleep fragmentation aggravate pain and fatigue; treating OSA can improve fibromyalgia symptoms.</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Highly prevalent in India and associated with chronic widespread pain and greater fibromyalgia severity; repletion is part of holistic care.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Explain fibromyalgia as a real, physiological disorder of central pain processing — not ‘imaginary’ pain — to reduce stigma and doctor-shopping.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activity pacing and the ‘boom–bust’ trap; balance rest and activity to avoid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goals: the aim is better function and control, not a rapid cure.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Discourage reliance on opioids and repeated unnecessary investigations; emphasise self-management.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Help patients recognise personal triggers (poor sleep, stress, over-exertion, weather) and early flare signs.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a written self-management and flare plan, and involve the family for support.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fibromyalgia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FM with RA/SLE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Anxious/health-anxious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and low-literacy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Begin graded aerobic exercise (walking, stationary cycling, aquatic exercise) starting low and increasing slowly.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towards ≥ 150 minutes/week of moderate activity, split into short tolerable sessions.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gentle strengthening 2–3 times a week once aerobic tolerance is established.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Incorporate mind-body movement such as yoga or tai chi for pain, stiffness and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Warn against the ‘boom–bust’ pattern of over-doing on good days followed by crashes.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overweight/obese patients, combine activity with modest weight loss to reduce symptom burden.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office workers and homemakers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coexisting osteoarthritis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 balanced, largely whole-food diet with adequate protein, whole grains, pulses, fruit and vegetables.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and maintain a healthy weight (Asian BMI 18.5–22.9) as obesity worsens fibromyalgia.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vitamin-D, vitamin-B12 and magnesium deficiencies — common on unbalanced Indian vegetarian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foods, added sugar and excess caffeine, which can worsen sleep and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meals and adequate hydration to reduce headache and constipation.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Individualise: some patients benefit from an anti-inflammatory / Mediterranean-style pattern.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 at risk of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Vitamin-D-deficient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coexisting IBS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strict sleep hygiene: fixed sleep–wake times, a dark quiet cool room and a wind-down routine.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caffeine after midday and avoid screens and heavy meals close to bedtime.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Reserve the bed for sleep; get up if unable to sleep rather than lying awake.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and restless legs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cognitive behavioural therapy for insomnia (CBT-I) as first-line for persistent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low-dose sedating agents (e.g., amitriptyline at night) only under medical guidance.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fibromyalgia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sleepers and 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OSA or restless legs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prominent fatigue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complete smoking cessation — smoking is linked to higher pain and worse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behavioural support and pharmacotherapy (nicotine replacement)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worsens sleep and general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Frame cessation as part of overall pain and cardiovascular risk reduction.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 with fibromyalgia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cardiovascular risk factors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poor sleep</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minimal; do not use it to ‘self-treat’ pain or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with pregabalin, duloxetine or amitriptyline because of additive sedation.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heavy drinking fragments sleep and worsens mood and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address hazardous drinking as part of holistic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fibromyalgia on neuromodulator drugs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poor sleep or low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or dependent drinkers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cognitive behavioural therapy and pain-coping/acceptance strategies as core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mindfulness, relaxation and stress-management techniques for daily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duloxetine also helps fibromyalgia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Explore and address past trauma or chronic stress driving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social connection, structured routine and graded return to valued activities.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Coordinate multidisciplinary care (physician, physiotherapist, psychologist) for best outcomes.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comorbid depression or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Post-trauma or high-stress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severe or refractory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high FIQR scores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40974/" TargetMode="External"/><Relationship Id="rId10" Type="http://schemas.openxmlformats.org/officeDocument/2006/relationships/hyperlink" Target="https://en.wikipedia.org/wiki/Fibromyalgia" TargetMode="External"/><Relationship Id="rId11" Type="http://schemas.openxmlformats.org/officeDocument/2006/relationships/hyperlink" Target="https://journals.sagepub.com/doi/10.1177/09733698241229779" TargetMode="External"/><Relationship Id="rId12" Type="http://schemas.openxmlformats.org/officeDocument/2006/relationships/hyperlink" Target="https://www.nepjol.info/index.php/AJMS/article/view/67653" TargetMode="External"/><Relationship Id="rId13" Type="http://schemas.openxmlformats.org/officeDocument/2006/relationships/hyperlink" Target="https://doi.org/10.4103/jfmpc.jfmpc_2052_22" TargetMode="External"/><Relationship Id="rId14" Type="http://schemas.openxmlformats.org/officeDocument/2006/relationships/hyperlink" Target="https://link.springer.com/article/10.1186/s41927-018-0035-6" TargetMode="External"/><Relationship Id="rId15" Type="http://schemas.openxmlformats.org/officeDocument/2006/relationships/hyperlink" Target="https://www.mayoclinic.org/diseases-conditions/fibromyalgia/symptoms-causes/syc-20354780" TargetMode="External"/><Relationship Id="rId16" Type="http://schemas.openxmlformats.org/officeDocument/2006/relationships/hyperlink" Target="https://doi.org/10.1016/j.jtumed.2023.08.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