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Medial Epicondylitis (Golfer's Elbow)</w:t>
      </w:r>
    </w:p>
    <w:p>
      <w:pPr>
        <w:spacing w:before="0" w:after="160"/>
      </w:pPr>
      <w:r>
        <w:rPr>
          <w:rFonts w:ascii="Calibri" w:hAnsi="Calibri"/>
          <w:b/>
          <w:i w:val="0"/>
          <w:color w:val="212121"/>
          <w:sz w:val="22"/>
        </w:rPr>
        <w:t xml:space="preserve">AKA </w:t>
      </w:r>
      <w:r>
        <w:rPr>
          <w:rFonts w:ascii="Calibri" w:hAnsi="Calibri"/>
          <w:b w:val="0"/>
          <w:i w:val="0"/>
          <w:color w:val="212121"/>
          <w:sz w:val="22"/>
        </w:rPr>
        <w:t>i.e., Golfer's elbow; Pitcher's / Baseball / Bowler's elbow; Flexor-pronator tendinopathy; Medial epicondylalgia; Medial epicondylosis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Medial epicondylitis is an overuse tendinopathy of the common flexor-pronator tendon origin at the medial epicondyle of the humerus, causing pain and tenderness over the inner elbow that is aggravated by resisted wrist flexion and forearm pronation and by gripping. Despite the '-itis' suffix, the underlying lesion is a degenerative angiofibroblastic tendinosis - disorganised collagen with a failed healing response and little true inflammation - chiefly affecting the pronator teres and flexor carpi radialis origins. It is far less common than its lateral counterpart (tennis elbow) but is frequently accompanied by irritation of the closely adjacent ulnar nerve at the elbow.</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population studies the point prevalence of medial epicondylitis is about 0.4% in the general adult population - roughly a third to a quarter as common as lateral epicondylitis (about 1.3%) - and it makes up only a minority of all epicondylitis cases. It is most frequent between the ages of 45 and 64 years, affects men and women about equally, and usually involves the dominant arm. India-specific community prevalence data are sparse; most evidence comes from occupational and Western population studies. In the Indian context the condition is common among manual labourers, agricultural and construction workers, homemakers (repetitive gripping, wringing and grinding) and, increasingly, office/IT workers and recreational athletes in urban centres.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Medial epicondylitis is primarily a clinical diagnosis based on a characteristic history and focal examination findings, with imaging and nerve studies reserved for atypical, refractory or pre-surgical cases. Supportive features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Well-localised tenderness over or just distal and anterior to the medial epicondyle at the common flexor-pronator origin (typically about 5-10 mm distal to the tip of the epicondyle);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Pain reproduced by resisted wrist flexion and resisted forearm pronation with the elbow extended (the 'golfer's elbow' provocation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Pain on passive wrist and finger extension with the elbow extended (stretch of the flexor-pronator mass);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insidious, activity-related onset in the dominant arm, with pain worsened by gripping, lifting, twisting and repetitive forearm/wrist work or sport;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for concomitant ulnar nerve involvement (Tinel's sign and elbow-flexion test at the cubital tunnel, paraesthesia of the little and ring fingers), which coexists in a substantial proportion of cases and alters prognosis;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Normal inflammatory markers and usually normal radiographs (occasional traction spur or soft-tissue calcification); ultrasound or MRI may show tendon thickening, hypoechogenicity / increased signal, neovascularity or partial tearing when the diagnosis is uncertain;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key differentials - ulnar collateral ligament injury and valgus overload, cubital tunnel syndrome, C6-C8 cervical radiculopathy, medial elbow osteoarthritis and, in adolescents, medial epicondyle apophysitis ('Little League elbow').</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Medial epicondylitis is not staged by a single accepted system, but several complementary frameworks guide assessment and treatment:</w:t>
      </w:r>
    </w:p>
    <w:p>
      <w:pPr>
        <w:spacing w:before="0" w:after="80"/>
      </w:pPr>
      <w:r>
        <w:rPr>
          <w:rFonts w:ascii="Calibri" w:hAnsi="Calibri"/>
          <w:b w:val="0"/>
          <w:i w:val="0"/>
          <w:color w:val="212121"/>
          <w:sz w:val="21"/>
        </w:rPr>
        <w:t>(1) By chronicity - acute (under 6 weeks), subacute (6 weeks to 3 months) and chronic / recalcitrant (beyond 3-6 months); most cases are activity-related overuse presenting subacutely.</w:t>
      </w:r>
    </w:p>
    <w:p>
      <w:pPr>
        <w:spacing w:before="0" w:after="80"/>
      </w:pPr>
      <w:r>
        <w:rPr>
          <w:rFonts w:ascii="Calibri" w:hAnsi="Calibri"/>
          <w:b w:val="0"/>
          <w:i w:val="0"/>
          <w:color w:val="212121"/>
          <w:sz w:val="21"/>
        </w:rPr>
        <w:t>(2) By pathological grade - Nirschl's staging of angiofibroblastic tendinosis describes a histological continuum from reversible peritendinous inflammation, through partial and then complete angiofibroblastic degeneration, to structural failure with fibrosis or calcification, confirming that established disease is a tendinosis (an '-osis') rather than an '-itis'.</w:t>
      </w:r>
    </w:p>
    <w:p>
      <w:pPr>
        <w:spacing w:before="0" w:after="80"/>
      </w:pPr>
      <w:r>
        <w:rPr>
          <w:rFonts w:ascii="Calibri" w:hAnsi="Calibri"/>
          <w:b w:val="0"/>
          <w:i w:val="0"/>
          <w:color w:val="212121"/>
          <w:sz w:val="21"/>
        </w:rPr>
        <w:t>(3) By ulnar-nerve involvement - the Gabel and Amadio classification grades medial epicondylitis with associated ulnar neuropathy (Type 1: none/minimal; Type 2: moderate; Type 3: severe), because concomitant ulnar symptoms worsen outcome and change surgical planning.</w:t>
      </w:r>
    </w:p>
    <w:p>
      <w:pPr>
        <w:spacing w:before="0" w:after="80"/>
      </w:pPr>
      <w:r>
        <w:rPr>
          <w:rFonts w:ascii="Calibri" w:hAnsi="Calibri"/>
          <w:b w:val="0"/>
          <w:i w:val="0"/>
          <w:color w:val="212121"/>
          <w:sz w:val="21"/>
        </w:rPr>
        <w:t>(4) By aetiological setting - occupational / manual-labour, athletic (throwing, club and racquet sports, weight-training) and idiopathic-degenerative forms, which differ in demographics and the type and magnitude of mechanical load.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Repetitive forceful wrist flexion and forearm pronation: The central cause; cumulative eccentric overload of the flexor-pronator origin exceeds the tendon's capacity to repair, producing microtears and progressive angiofibroblastic degeneration.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Degenerative tendinosis rather than inflammation: Histology shows disorganised collagen, mucoid degeneration and neovascularity with an absent or scant inflammatory infiltrate - a failed healing response - which explains the poor results of purely anti-inflammatory treatment.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Occupational mechanical load: Jobs demanding repetitive gripping, hammering, lifting, twisting or vibrating-tool use (carpentry, plumbing, masonry, meat-cutting, assembly, agriculture, domestic work) strongly predispose.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Sporting load: Golf, throwing sports (javelin, cricket bowling, baseball pitching), racquet sports and weight-training load the medial elbow, especially during the late-cocking and early-acceleration phases of the throwing motion.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Age-related tendon change: Falling tendon vascularity and collagen quality with age lower the load threshold for injury, giving a peak incidence in the fifth and sixth decades.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Metabolic and lifestyle factors: Smoking, obesity and diabetes / metabolic dysfunction impair tendon microcirculation and collagen cross-linking, raising risk and delaying healing.</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Poor technique, ergonomics and conditioning: Faulty swing or throwing mechanics, abrupt increases in training or workload, ill-fitted tools or grips and inadequate forearm conditioning all increase eccentric strain on the flexor-pronator origin.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Working-age adults (40-60 years)</w:t>
            </w:r>
          </w:p>
        </w:tc>
        <w:tc>
          <w:tcPr>
            <w:tcW w:type="dxa" w:w="4276"/>
            <w:vAlign w:val="top"/>
          </w:tcPr>
          <w:p>
            <w:pPr>
              <w:spacing w:after="60" w:line="259" w:lineRule="auto"/>
            </w:pPr>
            <w:r>
              <w:rPr>
                <w:rFonts w:ascii="Calibri" w:hAnsi="Calibri"/>
                <w:b w:val="0"/>
                <w:i w:val="0"/>
                <w:color w:val="212121"/>
                <w:sz w:val="19"/>
              </w:rPr>
              <w:t>Peak incidence falls in the fifth and sixth decades, when years of cumulative occupational or athletic overload combine with early age-related decline in tendon vascularity and collagen quality to lower the load threshold for flexor-pronator injury.</w:t>
            </w:r>
          </w:p>
          <w:p>
            <w:pPr>
              <w:spacing w:after="40" w:before="60" w:line="259" w:lineRule="auto"/>
            </w:pPr>
            <w:r>
              <w:rPr>
                <w:rFonts w:ascii="Calibri" w:hAnsi="Calibri"/>
                <w:b w:val="0"/>
                <w:i w:val="0"/>
                <w:color w:val="212121"/>
                <w:sz w:val="19"/>
              </w:rPr>
              <w:t>In a population study the prevalence of medial epicondylitis was highest in subjects aged 45-54 years.</w:t>
            </w:r>
          </w:p>
          <w:p>
            <w:pPr>
              <w:spacing w:after="40" w:line="252" w:lineRule="auto"/>
            </w:pPr>
            <w:hyperlink r:id="rId9">
              <w:r>
                <w:rPr>
                  <w:rFonts w:ascii="Calibri" w:hAnsi="Calibri" w:cs="Calibri"/>
                  <w:sz w:val="18"/>
                  <w:color w:val="1155CC"/>
                  <w:u w:val="single"/>
                </w:rPr>
                <w:t xml:space="preserve">pubmed.ncbi.nlm.nih.gov/16968862 — population study of lateral &amp; medial epicondylitis</w:t>
              </w:r>
            </w:hyperlink>
          </w:p>
          <w:p>
            <w:pPr>
              <w:spacing w:before="60" w:after="40"/>
            </w:pPr>
            <w:r>
              <w:rPr>
                <w:rFonts w:ascii="Calibri" w:hAnsi="Calibri"/>
                <w:b w:val="0"/>
                <w:i w:val="0"/>
                <w:color w:val="5A5A5A"/>
                <w:sz w:val="18"/>
              </w:rPr>
              <w:t>#golferselbow  #tendinosis  #overuse  #flexorpronator  #middleage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adults (over 60 years)</w:t>
            </w:r>
          </w:p>
        </w:tc>
        <w:tc>
          <w:tcPr>
            <w:tcW w:type="dxa" w:w="4276"/>
            <w:vAlign w:val="top"/>
          </w:tcPr>
          <w:p>
            <w:pPr>
              <w:spacing w:after="60" w:line="259" w:lineRule="auto"/>
            </w:pPr>
            <w:r>
              <w:rPr>
                <w:rFonts w:ascii="Calibri" w:hAnsi="Calibri"/>
                <w:b w:val="0"/>
                <w:i w:val="0"/>
                <w:color w:val="212121"/>
                <w:sz w:val="19"/>
              </w:rPr>
              <w:t>Although incidence declines after the mid-60s, established tendon degeneration, poorer healing and clustering of metabolic comorbidity make disease in older adults more likely to be chronic, recalcitrant and slow to recover.</w:t>
            </w:r>
          </w:p>
          <w:p>
            <w:pPr>
              <w:spacing w:after="40" w:before="60" w:line="259" w:lineRule="auto"/>
            </w:pPr>
            <w:r>
              <w:rPr>
                <w:rFonts w:ascii="Calibri" w:hAnsi="Calibri"/>
                <w:b w:val="0"/>
                <w:i w:val="0"/>
                <w:color w:val="212121"/>
                <w:sz w:val="19"/>
              </w:rPr>
              <w:t>Established medial epicondylitis is a degenerative tendinosis with a failed healing response, which becomes more pronounced with advancing age.</w:t>
            </w:r>
          </w:p>
          <w:p>
            <w:pPr>
              <w:spacing w:after="40" w:line="252" w:lineRule="auto"/>
            </w:pPr>
            <w:hyperlink r:id="rId10">
              <w:r>
                <w:rPr>
                  <w:rFonts w:ascii="Calibri" w:hAnsi="Calibri" w:cs="Calibri"/>
                  <w:sz w:val="18"/>
                  <w:color w:val="1155CC"/>
                  <w:u w:val="single"/>
                </w:rPr>
                <w:t xml:space="preserve">pubmed.ncbi.nlm.nih.gov/26001427 — JAAOS: Medial Epicondylitis, Evaluation &amp; Management</w:t>
              </w:r>
            </w:hyperlink>
          </w:p>
          <w:p>
            <w:pPr>
              <w:spacing w:before="60" w:after="40"/>
            </w:pPr>
            <w:r>
              <w:rPr>
                <w:rFonts w:ascii="Calibri" w:hAnsi="Calibri"/>
                <w:b w:val="0"/>
                <w:i w:val="0"/>
                <w:color w:val="5A5A5A"/>
                <w:sz w:val="18"/>
              </w:rPr>
              <w:t>#ageing  #degenerative  #slowhealing  #recalcitrant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Men and women (no clear predilection)</w:t>
            </w:r>
          </w:p>
        </w:tc>
        <w:tc>
          <w:tcPr>
            <w:tcW w:type="dxa" w:w="4276"/>
            <w:vAlign w:val="top"/>
          </w:tcPr>
          <w:p>
            <w:pPr>
              <w:spacing w:after="60" w:line="259" w:lineRule="auto"/>
            </w:pPr>
            <w:r>
              <w:rPr>
                <w:rFonts w:ascii="Calibri" w:hAnsi="Calibri"/>
                <w:b w:val="0"/>
                <w:i w:val="0"/>
                <w:color w:val="212121"/>
                <w:sz w:val="19"/>
              </w:rPr>
              <w:t>Unlike many musculoskeletal disorders, medial epicondylitis shows no consistent sex difference in prevalence; exposure to repetitive forceful loading - occupational or domestic - matters more than sex itself.</w:t>
            </w:r>
          </w:p>
          <w:p>
            <w:pPr>
              <w:spacing w:after="40" w:before="60" w:line="259" w:lineRule="auto"/>
            </w:pPr>
            <w:r>
              <w:rPr>
                <w:rFonts w:ascii="Calibri" w:hAnsi="Calibri"/>
                <w:b w:val="0"/>
                <w:i w:val="0"/>
                <w:color w:val="212121"/>
                <w:sz w:val="19"/>
              </w:rPr>
              <w:t>In a general-population study the prevalence of medial epicondylitis did not differ between men and women.</w:t>
            </w:r>
          </w:p>
          <w:p>
            <w:pPr>
              <w:spacing w:after="40" w:line="252" w:lineRule="auto"/>
            </w:pPr>
            <w:hyperlink r:id="rId9">
              <w:r>
                <w:rPr>
                  <w:rFonts w:ascii="Calibri" w:hAnsi="Calibri" w:cs="Calibri"/>
                  <w:sz w:val="18"/>
                  <w:color w:val="1155CC"/>
                  <w:u w:val="single"/>
                </w:rPr>
                <w:t xml:space="preserve">pubmed.ncbi.nlm.nih.gov/16968862 — population study of lateral &amp; medial epicondylitis</w:t>
              </w:r>
            </w:hyperlink>
          </w:p>
          <w:p>
            <w:pPr>
              <w:spacing w:before="60" w:after="40"/>
            </w:pPr>
            <w:r>
              <w:rPr>
                <w:rFonts w:ascii="Calibri" w:hAnsi="Calibri"/>
                <w:b w:val="0"/>
                <w:i w:val="0"/>
                <w:color w:val="5A5A5A"/>
                <w:sz w:val="18"/>
              </w:rPr>
              <w:t>#nosexdifference  #occupationalload  #bothsexes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Manual-labour &amp; lower-income workers (India)</w:t>
            </w:r>
          </w:p>
        </w:tc>
        <w:tc>
          <w:tcPr>
            <w:tcW w:type="dxa" w:w="4276"/>
            <w:vAlign w:val="top"/>
          </w:tcPr>
          <w:p>
            <w:pPr>
              <w:spacing w:after="60" w:line="259" w:lineRule="auto"/>
            </w:pPr>
            <w:r>
              <w:rPr>
                <w:rFonts w:ascii="Calibri" w:hAnsi="Calibri"/>
                <w:b w:val="0"/>
                <w:i w:val="0"/>
                <w:color w:val="212121"/>
                <w:sz w:val="19"/>
              </w:rPr>
              <w:t>Those in heavy manual and informal-sector work carry the greatest repetitive-load exposure yet have the least access to ergonomic modification, rest or early care, so they often present late with chronic, disabling disease that threatens their livelihood.</w:t>
            </w:r>
          </w:p>
          <w:p>
            <w:pPr>
              <w:spacing w:after="40" w:before="60" w:line="259" w:lineRule="auto"/>
            </w:pPr>
            <w:r>
              <w:rPr>
                <w:rFonts w:ascii="Calibri" w:hAnsi="Calibri"/>
                <w:b w:val="0"/>
                <w:i w:val="0"/>
                <w:color w:val="212121"/>
                <w:sz w:val="19"/>
              </w:rPr>
              <w:t>Physical load factors are strong determinants of epicondylitis, and repetitive forceful work independently raises the risk of medial epicondylitis.</w:t>
            </w:r>
          </w:p>
          <w:p>
            <w:pPr>
              <w:spacing w:after="40" w:line="252" w:lineRule="auto"/>
            </w:pPr>
            <w:hyperlink r:id="rId9">
              <w:r>
                <w:rPr>
                  <w:rFonts w:ascii="Calibri" w:hAnsi="Calibri" w:cs="Calibri"/>
                  <w:sz w:val="18"/>
                  <w:color w:val="1155CC"/>
                  <w:u w:val="single"/>
                </w:rPr>
                <w:t xml:space="preserve">pubmed.ncbi.nlm.nih.gov/16968862 — population study of lateral &amp; medial epicondylitis</w:t>
              </w:r>
            </w:hyperlink>
          </w:p>
          <w:p>
            <w:pPr>
              <w:spacing w:before="60" w:after="40"/>
            </w:pPr>
            <w:r>
              <w:rPr>
                <w:rFonts w:ascii="Calibri" w:hAnsi="Calibri"/>
                <w:b w:val="0"/>
                <w:i w:val="0"/>
                <w:color w:val="5A5A5A"/>
                <w:sz w:val="18"/>
              </w:rPr>
              <w:t>#manuallabour  #informalsector  #accessgap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agricultural &amp; construction workforce</w:t>
            </w:r>
          </w:p>
        </w:tc>
        <w:tc>
          <w:tcPr>
            <w:tcW w:type="dxa" w:w="4276"/>
            <w:vAlign w:val="top"/>
          </w:tcPr>
          <w:p>
            <w:pPr>
              <w:spacing w:after="60" w:line="259" w:lineRule="auto"/>
            </w:pPr>
            <w:r>
              <w:rPr>
                <w:rFonts w:ascii="Calibri" w:hAnsi="Calibri"/>
                <w:b w:val="0"/>
                <w:i w:val="0"/>
                <w:color w:val="212121"/>
                <w:sz w:val="19"/>
              </w:rPr>
              <w:t>A large share of India's workforce performs repetitive, forceful gripping, digging, hammering and load-carrying, which loads the flexor-pronator origin. The condition is probably common but under-recognised, being self-managed or attributed to generic 'joint pain'.</w:t>
            </w:r>
          </w:p>
          <w:p>
            <w:pPr>
              <w:spacing w:after="40" w:before="60" w:line="259" w:lineRule="auto"/>
            </w:pPr>
            <w:r>
              <w:rPr>
                <w:rFonts w:ascii="Calibri" w:hAnsi="Calibri"/>
                <w:b w:val="0"/>
                <w:i w:val="0"/>
                <w:color w:val="212121"/>
                <w:sz w:val="19"/>
              </w:rPr>
              <w:t>India-specific prevalence data are sparse; the burden is inferred from the occupational load profile and from population studies linking forceful repetitive work to medial epicondylitis.</w:t>
            </w:r>
          </w:p>
          <w:p>
            <w:pPr>
              <w:spacing w:after="40" w:line="252" w:lineRule="auto"/>
            </w:pPr>
            <w:hyperlink r:id="rId9">
              <w:r>
                <w:rPr>
                  <w:rFonts w:ascii="Calibri" w:hAnsi="Calibri" w:cs="Calibri"/>
                  <w:sz w:val="18"/>
                  <w:color w:val="1155CC"/>
                  <w:u w:val="single"/>
                </w:rPr>
                <w:t xml:space="preserve">pubmed.ncbi.nlm.nih.gov/16968862 — population study of lateral &amp; medial epicondylitis</w:t>
              </w:r>
            </w:hyperlink>
          </w:p>
          <w:p>
            <w:pPr>
              <w:spacing w:before="60" w:after="40"/>
            </w:pPr>
            <w:r>
              <w:rPr>
                <w:rFonts w:ascii="Calibri" w:hAnsi="Calibri"/>
                <w:b w:val="0"/>
                <w:i w:val="0"/>
                <w:color w:val="5A5A5A"/>
                <w:sz w:val="18"/>
              </w:rPr>
              <w:t>#agriculture  #construction  #underrecognised  #Indianworkforce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Urbanisation / work pattern</w:t>
            </w:r>
          </w:p>
        </w:tc>
        <w:tc>
          <w:tcPr>
            <w:tcW w:type="dxa" w:w="2160"/>
            <w:vAlign w:val="top"/>
          </w:tcPr>
          <w:p>
            <w:pPr>
              <w:spacing w:after="40" w:before="0" w:line="259" w:lineRule="auto"/>
            </w:pPr>
            <w:r>
              <w:rPr>
                <w:rFonts w:ascii="Calibri" w:hAnsi="Calibri"/>
                <w:b w:val="0"/>
                <w:i w:val="0"/>
                <w:color w:val="212121"/>
                <w:sz w:val="19"/>
              </w:rPr>
              <w:t>Urban office, IT &amp; gig workers (India)</w:t>
            </w:r>
          </w:p>
        </w:tc>
        <w:tc>
          <w:tcPr>
            <w:tcW w:type="dxa" w:w="4276"/>
            <w:vAlign w:val="top"/>
          </w:tcPr>
          <w:p>
            <w:pPr>
              <w:spacing w:after="60" w:line="259" w:lineRule="auto"/>
            </w:pPr>
            <w:r>
              <w:rPr>
                <w:rFonts w:ascii="Calibri" w:hAnsi="Calibri"/>
                <w:b w:val="0"/>
                <w:i w:val="0"/>
                <w:color w:val="212121"/>
                <w:sz w:val="19"/>
              </w:rPr>
              <w:t>Rapid urbanisation and a growing computer-, smartphone- and tool-using workforce add sustained gripping and non-neutral wrist postures to the traditional manual burden, extending medial elbow overuse into younger urban professionals and gig workers.</w:t>
            </w:r>
          </w:p>
          <w:p>
            <w:pPr>
              <w:spacing w:after="40" w:before="60" w:line="259" w:lineRule="auto"/>
            </w:pPr>
            <w:r>
              <w:rPr>
                <w:rFonts w:ascii="Calibri" w:hAnsi="Calibri"/>
                <w:b w:val="0"/>
                <w:i w:val="0"/>
                <w:color w:val="212121"/>
                <w:sz w:val="19"/>
              </w:rPr>
              <w:t>Repetitive movements and sustained gripping are recognised independent contributors to flexor-pronator overload and medial epicondylitis.</w:t>
            </w:r>
          </w:p>
          <w:p>
            <w:pPr>
              <w:spacing w:after="40" w:line="252" w:lineRule="auto"/>
            </w:pPr>
            <w:hyperlink r:id="rId9">
              <w:r>
                <w:rPr>
                  <w:rFonts w:ascii="Calibri" w:hAnsi="Calibri" w:cs="Calibri"/>
                  <w:sz w:val="18"/>
                  <w:color w:val="1155CC"/>
                  <w:u w:val="single"/>
                </w:rPr>
                <w:t xml:space="preserve">pubmed.ncbi.nlm.nih.gov/16968862 — population study of lateral &amp; medial epicondylitis</w:t>
              </w:r>
            </w:hyperlink>
          </w:p>
          <w:p>
            <w:pPr>
              <w:spacing w:before="60" w:after="40"/>
            </w:pPr>
            <w:r>
              <w:rPr>
                <w:rFonts w:ascii="Calibri" w:hAnsi="Calibri"/>
                <w:b w:val="0"/>
                <w:i w:val="0"/>
                <w:color w:val="5A5A5A"/>
                <w:sz w:val="18"/>
              </w:rPr>
              <w:t>#urbanisation  #ITworkers  #repetitivestrain  #gigwork</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 (forceful/repetitive)</w:t>
            </w:r>
          </w:p>
        </w:tc>
        <w:tc>
          <w:tcPr>
            <w:tcW w:type="dxa" w:w="2160"/>
            <w:vAlign w:val="top"/>
          </w:tcPr>
          <w:p>
            <w:pPr>
              <w:spacing w:after="40" w:before="0" w:line="259" w:lineRule="auto"/>
            </w:pPr>
            <w:r>
              <w:rPr>
                <w:rFonts w:ascii="Calibri" w:hAnsi="Calibri"/>
                <w:b w:val="0"/>
                <w:i w:val="0"/>
                <w:color w:val="212121"/>
                <w:sz w:val="19"/>
              </w:rPr>
              <w:t>Carpenters, plumbers, masons, butchers, farm &amp; assembly workers</w:t>
            </w:r>
          </w:p>
        </w:tc>
        <w:tc>
          <w:tcPr>
            <w:tcW w:type="dxa" w:w="4276"/>
            <w:vAlign w:val="top"/>
          </w:tcPr>
          <w:p>
            <w:pPr>
              <w:spacing w:after="60" w:line="259" w:lineRule="auto"/>
            </w:pPr>
            <w:r>
              <w:rPr>
                <w:rFonts w:ascii="Calibri" w:hAnsi="Calibri"/>
                <w:b w:val="0"/>
                <w:i w:val="0"/>
                <w:color w:val="212121"/>
                <w:sz w:val="19"/>
              </w:rPr>
              <w:t>Trades demanding repetitive gripping, hammering, twisting, lifting and vibrating-tool use subject the common flexor origin to sustained eccentric overload - the dominant occupational mechanism of medial epicondylitis.</w:t>
            </w:r>
          </w:p>
          <w:p>
            <w:pPr>
              <w:spacing w:after="40" w:before="60" w:line="259" w:lineRule="auto"/>
            </w:pPr>
            <w:r>
              <w:rPr>
                <w:rFonts w:ascii="Calibri" w:hAnsi="Calibri"/>
                <w:b w:val="0"/>
                <w:i w:val="0"/>
                <w:color w:val="212121"/>
                <w:sz w:val="19"/>
              </w:rPr>
              <w:t>Forceful activities and repetitive movements are independently associated with medial epicondylitis, and physical load factors are strong determinants of epicondylitis overall.</w:t>
            </w:r>
          </w:p>
          <w:p>
            <w:pPr>
              <w:spacing w:after="40" w:line="252" w:lineRule="auto"/>
            </w:pPr>
            <w:hyperlink r:id="rId9">
              <w:r>
                <w:rPr>
                  <w:rFonts w:ascii="Calibri" w:hAnsi="Calibri" w:cs="Calibri"/>
                  <w:sz w:val="18"/>
                  <w:color w:val="1155CC"/>
                  <w:u w:val="single"/>
                </w:rPr>
                <w:t xml:space="preserve">pubmed.ncbi.nlm.nih.gov/16968862 — population study of lateral &amp; medial epicondylitis</w:t>
              </w:r>
            </w:hyperlink>
          </w:p>
          <w:p>
            <w:pPr>
              <w:spacing w:before="60" w:after="40"/>
            </w:pPr>
            <w:r>
              <w:rPr>
                <w:rFonts w:ascii="Calibri" w:hAnsi="Calibri"/>
                <w:b w:val="0"/>
                <w:i w:val="0"/>
                <w:color w:val="5A5A5A"/>
                <w:sz w:val="18"/>
              </w:rPr>
              <w:t>#occupational  #forcefulgrip  #vibratingtools  #repetition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Sport / athletic load</w:t>
            </w:r>
          </w:p>
        </w:tc>
        <w:tc>
          <w:tcPr>
            <w:tcW w:type="dxa" w:w="2160"/>
            <w:vAlign w:val="top"/>
          </w:tcPr>
          <w:p>
            <w:pPr>
              <w:spacing w:after="40" w:before="0" w:line="259" w:lineRule="auto"/>
            </w:pPr>
            <w:r>
              <w:rPr>
                <w:rFonts w:ascii="Calibri" w:hAnsi="Calibri"/>
                <w:b w:val="0"/>
                <w:i w:val="0"/>
                <w:color w:val="212121"/>
                <w:sz w:val="19"/>
              </w:rPr>
              <w:t>Golfers, throwing athletes, racquet players, weightlifters</w:t>
            </w:r>
          </w:p>
        </w:tc>
        <w:tc>
          <w:tcPr>
            <w:tcW w:type="dxa" w:w="4276"/>
            <w:vAlign w:val="top"/>
          </w:tcPr>
          <w:p>
            <w:pPr>
              <w:spacing w:after="60" w:line="259" w:lineRule="auto"/>
            </w:pPr>
            <w:r>
              <w:rPr>
                <w:rFonts w:ascii="Calibri" w:hAnsi="Calibri"/>
                <w:b w:val="0"/>
                <w:i w:val="0"/>
                <w:color w:val="212121"/>
                <w:sz w:val="19"/>
              </w:rPr>
              <w:t>Sports that load the medial elbow in valgus and demand forceful wrist flexion and pronation - the golf swing, javelin, cricket bowling, baseball pitching, racquet strokes and heavy lifting - stress the flexor-pronator origin, especially in the late-cocking and early-acceleration phases of throwing.</w:t>
            </w:r>
          </w:p>
          <w:p>
            <w:pPr>
              <w:spacing w:after="40" w:before="60" w:line="259" w:lineRule="auto"/>
            </w:pPr>
            <w:r>
              <w:rPr>
                <w:rFonts w:ascii="Calibri" w:hAnsi="Calibri"/>
                <w:b w:val="0"/>
                <w:i w:val="0"/>
                <w:color w:val="212121"/>
                <w:sz w:val="19"/>
              </w:rPr>
              <w:t>Athletes are typically most symptomatic during the late-cocking or early-acceleration phases of the throwing motion, when flexor-pronator load peaks.</w:t>
            </w:r>
          </w:p>
          <w:p>
            <w:pPr>
              <w:spacing w:after="40" w:line="252" w:lineRule="auto"/>
            </w:pPr>
            <w:hyperlink r:id="rId10">
              <w:r>
                <w:rPr>
                  <w:rFonts w:ascii="Calibri" w:hAnsi="Calibri" w:cs="Calibri"/>
                  <w:sz w:val="18"/>
                  <w:color w:val="1155CC"/>
                  <w:u w:val="single"/>
                </w:rPr>
                <w:t xml:space="preserve">pubmed.ncbi.nlm.nih.gov/26001427 — JAAOS: Medial Epicondylitis, Evaluation &amp; Management</w:t>
              </w:r>
            </w:hyperlink>
          </w:p>
          <w:p>
            <w:pPr>
              <w:spacing w:before="60" w:after="40"/>
            </w:pPr>
            <w:r>
              <w:rPr>
                <w:rFonts w:ascii="Calibri" w:hAnsi="Calibri"/>
                <w:b w:val="0"/>
                <w:i w:val="0"/>
                <w:color w:val="5A5A5A"/>
                <w:sz w:val="18"/>
              </w:rPr>
              <w:t>#golf  #throwing  #cricketbowling  #weightlifting  #valgusoverload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repetitive device use</w:t>
            </w:r>
          </w:p>
        </w:tc>
        <w:tc>
          <w:tcPr>
            <w:tcW w:type="dxa" w:w="2160"/>
            <w:vAlign w:val="top"/>
          </w:tcPr>
          <w:p>
            <w:pPr>
              <w:spacing w:after="40" w:before="0" w:line="259" w:lineRule="auto"/>
            </w:pPr>
            <w:r>
              <w:rPr>
                <w:rFonts w:ascii="Calibri" w:hAnsi="Calibri"/>
                <w:b w:val="0"/>
                <w:i w:val="0"/>
                <w:color w:val="212121"/>
                <w:sz w:val="19"/>
              </w:rPr>
              <w:t>Deconditioned office workers, gamers, heavy smartphone users</w:t>
            </w:r>
          </w:p>
        </w:tc>
        <w:tc>
          <w:tcPr>
            <w:tcW w:type="dxa" w:w="4276"/>
            <w:vAlign w:val="top"/>
          </w:tcPr>
          <w:p>
            <w:pPr>
              <w:spacing w:after="60" w:line="259" w:lineRule="auto"/>
            </w:pPr>
            <w:r>
              <w:rPr>
                <w:rFonts w:ascii="Calibri" w:hAnsi="Calibri"/>
                <w:b w:val="0"/>
                <w:i w:val="0"/>
                <w:color w:val="212121"/>
                <w:sz w:val="19"/>
              </w:rPr>
              <w:t>A sedentary pattern combined with prolonged keyboard, mouse and handheld-device use produces sustained low-grade gripping and non-neutral wrist posture on a deconditioned forearm, a modern and rising route to flexor-pronator overload.</w:t>
            </w:r>
          </w:p>
          <w:p>
            <w:pPr>
              <w:spacing w:after="40" w:before="60" w:line="259" w:lineRule="auto"/>
            </w:pPr>
            <w:r>
              <w:rPr>
                <w:rFonts w:ascii="Calibri" w:hAnsi="Calibri"/>
                <w:b w:val="0"/>
                <w:i w:val="0"/>
                <w:color w:val="212121"/>
                <w:sz w:val="19"/>
              </w:rPr>
              <w:t>Sustained gripping and repetitive wrist/forearm activity load the flexor-pronator origin; poor forearm conditioning lowers the threshold for injury.</w:t>
            </w:r>
          </w:p>
          <w:p>
            <w:pPr>
              <w:spacing w:before="60" w:after="40"/>
            </w:pPr>
            <w:r>
              <w:rPr>
                <w:rFonts w:ascii="Calibri" w:hAnsi="Calibri"/>
                <w:b w:val="0"/>
                <w:i w:val="0"/>
                <w:color w:val="5A5A5A"/>
                <w:sz w:val="18"/>
              </w:rPr>
              <w:t>#sedentary  #deconditioning  #screenuse  #wristposture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&amp; former smokers</w:t>
            </w:r>
          </w:p>
        </w:tc>
        <w:tc>
          <w:tcPr>
            <w:tcW w:type="dxa" w:w="4276"/>
            <w:vAlign w:val="top"/>
          </w:tcPr>
          <w:p>
            <w:pPr>
              <w:spacing w:after="60" w:line="259" w:lineRule="auto"/>
            </w:pPr>
            <w:r>
              <w:rPr>
                <w:rFonts w:ascii="Calibri" w:hAnsi="Calibri"/>
                <w:b w:val="0"/>
                <w:i w:val="0"/>
                <w:color w:val="212121"/>
                <w:sz w:val="19"/>
              </w:rPr>
              <w:t>Smoking impairs tendon microcirculation and collagen repair and is an independent determinant of epicondylitis; in patients it is associated with more refractory disease and poorer response to treatment.</w:t>
            </w:r>
          </w:p>
          <w:p>
            <w:pPr>
              <w:spacing w:after="40" w:before="60" w:line="259" w:lineRule="auto"/>
            </w:pPr>
            <w:r>
              <w:rPr>
                <w:rFonts w:ascii="Calibri" w:hAnsi="Calibri"/>
                <w:b w:val="0"/>
                <w:i w:val="0"/>
                <w:color w:val="212121"/>
                <w:sz w:val="19"/>
              </w:rPr>
              <w:t>Smoking is a strong, independent determinant of epicondylitis in population studies, and tobacco use predicts a greater likelihood of needing surgery for epicondylitis.</w:t>
            </w:r>
          </w:p>
          <w:p>
            <w:pPr>
              <w:spacing w:after="40" w:line="252" w:lineRule="auto"/>
            </w:pPr>
            <w:hyperlink r:id="rId9">
              <w:r>
                <w:rPr>
                  <w:rFonts w:ascii="Calibri" w:hAnsi="Calibri" w:cs="Calibri"/>
                  <w:sz w:val="18"/>
                  <w:color w:val="1155CC"/>
                  <w:u w:val="single"/>
                </w:rPr>
                <w:t xml:space="preserve">pubmed.ncbi.nlm.nih.gov/16968862 — population study of lateral &amp; medial epicondylitis</w:t>
              </w:r>
            </w:hyperlink>
          </w:p>
          <w:p>
            <w:pPr>
              <w:spacing w:before="60" w:after="40"/>
            </w:pPr>
            <w:r>
              <w:rPr>
                <w:rFonts w:ascii="Calibri" w:hAnsi="Calibri"/>
                <w:b w:val="0"/>
                <w:i w:val="0"/>
                <w:color w:val="5A5A5A"/>
                <w:sz w:val="18"/>
              </w:rPr>
              <w:t>#smoking  #microcirculation  #poorhealing  #recalcitrant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Adults with high BMI / central adiposity</w:t>
            </w:r>
          </w:p>
        </w:tc>
        <w:tc>
          <w:tcPr>
            <w:tcW w:type="dxa" w:w="4276"/>
            <w:vAlign w:val="top"/>
          </w:tcPr>
          <w:p>
            <w:pPr>
              <w:spacing w:after="60" w:line="259" w:lineRule="auto"/>
            </w:pPr>
            <w:r>
              <w:rPr>
                <w:rFonts w:ascii="Calibri" w:hAnsi="Calibri"/>
                <w:b w:val="0"/>
                <w:i w:val="0"/>
                <w:color w:val="212121"/>
                <w:sz w:val="19"/>
              </w:rPr>
              <w:t>Obesity is an independent determinant of medial epicondylitis, combining a pro-inflammatory, insulin-resistant metabolic milieu that degrades tendon with a higher chance of chronic, treatment-resistant disease.</w:t>
            </w:r>
          </w:p>
          <w:p>
            <w:pPr>
              <w:spacing w:after="40" w:before="60" w:line="259" w:lineRule="auto"/>
            </w:pPr>
            <w:r>
              <w:rPr>
                <w:rFonts w:ascii="Calibri" w:hAnsi="Calibri"/>
                <w:b w:val="0"/>
                <w:i w:val="0"/>
                <w:color w:val="212121"/>
                <w:sz w:val="19"/>
              </w:rPr>
              <w:t>Obesity (BMI over 30) is an identified risk factor for requiring surgery after a failed injection for medial epicondylitis, and obesity is an independent determinant of the condition.</w:t>
            </w:r>
          </w:p>
          <w:p>
            <w:pPr>
              <w:spacing w:after="40" w:line="252" w:lineRule="auto"/>
            </w:pPr>
            <w:hyperlink r:id="rId11">
              <w:r>
                <w:rPr>
                  <w:rFonts w:ascii="Calibri" w:hAnsi="Calibri" w:cs="Calibri"/>
                  <w:sz w:val="18"/>
                  <w:color w:val="1155CC"/>
                  <w:u w:val="single"/>
                </w:rPr>
                <w:t xml:space="preserve">pubmed.ncbi.nlm.nih.gov/28862069 — risk factors for surgery in epicondylitis</w:t>
              </w:r>
            </w:hyperlink>
          </w:p>
          <w:p>
            <w:pPr>
              <w:spacing w:before="60" w:after="40"/>
            </w:pPr>
            <w:r>
              <w:rPr>
                <w:rFonts w:ascii="Calibri" w:hAnsi="Calibri"/>
                <w:b w:val="0"/>
                <w:i w:val="0"/>
                <w:color w:val="5A5A5A"/>
                <w:sz w:val="18"/>
              </w:rPr>
              <w:t>#obesity  #metabolic  #insulinresistance  #surgicalrisk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chronic alcohol users</w:t>
            </w:r>
          </w:p>
        </w:tc>
        <w:tc>
          <w:tcPr>
            <w:tcW w:type="dxa" w:w="4276"/>
            <w:vAlign w:val="top"/>
          </w:tcPr>
          <w:p>
            <w:pPr>
              <w:spacing w:after="60" w:line="259" w:lineRule="auto"/>
            </w:pPr>
            <w:r>
              <w:rPr>
                <w:rFonts w:ascii="Calibri" w:hAnsi="Calibri"/>
                <w:b w:val="0"/>
                <w:i w:val="0"/>
                <w:color w:val="212121"/>
                <w:sz w:val="19"/>
              </w:rPr>
              <w:t>Alcohol has no established causal role in medial epicondylitis, but heavy use worsens nutritional status, weight and metabolic control and can impair tissue recovery, indirectly hindering tendon healing.</w:t>
            </w:r>
          </w:p>
          <w:p>
            <w:pPr>
              <w:spacing w:after="40" w:before="60" w:line="259" w:lineRule="auto"/>
            </w:pPr>
            <w:r>
              <w:rPr>
                <w:rFonts w:ascii="Calibri" w:hAnsi="Calibri"/>
                <w:b w:val="0"/>
                <w:i w:val="0"/>
                <w:color w:val="212121"/>
                <w:sz w:val="19"/>
              </w:rPr>
              <w:t>There is no established causal link between alcohol and medial epicondylitis; the effect is indirect, through nutrition, weight and healing capacity.</w:t>
            </w:r>
          </w:p>
          <w:p>
            <w:pPr>
              <w:spacing w:before="60" w:after="40"/>
            </w:pPr>
            <w:r>
              <w:rPr>
                <w:rFonts w:ascii="Calibri" w:hAnsi="Calibri"/>
                <w:b w:val="0"/>
                <w:i w:val="0"/>
                <w:color w:val="5A5A5A"/>
                <w:sz w:val="18"/>
              </w:rPr>
              <w:t>#alcohol  #nutrition  #healingcapacity  #indirectrisk</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Protein &amp; collagen-support nutrients</w:t>
            </w:r>
          </w:p>
        </w:tc>
        <w:tc>
          <w:tcPr>
            <w:tcW w:type="dxa" w:w="2160"/>
            <w:vAlign w:val="top"/>
          </w:tcPr>
          <w:p>
            <w:pPr>
              <w:spacing w:after="40" w:before="0" w:line="259" w:lineRule="auto"/>
            </w:pPr>
            <w:r>
              <w:rPr>
                <w:rFonts w:ascii="Calibri" w:hAnsi="Calibri"/>
                <w:b w:val="0"/>
                <w:i w:val="0"/>
                <w:color w:val="212121"/>
                <w:sz w:val="19"/>
              </w:rPr>
              <w:t>Adults on low-protein, low-micronutrient diets</w:t>
            </w:r>
          </w:p>
        </w:tc>
        <w:tc>
          <w:tcPr>
            <w:tcW w:type="dxa" w:w="4276"/>
            <w:vAlign w:val="top"/>
          </w:tcPr>
          <w:p>
            <w:pPr>
              <w:spacing w:after="60" w:line="259" w:lineRule="auto"/>
            </w:pPr>
            <w:r>
              <w:rPr>
                <w:rFonts w:ascii="Calibri" w:hAnsi="Calibri"/>
                <w:b w:val="0"/>
                <w:i w:val="0"/>
                <w:color w:val="212121"/>
                <w:sz w:val="19"/>
              </w:rPr>
              <w:t>Tendon repair depends on adequate protein and on micronutrients such as vitamin C for collagen synthesis; diets low in protein and fresh produce - not uncommon in parts of India - may impair the already-slow healing of tendinosis.</w:t>
            </w:r>
          </w:p>
          <w:p>
            <w:pPr>
              <w:spacing w:after="40" w:before="60" w:line="259" w:lineRule="auto"/>
            </w:pPr>
            <w:r>
              <w:rPr>
                <w:rFonts w:ascii="Calibri" w:hAnsi="Calibri"/>
                <w:b w:val="0"/>
                <w:i w:val="0"/>
                <w:color w:val="212121"/>
                <w:sz w:val="19"/>
              </w:rPr>
              <w:t>Established medial epicondylitis reflects a failed collagen-healing response; adequate protein and collagen-support nutrients are important for tendon repair.</w:t>
            </w:r>
          </w:p>
          <w:p>
            <w:pPr>
              <w:spacing w:after="40" w:line="252" w:lineRule="auto"/>
            </w:pPr>
            <w:hyperlink r:id="rId10">
              <w:r>
                <w:rPr>
                  <w:rFonts w:ascii="Calibri" w:hAnsi="Calibri" w:cs="Calibri"/>
                  <w:sz w:val="18"/>
                  <w:color w:val="1155CC"/>
                  <w:u w:val="single"/>
                </w:rPr>
                <w:t xml:space="preserve">pubmed.ncbi.nlm.nih.gov/26001427 — JAAOS: Medial Epicondylitis, Evaluation &amp; Management</w:t>
              </w:r>
            </w:hyperlink>
          </w:p>
          <w:p>
            <w:pPr>
              <w:spacing w:before="60" w:after="40"/>
            </w:pPr>
            <w:r>
              <w:rPr>
                <w:rFonts w:ascii="Calibri" w:hAnsi="Calibri"/>
                <w:b w:val="0"/>
                <w:i w:val="0"/>
                <w:color w:val="5A5A5A"/>
                <w:sz w:val="18"/>
              </w:rPr>
              <w:t>#protein  #vitaminC  #collagen  #tendonrepair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High-glycaemic / pro-inflammatory diet</w:t>
            </w:r>
          </w:p>
        </w:tc>
        <w:tc>
          <w:tcPr>
            <w:tcW w:type="dxa" w:w="2160"/>
            <w:vAlign w:val="top"/>
          </w:tcPr>
          <w:p>
            <w:pPr>
              <w:spacing w:after="40" w:before="0" w:line="259" w:lineRule="auto"/>
            </w:pPr>
            <w:r>
              <w:rPr>
                <w:rFonts w:ascii="Calibri" w:hAnsi="Calibri"/>
                <w:b w:val="0"/>
                <w:i w:val="0"/>
                <w:color w:val="212121"/>
                <w:sz w:val="19"/>
              </w:rPr>
              <w:t>High refined-carbohydrate &amp; sugar consumers</w:t>
            </w:r>
          </w:p>
        </w:tc>
        <w:tc>
          <w:tcPr>
            <w:tcW w:type="dxa" w:w="4276"/>
            <w:vAlign w:val="top"/>
          </w:tcPr>
          <w:p>
            <w:pPr>
              <w:spacing w:after="60" w:line="259" w:lineRule="auto"/>
            </w:pPr>
            <w:r>
              <w:rPr>
                <w:rFonts w:ascii="Calibri" w:hAnsi="Calibri"/>
                <w:b w:val="0"/>
                <w:i w:val="0"/>
                <w:color w:val="212121"/>
                <w:sz w:val="19"/>
              </w:rPr>
              <w:t>Diets high in refined carbohydrate and sugar drive hyperglycaemia and advanced glycation end-products that stiffen and weaken tendon collagen - the same metabolic pathway that links diabetes to upper-limb tendinopathy.</w:t>
            </w:r>
          </w:p>
          <w:p>
            <w:pPr>
              <w:spacing w:after="40" w:before="60" w:line="259" w:lineRule="auto"/>
            </w:pPr>
            <w:r>
              <w:rPr>
                <w:rFonts w:ascii="Calibri" w:hAnsi="Calibri"/>
                <w:b w:val="0"/>
                <w:i w:val="0"/>
                <w:color w:val="212121"/>
                <w:sz w:val="19"/>
              </w:rPr>
              <w:t>Metabolic dysfunction, including diabetes, is strongly associated with upper-limb tendinopathy such as medial epicondylitis in systematic review and meta-analysis.</w:t>
            </w:r>
          </w:p>
          <w:p>
            <w:pPr>
              <w:spacing w:after="40" w:line="252" w:lineRule="auto"/>
            </w:pPr>
            <w:hyperlink r:id="rId12">
              <w:r>
                <w:rPr>
                  <w:rFonts w:ascii="Calibri" w:hAnsi="Calibri" w:cs="Calibri"/>
                  <w:sz w:val="18"/>
                  <w:color w:val="1155CC"/>
                  <w:u w:val="single"/>
                </w:rPr>
                <w:t xml:space="preserve">pubmed.ncbi.nlm.nih.gov/40937086 — metabolic disorders &amp; tendinopathies meta-analysis</w:t>
              </w:r>
            </w:hyperlink>
          </w:p>
          <w:p>
            <w:pPr>
              <w:spacing w:before="60" w:after="40"/>
            </w:pPr>
            <w:r>
              <w:rPr>
                <w:rFonts w:ascii="Calibri" w:hAnsi="Calibri"/>
                <w:b w:val="0"/>
                <w:i w:val="0"/>
                <w:color w:val="5A5A5A"/>
                <w:sz w:val="18"/>
              </w:rPr>
              <w:t>#highGI  #glycation  #AGEs  #metabolicdiet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tendon predisposition</w:t>
            </w:r>
          </w:p>
        </w:tc>
        <w:tc>
          <w:tcPr>
            <w:tcW w:type="dxa" w:w="2160"/>
            <w:vAlign w:val="top"/>
          </w:tcPr>
          <w:p>
            <w:pPr>
              <w:spacing w:after="40" w:before="0" w:line="259" w:lineRule="auto"/>
            </w:pPr>
            <w:r>
              <w:rPr>
                <w:rFonts w:ascii="Calibri" w:hAnsi="Calibri"/>
                <w:b w:val="0"/>
                <w:i w:val="0"/>
                <w:color w:val="212121"/>
                <w:sz w:val="19"/>
              </w:rPr>
              <w:t>People with familial tendinopathy or collagen variation</w:t>
            </w:r>
          </w:p>
        </w:tc>
        <w:tc>
          <w:tcPr>
            <w:tcW w:type="dxa" w:w="4276"/>
            <w:vAlign w:val="top"/>
          </w:tcPr>
          <w:p>
            <w:pPr>
              <w:spacing w:after="60" w:line="259" w:lineRule="auto"/>
            </w:pPr>
            <w:r>
              <w:rPr>
                <w:rFonts w:ascii="Calibri" w:hAnsi="Calibri"/>
                <w:b w:val="0"/>
                <w:i w:val="0"/>
                <w:color w:val="212121"/>
                <w:sz w:val="19"/>
              </w:rPr>
              <w:t>A tendency to tendinopathy runs in some families, reflecting inherited differences in collagen structure and tendon matrix that reduce load tolerance and healing capacity, so a family history of tendon problems modestly raises risk.</w:t>
            </w:r>
          </w:p>
          <w:p>
            <w:pPr>
              <w:spacing w:after="40" w:before="60" w:line="259" w:lineRule="auto"/>
            </w:pPr>
            <w:r>
              <w:rPr>
                <w:rFonts w:ascii="Calibri" w:hAnsi="Calibri"/>
                <w:b w:val="0"/>
                <w:i w:val="0"/>
                <w:color w:val="212121"/>
                <w:sz w:val="19"/>
              </w:rPr>
              <w:t>Tendon strength and healing have a heritable component; individual collagen and matrix variation influences susceptibility to overuse tendinopathy.</w:t>
            </w:r>
          </w:p>
          <w:p>
            <w:pPr>
              <w:spacing w:before="60" w:after="40"/>
            </w:pPr>
            <w:r>
              <w:rPr>
                <w:rFonts w:ascii="Calibri" w:hAnsi="Calibri"/>
                <w:b w:val="0"/>
                <w:i w:val="0"/>
                <w:color w:val="5A5A5A"/>
                <w:sz w:val="18"/>
              </w:rPr>
              <w:t>#familyhistory  #collagen  #tendonmatrix  #predisposition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Ulnar neuropathy / cubital tunnel syndrome</w:t>
            </w:r>
          </w:p>
        </w:tc>
        <w:tc>
          <w:tcPr>
            <w:tcW w:type="dxa" w:w="2160"/>
            <w:vAlign w:val="top"/>
          </w:tcPr>
          <w:p>
            <w:pPr>
              <w:spacing w:after="40" w:before="0" w:line="259" w:lineRule="auto"/>
            </w:pPr>
            <w:r>
              <w:rPr>
                <w:rFonts w:ascii="Calibri" w:hAnsi="Calibri"/>
                <w:b w:val="0"/>
                <w:i w:val="0"/>
                <w:color w:val="212121"/>
                <w:sz w:val="19"/>
              </w:rPr>
              <w:t>Patients with concomitant ulnar nerve irritation</w:t>
            </w:r>
          </w:p>
        </w:tc>
        <w:tc>
          <w:tcPr>
            <w:tcW w:type="dxa" w:w="4276"/>
            <w:vAlign w:val="top"/>
          </w:tcPr>
          <w:p>
            <w:pPr>
              <w:spacing w:after="60" w:line="259" w:lineRule="auto"/>
            </w:pPr>
            <w:r>
              <w:rPr>
                <w:rFonts w:ascii="Calibri" w:hAnsi="Calibri"/>
                <w:b w:val="0"/>
                <w:i w:val="0"/>
                <w:color w:val="212121"/>
                <w:sz w:val="19"/>
              </w:rPr>
              <w:t>The ulnar nerve runs immediately behind the medial epicondyle, so flexor-pronator pathology, swelling and traction commonly irritate it; concomitant ulnar neuropathy is frequent and makes symptoms and surgical outcomes worse.</w:t>
            </w:r>
          </w:p>
          <w:p>
            <w:pPr>
              <w:spacing w:after="40" w:before="60" w:line="259" w:lineRule="auto"/>
            </w:pPr>
            <w:r>
              <w:rPr>
                <w:rFonts w:ascii="Calibri" w:hAnsi="Calibri"/>
                <w:b w:val="0"/>
                <w:i w:val="0"/>
                <w:color w:val="212121"/>
                <w:sz w:val="19"/>
              </w:rPr>
              <w:t>Concomitant ulnar neuropathy is common in medial epicondylitis, reported in a large proportion (around half) of operative series and associated with poorer surgical results.</w:t>
            </w:r>
          </w:p>
          <w:p>
            <w:pPr>
              <w:spacing w:after="40" w:line="252" w:lineRule="auto"/>
            </w:pPr>
            <w:hyperlink r:id="rId13">
              <w:r>
                <w:rPr>
                  <w:rFonts w:ascii="Calibri" w:hAnsi="Calibri" w:cs="Calibri"/>
                  <w:sz w:val="18"/>
                  <w:color w:val="1155CC"/>
                  <w:u w:val="single"/>
                </w:rPr>
                <w:t xml:space="preserve">pubmed.ncbi.nlm.nih.gov/7608229 — medial epicondylitis &amp; concomitant ulnar neuropathy</w:t>
              </w:r>
            </w:hyperlink>
          </w:p>
          <w:p>
            <w:pPr>
              <w:spacing w:before="60" w:after="40"/>
            </w:pPr>
            <w:r>
              <w:rPr>
                <w:rFonts w:ascii="Calibri" w:hAnsi="Calibri"/>
                <w:b w:val="0"/>
                <w:i w:val="0"/>
                <w:color w:val="5A5A5A"/>
                <w:sz w:val="18"/>
              </w:rPr>
              <w:t>#ulnarnerve  #cubitaltunnel  #concomitant  #worseoutcome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Diabetics &amp; those with metabolic syndrome</w:t>
            </w:r>
          </w:p>
        </w:tc>
        <w:tc>
          <w:tcPr>
            <w:tcW w:type="dxa" w:w="4276"/>
            <w:vAlign w:val="top"/>
          </w:tcPr>
          <w:p>
            <w:pPr>
              <w:spacing w:after="60" w:line="259" w:lineRule="auto"/>
            </w:pPr>
            <w:r>
              <w:rPr>
                <w:rFonts w:ascii="Calibri" w:hAnsi="Calibri"/>
                <w:b w:val="0"/>
                <w:i w:val="0"/>
                <w:color w:val="212121"/>
                <w:sz w:val="19"/>
              </w:rPr>
              <w:t>Chronic hyperglycaemia, advanced glycation end-products and microangiopathy degrade tendon collagen and impair repair, so diabetics develop medial epicondylitis more readily, often at multiple sites, and respond less well to treatment.</w:t>
            </w:r>
          </w:p>
          <w:p>
            <w:pPr>
              <w:spacing w:after="40" w:before="60" w:line="259" w:lineRule="auto"/>
            </w:pPr>
            <w:r>
              <w:rPr>
                <w:rFonts w:ascii="Calibri" w:hAnsi="Calibri"/>
                <w:b w:val="0"/>
                <w:i w:val="0"/>
                <w:color w:val="212121"/>
                <w:sz w:val="19"/>
              </w:rPr>
              <w:t>A 2025 systematic review and meta-analysis linked diabetes to upper-limb tendinopathies including medial epicondylitis, with a markedly increased odds ratio (reported at about 11).</w:t>
            </w:r>
          </w:p>
          <w:p>
            <w:pPr>
              <w:spacing w:after="40" w:line="252" w:lineRule="auto"/>
            </w:pPr>
            <w:hyperlink r:id="rId12">
              <w:r>
                <w:rPr>
                  <w:rFonts w:ascii="Calibri" w:hAnsi="Calibri" w:cs="Calibri"/>
                  <w:sz w:val="18"/>
                  <w:color w:val="1155CC"/>
                  <w:u w:val="single"/>
                </w:rPr>
                <w:t xml:space="preserve">pubmed.ncbi.nlm.nih.gov/40937086 — metabolic disorders &amp; tendinopathies meta-analysis</w:t>
              </w:r>
            </w:hyperlink>
          </w:p>
          <w:p>
            <w:pPr>
              <w:spacing w:before="60" w:after="40"/>
            </w:pPr>
            <w:r>
              <w:rPr>
                <w:rFonts w:ascii="Calibri" w:hAnsi="Calibri"/>
                <w:b w:val="0"/>
                <w:i w:val="0"/>
                <w:color w:val="5A5A5A"/>
                <w:sz w:val="18"/>
              </w:rPr>
              <w:t>#diabetes  #hyperglycaemia  #AGEs  #multisite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 / metabolic syndrome</w:t>
            </w:r>
          </w:p>
        </w:tc>
        <w:tc>
          <w:tcPr>
            <w:tcW w:type="dxa" w:w="2160"/>
            <w:vAlign w:val="top"/>
          </w:tcPr>
          <w:p>
            <w:pPr>
              <w:spacing w:after="40" w:before="0" w:line="259" w:lineRule="auto"/>
            </w:pPr>
            <w:r>
              <w:rPr>
                <w:rFonts w:ascii="Calibri" w:hAnsi="Calibri"/>
                <w:b w:val="0"/>
                <w:i w:val="0"/>
                <w:color w:val="212121"/>
                <w:sz w:val="19"/>
              </w:rPr>
              <w:t>Obese adults with cardiometabolic risk</w:t>
            </w:r>
          </w:p>
        </w:tc>
        <w:tc>
          <w:tcPr>
            <w:tcW w:type="dxa" w:w="4276"/>
            <w:vAlign w:val="top"/>
          </w:tcPr>
          <w:p>
            <w:pPr>
              <w:spacing w:after="60" w:line="259" w:lineRule="auto"/>
            </w:pPr>
            <w:r>
              <w:rPr>
                <w:rFonts w:ascii="Calibri" w:hAnsi="Calibri"/>
                <w:b w:val="0"/>
                <w:i w:val="0"/>
                <w:color w:val="212121"/>
                <w:sz w:val="19"/>
              </w:rPr>
              <w:t>Beyond mechanical loading, the pro-inflammatory, insulin-resistant state of obesity and metabolic syndrome impairs tendon health and healing, predicting a more chronic and treatment-resistant course.</w:t>
            </w:r>
          </w:p>
          <w:p>
            <w:pPr>
              <w:spacing w:after="40" w:before="60" w:line="259" w:lineRule="auto"/>
            </w:pPr>
            <w:r>
              <w:rPr>
                <w:rFonts w:ascii="Calibri" w:hAnsi="Calibri"/>
                <w:b w:val="0"/>
                <w:i w:val="0"/>
                <w:color w:val="212121"/>
                <w:sz w:val="19"/>
              </w:rPr>
              <w:t>Obesity is an independent determinant of medial epicondylitis and a risk factor for needing surgery after a failed therapeutic injection.</w:t>
            </w:r>
          </w:p>
          <w:p>
            <w:pPr>
              <w:spacing w:after="40" w:line="252" w:lineRule="auto"/>
            </w:pPr>
            <w:hyperlink r:id="rId11">
              <w:r>
                <w:rPr>
                  <w:rFonts w:ascii="Calibri" w:hAnsi="Calibri" w:cs="Calibri"/>
                  <w:sz w:val="18"/>
                  <w:color w:val="1155CC"/>
                  <w:u w:val="single"/>
                </w:rPr>
                <w:t xml:space="preserve">pubmed.ncbi.nlm.nih.gov/28862069 — risk factors for surgery in epicondylitis</w:t>
              </w:r>
            </w:hyperlink>
          </w:p>
          <w:p>
            <w:pPr>
              <w:spacing w:before="60" w:after="40"/>
            </w:pPr>
            <w:r>
              <w:rPr>
                <w:rFonts w:ascii="Calibri" w:hAnsi="Calibri"/>
                <w:b w:val="0"/>
                <w:i w:val="0"/>
                <w:color w:val="5A5A5A"/>
                <w:sz w:val="18"/>
              </w:rPr>
              <w:t>#obesity  #metabolicsyndrome  #inflammation  #refractory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Other upper-limb tendinopathies</w:t>
            </w:r>
          </w:p>
        </w:tc>
        <w:tc>
          <w:tcPr>
            <w:tcW w:type="dxa" w:w="2160"/>
            <w:vAlign w:val="top"/>
          </w:tcPr>
          <w:p>
            <w:pPr>
              <w:spacing w:after="40" w:before="0" w:line="259" w:lineRule="auto"/>
            </w:pPr>
            <w:r>
              <w:rPr>
                <w:rFonts w:ascii="Calibri" w:hAnsi="Calibri"/>
                <w:b w:val="0"/>
                <w:i w:val="0"/>
                <w:color w:val="212121"/>
                <w:sz w:val="19"/>
              </w:rPr>
              <w:t>Patients with lateral epicondylitis, rotator cuff or wrist tendinopathy</w:t>
            </w:r>
          </w:p>
        </w:tc>
        <w:tc>
          <w:tcPr>
            <w:tcW w:type="dxa" w:w="4276"/>
            <w:vAlign w:val="top"/>
          </w:tcPr>
          <w:p>
            <w:pPr>
              <w:spacing w:after="60" w:line="259" w:lineRule="auto"/>
            </w:pPr>
            <w:r>
              <w:rPr>
                <w:rFonts w:ascii="Calibri" w:hAnsi="Calibri"/>
                <w:b w:val="0"/>
                <w:i w:val="0"/>
                <w:color w:val="212121"/>
                <w:sz w:val="19"/>
              </w:rPr>
              <w:t>Medial epicondylitis shares its degenerative overuse biology with lateral epicondylitis, rotator cuff tendinopathy, De Quervain's and other flexor tendinopathies; these frequently coexist, particularly in manual workers and in metabolic disease.</w:t>
            </w:r>
          </w:p>
          <w:p>
            <w:pPr>
              <w:spacing w:after="40" w:before="60" w:line="259" w:lineRule="auto"/>
            </w:pPr>
            <w:r>
              <w:rPr>
                <w:rFonts w:ascii="Calibri" w:hAnsi="Calibri"/>
                <w:b w:val="0"/>
                <w:i w:val="0"/>
                <w:color w:val="212121"/>
                <w:sz w:val="19"/>
              </w:rPr>
              <w:t>Medial epicondylitis shares degenerative tendon pathology with other upper-limb tendinopathies, which are more frequent and often multi-site in metabolic disorders.</w:t>
            </w:r>
          </w:p>
          <w:p>
            <w:pPr>
              <w:spacing w:after="40" w:line="252" w:lineRule="auto"/>
            </w:pPr>
            <w:hyperlink r:id="rId12">
              <w:r>
                <w:rPr>
                  <w:rFonts w:ascii="Calibri" w:hAnsi="Calibri" w:cs="Calibri"/>
                  <w:sz w:val="18"/>
                  <w:color w:val="1155CC"/>
                  <w:u w:val="single"/>
                </w:rPr>
                <w:t xml:space="preserve">pubmed.ncbi.nlm.nih.gov/40937086 — metabolic disorders &amp; tendinopathies meta-analysis</w:t>
              </w:r>
            </w:hyperlink>
          </w:p>
          <w:p>
            <w:pPr>
              <w:spacing w:before="60" w:after="40"/>
            </w:pPr>
            <w:r>
              <w:rPr>
                <w:rFonts w:ascii="Calibri" w:hAnsi="Calibri"/>
                <w:b w:val="0"/>
                <w:i w:val="0"/>
                <w:color w:val="5A5A5A"/>
                <w:sz w:val="18"/>
              </w:rPr>
              <w:t>#tennisepicondyle  #rotatorcuff  #deQuervain  #multisite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Repetitive forceful wrist flexion and forearm pronation with eccentric overload of the flexor-pronator origin is the primary driver of medial epicondylitis; conversely, graded eccentric and isometric loading is the evidence-based core of rehabilitation, so activity is both cause and cure depending on how it is dosed.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 diet causes medial epicondylitis, but adequate protein and vitamin C support collagen repair, while hyperglycaemia and the metabolic milieu of diabetes and obesity impair tendon healing and raise risk.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or short sleep impairs tissue repair and amplifies pain perception; its role is indirect, chiefly slowing recovery and worsening chronic pain rather than causing the tendinosis.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is an independent determinant of epicondylitis and impairs tendon microcirculation and collagen healing, contributing to more refractory disease and poorer treatment response.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established causal role in medial epicondylitis; heavy intake acts indirectly by worsening nutrition, weight and metabolic control and impairing recovery.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pain and activity or work limitation lower mood, and psychological distress and catastrophising prolong pain and reduce rehabilitation adherence; the relationship is largely a consequence of persistent symptoms.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soft-tissue and connective-tissue health, but there is no direct evidence linking water intake to medial epicondylitis risk or recovery.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association with medial epicondylitis; excess caffeine may marginally impair sleep and recovery, an indirect and minor effect.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is not relevant to the tendinopathy itself but matters peri-procedurally - aseptic technique for corticosteroid or platelet-rich plasma injection and for surgery reduces infection risk.</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Specific repetitive tasks and sports - forceful gripping, hammering, wringing, digging, the golf swing, throwing and racquet strokes - directly provoke and perpetuate symptoms and are the key modifiable exposure to control.</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Sustained non-neutral wrist and forearm posture, poor swing or throwing technique and ill-fitted tools or grips increase eccentric strain on the flexor-pronator origin; ergonomic and technique correction reduces load.</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Grip strength (dynamometer, affected vs unaffected)</w:t>
            </w:r>
          </w:p>
        </w:tc>
        <w:tc>
          <w:tcPr>
            <w:tcW w:type="dxa" w:w="1655"/>
            <w:vAlign w:val="top"/>
          </w:tcPr>
          <w:p>
            <w:pPr>
              <w:spacing w:after="40" w:before="0" w:line="259" w:lineRule="auto"/>
            </w:pPr>
            <w:r>
              <w:rPr>
                <w:rFonts w:ascii="Calibri" w:hAnsi="Calibri"/>
                <w:b w:val="0"/>
                <w:i w:val="0"/>
                <w:color w:val="212121"/>
                <w:sz w:val="19"/>
              </w:rPr>
              <w:t>Adults with medial elbow pain</w:t>
            </w:r>
          </w:p>
        </w:tc>
        <w:tc>
          <w:tcPr>
            <w:tcW w:type="dxa" w:w="1512"/>
            <w:vAlign w:val="top"/>
          </w:tcPr>
          <w:p>
            <w:pPr>
              <w:spacing w:after="40" w:before="0" w:line="259" w:lineRule="auto"/>
            </w:pPr>
            <w:r>
              <w:rPr>
                <w:rFonts w:ascii="Calibri" w:hAnsi="Calibri"/>
                <w:b w:val="0"/>
                <w:i w:val="0"/>
                <w:color w:val="212121"/>
                <w:sz w:val="19"/>
              </w:rPr>
              <w:t>Within ~10% of the unaffected side</w:t>
            </w:r>
          </w:p>
        </w:tc>
        <w:tc>
          <w:tcPr>
            <w:tcW w:type="dxa" w:w="1512"/>
            <w:vAlign w:val="top"/>
          </w:tcPr>
          <w:p>
            <w:pPr>
              <w:spacing w:after="40" w:before="0" w:line="259" w:lineRule="auto"/>
            </w:pPr>
            <w:r>
              <w:rPr>
                <w:rFonts w:ascii="Calibri" w:hAnsi="Calibri"/>
                <w:b w:val="0"/>
                <w:i w:val="0"/>
                <w:color w:val="212121"/>
                <w:sz w:val="19"/>
              </w:rPr>
              <w:t>&gt;10-20% deficit or pain-limited grip</w:t>
            </w:r>
          </w:p>
        </w:tc>
        <w:tc>
          <w:tcPr>
            <w:tcW w:type="dxa" w:w="1468"/>
            <w:vAlign w:val="top"/>
          </w:tcPr>
          <w:p>
            <w:pPr>
              <w:spacing w:after="40" w:before="0" w:line="259" w:lineRule="auto"/>
            </w:pPr>
            <w:r>
              <w:rPr>
                <w:rFonts w:ascii="Calibri" w:hAnsi="Calibri"/>
                <w:b w:val="0"/>
                <w:i w:val="0"/>
                <w:color w:val="212121"/>
                <w:sz w:val="19"/>
              </w:rPr>
              <w:t>Painful grip weakness reflects flexor-pronator dysfunction and tracks severity/recovery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forceful/repetitive gripping exposure</w:t>
            </w:r>
          </w:p>
        </w:tc>
        <w:tc>
          <w:tcPr>
            <w:tcW w:type="dxa" w:w="1655"/>
            <w:vAlign w:val="top"/>
          </w:tcPr>
          <w:p>
            <w:pPr>
              <w:spacing w:after="40" w:before="0" w:line="259" w:lineRule="auto"/>
            </w:pPr>
            <w:r>
              <w:rPr>
                <w:rFonts w:ascii="Calibri" w:hAnsi="Calibri"/>
                <w:b w:val="0"/>
                <w:i w:val="0"/>
                <w:color w:val="212121"/>
                <w:sz w:val="19"/>
              </w:rPr>
              <w:t>Manual &amp; assembly workers</w:t>
            </w:r>
          </w:p>
        </w:tc>
        <w:tc>
          <w:tcPr>
            <w:tcW w:type="dxa" w:w="1512"/>
            <w:vAlign w:val="top"/>
          </w:tcPr>
          <w:p>
            <w:pPr>
              <w:spacing w:after="40" w:before="0" w:line="259" w:lineRule="auto"/>
            </w:pPr>
            <w:r>
              <w:rPr>
                <w:rFonts w:ascii="Calibri" w:hAnsi="Calibri"/>
                <w:b w:val="0"/>
                <w:i w:val="0"/>
                <w:color w:val="212121"/>
                <w:sz w:val="19"/>
              </w:rPr>
              <w:t>Task rotation with regular micro-breaks</w:t>
            </w:r>
          </w:p>
        </w:tc>
        <w:tc>
          <w:tcPr>
            <w:tcW w:type="dxa" w:w="1512"/>
            <w:vAlign w:val="top"/>
          </w:tcPr>
          <w:p>
            <w:pPr>
              <w:spacing w:after="40" w:before="0" w:line="259" w:lineRule="auto"/>
            </w:pPr>
            <w:r>
              <w:rPr>
                <w:rFonts w:ascii="Calibri" w:hAnsi="Calibri"/>
                <w:b w:val="0"/>
                <w:i w:val="0"/>
                <w:color w:val="212121"/>
                <w:sz w:val="19"/>
              </w:rPr>
              <w:t>Prolonged uninterrupted forceful gripping</w:t>
            </w:r>
          </w:p>
        </w:tc>
        <w:tc>
          <w:tcPr>
            <w:tcW w:type="dxa" w:w="1468"/>
            <w:vAlign w:val="top"/>
          </w:tcPr>
          <w:p>
            <w:pPr>
              <w:spacing w:after="60" w:line="259" w:lineRule="auto"/>
            </w:pPr>
            <w:r>
              <w:rPr>
                <w:rFonts w:ascii="Calibri" w:hAnsi="Calibri"/>
                <w:b w:val="0"/>
                <w:i w:val="0"/>
                <w:color w:val="212121"/>
                <w:sz w:val="19"/>
              </w:rPr>
              <w:t>Sustained forceful repetition is a strong determinant of medial epicondylitis</w:t>
            </w:r>
          </w:p>
          <w:p>
            <w:pPr>
              <w:spacing w:after="40" w:line="252" w:lineRule="auto"/>
            </w:pPr>
            <w:hyperlink r:id="rId9">
              <w:r>
                <w:rPr>
                  <w:rFonts w:ascii="Calibri" w:hAnsi="Calibri" w:cs="Calibri"/>
                  <w:sz w:val="18"/>
                  <w:color w:val="1155CC"/>
                  <w:u w:val="single"/>
                </w:rPr>
                <w:t xml:space="preserve">https://pubmed.ncbi.nlm.nih.gov/16968862/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Eccentric/isometric flexor-pronator rehab</w:t>
            </w:r>
          </w:p>
        </w:tc>
        <w:tc>
          <w:tcPr>
            <w:tcW w:type="dxa" w:w="1655"/>
            <w:vAlign w:val="top"/>
          </w:tcPr>
          <w:p>
            <w:pPr>
              <w:spacing w:after="40" w:before="0" w:line="259" w:lineRule="auto"/>
            </w:pPr>
            <w:r>
              <w:rPr>
                <w:rFonts w:ascii="Calibri" w:hAnsi="Calibri"/>
                <w:b w:val="0"/>
                <w:i w:val="0"/>
                <w:color w:val="212121"/>
                <w:sz w:val="19"/>
              </w:rPr>
              <w:t>Patients in rehabilitation</w:t>
            </w:r>
          </w:p>
        </w:tc>
        <w:tc>
          <w:tcPr>
            <w:tcW w:type="dxa" w:w="1512"/>
            <w:vAlign w:val="top"/>
          </w:tcPr>
          <w:p>
            <w:pPr>
              <w:spacing w:after="40" w:before="0" w:line="259" w:lineRule="auto"/>
            </w:pPr>
            <w:r>
              <w:rPr>
                <w:rFonts w:ascii="Calibri" w:hAnsi="Calibri"/>
                <w:b w:val="0"/>
                <w:i w:val="0"/>
                <w:color w:val="212121"/>
                <w:sz w:val="19"/>
              </w:rPr>
              <w:t>Progressive loading most days (about 3-7 sessions/week)</w:t>
            </w:r>
          </w:p>
        </w:tc>
        <w:tc>
          <w:tcPr>
            <w:tcW w:type="dxa" w:w="1512"/>
            <w:vAlign w:val="top"/>
          </w:tcPr>
          <w:p>
            <w:pPr>
              <w:spacing w:after="40" w:before="0" w:line="259" w:lineRule="auto"/>
            </w:pPr>
            <w:r>
              <w:rPr>
                <w:rFonts w:ascii="Calibri" w:hAnsi="Calibri"/>
                <w:b w:val="0"/>
                <w:i w:val="0"/>
                <w:color w:val="212121"/>
                <w:sz w:val="19"/>
              </w:rPr>
              <w:t>No loading, or overload flares</w:t>
            </w:r>
          </w:p>
        </w:tc>
        <w:tc>
          <w:tcPr>
            <w:tcW w:type="dxa" w:w="1468"/>
            <w:vAlign w:val="top"/>
          </w:tcPr>
          <w:p>
            <w:pPr>
              <w:spacing w:after="40" w:before="0" w:line="259" w:lineRule="auto"/>
            </w:pPr>
            <w:r>
              <w:rPr>
                <w:rFonts w:ascii="Calibri" w:hAnsi="Calibri"/>
                <w:b w:val="0"/>
                <w:i w:val="0"/>
                <w:color w:val="212121"/>
                <w:sz w:val="19"/>
              </w:rPr>
              <w:t>Graded loading is the evidence-based core of tendinopathy rehabilitation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(Asian cut-offs)</w:t>
            </w:r>
          </w:p>
        </w:tc>
        <w:tc>
          <w:tcPr>
            <w:tcW w:type="dxa" w:w="1655"/>
            <w:vAlign w:val="top"/>
          </w:tcPr>
          <w:p>
            <w:pPr>
              <w:spacing w:after="40" w:before="0" w:line="259" w:lineRule="auto"/>
            </w:pPr>
            <w:r>
              <w:rPr>
                <w:rFonts w:ascii="Calibri" w:hAnsi="Calibri"/>
                <w:b w:val="0"/>
                <w:i w:val="0"/>
                <w:color w:val="212121"/>
                <w:sz w:val="19"/>
              </w:rPr>
              <w:t>Indian adults</w:t>
            </w:r>
          </w:p>
        </w:tc>
        <w:tc>
          <w:tcPr>
            <w:tcW w:type="dxa" w:w="1512"/>
            <w:vAlign w:val="top"/>
          </w:tcPr>
          <w:p>
            <w:pPr>
              <w:spacing w:after="40" w:before="0" w:line="259" w:lineRule="auto"/>
            </w:pPr>
            <w:r>
              <w:rPr>
                <w:rFonts w:ascii="Calibri" w:hAnsi="Calibri"/>
                <w:b w:val="0"/>
                <w:i w:val="0"/>
                <w:color w:val="212121"/>
                <w:sz w:val="19"/>
              </w:rPr>
              <w:t>18.5-22.9 kg/m2</w:t>
            </w:r>
          </w:p>
        </w:tc>
        <w:tc>
          <w:tcPr>
            <w:tcW w:type="dxa" w:w="1512"/>
            <w:vAlign w:val="top"/>
          </w:tcPr>
          <w:p>
            <w:pPr>
              <w:spacing w:after="40" w:before="0" w:line="259" w:lineRule="auto"/>
            </w:pPr>
            <w:r>
              <w:rPr>
                <w:rFonts w:ascii="Calibri" w:hAnsi="Calibri"/>
                <w:b w:val="0"/>
                <w:i w:val="0"/>
                <w:color w:val="212121"/>
                <w:sz w:val="19"/>
              </w:rPr>
              <w:t>&gt;=23 kg/m2 (overweight); &gt;=25 obese</w:t>
            </w:r>
          </w:p>
        </w:tc>
        <w:tc>
          <w:tcPr>
            <w:tcW w:type="dxa" w:w="1468"/>
            <w:vAlign w:val="top"/>
          </w:tcPr>
          <w:p>
            <w:pPr>
              <w:spacing w:after="60" w:line="259" w:lineRule="auto"/>
            </w:pPr>
            <w:r>
              <w:rPr>
                <w:rFonts w:ascii="Calibri" w:hAnsi="Calibri"/>
                <w:b w:val="0"/>
                <w:i w:val="0"/>
                <w:color w:val="212121"/>
                <w:sz w:val="19"/>
              </w:rPr>
              <w:t>Obesity is an independent determinant and predicts more refractory disease</w:t>
            </w:r>
          </w:p>
          <w:p>
            <w:pPr>
              <w:spacing w:after="40" w:line="252" w:lineRule="auto"/>
            </w:pPr>
            <w:hyperlink r:id="rId9">
              <w:r>
                <w:rPr>
                  <w:rFonts w:ascii="Calibri" w:hAnsi="Calibri" w:cs="Calibri"/>
                  <w:sz w:val="18"/>
                  <w:color w:val="1155CC"/>
                  <w:u w:val="single"/>
                </w:rPr>
                <w:t xml:space="preserve">https://pubmed.ncbi.nlm.nih.gov/16968862/</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plasma glucose</w:t>
            </w:r>
          </w:p>
        </w:tc>
        <w:tc>
          <w:tcPr>
            <w:tcW w:type="dxa" w:w="1655"/>
            <w:vAlign w:val="top"/>
          </w:tcPr>
          <w:p>
            <w:pPr>
              <w:spacing w:after="40" w:before="0" w:line="259" w:lineRule="auto"/>
            </w:pPr>
            <w:r>
              <w:rPr>
                <w:rFonts w:ascii="Calibri" w:hAnsi="Calibri"/>
                <w:b w:val="0"/>
                <w:i w:val="0"/>
                <w:color w:val="212121"/>
                <w:sz w:val="19"/>
              </w:rPr>
              <w:t>At-risk / diabetic patients, refractory cases</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&gt;=126 mg/dL</w:t>
            </w:r>
          </w:p>
        </w:tc>
        <w:tc>
          <w:tcPr>
            <w:tcW w:type="dxa" w:w="1468"/>
            <w:vAlign w:val="top"/>
          </w:tcPr>
          <w:p>
            <w:pPr>
              <w:spacing w:after="40" w:before="0" w:line="259" w:lineRule="auto"/>
            </w:pPr>
            <w:r>
              <w:rPr>
                <w:rFonts w:ascii="Calibri" w:hAnsi="Calibri"/>
                <w:b w:val="0"/>
                <w:i w:val="0"/>
                <w:color w:val="212121"/>
                <w:sz w:val="19"/>
              </w:rPr>
              <w:t>Hyperglycaemia impairs tendon collagen; screen in bilateral/multi-site or resistant disease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HbA1c</w:t>
            </w:r>
          </w:p>
        </w:tc>
        <w:tc>
          <w:tcPr>
            <w:tcW w:type="dxa" w:w="1655"/>
            <w:vAlign w:val="top"/>
          </w:tcPr>
          <w:p>
            <w:pPr>
              <w:spacing w:after="40" w:before="0" w:line="259" w:lineRule="auto"/>
            </w:pPr>
            <w:r>
              <w:rPr>
                <w:rFonts w:ascii="Calibri" w:hAnsi="Calibri"/>
                <w:b w:val="0"/>
                <w:i w:val="0"/>
                <w:color w:val="212121"/>
                <w:sz w:val="19"/>
              </w:rPr>
              <w:t>Diabetic patients with tendinopathy</w:t>
            </w:r>
          </w:p>
        </w:tc>
        <w:tc>
          <w:tcPr>
            <w:tcW w:type="dxa" w:w="1512"/>
            <w:vAlign w:val="top"/>
          </w:tcPr>
          <w:p>
            <w:pPr>
              <w:spacing w:after="40" w:before="0" w:line="259" w:lineRule="auto"/>
            </w:pPr>
            <w:r>
              <w:rPr>
                <w:rFonts w:ascii="Calibri" w:hAnsi="Calibri"/>
                <w:b w:val="0"/>
                <w:i w:val="0"/>
                <w:color w:val="212121"/>
                <w:sz w:val="19"/>
              </w:rPr>
              <w:t>&lt;5.7%</w:t>
            </w:r>
          </w:p>
        </w:tc>
        <w:tc>
          <w:tcPr>
            <w:tcW w:type="dxa" w:w="1512"/>
            <w:vAlign w:val="top"/>
          </w:tcPr>
          <w:p>
            <w:pPr>
              <w:spacing w:after="40" w:before="0" w:line="259" w:lineRule="auto"/>
            </w:pPr>
            <w:r>
              <w:rPr>
                <w:rFonts w:ascii="Calibri" w:hAnsi="Calibri"/>
                <w:b w:val="0"/>
                <w:i w:val="0"/>
                <w:color w:val="212121"/>
                <w:sz w:val="19"/>
              </w:rPr>
              <w:t>&gt;=6.5%</w:t>
            </w:r>
          </w:p>
        </w:tc>
        <w:tc>
          <w:tcPr>
            <w:tcW w:type="dxa" w:w="1468"/>
            <w:vAlign w:val="top"/>
          </w:tcPr>
          <w:p>
            <w:pPr>
              <w:spacing w:after="60" w:line="259" w:lineRule="auto"/>
            </w:pPr>
            <w:r>
              <w:rPr>
                <w:rFonts w:ascii="Calibri" w:hAnsi="Calibri"/>
                <w:b w:val="0"/>
                <w:i w:val="0"/>
                <w:color w:val="212121"/>
                <w:sz w:val="19"/>
              </w:rPr>
              <w:t>Poor glycaemic control is linked to upper-limb tendinopathy and slower healing</w:t>
            </w:r>
          </w:p>
          <w:p>
            <w:pPr>
              <w:spacing w:after="40" w:line="252" w:lineRule="auto"/>
            </w:pPr>
            <w:hyperlink r:id="rId12">
              <w:r>
                <w:rPr>
                  <w:rFonts w:ascii="Calibri" w:hAnsi="Calibri" w:cs="Calibri"/>
                  <w:sz w:val="18"/>
                  <w:color w:val="1155CC"/>
                  <w:u w:val="single"/>
                </w:rPr>
                <w:t xml:space="preserve">https://pubmed.ncbi.nlm.nih.gov/40937086/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protein intake</w:t>
            </w:r>
          </w:p>
        </w:tc>
        <w:tc>
          <w:tcPr>
            <w:tcW w:type="dxa" w:w="1655"/>
            <w:vAlign w:val="top"/>
          </w:tcPr>
          <w:p>
            <w:pPr>
              <w:spacing w:after="40" w:before="0" w:line="259" w:lineRule="auto"/>
            </w:pPr>
            <w:r>
              <w:rPr>
                <w:rFonts w:ascii="Calibri" w:hAnsi="Calibri"/>
                <w:b w:val="0"/>
                <w:i w:val="0"/>
                <w:color w:val="212121"/>
                <w:sz w:val="19"/>
              </w:rPr>
              <w:t>Adults, older adults, vegetarians</w:t>
            </w:r>
          </w:p>
        </w:tc>
        <w:tc>
          <w:tcPr>
            <w:tcW w:type="dxa" w:w="1512"/>
            <w:vAlign w:val="top"/>
          </w:tcPr>
          <w:p>
            <w:pPr>
              <w:spacing w:after="40" w:before="0" w:line="259" w:lineRule="auto"/>
            </w:pPr>
            <w:r>
              <w:rPr>
                <w:rFonts w:ascii="Calibri" w:hAnsi="Calibri"/>
                <w:b w:val="0"/>
                <w:i w:val="0"/>
                <w:color w:val="212121"/>
                <w:sz w:val="19"/>
              </w:rPr>
              <w:t>~1.0-1.2 g/kg/day</w:t>
            </w:r>
          </w:p>
        </w:tc>
        <w:tc>
          <w:tcPr>
            <w:tcW w:type="dxa" w:w="1512"/>
            <w:vAlign w:val="top"/>
          </w:tcPr>
          <w:p>
            <w:pPr>
              <w:spacing w:after="40" w:before="0" w:line="259" w:lineRule="auto"/>
            </w:pPr>
            <w:r>
              <w:rPr>
                <w:rFonts w:ascii="Calibri" w:hAnsi="Calibri"/>
                <w:b w:val="0"/>
                <w:i w:val="0"/>
                <w:color w:val="212121"/>
                <w:sz w:val="19"/>
              </w:rPr>
              <w:t>&lt;0.8 g/kg/day</w:t>
            </w:r>
          </w:p>
        </w:tc>
        <w:tc>
          <w:tcPr>
            <w:tcW w:type="dxa" w:w="1468"/>
            <w:vAlign w:val="top"/>
          </w:tcPr>
          <w:p>
            <w:pPr>
              <w:spacing w:after="40" w:before="0" w:line="259" w:lineRule="auto"/>
            </w:pPr>
            <w:r>
              <w:rPr>
                <w:rFonts w:ascii="Calibri" w:hAnsi="Calibri"/>
                <w:b w:val="0"/>
                <w:i w:val="0"/>
                <w:color w:val="212121"/>
                <w:sz w:val="19"/>
              </w:rPr>
              <w:t>Adequate protein supports collagen synthesis and tendon repair</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Adults recovering from tendinopathy</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&lt;6 hours/night</w:t>
            </w:r>
          </w:p>
        </w:tc>
        <w:tc>
          <w:tcPr>
            <w:tcW w:type="dxa" w:w="1468"/>
            <w:vAlign w:val="top"/>
          </w:tcPr>
          <w:p>
            <w:pPr>
              <w:spacing w:after="40" w:before="0" w:line="259" w:lineRule="auto"/>
            </w:pPr>
            <w:r>
              <w:rPr>
                <w:rFonts w:ascii="Calibri" w:hAnsi="Calibri"/>
                <w:b w:val="0"/>
                <w:i w:val="0"/>
                <w:color w:val="212121"/>
                <w:sz w:val="19"/>
              </w:rPr>
              <w:t>Short sleep impairs tissue repair and heightens pain perception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&gt;=1 cigarette/day</w:t>
            </w:r>
          </w:p>
        </w:tc>
        <w:tc>
          <w:tcPr>
            <w:tcW w:type="dxa" w:w="1468"/>
            <w:vAlign w:val="top"/>
          </w:tcPr>
          <w:p>
            <w:pPr>
              <w:spacing w:after="60" w:line="259" w:lineRule="auto"/>
            </w:pPr>
            <w:r>
              <w:rPr>
                <w:rFonts w:ascii="Calibri" w:hAnsi="Calibri"/>
                <w:b w:val="0"/>
                <w:i w:val="0"/>
                <w:color w:val="212121"/>
                <w:sz w:val="19"/>
              </w:rPr>
              <w:t>Smoking impairs tendon microcirculation and healing and predicts recalcitrant disease</w:t>
            </w:r>
          </w:p>
          <w:p>
            <w:pPr>
              <w:spacing w:after="40" w:line="252" w:lineRule="auto"/>
            </w:pPr>
            <w:hyperlink r:id="rId9">
              <w:r>
                <w:rPr>
                  <w:rFonts w:ascii="Calibri" w:hAnsi="Calibri" w:cs="Calibri"/>
                  <w:sz w:val="18"/>
                  <w:color w:val="1155CC"/>
                  <w:u w:val="single"/>
                </w:rPr>
                <w:t xml:space="preserve">https://pubmed.ncbi.nlm.nih.gov/16968862/</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&lt;=7 units/week</w:t>
            </w:r>
          </w:p>
        </w:tc>
        <w:tc>
          <w:tcPr>
            <w:tcW w:type="dxa" w:w="1512"/>
            <w:vAlign w:val="top"/>
          </w:tcPr>
          <w:p>
            <w:pPr>
              <w:spacing w:after="40" w:before="0" w:line="259" w:lineRule="auto"/>
            </w:pPr>
            <w:r>
              <w:rPr>
                <w:rFonts w:ascii="Calibri" w:hAnsi="Calibri"/>
                <w:b w:val="0"/>
                <w:i w:val="0"/>
                <w:color w:val="212121"/>
                <w:sz w:val="19"/>
              </w:rPr>
              <w:t>&gt;14 units/week</w:t>
            </w:r>
          </w:p>
        </w:tc>
        <w:tc>
          <w:tcPr>
            <w:tcW w:type="dxa" w:w="1468"/>
            <w:vAlign w:val="top"/>
          </w:tcPr>
          <w:p>
            <w:pPr>
              <w:spacing w:after="40" w:before="0" w:line="259" w:lineRule="auto"/>
            </w:pPr>
            <w:r>
              <w:rPr>
                <w:rFonts w:ascii="Calibri" w:hAnsi="Calibri"/>
                <w:b w:val="0"/>
                <w:i w:val="0"/>
                <w:color w:val="212121"/>
                <w:sz w:val="19"/>
              </w:rPr>
              <w:t>Excess alcohol impairs nutrition, weight control and tissue recovery</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Wrist posture during tasks</w:t>
            </w:r>
          </w:p>
        </w:tc>
        <w:tc>
          <w:tcPr>
            <w:tcW w:type="dxa" w:w="1655"/>
            <w:vAlign w:val="top"/>
          </w:tcPr>
          <w:p>
            <w:pPr>
              <w:spacing w:after="40" w:before="0" w:line="259" w:lineRule="auto"/>
            </w:pPr>
            <w:r>
              <w:rPr>
                <w:rFonts w:ascii="Calibri" w:hAnsi="Calibri"/>
                <w:b w:val="0"/>
                <w:i w:val="0"/>
                <w:color w:val="212121"/>
                <w:sz w:val="19"/>
              </w:rPr>
              <w:t>Office &amp; manual workers</w:t>
            </w:r>
          </w:p>
        </w:tc>
        <w:tc>
          <w:tcPr>
            <w:tcW w:type="dxa" w:w="1512"/>
            <w:vAlign w:val="top"/>
          </w:tcPr>
          <w:p>
            <w:pPr>
              <w:spacing w:after="40" w:before="0" w:line="259" w:lineRule="auto"/>
            </w:pPr>
            <w:r>
              <w:rPr>
                <w:rFonts w:ascii="Calibri" w:hAnsi="Calibri"/>
                <w:b w:val="0"/>
                <w:i w:val="0"/>
                <w:color w:val="212121"/>
                <w:sz w:val="19"/>
              </w:rPr>
              <w:t>Neutral wrist (about 0-15 degrees)</w:t>
            </w:r>
          </w:p>
        </w:tc>
        <w:tc>
          <w:tcPr>
            <w:tcW w:type="dxa" w:w="1512"/>
            <w:vAlign w:val="top"/>
          </w:tcPr>
          <w:p>
            <w:pPr>
              <w:spacing w:after="40" w:before="0" w:line="259" w:lineRule="auto"/>
            </w:pPr>
            <w:r>
              <w:rPr>
                <w:rFonts w:ascii="Calibri" w:hAnsi="Calibri"/>
                <w:b w:val="0"/>
                <w:i w:val="0"/>
                <w:color w:val="212121"/>
                <w:sz w:val="19"/>
              </w:rPr>
              <w:t>Sustained flexion / ulnar-radial deviation</w:t>
            </w:r>
          </w:p>
        </w:tc>
        <w:tc>
          <w:tcPr>
            <w:tcW w:type="dxa" w:w="1468"/>
            <w:vAlign w:val="top"/>
          </w:tcPr>
          <w:p>
            <w:pPr>
              <w:spacing w:after="40" w:before="0" w:line="259" w:lineRule="auto"/>
            </w:pPr>
            <w:r>
              <w:rPr>
                <w:rFonts w:ascii="Calibri" w:hAnsi="Calibri"/>
                <w:b w:val="0"/>
                <w:i w:val="0"/>
                <w:color w:val="212121"/>
                <w:sz w:val="19"/>
              </w:rPr>
              <w:t>Non-neutral wrist posture increases flexor-pronator origin load</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Pain on resisted wrist flexion / pronation (VAS 0-10)</w:t>
            </w:r>
          </w:p>
        </w:tc>
        <w:tc>
          <w:tcPr>
            <w:tcW w:type="dxa" w:w="1655"/>
            <w:vAlign w:val="top"/>
          </w:tcPr>
          <w:p>
            <w:pPr>
              <w:spacing w:after="40" w:before="0" w:line="259" w:lineRule="auto"/>
            </w:pPr>
            <w:r>
              <w:rPr>
                <w:rFonts w:ascii="Calibri" w:hAnsi="Calibri"/>
                <w:b w:val="0"/>
                <w:i w:val="0"/>
                <w:color w:val="212121"/>
                <w:sz w:val="19"/>
              </w:rPr>
              <w:t>Patients with suspected medial epicondylitis</w:t>
            </w:r>
          </w:p>
        </w:tc>
        <w:tc>
          <w:tcPr>
            <w:tcW w:type="dxa" w:w="1512"/>
            <w:vAlign w:val="top"/>
          </w:tcPr>
          <w:p>
            <w:pPr>
              <w:spacing w:after="40" w:before="0" w:line="259" w:lineRule="auto"/>
            </w:pPr>
            <w:r>
              <w:rPr>
                <w:rFonts w:ascii="Calibri" w:hAnsi="Calibri"/>
                <w:b w:val="0"/>
                <w:i w:val="0"/>
                <w:color w:val="212121"/>
                <w:sz w:val="19"/>
              </w:rPr>
              <w:t>0 (no pain)</w:t>
            </w:r>
          </w:p>
        </w:tc>
        <w:tc>
          <w:tcPr>
            <w:tcW w:type="dxa" w:w="1512"/>
            <w:vAlign w:val="top"/>
          </w:tcPr>
          <w:p>
            <w:pPr>
              <w:spacing w:after="40" w:before="0" w:line="259" w:lineRule="auto"/>
            </w:pPr>
            <w:r>
              <w:rPr>
                <w:rFonts w:ascii="Calibri" w:hAnsi="Calibri"/>
                <w:b w:val="0"/>
                <w:i w:val="0"/>
                <w:color w:val="212121"/>
                <w:sz w:val="19"/>
              </w:rPr>
              <w:t>&gt;0 (positive provocation)</w:t>
            </w:r>
          </w:p>
        </w:tc>
        <w:tc>
          <w:tcPr>
            <w:tcW w:type="dxa" w:w="1468"/>
            <w:vAlign w:val="top"/>
          </w:tcPr>
          <w:p>
            <w:pPr>
              <w:spacing w:after="40" w:before="0" w:line="259" w:lineRule="auto"/>
            </w:pPr>
            <w:r>
              <w:rPr>
                <w:rFonts w:ascii="Calibri" w:hAnsi="Calibri"/>
                <w:b w:val="0"/>
                <w:i w:val="0"/>
                <w:color w:val="212121"/>
                <w:sz w:val="19"/>
              </w:rPr>
              <w:t>Provocation-test pain confirms the diagnosis and tracks treatment response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Plain radiograph (AP &amp; lateral elbow)</w:t>
            </w:r>
          </w:p>
        </w:tc>
        <w:tc>
          <w:tcPr>
            <w:tcW w:type="dxa" w:w="892"/>
            <w:vAlign w:val="top"/>
          </w:tcPr>
          <w:p>
            <w:pPr>
              <w:spacing w:after="40" w:before="0" w:line="259" w:lineRule="auto"/>
            </w:pPr>
            <w:r>
              <w:rPr>
                <w:rFonts w:ascii="Calibri" w:hAnsi="Calibri"/>
                <w:b w:val="0"/>
                <w:i w:val="0"/>
                <w:color w:val="212121"/>
                <w:sz w:val="16"/>
              </w:rPr>
              <w:t>X-ray</w:t>
            </w:r>
          </w:p>
        </w:tc>
        <w:tc>
          <w:tcPr>
            <w:tcW w:type="dxa" w:w="950"/>
            <w:vAlign w:val="top"/>
          </w:tcPr>
          <w:p>
            <w:pPr>
              <w:spacing w:after="40" w:before="0" w:line="259" w:lineRule="auto"/>
            </w:pPr>
            <w:r>
              <w:rPr>
                <w:rFonts w:ascii="Calibri" w:hAnsi="Calibri"/>
                <w:b w:val="0"/>
                <w:i w:val="0"/>
                <w:color w:val="212121"/>
                <w:sz w:val="16"/>
              </w:rPr>
              <w:t>Normal bony architecture</w:t>
            </w:r>
          </w:p>
        </w:tc>
        <w:tc>
          <w:tcPr>
            <w:tcW w:type="dxa" w:w="950"/>
            <w:vAlign w:val="top"/>
          </w:tcPr>
          <w:p>
            <w:pPr>
              <w:spacing w:after="40" w:before="0" w:line="259" w:lineRule="auto"/>
            </w:pPr>
            <w:r>
              <w:rPr>
                <w:rFonts w:ascii="Calibri" w:hAnsi="Calibri"/>
                <w:b w:val="0"/>
                <w:i w:val="0"/>
                <w:color w:val="212121"/>
                <w:sz w:val="16"/>
              </w:rPr>
              <w:t>Medial traction spur, soft-tissue calcification; arthritis/avulsion</w:t>
            </w:r>
          </w:p>
        </w:tc>
        <w:tc>
          <w:tcPr>
            <w:tcW w:type="dxa" w:w="1036"/>
            <w:vAlign w:val="top"/>
          </w:tcPr>
          <w:p>
            <w:pPr>
              <w:spacing w:after="40" w:before="0" w:line="259" w:lineRule="auto"/>
            </w:pPr>
            <w:r>
              <w:rPr>
                <w:rFonts w:ascii="Calibri" w:hAnsi="Calibri"/>
                <w:b w:val="0"/>
                <w:i w:val="0"/>
                <w:color w:val="212121"/>
                <w:sz w:val="16"/>
              </w:rPr>
              <w:t>Usually normal; excludes arthritis, loose body, avulsion and, in teens, apophyseal injury</w:t>
            </w:r>
          </w:p>
        </w:tc>
        <w:tc>
          <w:tcPr>
            <w:tcW w:type="dxa" w:w="1036"/>
            <w:vAlign w:val="top"/>
          </w:tcPr>
          <w:p>
            <w:pPr>
              <w:spacing w:after="40" w:before="0" w:line="259" w:lineRule="auto"/>
            </w:pPr>
            <w:r>
              <w:rPr>
                <w:rFonts w:ascii="Calibri" w:hAnsi="Calibri"/>
                <w:b w:val="0"/>
                <w:i w:val="0"/>
                <w:color w:val="212121"/>
                <w:sz w:val="16"/>
              </w:rPr>
              <w:t>Atypical, traumatic or refractory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Not required for a typical clinical presentation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Musculoskeletal ultrasound</w:t>
            </w:r>
          </w:p>
        </w:tc>
        <w:tc>
          <w:tcPr>
            <w:tcW w:type="dxa" w:w="892"/>
            <w:vAlign w:val="top"/>
          </w:tcPr>
          <w:p>
            <w:pPr>
              <w:spacing w:after="40" w:before="0" w:line="259" w:lineRule="auto"/>
            </w:pPr>
            <w:r>
              <w:rPr>
                <w:rFonts w:ascii="Calibri" w:hAnsi="Calibri"/>
                <w:b w:val="0"/>
                <w:i w:val="0"/>
                <w:color w:val="212121"/>
                <w:sz w:val="16"/>
              </w:rPr>
              <w:t>USG (with Doppler)</w:t>
            </w:r>
          </w:p>
        </w:tc>
        <w:tc>
          <w:tcPr>
            <w:tcW w:type="dxa" w:w="950"/>
            <w:vAlign w:val="top"/>
          </w:tcPr>
          <w:p>
            <w:pPr>
              <w:spacing w:after="40" w:before="0" w:line="259" w:lineRule="auto"/>
            </w:pPr>
            <w:r>
              <w:rPr>
                <w:rFonts w:ascii="Calibri" w:hAnsi="Calibri"/>
                <w:b w:val="0"/>
                <w:i w:val="0"/>
                <w:color w:val="212121"/>
                <w:sz w:val="16"/>
              </w:rPr>
              <w:t>Normal, fibrillar flexor-pronator tendon</w:t>
            </w:r>
          </w:p>
        </w:tc>
        <w:tc>
          <w:tcPr>
            <w:tcW w:type="dxa" w:w="950"/>
            <w:vAlign w:val="top"/>
          </w:tcPr>
          <w:p>
            <w:pPr>
              <w:spacing w:after="40" w:before="0" w:line="259" w:lineRule="auto"/>
            </w:pPr>
            <w:r>
              <w:rPr>
                <w:rFonts w:ascii="Calibri" w:hAnsi="Calibri"/>
                <w:b w:val="0"/>
                <w:i w:val="0"/>
                <w:color w:val="212121"/>
                <w:sz w:val="16"/>
              </w:rPr>
              <w:t>Hypoechoic thickening, neovascularity, partial tear at common flexor origin</w:t>
            </w:r>
          </w:p>
        </w:tc>
        <w:tc>
          <w:tcPr>
            <w:tcW w:type="dxa" w:w="1036"/>
            <w:vAlign w:val="top"/>
          </w:tcPr>
          <w:p>
            <w:pPr>
              <w:spacing w:after="40" w:before="0" w:line="259" w:lineRule="auto"/>
            </w:pPr>
            <w:r>
              <w:rPr>
                <w:rFonts w:ascii="Calibri" w:hAnsi="Calibri"/>
                <w:b w:val="0"/>
                <w:i w:val="0"/>
                <w:color w:val="212121"/>
                <w:sz w:val="16"/>
              </w:rPr>
              <w:t>First-line imaging; confirms tendinosis and grades severity; guides injection</w:t>
            </w:r>
          </w:p>
        </w:tc>
        <w:tc>
          <w:tcPr>
            <w:tcW w:type="dxa" w:w="1036"/>
            <w:vAlign w:val="top"/>
          </w:tcPr>
          <w:p>
            <w:pPr>
              <w:spacing w:after="40" w:before="0" w:line="259" w:lineRule="auto"/>
            </w:pPr>
            <w:r>
              <w:rPr>
                <w:rFonts w:ascii="Calibri" w:hAnsi="Calibri"/>
                <w:b w:val="0"/>
                <w:i w:val="0"/>
                <w:color w:val="212121"/>
                <w:sz w:val="16"/>
              </w:rPr>
              <w:t>Uncertain diagnosis, guided injection, refractory pain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Operator-dependent; Doppler neovascularity indicates active tendinosis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elbow</w:t>
            </w:r>
          </w:p>
        </w:tc>
        <w:tc>
          <w:tcPr>
            <w:tcW w:type="dxa" w:w="892"/>
            <w:vAlign w:val="top"/>
          </w:tcPr>
          <w:p>
            <w:pPr>
              <w:spacing w:after="40" w:before="0" w:line="259" w:lineRule="auto"/>
            </w:pPr>
            <w:r>
              <w:rPr>
                <w:rFonts w:ascii="Calibri" w:hAnsi="Calibri"/>
                <w:b w:val="0"/>
                <w:i w:val="0"/>
                <w:color w:val="212121"/>
                <w:sz w:val="16"/>
              </w:rPr>
              <w:t>MRI</w:t>
            </w:r>
          </w:p>
        </w:tc>
        <w:tc>
          <w:tcPr>
            <w:tcW w:type="dxa" w:w="950"/>
            <w:vAlign w:val="top"/>
          </w:tcPr>
          <w:p>
            <w:pPr>
              <w:spacing w:after="40" w:before="0" w:line="259" w:lineRule="auto"/>
            </w:pPr>
            <w:r>
              <w:rPr>
                <w:rFonts w:ascii="Calibri" w:hAnsi="Calibri"/>
                <w:b w:val="0"/>
                <w:i w:val="0"/>
                <w:color w:val="212121"/>
                <w:sz w:val="16"/>
              </w:rPr>
              <w:t>Normal tendon signal</w:t>
            </w:r>
          </w:p>
        </w:tc>
        <w:tc>
          <w:tcPr>
            <w:tcW w:type="dxa" w:w="950"/>
            <w:vAlign w:val="top"/>
          </w:tcPr>
          <w:p>
            <w:pPr>
              <w:spacing w:after="40" w:before="0" w:line="259" w:lineRule="auto"/>
            </w:pPr>
            <w:r>
              <w:rPr>
                <w:rFonts w:ascii="Calibri" w:hAnsi="Calibri"/>
                <w:b w:val="0"/>
                <w:i w:val="0"/>
                <w:color w:val="212121"/>
                <w:sz w:val="16"/>
              </w:rPr>
              <w:t>Increased T2 signal, tendon thickening/tear, marrow oedema; assess UCL &amp; ulnar nerve</w:t>
            </w:r>
          </w:p>
        </w:tc>
        <w:tc>
          <w:tcPr>
            <w:tcW w:type="dxa" w:w="1036"/>
            <w:vAlign w:val="top"/>
          </w:tcPr>
          <w:p>
            <w:pPr>
              <w:spacing w:after="40" w:before="0" w:line="259" w:lineRule="auto"/>
            </w:pPr>
            <w:r>
              <w:rPr>
                <w:rFonts w:ascii="Calibri" w:hAnsi="Calibri"/>
                <w:b w:val="0"/>
                <w:i w:val="0"/>
                <w:color w:val="212121"/>
                <w:sz w:val="16"/>
              </w:rPr>
              <w:t>Best for pre-surgical planning and for excluding UCL tear or other internal derangement</w:t>
            </w:r>
          </w:p>
        </w:tc>
        <w:tc>
          <w:tcPr>
            <w:tcW w:type="dxa" w:w="1036"/>
            <w:vAlign w:val="top"/>
          </w:tcPr>
          <w:p>
            <w:pPr>
              <w:spacing w:after="40" w:before="0" w:line="259" w:lineRule="auto"/>
            </w:pPr>
            <w:r>
              <w:rPr>
                <w:rFonts w:ascii="Calibri" w:hAnsi="Calibri"/>
                <w:b w:val="0"/>
                <w:i w:val="0"/>
                <w:color w:val="212121"/>
                <w:sz w:val="16"/>
              </w:rPr>
              <w:t>Recalcitrant, athletic or pre-operative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Problem-solving</w:t>
            </w:r>
          </w:p>
        </w:tc>
        <w:tc>
          <w:tcPr>
            <w:tcW w:type="dxa" w:w="720"/>
            <w:vAlign w:val="top"/>
          </w:tcPr>
          <w:p>
            <w:pPr>
              <w:spacing w:after="40" w:before="0" w:line="259" w:lineRule="auto"/>
            </w:pPr>
            <w:r>
              <w:rPr>
                <w:rFonts w:ascii="Calibri" w:hAnsi="Calibri"/>
                <w:b w:val="0"/>
                <w:i w:val="0"/>
                <w:color w:val="212121"/>
                <w:sz w:val="16"/>
              </w:rPr>
              <w:t>Reserved for atypical or treatment-resistant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Electrodiagnostics</w:t>
            </w:r>
          </w:p>
        </w:tc>
        <w:tc>
          <w:tcPr>
            <w:tcW w:type="dxa" w:w="1036"/>
            <w:vAlign w:val="top"/>
          </w:tcPr>
          <w:p>
            <w:pPr>
              <w:spacing w:after="40" w:before="0" w:line="259" w:lineRule="auto"/>
            </w:pPr>
            <w:r>
              <w:rPr>
                <w:rFonts w:ascii="Calibri" w:hAnsi="Calibri"/>
                <w:b w:val="0"/>
                <w:i w:val="0"/>
                <w:color w:val="212121"/>
                <w:sz w:val="16"/>
              </w:rPr>
              <w:t>Nerve conduction study / EMG (ulnar nerve)</w:t>
            </w:r>
          </w:p>
        </w:tc>
        <w:tc>
          <w:tcPr>
            <w:tcW w:type="dxa" w:w="892"/>
            <w:vAlign w:val="top"/>
          </w:tcPr>
          <w:p>
            <w:pPr>
              <w:spacing w:after="40" w:before="0" w:line="259" w:lineRule="auto"/>
            </w:pPr>
            <w:r>
              <w:rPr>
                <w:rFonts w:ascii="Calibri" w:hAnsi="Calibri"/>
                <w:b w:val="0"/>
                <w:i w:val="0"/>
                <w:color w:val="212121"/>
                <w:sz w:val="16"/>
              </w:rPr>
              <w:t>NCS-EMG</w:t>
            </w:r>
          </w:p>
        </w:tc>
        <w:tc>
          <w:tcPr>
            <w:tcW w:type="dxa" w:w="950"/>
            <w:vAlign w:val="top"/>
          </w:tcPr>
          <w:p>
            <w:pPr>
              <w:spacing w:after="40" w:before="0" w:line="259" w:lineRule="auto"/>
            </w:pPr>
            <w:r>
              <w:rPr>
                <w:rFonts w:ascii="Calibri" w:hAnsi="Calibri"/>
                <w:b w:val="0"/>
                <w:i w:val="0"/>
                <w:color w:val="212121"/>
                <w:sz w:val="16"/>
              </w:rPr>
              <w:t>Normal ulnar conduction across the elbow</w:t>
            </w:r>
          </w:p>
        </w:tc>
        <w:tc>
          <w:tcPr>
            <w:tcW w:type="dxa" w:w="950"/>
            <w:vAlign w:val="top"/>
          </w:tcPr>
          <w:p>
            <w:pPr>
              <w:spacing w:after="40" w:before="0" w:line="259" w:lineRule="auto"/>
            </w:pPr>
            <w:r>
              <w:rPr>
                <w:rFonts w:ascii="Calibri" w:hAnsi="Calibri"/>
                <w:b w:val="0"/>
                <w:i w:val="0"/>
                <w:color w:val="212121"/>
                <w:sz w:val="16"/>
              </w:rPr>
              <w:t>Conduction slowing/block at the cubital tunnel</w:t>
            </w:r>
          </w:p>
        </w:tc>
        <w:tc>
          <w:tcPr>
            <w:tcW w:type="dxa" w:w="1036"/>
            <w:vAlign w:val="top"/>
          </w:tcPr>
          <w:p>
            <w:pPr>
              <w:spacing w:after="40" w:before="0" w:line="259" w:lineRule="auto"/>
            </w:pPr>
            <w:r>
              <w:rPr>
                <w:rFonts w:ascii="Calibri" w:hAnsi="Calibri"/>
                <w:b w:val="0"/>
                <w:i w:val="0"/>
                <w:color w:val="212121"/>
                <w:sz w:val="16"/>
              </w:rPr>
              <w:t>Confirms and grades concomitant ulnar neuropathy, which alters prognosis and surgery</w:t>
            </w:r>
          </w:p>
        </w:tc>
        <w:tc>
          <w:tcPr>
            <w:tcW w:type="dxa" w:w="1036"/>
            <w:vAlign w:val="top"/>
          </w:tcPr>
          <w:p>
            <w:pPr>
              <w:spacing w:after="40" w:before="0" w:line="259" w:lineRule="auto"/>
            </w:pPr>
            <w:r>
              <w:rPr>
                <w:rFonts w:ascii="Calibri" w:hAnsi="Calibri"/>
                <w:b w:val="0"/>
                <w:i w:val="0"/>
                <w:color w:val="212121"/>
                <w:sz w:val="16"/>
              </w:rPr>
              <w:t>Patients with little/ring-finger paraesthesia or positive Tinel's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when ulnar symptoms present</w:t>
            </w:r>
          </w:p>
        </w:tc>
        <w:tc>
          <w:tcPr>
            <w:tcW w:type="dxa" w:w="720"/>
            <w:vAlign w:val="top"/>
          </w:tcPr>
          <w:p>
            <w:pPr>
              <w:spacing w:after="40" w:before="0" w:line="259" w:lineRule="auto"/>
            </w:pPr>
            <w:r>
              <w:rPr>
                <w:rFonts w:ascii="Calibri" w:hAnsi="Calibri"/>
                <w:b w:val="0"/>
                <w:i w:val="0"/>
                <w:color w:val="212121"/>
                <w:sz w:val="16"/>
              </w:rPr>
              <w:t>Concomitant ulnar neuropathy is common and worsens outcome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&amp; HbA1c</w:t>
            </w:r>
          </w:p>
        </w:tc>
        <w:tc>
          <w:tcPr>
            <w:tcW w:type="dxa" w:w="892"/>
            <w:vAlign w:val="top"/>
          </w:tcPr>
          <w:p>
            <w:pPr>
              <w:spacing w:after="40" w:before="0" w:line="259" w:lineRule="auto"/>
            </w:pPr>
            <w:r>
              <w:rPr>
                <w:rFonts w:ascii="Calibri" w:hAnsi="Calibri"/>
                <w:b w:val="0"/>
                <w:i w:val="0"/>
                <w:color w:val="212121"/>
                <w:sz w:val="16"/>
              </w:rPr>
              <w:t>Metabolic screen</w:t>
            </w:r>
          </w:p>
        </w:tc>
        <w:tc>
          <w:tcPr>
            <w:tcW w:type="dxa" w:w="950"/>
            <w:vAlign w:val="top"/>
          </w:tcPr>
          <w:p>
            <w:pPr>
              <w:spacing w:after="40" w:before="0" w:line="259" w:lineRule="auto"/>
            </w:pPr>
            <w:r>
              <w:rPr>
                <w:rFonts w:ascii="Calibri" w:hAnsi="Calibri"/>
                <w:b w:val="0"/>
                <w:i w:val="0"/>
                <w:color w:val="212121"/>
                <w:sz w:val="16"/>
              </w:rPr>
              <w:t>Normoglycaemia (HbA1c &lt;5.7%)</w:t>
            </w:r>
          </w:p>
        </w:tc>
        <w:tc>
          <w:tcPr>
            <w:tcW w:type="dxa" w:w="950"/>
            <w:vAlign w:val="top"/>
          </w:tcPr>
          <w:p>
            <w:pPr>
              <w:spacing w:after="40" w:before="0" w:line="259" w:lineRule="auto"/>
            </w:pPr>
            <w:r>
              <w:rPr>
                <w:rFonts w:ascii="Calibri" w:hAnsi="Calibri"/>
                <w:b w:val="0"/>
                <w:i w:val="0"/>
                <w:color w:val="212121"/>
                <w:sz w:val="16"/>
              </w:rPr>
              <w:t>Hyperglycaemia / HbA1c &gt;=6.5%</w:t>
            </w:r>
          </w:p>
        </w:tc>
        <w:tc>
          <w:tcPr>
            <w:tcW w:type="dxa" w:w="1036"/>
            <w:vAlign w:val="top"/>
          </w:tcPr>
          <w:p>
            <w:pPr>
              <w:spacing w:after="40" w:before="0" w:line="259" w:lineRule="auto"/>
            </w:pPr>
            <w:r>
              <w:rPr>
                <w:rFonts w:ascii="Calibri" w:hAnsi="Calibri"/>
                <w:b w:val="0"/>
                <w:i w:val="0"/>
                <w:color w:val="212121"/>
                <w:sz w:val="16"/>
              </w:rPr>
              <w:t>Identifies diabetes-related tendinopathy in bilateral, multi-site or resistant disease</w:t>
            </w:r>
          </w:p>
        </w:tc>
        <w:tc>
          <w:tcPr>
            <w:tcW w:type="dxa" w:w="1036"/>
            <w:vAlign w:val="top"/>
          </w:tcPr>
          <w:p>
            <w:pPr>
              <w:spacing w:after="40" w:before="0" w:line="259" w:lineRule="auto"/>
            </w:pPr>
            <w:r>
              <w:rPr>
                <w:rFonts w:ascii="Calibri" w:hAnsi="Calibri"/>
                <w:b w:val="0"/>
                <w:i w:val="0"/>
                <w:color w:val="212121"/>
                <w:sz w:val="16"/>
              </w:rPr>
              <w:t>Refractory, bilateral or multi-site tendinopathy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 / prognostic</w:t>
            </w:r>
          </w:p>
        </w:tc>
        <w:tc>
          <w:tcPr>
            <w:tcW w:type="dxa" w:w="720"/>
            <w:vAlign w:val="top"/>
          </w:tcPr>
          <w:p>
            <w:pPr>
              <w:spacing w:after="40" w:before="0" w:line="259" w:lineRule="auto"/>
            </w:pPr>
            <w:r>
              <w:rPr>
                <w:rFonts w:ascii="Calibri" w:hAnsi="Calibri"/>
                <w:b w:val="0"/>
                <w:i w:val="0"/>
                <w:color w:val="212121"/>
                <w:sz w:val="16"/>
              </w:rPr>
              <w:t>Metabolic disease is strongly linked to upper-limb tendinopathy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ESR / CRP / Rheumatoid factor</w:t>
            </w:r>
          </w:p>
        </w:tc>
        <w:tc>
          <w:tcPr>
            <w:tcW w:type="dxa" w:w="892"/>
            <w:vAlign w:val="top"/>
          </w:tcPr>
          <w:p>
            <w:pPr>
              <w:spacing w:after="40" w:before="0" w:line="259" w:lineRule="auto"/>
            </w:pPr>
            <w:r>
              <w:rPr>
                <w:rFonts w:ascii="Calibri" w:hAnsi="Calibri"/>
                <w:b w:val="0"/>
                <w:i w:val="0"/>
                <w:color w:val="212121"/>
                <w:sz w:val="16"/>
              </w:rPr>
              <w:t>Inflammatory screen</w:t>
            </w:r>
          </w:p>
        </w:tc>
        <w:tc>
          <w:tcPr>
            <w:tcW w:type="dxa" w:w="950"/>
            <w:vAlign w:val="top"/>
          </w:tcPr>
          <w:p>
            <w:pPr>
              <w:spacing w:after="40" w:before="0" w:line="259" w:lineRule="auto"/>
            </w:pPr>
            <w:r>
              <w:rPr>
                <w:rFonts w:ascii="Calibri" w:hAnsi="Calibri"/>
                <w:b w:val="0"/>
                <w:i w:val="0"/>
                <w:color w:val="212121"/>
                <w:sz w:val="16"/>
              </w:rPr>
              <w:t>Within reference range / negative</w:t>
            </w:r>
          </w:p>
        </w:tc>
        <w:tc>
          <w:tcPr>
            <w:tcW w:type="dxa" w:w="950"/>
            <w:vAlign w:val="top"/>
          </w:tcPr>
          <w:p>
            <w:pPr>
              <w:spacing w:after="40" w:before="0" w:line="259" w:lineRule="auto"/>
            </w:pPr>
            <w:r>
              <w:rPr>
                <w:rFonts w:ascii="Calibri" w:hAnsi="Calibri"/>
                <w:b w:val="0"/>
                <w:i w:val="0"/>
                <w:color w:val="212121"/>
                <w:sz w:val="16"/>
              </w:rPr>
              <w:t>Raised markers or positive serology</w:t>
            </w:r>
          </w:p>
        </w:tc>
        <w:tc>
          <w:tcPr>
            <w:tcW w:type="dxa" w:w="1036"/>
            <w:vAlign w:val="top"/>
          </w:tcPr>
          <w:p>
            <w:pPr>
              <w:spacing w:after="40" w:before="0" w:line="259" w:lineRule="auto"/>
            </w:pPr>
            <w:r>
              <w:rPr>
                <w:rFonts w:ascii="Calibri" w:hAnsi="Calibri"/>
                <w:b w:val="0"/>
                <w:i w:val="0"/>
                <w:color w:val="212121"/>
                <w:sz w:val="16"/>
              </w:rPr>
              <w:t>Normal in medial epicondylitis; abnormality suggests inflammatory arthropathy instead</w:t>
            </w:r>
          </w:p>
        </w:tc>
        <w:tc>
          <w:tcPr>
            <w:tcW w:type="dxa" w:w="1036"/>
            <w:vAlign w:val="top"/>
          </w:tcPr>
          <w:p>
            <w:pPr>
              <w:spacing w:after="40" w:before="0" w:line="259" w:lineRule="auto"/>
            </w:pPr>
            <w:r>
              <w:rPr>
                <w:rFonts w:ascii="Calibri" w:hAnsi="Calibri"/>
                <w:b w:val="0"/>
                <w:i w:val="0"/>
                <w:color w:val="212121"/>
                <w:sz w:val="16"/>
              </w:rPr>
              <w:t>Polyarticular symptoms or diagnostic doubt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Helps exclude inflammatory or systemic causes of medial elbow pain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Metabolic screen</w:t>
            </w:r>
          </w:p>
        </w:tc>
        <w:tc>
          <w:tcPr>
            <w:tcW w:type="dxa" w:w="950"/>
            <w:vAlign w:val="top"/>
          </w:tcPr>
          <w:p>
            <w:pPr>
              <w:spacing w:after="40" w:before="0" w:line="259" w:lineRule="auto"/>
            </w:pPr>
            <w:r>
              <w:rPr>
                <w:rFonts w:ascii="Calibri" w:hAnsi="Calibri"/>
                <w:b w:val="0"/>
                <w:i w:val="0"/>
                <w:color w:val="212121"/>
                <w:sz w:val="16"/>
              </w:rPr>
              <w:t>Optimal lipids</w:t>
            </w:r>
          </w:p>
        </w:tc>
        <w:tc>
          <w:tcPr>
            <w:tcW w:type="dxa" w:w="950"/>
            <w:vAlign w:val="top"/>
          </w:tcPr>
          <w:p>
            <w:pPr>
              <w:spacing w:after="40" w:before="0" w:line="259" w:lineRule="auto"/>
            </w:pPr>
            <w:r>
              <w:rPr>
                <w:rFonts w:ascii="Calibri" w:hAnsi="Calibri"/>
                <w:b w:val="0"/>
                <w:i w:val="0"/>
                <w:color w:val="212121"/>
                <w:sz w:val="16"/>
              </w:rPr>
              <w:t>Dyslipidaemia</w:t>
            </w:r>
          </w:p>
        </w:tc>
        <w:tc>
          <w:tcPr>
            <w:tcW w:type="dxa" w:w="1036"/>
            <w:vAlign w:val="top"/>
          </w:tcPr>
          <w:p>
            <w:pPr>
              <w:spacing w:after="40" w:before="0" w:line="259" w:lineRule="auto"/>
            </w:pPr>
            <w:r>
              <w:rPr>
                <w:rFonts w:ascii="Calibri" w:hAnsi="Calibri"/>
                <w:b w:val="0"/>
                <w:i w:val="0"/>
                <w:color w:val="212121"/>
                <w:sz w:val="16"/>
              </w:rPr>
              <w:t>Dyslipidaemia is part of the metabolic profile linked to tendinopathy and vascular risk</w:t>
            </w:r>
          </w:p>
        </w:tc>
        <w:tc>
          <w:tcPr>
            <w:tcW w:type="dxa" w:w="1036"/>
            <w:vAlign w:val="top"/>
          </w:tcPr>
          <w:p>
            <w:pPr>
              <w:spacing w:after="40" w:before="0" w:line="259" w:lineRule="auto"/>
            </w:pPr>
            <w:r>
              <w:rPr>
                <w:rFonts w:ascii="Calibri" w:hAnsi="Calibri"/>
                <w:b w:val="0"/>
                <w:i w:val="0"/>
                <w:color w:val="212121"/>
                <w:sz w:val="16"/>
              </w:rPr>
              <w:t>Patients with metabolic risk / recalcitrant disease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Supports cardiometabolic risk assessment alongside glucose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Medial elbow pain aggravated by gripping and wrist flexion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Insidious, activity-related medial elbow pain</w:t>
            </w:r>
          </w:p>
        </w:tc>
        <w:tc>
          <w:tcPr>
            <w:tcW w:type="dxa" w:w="1036"/>
            <w:vAlign w:val="top"/>
          </w:tcPr>
          <w:p>
            <w:pPr>
              <w:spacing w:after="40" w:before="0" w:line="259" w:lineRule="auto"/>
            </w:pPr>
            <w:r>
              <w:rPr>
                <w:rFonts w:ascii="Calibri" w:hAnsi="Calibri"/>
                <w:b w:val="0"/>
                <w:i w:val="0"/>
                <w:color w:val="212121"/>
                <w:sz w:val="16"/>
              </w:rPr>
              <w:t>Cardinal presenting symptom of medial epicondylitis</w:t>
            </w:r>
          </w:p>
        </w:tc>
        <w:tc>
          <w:tcPr>
            <w:tcW w:type="dxa" w:w="1036"/>
            <w:vAlign w:val="top"/>
          </w:tcPr>
          <w:p>
            <w:pPr>
              <w:spacing w:after="40" w:before="0" w:line="259" w:lineRule="auto"/>
            </w:pPr>
            <w:r>
              <w:rPr>
                <w:rFonts w:ascii="Calibri" w:hAnsi="Calibri"/>
                <w:b w:val="0"/>
                <w:i w:val="0"/>
                <w:color w:val="212121"/>
                <w:sz w:val="16"/>
              </w:rPr>
              <w:t>Manual workers, throwing/club-sport athletes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Usually gradual onset in the dominant arm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&amp; sports history</w:t>
            </w:r>
          </w:p>
        </w:tc>
        <w:tc>
          <w:tcPr>
            <w:tcW w:type="dxa" w:w="979"/>
            <w:vAlign w:val="top"/>
          </w:tcPr>
          <w:p>
            <w:pPr>
              <w:spacing w:after="40" w:before="0" w:line="259" w:lineRule="auto"/>
            </w:pPr>
            <w:r>
              <w:rPr>
                <w:rFonts w:ascii="Calibri" w:hAnsi="Calibri"/>
                <w:b w:val="0"/>
                <w:i w:val="0"/>
                <w:color w:val="212121"/>
                <w:sz w:val="16"/>
              </w:rPr>
              <w:t>Repetitive forceful wrist flexion/pronation, throwing, golf, tool use</w:t>
            </w:r>
          </w:p>
        </w:tc>
        <w:tc>
          <w:tcPr>
            <w:tcW w:type="dxa" w:w="950"/>
            <w:vAlign w:val="top"/>
          </w:tcPr>
          <w:p>
            <w:pPr>
              <w:spacing w:after="40" w:before="0" w:line="259" w:lineRule="auto"/>
            </w:pPr>
            <w:r>
              <w:rPr>
                <w:rFonts w:ascii="Calibri" w:hAnsi="Calibri"/>
                <w:b w:val="0"/>
                <w:i w:val="0"/>
                <w:color w:val="212121"/>
                <w:sz w:val="16"/>
              </w:rPr>
              <w:t>No overload exposure</w:t>
            </w:r>
          </w:p>
        </w:tc>
        <w:tc>
          <w:tcPr>
            <w:tcW w:type="dxa" w:w="950"/>
            <w:vAlign w:val="top"/>
          </w:tcPr>
          <w:p>
            <w:pPr>
              <w:spacing w:after="40" w:before="0" w:line="259" w:lineRule="auto"/>
            </w:pPr>
            <w:r>
              <w:rPr>
                <w:rFonts w:ascii="Calibri" w:hAnsi="Calibri"/>
                <w:b w:val="0"/>
                <w:i w:val="0"/>
                <w:color w:val="212121"/>
                <w:sz w:val="16"/>
              </w:rPr>
              <w:t>Identifiable repetitive forceful loading</w:t>
            </w:r>
          </w:p>
        </w:tc>
        <w:tc>
          <w:tcPr>
            <w:tcW w:type="dxa" w:w="1036"/>
            <w:vAlign w:val="top"/>
          </w:tcPr>
          <w:p>
            <w:pPr>
              <w:spacing w:after="40" w:before="0" w:line="259" w:lineRule="auto"/>
            </w:pPr>
            <w:r>
              <w:rPr>
                <w:rFonts w:ascii="Calibri" w:hAnsi="Calibri"/>
                <w:b w:val="0"/>
                <w:i w:val="0"/>
                <w:color w:val="212121"/>
                <w:sz w:val="16"/>
              </w:rPr>
              <w:t>Establishes the causative mechanical exposure and guides modification</w:t>
            </w:r>
          </w:p>
        </w:tc>
        <w:tc>
          <w:tcPr>
            <w:tcW w:type="dxa" w:w="1036"/>
            <w:vAlign w:val="top"/>
          </w:tcPr>
          <w:p>
            <w:pPr>
              <w:spacing w:after="40" w:before="0" w:line="259" w:lineRule="auto"/>
            </w:pPr>
            <w:r>
              <w:rPr>
                <w:rFonts w:ascii="Calibri" w:hAnsi="Calibri"/>
                <w:b w:val="0"/>
                <w:i w:val="0"/>
                <w:color w:val="212121"/>
                <w:sz w:val="16"/>
              </w:rPr>
              <w:t>Labourers, athletes, homemakers, IT workers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 / prognostic</w:t>
            </w:r>
          </w:p>
        </w:tc>
        <w:tc>
          <w:tcPr>
            <w:tcW w:type="dxa" w:w="720"/>
            <w:vAlign w:val="top"/>
          </w:tcPr>
          <w:p>
            <w:pPr>
              <w:spacing w:after="40" w:before="0" w:line="259" w:lineRule="auto"/>
            </w:pPr>
            <w:r>
              <w:rPr>
                <w:rFonts w:ascii="Calibri" w:hAnsi="Calibri"/>
                <w:b w:val="0"/>
                <w:i w:val="0"/>
                <w:color w:val="212121"/>
                <w:sz w:val="16"/>
              </w:rPr>
              <w:t>Recent change in workload, training or technique is a common trigger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Palpation</w:t>
            </w:r>
          </w:p>
        </w:tc>
        <w:tc>
          <w:tcPr>
            <w:tcW w:type="dxa" w:w="979"/>
            <w:vAlign w:val="top"/>
          </w:tcPr>
          <w:p>
            <w:pPr>
              <w:spacing w:after="40" w:before="0" w:line="259" w:lineRule="auto"/>
            </w:pPr>
            <w:r>
              <w:rPr>
                <w:rFonts w:ascii="Calibri" w:hAnsi="Calibri"/>
                <w:b w:val="0"/>
                <w:i w:val="0"/>
                <w:color w:val="212121"/>
                <w:sz w:val="16"/>
              </w:rPr>
              <w:t>Point tenderness ~5-10 mm distal/anterior to medial epicondyle</w:t>
            </w:r>
          </w:p>
        </w:tc>
        <w:tc>
          <w:tcPr>
            <w:tcW w:type="dxa" w:w="950"/>
            <w:vAlign w:val="top"/>
          </w:tcPr>
          <w:p>
            <w:pPr>
              <w:spacing w:after="40" w:before="0" w:line="259" w:lineRule="auto"/>
            </w:pPr>
            <w:r>
              <w:rPr>
                <w:rFonts w:ascii="Calibri" w:hAnsi="Calibri"/>
                <w:b w:val="0"/>
                <w:i w:val="0"/>
                <w:color w:val="212121"/>
                <w:sz w:val="16"/>
              </w:rPr>
              <w:t>No focal tenderness</w:t>
            </w:r>
          </w:p>
        </w:tc>
        <w:tc>
          <w:tcPr>
            <w:tcW w:type="dxa" w:w="950"/>
            <w:vAlign w:val="top"/>
          </w:tcPr>
          <w:p>
            <w:pPr>
              <w:spacing w:after="40" w:before="0" w:line="259" w:lineRule="auto"/>
            </w:pPr>
            <w:r>
              <w:rPr>
                <w:rFonts w:ascii="Calibri" w:hAnsi="Calibri"/>
                <w:b w:val="0"/>
                <w:i w:val="0"/>
                <w:color w:val="212121"/>
                <w:sz w:val="16"/>
              </w:rPr>
              <w:t>Focal tenderness at the common flexor-pronator origin</w:t>
            </w:r>
          </w:p>
        </w:tc>
        <w:tc>
          <w:tcPr>
            <w:tcW w:type="dxa" w:w="1036"/>
            <w:vAlign w:val="top"/>
          </w:tcPr>
          <w:p>
            <w:pPr>
              <w:spacing w:after="40" w:before="0" w:line="259" w:lineRule="auto"/>
            </w:pPr>
            <w:r>
              <w:rPr>
                <w:rFonts w:ascii="Calibri" w:hAnsi="Calibri"/>
                <w:b w:val="0"/>
                <w:i w:val="0"/>
                <w:color w:val="212121"/>
                <w:sz w:val="16"/>
              </w:rPr>
              <w:t>Localises the lesion to the flexor-pronator origin</w:t>
            </w:r>
          </w:p>
        </w:tc>
        <w:tc>
          <w:tcPr>
            <w:tcW w:type="dxa" w:w="1036"/>
            <w:vAlign w:val="top"/>
          </w:tcPr>
          <w:p>
            <w:pPr>
              <w:spacing w:after="40" w:before="0" w:line="259" w:lineRule="auto"/>
            </w:pPr>
            <w:r>
              <w:rPr>
                <w:rFonts w:ascii="Calibri" w:hAnsi="Calibri"/>
                <w:b w:val="0"/>
                <w:i w:val="0"/>
                <w:color w:val="212121"/>
                <w:sz w:val="16"/>
              </w:rPr>
              <w:t>Patients with medial elbow pain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Tenderness is just distal and anterior to the epicondyle tip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Resisted wrist flexion &amp; pronation ('golfer's elbow' test)</w:t>
            </w:r>
          </w:p>
        </w:tc>
        <w:tc>
          <w:tcPr>
            <w:tcW w:type="dxa" w:w="979"/>
            <w:vAlign w:val="top"/>
          </w:tcPr>
          <w:p>
            <w:pPr>
              <w:spacing w:after="40" w:before="0" w:line="259" w:lineRule="auto"/>
            </w:pPr>
            <w:r>
              <w:rPr>
                <w:rFonts w:ascii="Calibri" w:hAnsi="Calibri"/>
                <w:b w:val="0"/>
                <w:i w:val="0"/>
                <w:color w:val="212121"/>
                <w:sz w:val="16"/>
              </w:rPr>
              <w:t>Pain on resisted wrist flexion and forearm pronation, elbow extended</w:t>
            </w:r>
          </w:p>
        </w:tc>
        <w:tc>
          <w:tcPr>
            <w:tcW w:type="dxa" w:w="950"/>
            <w:vAlign w:val="top"/>
          </w:tcPr>
          <w:p>
            <w:pPr>
              <w:spacing w:after="40" w:before="0" w:line="259" w:lineRule="auto"/>
            </w:pPr>
            <w:r>
              <w:rPr>
                <w:rFonts w:ascii="Calibri" w:hAnsi="Calibri"/>
                <w:b w:val="0"/>
                <w:i w:val="0"/>
                <w:color w:val="212121"/>
                <w:sz w:val="16"/>
              </w:rPr>
              <w:t>No pain</w:t>
            </w:r>
          </w:p>
        </w:tc>
        <w:tc>
          <w:tcPr>
            <w:tcW w:type="dxa" w:w="950"/>
            <w:vAlign w:val="top"/>
          </w:tcPr>
          <w:p>
            <w:pPr>
              <w:spacing w:after="40" w:before="0" w:line="259" w:lineRule="auto"/>
            </w:pPr>
            <w:r>
              <w:rPr>
                <w:rFonts w:ascii="Calibri" w:hAnsi="Calibri"/>
                <w:b w:val="0"/>
                <w:i w:val="0"/>
                <w:color w:val="212121"/>
                <w:sz w:val="16"/>
              </w:rPr>
              <w:t>Reproduction of medial epicondylar pain</w:t>
            </w:r>
          </w:p>
        </w:tc>
        <w:tc>
          <w:tcPr>
            <w:tcW w:type="dxa" w:w="1036"/>
            <w:vAlign w:val="top"/>
          </w:tcPr>
          <w:p>
            <w:pPr>
              <w:spacing w:after="40" w:before="0" w:line="259" w:lineRule="auto"/>
            </w:pPr>
            <w:r>
              <w:rPr>
                <w:rFonts w:ascii="Calibri" w:hAnsi="Calibri"/>
                <w:b w:val="0"/>
                <w:i w:val="0"/>
                <w:color w:val="212121"/>
                <w:sz w:val="16"/>
              </w:rPr>
              <w:t>Key provocative test confirming flexor-pronator tendinopathy</w:t>
            </w:r>
          </w:p>
        </w:tc>
        <w:tc>
          <w:tcPr>
            <w:tcW w:type="dxa" w:w="1036"/>
            <w:vAlign w:val="top"/>
          </w:tcPr>
          <w:p>
            <w:pPr>
              <w:spacing w:after="40" w:before="0" w:line="259" w:lineRule="auto"/>
            </w:pPr>
            <w:r>
              <w:rPr>
                <w:rFonts w:ascii="Calibri" w:hAnsi="Calibri"/>
                <w:b w:val="0"/>
                <w:i w:val="0"/>
                <w:color w:val="212121"/>
                <w:sz w:val="16"/>
              </w:rPr>
              <w:t>Suspected medial epicondylitis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Most specific bedside manoeuvre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Passive wrist/finger extension (stretch test)</w:t>
            </w:r>
          </w:p>
        </w:tc>
        <w:tc>
          <w:tcPr>
            <w:tcW w:type="dxa" w:w="979"/>
            <w:vAlign w:val="top"/>
          </w:tcPr>
          <w:p>
            <w:pPr>
              <w:spacing w:after="40" w:before="0" w:line="259" w:lineRule="auto"/>
            </w:pPr>
            <w:r>
              <w:rPr>
                <w:rFonts w:ascii="Calibri" w:hAnsi="Calibri"/>
                <w:b w:val="0"/>
                <w:i w:val="0"/>
                <w:color w:val="212121"/>
                <w:sz w:val="16"/>
              </w:rPr>
              <w:t>Medial pain on passive wrist and finger extension, elbow extended</w:t>
            </w:r>
          </w:p>
        </w:tc>
        <w:tc>
          <w:tcPr>
            <w:tcW w:type="dxa" w:w="950"/>
            <w:vAlign w:val="top"/>
          </w:tcPr>
          <w:p>
            <w:pPr>
              <w:spacing w:after="40" w:before="0" w:line="259" w:lineRule="auto"/>
            </w:pPr>
            <w:r>
              <w:rPr>
                <w:rFonts w:ascii="Calibri" w:hAnsi="Calibri"/>
                <w:b w:val="0"/>
                <w:i w:val="0"/>
                <w:color w:val="212121"/>
                <w:sz w:val="16"/>
              </w:rPr>
              <w:t>No pain</w:t>
            </w:r>
          </w:p>
        </w:tc>
        <w:tc>
          <w:tcPr>
            <w:tcW w:type="dxa" w:w="950"/>
            <w:vAlign w:val="top"/>
          </w:tcPr>
          <w:p>
            <w:pPr>
              <w:spacing w:after="40" w:before="0" w:line="259" w:lineRule="auto"/>
            </w:pPr>
            <w:r>
              <w:rPr>
                <w:rFonts w:ascii="Calibri" w:hAnsi="Calibri"/>
                <w:b w:val="0"/>
                <w:i w:val="0"/>
                <w:color w:val="212121"/>
                <w:sz w:val="16"/>
              </w:rPr>
              <w:t>Medial epicondylar pain on stretch</w:t>
            </w:r>
          </w:p>
        </w:tc>
        <w:tc>
          <w:tcPr>
            <w:tcW w:type="dxa" w:w="1036"/>
            <w:vAlign w:val="top"/>
          </w:tcPr>
          <w:p>
            <w:pPr>
              <w:spacing w:after="40" w:before="0" w:line="259" w:lineRule="auto"/>
            </w:pPr>
            <w:r>
              <w:rPr>
                <w:rFonts w:ascii="Calibri" w:hAnsi="Calibri"/>
                <w:b w:val="0"/>
                <w:i w:val="0"/>
                <w:color w:val="212121"/>
                <w:sz w:val="16"/>
              </w:rPr>
              <w:t>Stretch of the flexor-pronator mass reproduces pain, supporting the diagnosis</w:t>
            </w:r>
          </w:p>
        </w:tc>
        <w:tc>
          <w:tcPr>
            <w:tcW w:type="dxa" w:w="1036"/>
            <w:vAlign w:val="top"/>
          </w:tcPr>
          <w:p>
            <w:pPr>
              <w:spacing w:after="40" w:before="0" w:line="259" w:lineRule="auto"/>
            </w:pPr>
            <w:r>
              <w:rPr>
                <w:rFonts w:ascii="Calibri" w:hAnsi="Calibri"/>
                <w:b w:val="0"/>
                <w:i w:val="0"/>
                <w:color w:val="212121"/>
                <w:sz w:val="16"/>
              </w:rPr>
              <w:t>Suspected medial epicondylitis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Complements the resisted-flexion test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Ulnar nerve assessment</w:t>
            </w:r>
          </w:p>
        </w:tc>
        <w:tc>
          <w:tcPr>
            <w:tcW w:type="dxa" w:w="979"/>
            <w:vAlign w:val="top"/>
          </w:tcPr>
          <w:p>
            <w:pPr>
              <w:spacing w:after="40" w:before="0" w:line="259" w:lineRule="auto"/>
            </w:pPr>
            <w:r>
              <w:rPr>
                <w:rFonts w:ascii="Calibri" w:hAnsi="Calibri"/>
                <w:b w:val="0"/>
                <w:i w:val="0"/>
                <w:color w:val="212121"/>
                <w:sz w:val="16"/>
              </w:rPr>
              <w:t>Tinel's sign &amp; elbow-flexion test at cubital tunnel; little/ring-finger sensation</w:t>
            </w:r>
          </w:p>
        </w:tc>
        <w:tc>
          <w:tcPr>
            <w:tcW w:type="dxa" w:w="950"/>
            <w:vAlign w:val="top"/>
          </w:tcPr>
          <w:p>
            <w:pPr>
              <w:spacing w:after="40" w:before="0" w:line="259" w:lineRule="auto"/>
            </w:pPr>
            <w:r>
              <w:rPr>
                <w:rFonts w:ascii="Calibri" w:hAnsi="Calibri"/>
                <w:b w:val="0"/>
                <w:i w:val="0"/>
                <w:color w:val="212121"/>
                <w:sz w:val="16"/>
              </w:rPr>
              <w:t>Negative, normal sensation</w:t>
            </w:r>
          </w:p>
        </w:tc>
        <w:tc>
          <w:tcPr>
            <w:tcW w:type="dxa" w:w="950"/>
            <w:vAlign w:val="top"/>
          </w:tcPr>
          <w:p>
            <w:pPr>
              <w:spacing w:after="40" w:before="0" w:line="259" w:lineRule="auto"/>
            </w:pPr>
            <w:r>
              <w:rPr>
                <w:rFonts w:ascii="Calibri" w:hAnsi="Calibri"/>
                <w:b w:val="0"/>
                <w:i w:val="0"/>
                <w:color w:val="212121"/>
                <w:sz w:val="16"/>
              </w:rPr>
              <w:t>Positive Tinel's / paraesthesia in ulnar distribution</w:t>
            </w:r>
          </w:p>
        </w:tc>
        <w:tc>
          <w:tcPr>
            <w:tcW w:type="dxa" w:w="1036"/>
            <w:vAlign w:val="top"/>
          </w:tcPr>
          <w:p>
            <w:pPr>
              <w:spacing w:after="40" w:before="0" w:line="259" w:lineRule="auto"/>
            </w:pPr>
            <w:r>
              <w:rPr>
                <w:rFonts w:ascii="Calibri" w:hAnsi="Calibri"/>
                <w:b w:val="0"/>
                <w:i w:val="0"/>
                <w:color w:val="212121"/>
                <w:sz w:val="16"/>
              </w:rPr>
              <w:t>Detects concomitant ulnar neuropathy, which worsens prognosis and changes surgery</w:t>
            </w:r>
          </w:p>
        </w:tc>
        <w:tc>
          <w:tcPr>
            <w:tcW w:type="dxa" w:w="1036"/>
            <w:vAlign w:val="top"/>
          </w:tcPr>
          <w:p>
            <w:pPr>
              <w:spacing w:after="40" w:before="0" w:line="259" w:lineRule="auto"/>
            </w:pPr>
            <w:r>
              <w:rPr>
                <w:rFonts w:ascii="Calibri" w:hAnsi="Calibri"/>
                <w:b w:val="0"/>
                <w:i w:val="0"/>
                <w:color w:val="212121"/>
                <w:sz w:val="16"/>
              </w:rPr>
              <w:t>All patients, especially pre-operative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 / critical</w:t>
            </w:r>
          </w:p>
        </w:tc>
        <w:tc>
          <w:tcPr>
            <w:tcW w:type="dxa" w:w="720"/>
            <w:vAlign w:val="top"/>
          </w:tcPr>
          <w:p>
            <w:pPr>
              <w:spacing w:after="40" w:before="0" w:line="259" w:lineRule="auto"/>
            </w:pPr>
            <w:r>
              <w:rPr>
                <w:rFonts w:ascii="Calibri" w:hAnsi="Calibri"/>
                <w:b w:val="0"/>
                <w:i w:val="0"/>
                <w:color w:val="212121"/>
                <w:sz w:val="16"/>
              </w:rPr>
              <w:t>Concomitant ulnar neuropathy is frequent in medial epicondylitis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Elbow ROM &amp; valgus (UCL) stress</w:t>
            </w:r>
          </w:p>
        </w:tc>
        <w:tc>
          <w:tcPr>
            <w:tcW w:type="dxa" w:w="979"/>
            <w:vAlign w:val="top"/>
          </w:tcPr>
          <w:p>
            <w:pPr>
              <w:spacing w:after="40" w:before="0" w:line="259" w:lineRule="auto"/>
            </w:pPr>
            <w:r>
              <w:rPr>
                <w:rFonts w:ascii="Calibri" w:hAnsi="Calibri"/>
                <w:b w:val="0"/>
                <w:i w:val="0"/>
                <w:color w:val="212121"/>
                <w:sz w:val="16"/>
              </w:rPr>
              <w:t>Range of motion; valgus stability at 20-30 degrees flexion</w:t>
            </w:r>
          </w:p>
        </w:tc>
        <w:tc>
          <w:tcPr>
            <w:tcW w:type="dxa" w:w="950"/>
            <w:vAlign w:val="top"/>
          </w:tcPr>
          <w:p>
            <w:pPr>
              <w:spacing w:after="40" w:before="0" w:line="259" w:lineRule="auto"/>
            </w:pPr>
            <w:r>
              <w:rPr>
                <w:rFonts w:ascii="Calibri" w:hAnsi="Calibri"/>
                <w:b w:val="0"/>
                <w:i w:val="0"/>
                <w:color w:val="212121"/>
                <w:sz w:val="16"/>
              </w:rPr>
              <w:t>Full ROM, stable to valgus</w:t>
            </w:r>
          </w:p>
        </w:tc>
        <w:tc>
          <w:tcPr>
            <w:tcW w:type="dxa" w:w="950"/>
            <w:vAlign w:val="top"/>
          </w:tcPr>
          <w:p>
            <w:pPr>
              <w:spacing w:after="40" w:before="0" w:line="259" w:lineRule="auto"/>
            </w:pPr>
            <w:r>
              <w:rPr>
                <w:rFonts w:ascii="Calibri" w:hAnsi="Calibri"/>
                <w:b w:val="0"/>
                <w:i w:val="0"/>
                <w:color w:val="212121"/>
                <w:sz w:val="16"/>
              </w:rPr>
              <w:t>Restricted ROM or valgus laxity/pain</w:t>
            </w:r>
          </w:p>
        </w:tc>
        <w:tc>
          <w:tcPr>
            <w:tcW w:type="dxa" w:w="1036"/>
            <w:vAlign w:val="top"/>
          </w:tcPr>
          <w:p>
            <w:pPr>
              <w:spacing w:after="40" w:before="0" w:line="259" w:lineRule="auto"/>
            </w:pPr>
            <w:r>
              <w:rPr>
                <w:rFonts w:ascii="Calibri" w:hAnsi="Calibri"/>
                <w:b w:val="0"/>
                <w:i w:val="0"/>
                <w:color w:val="212121"/>
                <w:sz w:val="16"/>
              </w:rPr>
              <w:t>Distinguishes/associates ulnar collateral ligament injury and elbow arthritis</w:t>
            </w:r>
          </w:p>
        </w:tc>
        <w:tc>
          <w:tcPr>
            <w:tcW w:type="dxa" w:w="1036"/>
            <w:vAlign w:val="top"/>
          </w:tcPr>
          <w:p>
            <w:pPr>
              <w:spacing w:after="40" w:before="0" w:line="259" w:lineRule="auto"/>
            </w:pPr>
            <w:r>
              <w:rPr>
                <w:rFonts w:ascii="Calibri" w:hAnsi="Calibri"/>
                <w:b w:val="0"/>
                <w:i w:val="0"/>
                <w:color w:val="212121"/>
                <w:sz w:val="16"/>
              </w:rPr>
              <w:t>Throwing athletes, traumatic or atypical cases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Differential</w:t>
            </w:r>
          </w:p>
        </w:tc>
        <w:tc>
          <w:tcPr>
            <w:tcW w:type="dxa" w:w="720"/>
            <w:vAlign w:val="top"/>
          </w:tcPr>
          <w:p>
            <w:pPr>
              <w:spacing w:after="40" w:before="0" w:line="259" w:lineRule="auto"/>
            </w:pPr>
            <w:r>
              <w:rPr>
                <w:rFonts w:ascii="Calibri" w:hAnsi="Calibri"/>
                <w:b w:val="0"/>
                <w:i w:val="0"/>
                <w:color w:val="212121"/>
                <w:sz w:val="16"/>
              </w:rPr>
              <w:t>Valgus overload injures both flexor-pronator origin and UCL in throwers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risk review</w:t>
            </w:r>
          </w:p>
        </w:tc>
        <w:tc>
          <w:tcPr>
            <w:tcW w:type="dxa" w:w="979"/>
            <w:vAlign w:val="top"/>
          </w:tcPr>
          <w:p>
            <w:pPr>
              <w:spacing w:after="40" w:before="0" w:line="259" w:lineRule="auto"/>
            </w:pPr>
            <w:r>
              <w:rPr>
                <w:rFonts w:ascii="Calibri" w:hAnsi="Calibri"/>
                <w:b w:val="0"/>
                <w:i w:val="0"/>
                <w:color w:val="212121"/>
                <w:sz w:val="16"/>
              </w:rPr>
              <w:t>Diabetes, smoking, obesity, thyroid status, prior injections</w:t>
            </w:r>
          </w:p>
        </w:tc>
        <w:tc>
          <w:tcPr>
            <w:tcW w:type="dxa" w:w="950"/>
            <w:vAlign w:val="top"/>
          </w:tcPr>
          <w:p>
            <w:pPr>
              <w:spacing w:after="40" w:before="0" w:line="259" w:lineRule="auto"/>
            </w:pPr>
            <w:r>
              <w:rPr>
                <w:rFonts w:ascii="Calibri" w:hAnsi="Calibri"/>
                <w:b w:val="0"/>
                <w:i w:val="0"/>
                <w:color w:val="212121"/>
                <w:sz w:val="16"/>
              </w:rPr>
              <w:t>No confounders</w:t>
            </w:r>
          </w:p>
        </w:tc>
        <w:tc>
          <w:tcPr>
            <w:tcW w:type="dxa" w:w="950"/>
            <w:vAlign w:val="top"/>
          </w:tcPr>
          <w:p>
            <w:pPr>
              <w:spacing w:after="40" w:before="0" w:line="259" w:lineRule="auto"/>
            </w:pPr>
            <w:r>
              <w:rPr>
                <w:rFonts w:ascii="Calibri" w:hAnsi="Calibri"/>
                <w:b w:val="0"/>
                <w:i w:val="0"/>
                <w:color w:val="212121"/>
                <w:sz w:val="16"/>
              </w:rPr>
              <w:t>Metabolic or lifestyle risk factors present</w:t>
            </w:r>
          </w:p>
        </w:tc>
        <w:tc>
          <w:tcPr>
            <w:tcW w:type="dxa" w:w="1036"/>
            <w:vAlign w:val="top"/>
          </w:tcPr>
          <w:p>
            <w:pPr>
              <w:spacing w:after="40" w:before="0" w:line="259" w:lineRule="auto"/>
            </w:pPr>
            <w:r>
              <w:rPr>
                <w:rFonts w:ascii="Calibri" w:hAnsi="Calibri"/>
                <w:b w:val="0"/>
                <w:i w:val="0"/>
                <w:color w:val="212121"/>
                <w:sz w:val="16"/>
              </w:rPr>
              <w:t>Flags patients at risk of refractory disease and guides expectations and treatment</w:t>
            </w:r>
          </w:p>
        </w:tc>
        <w:tc>
          <w:tcPr>
            <w:tcW w:type="dxa" w:w="1036"/>
            <w:vAlign w:val="top"/>
          </w:tcPr>
          <w:p>
            <w:pPr>
              <w:spacing w:after="40" w:before="0" w:line="259" w:lineRule="auto"/>
            </w:pPr>
            <w:r>
              <w:rPr>
                <w:rFonts w:ascii="Calibri" w:hAnsi="Calibri"/>
                <w:b w:val="0"/>
                <w:i w:val="0"/>
                <w:color w:val="212121"/>
                <w:sz w:val="16"/>
              </w:rPr>
              <w:t>Recalcitrant or recurrent cases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Metabolic risk factors predict slower healing and more resistant disease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Medial (inner) elbow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pain over the medial epicondyle that worsens with use and eases with rest - the hallmark symptom.</w:t>
            </w:r>
          </w:p>
        </w:tc>
      </w:tr>
      <w:tr>
        <w:trPr>
          <w:cantSplit/>
        </w:trPr>
        <w:tc>
          <w:tcPr>
            <w:tcW w:type="dxa" w:w="2304"/>
            <w:vAlign w:val="top"/>
          </w:tcPr>
          <w:p>
            <w:pPr>
              <w:spacing w:after="40" w:before="0" w:line="259" w:lineRule="auto"/>
            </w:pPr>
            <w:r>
              <w:rPr>
                <w:rFonts w:ascii="Calibri" w:hAnsi="Calibri"/>
                <w:b/>
                <w:i w:val="0"/>
                <w:color w:val="212121"/>
                <w:sz w:val="19"/>
              </w:rPr>
              <w:t>Pain on gripping, lifting or twisting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Everyday tasks such as opening jars, turning a key, carrying bags or shaking hands provoke pain.</w:t>
            </w:r>
          </w:p>
        </w:tc>
      </w:tr>
      <w:tr>
        <w:trPr>
          <w:cantSplit/>
        </w:trPr>
        <w:tc>
          <w:tcPr>
            <w:tcW w:type="dxa" w:w="2304"/>
            <w:vAlign w:val="top"/>
          </w:tcPr>
          <w:p>
            <w:pPr>
              <w:spacing w:after="40" w:before="0" w:line="259" w:lineRule="auto"/>
            </w:pPr>
            <w:r>
              <w:rPr>
                <w:rFonts w:ascii="Calibri" w:hAnsi="Calibri"/>
                <w:b/>
                <w:i w:val="0"/>
                <w:color w:val="212121"/>
                <w:sz w:val="19"/>
              </w:rPr>
              <w:t>Tenderness over the medial epicondyle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Focal soreness at the bony prominence of the inner elbow, just distal to the epicondyle.</w:t>
            </w:r>
          </w:p>
        </w:tc>
      </w:tr>
      <w:tr>
        <w:trPr>
          <w:cantSplit/>
        </w:trPr>
        <w:tc>
          <w:tcPr>
            <w:tcW w:type="dxa" w:w="2304"/>
            <w:vAlign w:val="top"/>
          </w:tcPr>
          <w:p>
            <w:pPr>
              <w:spacing w:after="40" w:before="0" w:line="259" w:lineRule="auto"/>
            </w:pPr>
            <w:r>
              <w:rPr>
                <w:rFonts w:ascii="Calibri" w:hAnsi="Calibri"/>
                <w:b/>
                <w:i w:val="0"/>
                <w:color w:val="212121"/>
                <w:sz w:val="19"/>
              </w:rPr>
              <w:t>Pain radiating down the inner forearm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Discomfort spreads from the elbow along the flexor forearm towards the wrist.</w:t>
            </w:r>
          </w:p>
        </w:tc>
      </w:tr>
      <w:tr>
        <w:trPr>
          <w:cantSplit/>
        </w:trPr>
        <w:tc>
          <w:tcPr>
            <w:tcW w:type="dxa" w:w="2304"/>
            <w:vAlign w:val="top"/>
          </w:tcPr>
          <w:p>
            <w:pPr>
              <w:spacing w:after="40" w:before="0" w:line="259" w:lineRule="auto"/>
            </w:pPr>
            <w:r>
              <w:rPr>
                <w:rFonts w:ascii="Calibri" w:hAnsi="Calibri"/>
                <w:b/>
                <w:i w:val="0"/>
                <w:color w:val="212121"/>
                <w:sz w:val="19"/>
              </w:rPr>
              <w:t>Weak or painful grip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Grip feels weak and painful, and objects may be dropped during forceful tasks.</w:t>
            </w:r>
          </w:p>
        </w:tc>
      </w:tr>
      <w:tr>
        <w:trPr>
          <w:cantSplit/>
        </w:trPr>
        <w:tc>
          <w:tcPr>
            <w:tcW w:type="dxa" w:w="2304"/>
            <w:vAlign w:val="top"/>
          </w:tcPr>
          <w:p>
            <w:pPr>
              <w:spacing w:after="40" w:before="0" w:line="259" w:lineRule="auto"/>
            </w:pPr>
            <w:r>
              <w:rPr>
                <w:rFonts w:ascii="Calibri" w:hAnsi="Calibri"/>
                <w:b/>
                <w:i w:val="0"/>
                <w:color w:val="212121"/>
                <w:sz w:val="19"/>
              </w:rPr>
              <w:t>Pain worsened by wrist flexion &amp; forearm pronation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Pouring, wringing clothes, using a screwdriver or swinging a club aggravates the pain.</w:t>
            </w:r>
          </w:p>
        </w:tc>
      </w:tr>
      <w:tr>
        <w:trPr>
          <w:cantSplit/>
        </w:trPr>
        <w:tc>
          <w:tcPr>
            <w:tcW w:type="dxa" w:w="2304"/>
            <w:vAlign w:val="top"/>
          </w:tcPr>
          <w:p>
            <w:pPr>
              <w:spacing w:after="40" w:before="0" w:line="259" w:lineRule="auto"/>
            </w:pPr>
            <w:r>
              <w:rPr>
                <w:rFonts w:ascii="Calibri" w:hAnsi="Calibri"/>
                <w:b/>
                <w:i w:val="0"/>
                <w:color w:val="212121"/>
                <w:sz w:val="19"/>
              </w:rPr>
              <w:t>Morning or post-activity stiffness of the elbow</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Soreness and stiffness after rest or after heavy use of the arm.</w:t>
            </w:r>
          </w:p>
        </w:tc>
      </w:tr>
      <w:tr>
        <w:trPr>
          <w:cantSplit/>
        </w:trPr>
        <w:tc>
          <w:tcPr>
            <w:tcW w:type="dxa" w:w="2304"/>
            <w:vAlign w:val="top"/>
          </w:tcPr>
          <w:p>
            <w:pPr>
              <w:spacing w:after="40" w:before="0" w:line="259" w:lineRule="auto"/>
            </w:pPr>
            <w:r>
              <w:rPr>
                <w:rFonts w:ascii="Calibri" w:hAnsi="Calibri"/>
                <w:b/>
                <w:i w:val="0"/>
                <w:color w:val="212121"/>
                <w:sz w:val="19"/>
              </w:rPr>
              <w:t>Numbness or tingling in the ring &amp; little fingers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concomitant ulnar nerve irritation at the cubital tunnel.</w:t>
            </w:r>
          </w:p>
        </w:tc>
      </w:tr>
      <w:tr>
        <w:trPr>
          <w:cantSplit/>
        </w:trPr>
        <w:tc>
          <w:tcPr>
            <w:tcW w:type="dxa" w:w="2304"/>
            <w:vAlign w:val="top"/>
          </w:tcPr>
          <w:p>
            <w:pPr>
              <w:spacing w:after="40" w:before="0" w:line="259" w:lineRule="auto"/>
            </w:pPr>
            <w:r>
              <w:rPr>
                <w:rFonts w:ascii="Calibri" w:hAnsi="Calibri"/>
                <w:b/>
                <w:i w:val="0"/>
                <w:color w:val="212121"/>
                <w:sz w:val="19"/>
              </w:rPr>
              <w:t>Reduced grip endurance / early fatigue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The forearm tires quickly during sustained or repetitive gripping.</w:t>
            </w:r>
          </w:p>
        </w:tc>
      </w:tr>
      <w:tr>
        <w:trPr>
          <w:cantSplit/>
        </w:trPr>
        <w:tc>
          <w:tcPr>
            <w:tcW w:type="dxa" w:w="2304"/>
            <w:vAlign w:val="top"/>
          </w:tcPr>
          <w:p>
            <w:pPr>
              <w:spacing w:after="40" w:before="0" w:line="259" w:lineRule="auto"/>
            </w:pPr>
            <w:r>
              <w:rPr>
                <w:rFonts w:ascii="Calibri" w:hAnsi="Calibri"/>
                <w:b/>
                <w:i w:val="0"/>
                <w:color w:val="212121"/>
                <w:sz w:val="19"/>
              </w:rPr>
              <w:t>Rest pain or night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Occurs in more severe or chronic disease and can disturb sleep.</w:t>
            </w:r>
          </w:p>
        </w:tc>
      </w:tr>
      <w:tr>
        <w:trPr>
          <w:cantSplit/>
        </w:trPr>
        <w:tc>
          <w:tcPr>
            <w:tcW w:type="dxa" w:w="2304"/>
            <w:vAlign w:val="top"/>
          </w:tcPr>
          <w:p>
            <w:pPr>
              <w:spacing w:after="40" w:before="0" w:line="259" w:lineRule="auto"/>
            </w:pPr>
            <w:r>
              <w:rPr>
                <w:rFonts w:ascii="Calibri" w:hAnsi="Calibri"/>
                <w:b/>
                <w:i w:val="0"/>
                <w:color w:val="212121"/>
                <w:sz w:val="19"/>
              </w:rPr>
              <w:t>Bilateral elbow symptoms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Both elbows may be affected, especially with occupational overuse or in metabolic disease.</w:t>
            </w:r>
          </w:p>
        </w:tc>
      </w:tr>
      <w:tr>
        <w:trPr>
          <w:cantSplit/>
        </w:trPr>
        <w:tc>
          <w:tcPr>
            <w:tcW w:type="dxa" w:w="2304"/>
            <w:vAlign w:val="top"/>
          </w:tcPr>
          <w:p>
            <w:pPr>
              <w:spacing w:after="40" w:before="0" w:line="259" w:lineRule="auto"/>
            </w:pPr>
            <w:r>
              <w:rPr>
                <w:rFonts w:ascii="Calibri" w:hAnsi="Calibri"/>
                <w:b/>
                <w:i w:val="0"/>
                <w:color w:val="212121"/>
                <w:sz w:val="19"/>
              </w:rPr>
              <w:t>Fixed loss of elbow extension / marked functional loss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Long-standing, severe tendinosis with contracture is uncommon but disabling.</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Focal tenderness at the common flexor-pronator origin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Maximal about 5-10 mm distal and anterior to the tip of the medial epicondyle.</w:t>
            </w:r>
          </w:p>
        </w:tc>
      </w:tr>
      <w:tr>
        <w:trPr>
          <w:cantSplit/>
        </w:trPr>
        <w:tc>
          <w:tcPr>
            <w:tcW w:type="dxa" w:w="3456"/>
            <w:vAlign w:val="top"/>
          </w:tcPr>
          <w:p>
            <w:pPr>
              <w:spacing w:after="40" w:before="0" w:line="259" w:lineRule="auto"/>
            </w:pPr>
            <w:r>
              <w:rPr>
                <w:rFonts w:ascii="Calibri" w:hAnsi="Calibri"/>
                <w:b/>
                <w:i w:val="0"/>
                <w:color w:val="212121"/>
                <w:sz w:val="19"/>
              </w:rPr>
              <w:t>Pain on resisted wrist flexion (elbow extended)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Provocation of the flexor-pronator origin reproduces medial pain.</w:t>
            </w:r>
          </w:p>
        </w:tc>
      </w:tr>
      <w:tr>
        <w:trPr>
          <w:cantSplit/>
        </w:trPr>
        <w:tc>
          <w:tcPr>
            <w:tcW w:type="dxa" w:w="3456"/>
            <w:vAlign w:val="top"/>
          </w:tcPr>
          <w:p>
            <w:pPr>
              <w:spacing w:after="40" w:before="0" w:line="259" w:lineRule="auto"/>
            </w:pPr>
            <w:r>
              <w:rPr>
                <w:rFonts w:ascii="Calibri" w:hAnsi="Calibri"/>
                <w:b/>
                <w:i w:val="0"/>
                <w:color w:val="212121"/>
                <w:sz w:val="19"/>
              </w:rPr>
              <w:t>Pain on resisted forearm pronation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Loads the pronator teres component of the origin, reproducing pain.</w:t>
            </w:r>
          </w:p>
        </w:tc>
      </w:tr>
      <w:tr>
        <w:trPr>
          <w:cantSplit/>
        </w:trPr>
        <w:tc>
          <w:tcPr>
            <w:tcW w:type="dxa" w:w="3456"/>
            <w:vAlign w:val="top"/>
          </w:tcPr>
          <w:p>
            <w:pPr>
              <w:spacing w:after="40" w:before="0" w:line="259" w:lineRule="auto"/>
            </w:pPr>
            <w:r>
              <w:rPr>
                <w:rFonts w:ascii="Calibri" w:hAnsi="Calibri"/>
                <w:b/>
                <w:i w:val="0"/>
                <w:color w:val="212121"/>
                <w:sz w:val="19"/>
              </w:rPr>
              <w:t>Pain on passive wrist &amp; finger extension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Stretching the flexor-pronator mass elicits medial epicondylar pain.</w:t>
            </w:r>
          </w:p>
        </w:tc>
      </w:tr>
      <w:tr>
        <w:trPr>
          <w:cantSplit/>
        </w:trPr>
        <w:tc>
          <w:tcPr>
            <w:tcW w:type="dxa" w:w="3456"/>
            <w:vAlign w:val="top"/>
          </w:tcPr>
          <w:p>
            <w:pPr>
              <w:spacing w:after="40" w:before="0" w:line="259" w:lineRule="auto"/>
            </w:pPr>
            <w:r>
              <w:rPr>
                <w:rFonts w:ascii="Calibri" w:hAnsi="Calibri"/>
                <w:b/>
                <w:i w:val="0"/>
                <w:color w:val="212121"/>
                <w:sz w:val="19"/>
              </w:rPr>
              <w:t>Reduced grip strength on dynamometry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Painful inhibition reduces measured grip compared with the unaffected side.</w:t>
            </w:r>
          </w:p>
        </w:tc>
      </w:tr>
      <w:tr>
        <w:trPr>
          <w:cantSplit/>
        </w:trPr>
        <w:tc>
          <w:tcPr>
            <w:tcW w:type="dxa" w:w="3456"/>
            <w:vAlign w:val="top"/>
          </w:tcPr>
          <w:p>
            <w:pPr>
              <w:spacing w:after="40" w:before="0" w:line="259" w:lineRule="auto"/>
            </w:pPr>
            <w:r>
              <w:rPr>
                <w:rFonts w:ascii="Calibri" w:hAnsi="Calibri"/>
                <w:b/>
                <w:i w:val="0"/>
                <w:color w:val="212121"/>
                <w:sz w:val="19"/>
              </w:rPr>
              <w:t>Positive 'golfer's elbow' provocation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Combined resisted wrist flexion and pronation reproduces the pain.</w:t>
            </w:r>
          </w:p>
        </w:tc>
      </w:tr>
      <w:tr>
        <w:trPr>
          <w:cantSplit/>
        </w:trPr>
        <w:tc>
          <w:tcPr>
            <w:tcW w:type="dxa" w:w="3456"/>
            <w:vAlign w:val="top"/>
          </w:tcPr>
          <w:p>
            <w:pPr>
              <w:spacing w:after="40" w:before="0" w:line="259" w:lineRule="auto"/>
            </w:pPr>
            <w:r>
              <w:rPr>
                <w:rFonts w:ascii="Calibri" w:hAnsi="Calibri"/>
                <w:b/>
                <w:i w:val="0"/>
                <w:color w:val="212121"/>
                <w:sz w:val="19"/>
              </w:rPr>
              <w:t>Positive Tinel's sign / elbow-flexion test at the cubital tunnel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associated ulnar nerve irritation behind the medial epicondyle.</w:t>
            </w:r>
          </w:p>
        </w:tc>
      </w:tr>
      <w:tr>
        <w:trPr>
          <w:cantSplit/>
        </w:trPr>
        <w:tc>
          <w:tcPr>
            <w:tcW w:type="dxa" w:w="3456"/>
            <w:vAlign w:val="top"/>
          </w:tcPr>
          <w:p>
            <w:pPr>
              <w:spacing w:after="40" w:before="0" w:line="259" w:lineRule="auto"/>
            </w:pPr>
            <w:r>
              <w:rPr>
                <w:rFonts w:ascii="Calibri" w:hAnsi="Calibri"/>
                <w:b/>
                <w:i w:val="0"/>
                <w:color w:val="212121"/>
                <w:sz w:val="19"/>
              </w:rPr>
              <w:t>Sensory change in the ulnar (little/ring finger) distribution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Reflects concomitant ulnar neuropathy at the elbow.</w:t>
            </w:r>
          </w:p>
        </w:tc>
      </w:tr>
      <w:tr>
        <w:trPr>
          <w:cantSplit/>
        </w:trPr>
        <w:tc>
          <w:tcPr>
            <w:tcW w:type="dxa" w:w="3456"/>
            <w:vAlign w:val="top"/>
          </w:tcPr>
          <w:p>
            <w:pPr>
              <w:spacing w:after="40" w:before="0" w:line="259" w:lineRule="auto"/>
            </w:pPr>
            <w:r>
              <w:rPr>
                <w:rFonts w:ascii="Calibri" w:hAnsi="Calibri"/>
                <w:b/>
                <w:i w:val="0"/>
                <w:color w:val="212121"/>
                <w:sz w:val="19"/>
              </w:rPr>
              <w:t>Local soft-tissue swelling or warmth over the medial epicondyle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Mild, when present; marked swelling should prompt a search for other causes.</w:t>
            </w:r>
          </w:p>
        </w:tc>
      </w:tr>
      <w:tr>
        <w:trPr>
          <w:cantSplit/>
        </w:trPr>
        <w:tc>
          <w:tcPr>
            <w:tcW w:type="dxa" w:w="3456"/>
            <w:vAlign w:val="top"/>
          </w:tcPr>
          <w:p>
            <w:pPr>
              <w:spacing w:after="40" w:before="0" w:line="259" w:lineRule="auto"/>
            </w:pPr>
            <w:r>
              <w:rPr>
                <w:rFonts w:ascii="Calibri" w:hAnsi="Calibri"/>
                <w:b/>
                <w:i w:val="0"/>
                <w:color w:val="212121"/>
                <w:sz w:val="19"/>
              </w:rPr>
              <w:t>Palpable traction osteophyte / calcification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Chronic disease may show a tender medial traction spur on examination or imaging.</w:t>
            </w:r>
          </w:p>
        </w:tc>
      </w:tr>
      <w:tr>
        <w:trPr>
          <w:cantSplit/>
        </w:trPr>
        <w:tc>
          <w:tcPr>
            <w:tcW w:type="dxa" w:w="3456"/>
            <w:vAlign w:val="top"/>
          </w:tcPr>
          <w:p>
            <w:pPr>
              <w:spacing w:after="40" w:before="0" w:line="259" w:lineRule="auto"/>
            </w:pPr>
            <w:r>
              <w:rPr>
                <w:rFonts w:ascii="Calibri" w:hAnsi="Calibri"/>
                <w:b/>
                <w:i w:val="0"/>
                <w:color w:val="212121"/>
                <w:sz w:val="19"/>
              </w:rPr>
              <w:t>Elbow flexion contracture / loss of terminal extension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late feature of severe, long-standing tendinosis.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medial elbow pain and tenderness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Grip weakness and reduced grip endurance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Functional limitation of gripping, lifting and occupational or sporting tasks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from rest or night pain in severe cases</w:t>
            </w:r>
          </w:p>
        </w:tc>
        <w:tc>
          <w:tcPr>
            <w:tcW w:type="dxa" w:w="2980"/>
            <w:vAlign w:val="top"/>
          </w:tcPr>
          <w:p>
            <w:pPr>
              <w:spacing w:after="40" w:before="0" w:line="259" w:lineRule="auto"/>
            </w:pPr>
            <w:r>
              <w:rPr>
                <w:rFonts w:ascii="Calibri" w:hAnsi="Calibri"/>
                <w:b w:val="0"/>
                <w:i w:val="0"/>
                <w:color w:val="212121"/>
                <w:sz w:val="19"/>
              </w:rPr>
              <w:t>Direct consequences of flexor-pronator tendinosis on the medial elbow and forearm</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Concomitant or secondary ulnar neuropathy at the elbow (cubital tunnel)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Partial tearing of the flexor-pronator origin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recalcitrant tendinosis resistant to conservative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Compensatory overuse of the shoulder, wrist and contralateral limb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Corticosteroid-injection effects: subcutaneous fat atrophy, skin depigmentation, tendon weakening</w:t>
            </w:r>
          </w:p>
        </w:tc>
        <w:tc>
          <w:tcPr>
            <w:tcW w:type="dxa" w:w="2980"/>
            <w:vAlign w:val="top"/>
          </w:tcPr>
          <w:p>
            <w:pPr>
              <w:spacing w:after="40" w:before="0" w:line="259" w:lineRule="auto"/>
            </w:pPr>
            <w:r>
              <w:rPr>
                <w:rFonts w:ascii="Calibri" w:hAnsi="Calibri"/>
                <w:b w:val="0"/>
                <w:i w:val="0"/>
                <w:color w:val="212121"/>
                <w:sz w:val="19"/>
              </w:rPr>
              <w:t>Progression of the tendinopathy, nerve involvement and treatment-related effects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flexor-pronator degeneration with fibrosis or calcification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ulnar motor/sensory deficit with intrinsic hand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disability and loss of livelihood, especially in 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Surgical complications: ulnar nerve injury, incomplete pain relief, recurrence, wound problems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deconditioning and secondary low mood</w:t>
            </w:r>
          </w:p>
        </w:tc>
        <w:tc>
          <w:tcPr>
            <w:tcW w:type="dxa" w:w="2980"/>
            <w:vAlign w:val="top"/>
          </w:tcPr>
          <w:p>
            <w:pPr>
              <w:spacing w:after="40" w:before="0" w:line="259" w:lineRule="auto"/>
            </w:pPr>
            <w:r>
              <w:rPr>
                <w:rFonts w:ascii="Calibri" w:hAnsi="Calibri"/>
                <w:b w:val="0"/>
                <w:i w:val="0"/>
                <w:color w:val="212121"/>
                <w:sz w:val="19"/>
              </w:rPr>
              <w:t>Largely irreversible outcomes of longstanding disease, nerve damage and failed or complicated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Ulnar neuropathy / cubital tunnel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ulnar nerve lies immediately behind the medial epicondyle, so flexor-pronator pathology frequently irritates it; concomitant ulnar neuropathy is common in operative series (around half) and worsens symptoms and surgical outcome, often needing simultaneous nerve decompression.</w:t>
            </w:r>
          </w:p>
          <w:p>
            <w:pPr>
              <w:spacing w:after="40" w:before="0" w:line="259" w:lineRule="auto"/>
            </w:pPr>
            <w:r>
              <w:rPr>
                <w:rFonts w:ascii="Calibri" w:hAnsi="Calibri"/>
                <w:b/>
                <w:i w:val="0"/>
                <w:color w:val="212121"/>
                <w:sz w:val="19"/>
              </w:rPr>
              <w:t>Up to ~50% in surgical series</w:t>
            </w:r>
          </w:p>
        </w:tc>
      </w:tr>
      <w:tr>
        <w:trPr>
          <w:cantSplit/>
        </w:trPr>
        <w:tc>
          <w:tcPr>
            <w:tcW w:type="dxa" w:w="2232"/>
            <w:vAlign w:val="top"/>
          </w:tcPr>
          <w:p>
            <w:pPr>
              <w:spacing w:after="40" w:before="0" w:line="259" w:lineRule="auto"/>
            </w:pPr>
            <w:r>
              <w:rPr>
                <w:rFonts w:ascii="Calibri" w:hAnsi="Calibri"/>
                <w:b/>
                <w:i w:val="0"/>
                <w:color w:val="212121"/>
                <w:sz w:val="19"/>
              </w:rPr>
              <w:t>Lateral epicondylitis (tennis elbow)</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lateral counterpart shares the same degenerative overuse tendinopathy biology, is about 3-4 times commoner, and may coexist in the same or contralateral arm, especially in manual workers.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advanced glycation end-products and microangiopathy degrade tendon collagen; diabetes is strongly associated with upper-limb tendinopathy including medial epicondylitis (reported odds ratio about 11), which is often multi-site and more refractory. Corticosteroid injections also transiently raise blood glucose.</w:t>
            </w:r>
          </w:p>
          <w:p>
            <w:pPr>
              <w:spacing w:after="40" w:before="0" w:line="259" w:lineRule="auto"/>
            </w:pPr>
            <w:r>
              <w:rPr>
                <w:rFonts w:ascii="Calibri" w:hAnsi="Calibri"/>
                <w:b/>
                <w:i w:val="0"/>
                <w:color w:val="212121"/>
                <w:sz w:val="19"/>
              </w:rPr>
              <w:t>Reported OR ~11 (upper-limb tendinopathy)</w:t>
            </w:r>
          </w:p>
        </w:tc>
      </w:tr>
      <w:tr>
        <w:trPr>
          <w:cantSplit/>
        </w:trPr>
        <w:tc>
          <w:tcPr>
            <w:tcW w:type="dxa" w:w="2232"/>
            <w:vAlign w:val="top"/>
          </w:tcPr>
          <w:p>
            <w:pPr>
              <w:spacing w:after="40" w:before="0" w:line="259" w:lineRule="auto"/>
            </w:pPr>
            <w:r>
              <w:rPr>
                <w:rFonts w:ascii="Calibri" w:hAnsi="Calibri"/>
                <w:b/>
                <w:i w:val="0"/>
                <w:color w:val="212121"/>
                <w:sz w:val="19"/>
              </w:rPr>
              <w:t>Obesity / metabolic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Combines mechanical loading with a pro-inflammatory, insulin-resistant state that impairs tendon healing; an independent determinant of medial epicondylitis and a predictor of needing surgery.</w:t>
            </w:r>
          </w:p>
        </w:tc>
      </w:tr>
      <w:tr>
        <w:trPr>
          <w:cantSplit/>
        </w:trPr>
        <w:tc>
          <w:tcPr>
            <w:tcW w:type="dxa" w:w="2232"/>
            <w:vAlign w:val="top"/>
          </w:tcPr>
          <w:p>
            <w:pPr>
              <w:spacing w:after="40" w:before="0" w:line="259" w:lineRule="auto"/>
            </w:pPr>
            <w:r>
              <w:rPr>
                <w:rFonts w:ascii="Calibri" w:hAnsi="Calibri"/>
                <w:b/>
                <w:i w:val="0"/>
                <w:color w:val="212121"/>
                <w:sz w:val="19"/>
              </w:rPr>
              <w:t>Rotator cuff &amp; other upper-limb tendinopathies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Shared degenerative tendon pathology means rotator cuff, De Quervain's and wrist tendinopathies often coexist, particularly in metabolic disease and heavy manual work.</w:t>
            </w:r>
          </w:p>
        </w:tc>
      </w:tr>
      <w:tr>
        <w:trPr>
          <w:cantSplit/>
        </w:trPr>
        <w:tc>
          <w:tcPr>
            <w:tcW w:type="dxa" w:w="2232"/>
            <w:vAlign w:val="top"/>
          </w:tcPr>
          <w:p>
            <w:pPr>
              <w:spacing w:after="40" w:before="0" w:line="259" w:lineRule="auto"/>
            </w:pPr>
            <w:r>
              <w:rPr>
                <w:rFonts w:ascii="Calibri" w:hAnsi="Calibri"/>
                <w:b/>
                <w:i w:val="0"/>
                <w:color w:val="212121"/>
                <w:sz w:val="19"/>
              </w:rPr>
              <w:t>Ulnar collateral ligament (UCL) insufficiency / valgus overload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 throwing athletes medial valgus overload injures both the flexor-pronator origin and the UCL, so the two coexist and must be distinguished, as UCL injury may need separate treatment.</w:t>
            </w:r>
          </w:p>
        </w:tc>
      </w:tr>
      <w:tr>
        <w:trPr>
          <w:cantSplit/>
        </w:trPr>
        <w:tc>
          <w:tcPr>
            <w:tcW w:type="dxa" w:w="2232"/>
            <w:vAlign w:val="top"/>
          </w:tcPr>
          <w:p>
            <w:pPr>
              <w:spacing w:after="40" w:before="0" w:line="259" w:lineRule="auto"/>
            </w:pPr>
            <w:r>
              <w:rPr>
                <w:rFonts w:ascii="Calibri" w:hAnsi="Calibri"/>
                <w:b/>
                <w:i w:val="0"/>
                <w:color w:val="212121"/>
                <w:sz w:val="19"/>
              </w:rPr>
              <w:t>Carpal tunnel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Another repetitive-strain upper-limb disorder that shares occupational load and metabolic risk factors and frequently coexists, complicating the pattern of arm pain and numbness.</w:t>
            </w:r>
          </w:p>
        </w:tc>
      </w:tr>
      <w:tr>
        <w:trPr>
          <w:cantSplit/>
        </w:trPr>
        <w:tc>
          <w:tcPr>
            <w:tcW w:type="dxa" w:w="2232"/>
            <w:vAlign w:val="top"/>
          </w:tcPr>
          <w:p>
            <w:pPr>
              <w:spacing w:after="40" w:before="0" w:line="259" w:lineRule="auto"/>
            </w:pPr>
            <w:r>
              <w:rPr>
                <w:rFonts w:ascii="Calibri" w:hAnsi="Calibri"/>
                <w:b/>
                <w:i w:val="0"/>
                <w:color w:val="212121"/>
                <w:sz w:val="19"/>
              </w:rPr>
              <w:t>De Quervain's tenosynovitis / forearm-wrist tendinopathy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Shares the repetitive-overload mechanism and occupational clustering (gripping, wringing, device use), so multiple overuse tendinopathies may present together.</w:t>
            </w:r>
          </w:p>
        </w:tc>
      </w:tr>
      <w:tr>
        <w:trPr>
          <w:cantSplit/>
        </w:trPr>
        <w:tc>
          <w:tcPr>
            <w:tcW w:type="dxa" w:w="2232"/>
            <w:vAlign w:val="top"/>
          </w:tcPr>
          <w:p>
            <w:pPr>
              <w:spacing w:after="40" w:before="0" w:line="259" w:lineRule="auto"/>
            </w:pPr>
            <w:r>
              <w:rPr>
                <w:rFonts w:ascii="Calibri" w:hAnsi="Calibri"/>
                <w:b/>
                <w:i w:val="0"/>
                <w:color w:val="212121"/>
                <w:sz w:val="19"/>
              </w:rPr>
              <w:t>Cervical radiculopathy (C6-C8)</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key differential that can also coexist; nerve-root pain may mimic or overlap medial elbow and ulnar-forearm symptoms and must be excluded when signs are atypical.</w:t>
            </w:r>
          </w:p>
        </w:tc>
      </w:tr>
      <w:tr>
        <w:trPr>
          <w:cantSplit/>
        </w:trPr>
        <w:tc>
          <w:tcPr>
            <w:tcW w:type="dxa" w:w="2232"/>
            <w:vAlign w:val="top"/>
          </w:tcPr>
          <w:p>
            <w:pPr>
              <w:spacing w:after="40" w:before="0" w:line="259" w:lineRule="auto"/>
            </w:pPr>
            <w:r>
              <w:rPr>
                <w:rFonts w:ascii="Calibri" w:hAnsi="Calibri"/>
                <w:b/>
                <w:i w:val="0"/>
                <w:color w:val="212121"/>
                <w:sz w:val="19"/>
              </w:rPr>
              <w:t>Medial epicondyle apophysitis ('Little League elbow')</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adolescent analogue at the growing medial apophysis from throwing overload; the age-specific differential to consider in young athletes with medial elbow pain.</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Thyroid dysfunction is associated with soft-tissue rheumatism and impaired tendon healing and may contribute to refractory or multi-site tendinopathy; worth considering in resistant cases.</w:t>
            </w:r>
          </w:p>
        </w:tc>
      </w:tr>
      <w:tr>
        <w:trPr>
          <w:cantSplit/>
        </w:trPr>
        <w:tc>
          <w:tcPr>
            <w:tcW w:type="dxa" w:w="2232"/>
            <w:vAlign w:val="top"/>
          </w:tcPr>
          <w:p>
            <w:pPr>
              <w:spacing w:after="40" w:before="0" w:line="259" w:lineRule="auto"/>
            </w:pPr>
            <w:r>
              <w:rPr>
                <w:rFonts w:ascii="Calibri" w:hAnsi="Calibri"/>
                <w:b/>
                <w:i w:val="0"/>
                <w:color w:val="212121"/>
                <w:sz w:val="19"/>
              </w:rPr>
              <w:t>Depression / chronic pain-related mood disturbance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Persistent pain, disability and lost work lower mood, while distress and catastrophising prolong pain and reduce rehabilitation adherence, warranting attention in chronic disease.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Warm up and gently stretch the forearm before repetitive gripping tasks or sport.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correct technique and properly fitted tools, grips and racquet/club handles to reduce medial elbow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regular micro-breaks and rotate tasks during forceful, repetitive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training or workload gradually and avoid sudden spikes in intensity or duration.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early inner-elbow pain as a warning: rest and modify activity rather than 'working or playing through 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&amp; agricultural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Golfers &amp; throwing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Homemakers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this is a degenerative tendinopathy that heals slowly over weeks to months and needs load management, not quick fixes.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a graded eccentric and isometric flexor-pronator exercise programme, the evidence-based core of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counterforce brace/forearm strap or a wrist splint during aggravating activities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limits of corticosteroid injection - short-term relief only, with risk of recurrence and tendon or ulnar-nerve harm - and avoid repeated injections.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review if numbness or tingling develops in the ring and little fingers, or if there is no improvement by 6-12 months of proper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medial epicondylitis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Recalcitrant / recurrent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considering injection or surgery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with relative rest and activity modification to unload the flexor-pronator origin while staying generally active.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 to graded eccentric and isometric wrist-flexor and pronator strengthening as pain allows.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gentle flexor-pronator stretching and gradual load progression back to work or sport.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whole kinetic chain - shoulder, scapular and core strength - and correct swing or throwing technique.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load and symptoms, backing off if pain flares beyond a mild, settling level.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rehabilitation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returning to sport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forearm and grip conditioning to raise the tendon's tolerance to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Warm up and stretch before loading tasks or sport, and cool down afterwards.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ergonomic tools and keep the wrist near neutral during repetitive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overtraining and abrupt increases in gripping, lifting or throwing volume.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Recreational 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Office/IT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(dals, milk, curd, eggs, paneer, lean meat or fish) to support collagen repair.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vitamin C and colourful fruit and vegetables, which aid collagen synthesis.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glycaemic control by limiting refined carbohydrate and sugar, especially if diabetic or overweight.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vitamin D deficiency, which is widespread in India, to support musculoskeletal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 healthy weight (Asian BMI targets) to reduce the metabolic load that impairs tendon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 overweight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slow-healing tendinopathy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protein-adequate, anti-inflammatory diet rich in whole grains, pulses, vegetables and fruit.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high-sugar foods and sugary drinks that promote hyperglycaemia and glycation.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body weight within the healthy range using Asian BMI cut-offs.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diabetes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tissue repair and pain modulation.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sleeping with the elbow fully flexed or resting on the inner elbow, which can compress the ulnar nerve.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night pain with correct daytime load management and positioning rather than sedatives.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persistent pain-related insomnia so that treatment can be adjusted.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rest/night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ulnar-nerve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in rehabilitation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improve tendon microcirculation and collagen healing and lower the risk of tendinopathy.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impairs tissue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cessation during recovery, as smoking predicts more refractory disease and poorer surgical results.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behavioural support with pharmacotherapy for higher quit rates before any planned injection or surgery.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established medial epicondylitis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awaiting injection or surgery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to protect nutrition, weight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which impairs metabolic control and tissue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tendinopathy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frustration and low mood that chronic pain and activity or work limitation can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pacing, education and realistic recovery expectations to reduce distress and catastrophising.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cognitive-behavioural and pain-coping strategies for persistent or recalcitrant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Arrange occupational support or temporary task modification to ease the stress of lost or restricted work.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chronic/recalcitrant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 facing lost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unable to compete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16968862/" TargetMode="External"/><Relationship Id="rId10" Type="http://schemas.openxmlformats.org/officeDocument/2006/relationships/hyperlink" Target="https://pubmed.ncbi.nlm.nih.gov/26001427/" TargetMode="External"/><Relationship Id="rId11" Type="http://schemas.openxmlformats.org/officeDocument/2006/relationships/hyperlink" Target="https://pubmed.ncbi.nlm.nih.gov/28862069/" TargetMode="External"/><Relationship Id="rId12" Type="http://schemas.openxmlformats.org/officeDocument/2006/relationships/hyperlink" Target="https://pubmed.ncbi.nlm.nih.gov/40937086/" TargetMode="External"/><Relationship Id="rId13" Type="http://schemas.openxmlformats.org/officeDocument/2006/relationships/hyperlink" Target="https://pubmed.ncbi.nlm.nih.gov/76082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