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Trigger Finger</w:t>
      </w:r>
    </w:p>
    <w:p>
      <w:pPr>
        <w:spacing w:before="0" w:after="160"/>
      </w:pPr>
      <w:r>
        <w:rPr>
          <w:rFonts w:ascii="Calibri" w:hAnsi="Calibri"/>
          <w:b/>
          <w:i w:val="0"/>
          <w:color w:val="212121"/>
          <w:sz w:val="22"/>
        </w:rPr>
        <w:t xml:space="preserve">AKA </w:t>
      </w:r>
      <w:r>
        <w:rPr>
          <w:rFonts w:ascii="Calibri" w:hAnsi="Calibri"/>
          <w:b w:val="0"/>
          <w:i w:val="0"/>
          <w:color w:val="212121"/>
          <w:sz w:val="22"/>
        </w:rPr>
        <w:t>i.e., Stenosing tenosynovitis, Stenosing flexor tenosynovitis, Digital flexor tenosynovitis, Locking finger, Snapping finger; the paediatric thumb form is called Trigger thumb (Notta's node)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Trigger finger is a stenosing tenosynovitis of the digital flexor apparatus in which a size mismatch between the flexor tendon and the first annular (A1) pulley at the metacarpophalangeal head impedes smooth tendon gliding. Repetitive friction produces fibrocartilaginous metaplasia and thickening of the A1 pulley together with a nodule on the tendon, so the digit catches, clicks or locks as it is flexed and then extended. It is strongly associated with diabetes mellitus and is one of the commonest disabling diabetic hand disorders, more frequent and more severe as glycaemic control and disease duration worsen.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Trigger finger affects an estimated 2-3% of the general adult population over a lifetime, is up to about six times more common in women, and typically presents in the fifth to sixth decade. Among people with diabetes the prevalence rises sharply to roughly 10-20%, making it one of the commonest diabetic hand complications. In India - where the ICMR-INDIAB (2023) study estimates diabetes in about 11.4% of adults (~101 million people) - this creates a very large at-risk pool; Indian type-2 diabetes cohorts report trigger finger in around 2% and some form of diabetic hand or musculoskeletal manifestation in roughly a third of patients.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Trigger finger is a clinical diagnosis based on a characteristic history and examination; imaging is reserved for atypical or refractory cases. The following features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palpable, tender nodule over the A1 pulley at the distal palmar crease / metacarpal head that moves with the flexor tendon during active motion;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painful catching, clicking or snapping (“triggering”) as the affected digit is actively flexed and then extended, often worse in the morning or after inactivity;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locking of the digit in a flexed position that requires passive extension in more advanced disease, or a fixed flexion contracture at the proximal interphalangeal (PIP) joint;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reproduction of triggering on active flexion against resistance, with the ring finger and thumb most commonly involved and the dominant hand predominating;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involvement of multiple digits, bilateral disease, or early recurrence, which should prompt screening for diabetes (fasting glucose/HbA1c) and hypothyroidism;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high-resolution ultrasound (thickened hypoechoic A1 pulley, flexor tendon sheath effusion, peritendinous nodule) to confirm doubtful cases and to guide corticosteroid injection.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Severity is graded clinically to guide treatment, most commonly using the modified Green classification (and the analogous Quinnell scale):</w:t>
      </w:r>
    </w:p>
    <w:p>
      <w:pPr>
        <w:spacing w:before="0" w:after="80"/>
      </w:pPr>
      <w:r>
        <w:rPr>
          <w:rFonts w:ascii="Calibri" w:hAnsi="Calibri"/>
          <w:b w:val="0"/>
          <w:i w:val="0"/>
          <w:color w:val="212121"/>
          <w:sz w:val="21"/>
        </w:rPr>
        <w:t>(1) Grade I (Pre-triggering) - pain and tenderness over the A1 pulley with a history of catching but no demonstrable triggering on examination;</w:t>
      </w:r>
    </w:p>
    <w:p>
      <w:pPr>
        <w:spacing w:before="0" w:after="80"/>
      </w:pPr>
      <w:r>
        <w:rPr>
          <w:rFonts w:ascii="Calibri" w:hAnsi="Calibri"/>
          <w:b w:val="0"/>
          <w:i w:val="0"/>
          <w:color w:val="212121"/>
          <w:sz w:val="21"/>
        </w:rPr>
        <w:t>(2) Grade II (Active) - demonstrable catching of the digit, but the patient can still actively extend the finger without assistance;</w:t>
      </w:r>
    </w:p>
    <w:p>
      <w:pPr>
        <w:spacing w:before="0" w:after="80"/>
      </w:pPr>
      <w:r>
        <w:rPr>
          <w:rFonts w:ascii="Calibri" w:hAnsi="Calibri"/>
          <w:b w:val="0"/>
          <w:i w:val="0"/>
          <w:color w:val="212121"/>
          <w:sz w:val="21"/>
        </w:rPr>
        <w:t>(3) Grade III (Passive) - locking that requires passive extension to unlock (IIIA) or an inability to actively flex the digit (IIIB);</w:t>
      </w:r>
    </w:p>
    <w:p>
      <w:pPr>
        <w:spacing w:before="0" w:after="80"/>
      </w:pPr>
      <w:r>
        <w:rPr>
          <w:rFonts w:ascii="Calibri" w:hAnsi="Calibri"/>
          <w:b w:val="0"/>
          <w:i w:val="0"/>
          <w:color w:val="212121"/>
          <w:sz w:val="21"/>
        </w:rPr>
        <w:t>(4) Grade IV (Contracture) - a fixed flexion contracture of the PIP joint that can no longer be passively corrected. The Quinnell scale similarly runs from grade 0 (normal) through uneven movement, actively correctable and passively correctable locking to fixed deformity; the congenital paediatric variant (trigger thumb with a palpable Notta's node) is classified separately.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A1 pulley–tendon mismatch: fibrocartilaginous metaplasia with type III collagen and chondrocyte proliferation thickens and stenoses the A1 pulley, producing a tendon nodule that no longer glides freely - the final common pathway of the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Diabetes mellitus: non-enzymatic glycation and advanced glycation end-product cross-linking stiffen the tendon sheath and connective tissue, making diabetes the strongest systemic risk factor; risk rises with disease duration and poor glycaemic control.</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Repetitive or forceful gripping: occupational and recreational overuse (manual labour, tool and vibration exposure, prolonged smartphone/gaming use) causes microtrauma and flexor tenosynovitis, especially of the thumb, ring and middle fingers.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Female sex and hormonal factors: a marked female predominance, often peaking in the perimenopausal/postmenopausal years, points to hormonal influences on tendon and connective tissue.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Other fibrosing and inflammatory conditions: hypothyroidism, rheumatoid arthritis, gout, amyloidosis, chronic renal disease and coexisting carpal tunnel or De Quervain tenosynovitis share a fibro-inflammatory tendency and raise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Local anatomy and congenital factors: a proximal lumbrical insertion or a congenitally tight pulley (paediatric trigger thumb with Notta's node) predisposes to mechanical impingement.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w:t>
            </w:r>
          </w:p>
        </w:tc>
        <w:tc>
          <w:tcPr>
            <w:tcW w:type="dxa" w:w="4276"/>
            <w:vAlign w:val="top"/>
          </w:tcPr>
          <w:p>
            <w:pPr>
              <w:spacing w:after="60" w:line="259" w:lineRule="auto"/>
            </w:pPr>
            <w:r>
              <w:rPr>
                <w:rFonts w:ascii="Calibri" w:hAnsi="Calibri"/>
                <w:b w:val="0"/>
                <w:i w:val="0"/>
                <w:color w:val="212121"/>
                <w:sz w:val="19"/>
              </w:rPr>
              <w:t>Trigger finger peaks in the fifth to sixth decades, when cumulative occupational micro-trauma, age-related collagen change and the onset of metabolic disease converge. Tendon and pulley connective tissue become less elastic, so the flexor tendon catches at a thickened A1 pulley.</w:t>
            </w:r>
          </w:p>
          <w:p>
            <w:pPr>
              <w:spacing w:after="40" w:before="60" w:line="259" w:lineRule="auto"/>
            </w:pPr>
            <w:r>
              <w:rPr>
                <w:rFonts w:ascii="Calibri" w:hAnsi="Calibri"/>
                <w:b w:val="0"/>
                <w:i w:val="0"/>
                <w:color w:val="212121"/>
                <w:sz w:val="19"/>
              </w:rPr>
              <w:t>Peak incidence occurs in the fifth to sixth decade of life (mean age ~58 years).</w:t>
            </w:r>
          </w:p>
          <w:p>
            <w:pPr>
              <w:spacing w:after="40" w:line="252" w:lineRule="auto"/>
            </w:pPr>
            <w:hyperlink r:id="rId9">
              <w:r>
                <w:rPr>
                  <w:rFonts w:ascii="Calibri" w:hAnsi="Calibri" w:cs="Calibri"/>
                  <w:sz w:val="18"/>
                  <w:color w:val="1155CC"/>
                  <w:u w:val="single"/>
                </w:rPr>
                <w:t xml:space="preserve">physio-pedia.com — Trigger Finger</w:t>
              </w:r>
            </w:hyperlink>
          </w:p>
          <w:p>
            <w:pPr>
              <w:spacing w:before="60" w:after="40"/>
            </w:pPr>
            <w:r>
              <w:rPr>
                <w:rFonts w:ascii="Calibri" w:hAnsi="Calibri"/>
                <w:b w:val="0"/>
                <w:i w:val="0"/>
                <w:color w:val="5A5A5A"/>
                <w:sz w:val="18"/>
              </w:rPr>
              <w:t>#triggerfinger  #A1pulley  #middleage  #tendon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Advancing age adds accumulated glycation, reduced tendon vascularity and a higher burden of diabetes, hypothyroidism and osteoarthritis, so triggering is more likely to progress to fixed locking and contracture and responds less well to injection.</w:t>
            </w:r>
          </w:p>
          <w:p>
            <w:pPr>
              <w:spacing w:after="40" w:before="60" w:line="259" w:lineRule="auto"/>
            </w:pPr>
            <w:r>
              <w:rPr>
                <w:rFonts w:ascii="Calibri" w:hAnsi="Calibri"/>
                <w:b w:val="0"/>
                <w:i w:val="0"/>
                <w:color w:val="212121"/>
                <w:sz w:val="19"/>
              </w:rPr>
              <w:t>Age is independently associated with diabetic hand and musculoskeletal disease (p = 0.024 in an Indian T2DM cohort).</w:t>
            </w:r>
          </w:p>
          <w:p>
            <w:pPr>
              <w:spacing w:after="40" w:line="252" w:lineRule="auto"/>
            </w:pPr>
            <w:hyperlink r:id="rId10">
              <w:r>
                <w:rPr>
                  <w:rFonts w:ascii="Calibri" w:hAnsi="Calibri" w:cs="Calibri"/>
                  <w:sz w:val="18"/>
                  <w:color w:val="1155CC"/>
                  <w:u w:val="single"/>
                </w:rPr>
                <w:t xml:space="preserve">springer — Indian T2DM MSK cohort</w:t>
              </w:r>
            </w:hyperlink>
          </w:p>
          <w:p>
            <w:pPr>
              <w:spacing w:before="60" w:after="40"/>
            </w:pPr>
            <w:r>
              <w:rPr>
                <w:rFonts w:ascii="Calibri" w:hAnsi="Calibri"/>
                <w:b w:val="0"/>
                <w:i w:val="0"/>
                <w:color w:val="5A5A5A"/>
                <w:sz w:val="18"/>
              </w:rPr>
              <w:t>#elderly  #contracture  #glycation  #stiffhand</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(especially peri-/post-menopausal)</w:t>
            </w:r>
          </w:p>
        </w:tc>
        <w:tc>
          <w:tcPr>
            <w:tcW w:type="dxa" w:w="4276"/>
            <w:vAlign w:val="top"/>
          </w:tcPr>
          <w:p>
            <w:pPr>
              <w:spacing w:after="60" w:line="259" w:lineRule="auto"/>
            </w:pPr>
            <w:r>
              <w:rPr>
                <w:rFonts w:ascii="Calibri" w:hAnsi="Calibri"/>
                <w:b w:val="0"/>
                <w:i w:val="0"/>
                <w:color w:val="212121"/>
                <w:sz w:val="19"/>
              </w:rPr>
              <w:t>Women are affected far more often than men, with a peak around menopause that suggests hormonal effects on tendon and synovial connective tissue. Household and occupational repetitive gripping compounds the risk.</w:t>
            </w:r>
          </w:p>
          <w:p>
            <w:pPr>
              <w:spacing w:after="40" w:before="60" w:line="259" w:lineRule="auto"/>
            </w:pPr>
            <w:r>
              <w:rPr>
                <w:rFonts w:ascii="Calibri" w:hAnsi="Calibri"/>
                <w:b w:val="0"/>
                <w:i w:val="0"/>
                <w:color w:val="212121"/>
                <w:sz w:val="19"/>
              </w:rPr>
              <w:t>Trigger finger is up to about 6 times more common in women than in men.</w:t>
            </w:r>
          </w:p>
          <w:p>
            <w:pPr>
              <w:spacing w:after="40" w:line="252" w:lineRule="auto"/>
            </w:pPr>
            <w:hyperlink r:id="rId11">
              <w:r>
                <w:rPr>
                  <w:rFonts w:ascii="Calibri" w:hAnsi="Calibri" w:cs="Calibri"/>
                  <w:sz w:val="18"/>
                  <w:color w:val="1155CC"/>
                  <w:u w:val="single"/>
                </w:rPr>
                <w:t xml:space="preserve">pmc — trigger finger etiology &amp; evaluation</w:t>
              </w:r>
            </w:hyperlink>
          </w:p>
          <w:p>
            <w:pPr>
              <w:spacing w:before="60" w:after="40"/>
            </w:pPr>
            <w:r>
              <w:rPr>
                <w:rFonts w:ascii="Calibri" w:hAnsi="Calibri"/>
                <w:b w:val="0"/>
                <w:i w:val="0"/>
                <w:color w:val="5A5A5A"/>
                <w:sz w:val="18"/>
              </w:rPr>
              <w:t>#female  #menopause  #hormonal  #tendon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Men with poorly controlled diabetes</w:t>
            </w:r>
          </w:p>
        </w:tc>
        <w:tc>
          <w:tcPr>
            <w:tcW w:type="dxa" w:w="4276"/>
            <w:vAlign w:val="top"/>
          </w:tcPr>
          <w:p>
            <w:pPr>
              <w:spacing w:after="60" w:line="259" w:lineRule="auto"/>
            </w:pPr>
            <w:r>
              <w:rPr>
                <w:rFonts w:ascii="Calibri" w:hAnsi="Calibri"/>
                <w:b w:val="0"/>
                <w:i w:val="0"/>
                <w:color w:val="212121"/>
                <w:sz w:val="19"/>
              </w:rPr>
              <w:t>Although women predominate overall, diabetic men with high glycaemia carry a disproportionate risk because chronic hyperglycaemia glycates and stiffens the flexor sheath, and manual occupations add mechanical load.</w:t>
            </w:r>
          </w:p>
          <w:p>
            <w:pPr>
              <w:spacing w:after="40" w:before="60" w:line="259" w:lineRule="auto"/>
            </w:pPr>
            <w:r>
              <w:rPr>
                <w:rFonts w:ascii="Calibri" w:hAnsi="Calibri"/>
                <w:b w:val="0"/>
                <w:i w:val="0"/>
                <w:color w:val="212121"/>
                <w:sz w:val="19"/>
              </w:rPr>
              <w:t>Men with HbA1c &gt; 64 mmol/mol (~8.0%) had up to 5x the trigger-finger risk of men with HbA1c &lt; 48 mmol/mol (Diabetes Care, 2022).</w:t>
            </w:r>
          </w:p>
          <w:p>
            <w:pPr>
              <w:spacing w:after="40" w:line="252" w:lineRule="auto"/>
            </w:pPr>
            <w:hyperlink r:id="rId12">
              <w:r>
                <w:rPr>
                  <w:rFonts w:ascii="Calibri" w:hAnsi="Calibri" w:cs="Calibri"/>
                  <w:sz w:val="18"/>
                  <w:color w:val="1155CC"/>
                  <w:u w:val="single"/>
                </w:rPr>
                <w:t xml:space="preserve">news-medical — HbA1c &amp; trigger finger</w:t>
              </w:r>
            </w:hyperlink>
          </w:p>
          <w:p>
            <w:pPr>
              <w:spacing w:before="60" w:after="40"/>
            </w:pPr>
            <w:r>
              <w:rPr>
                <w:rFonts w:ascii="Calibri" w:hAnsi="Calibri"/>
                <w:b w:val="0"/>
                <w:i w:val="0"/>
                <w:color w:val="5A5A5A"/>
                <w:sz w:val="18"/>
              </w:rPr>
              <w:t>#diabeticmen  #HbA1c  #hyperglycemia  #poorcontrol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labourers &amp; low-income workers</w:t>
            </w:r>
          </w:p>
        </w:tc>
        <w:tc>
          <w:tcPr>
            <w:tcW w:type="dxa" w:w="4276"/>
            <w:vAlign w:val="top"/>
          </w:tcPr>
          <w:p>
            <w:pPr>
              <w:spacing w:after="60" w:line="259" w:lineRule="auto"/>
            </w:pPr>
            <w:r>
              <w:rPr>
                <w:rFonts w:ascii="Calibri" w:hAnsi="Calibri"/>
                <w:b w:val="0"/>
                <w:i w:val="0"/>
                <w:color w:val="212121"/>
                <w:sz w:val="19"/>
              </w:rPr>
              <w:t>Repetitive forceful gripping in agriculture, construction and informal trades drives flexor tendon micro-trauma, while limited access to care means many present late with Grade III-IV locking.</w:t>
            </w:r>
          </w:p>
          <w:p>
            <w:pPr>
              <w:spacing w:after="40" w:before="60" w:line="259" w:lineRule="auto"/>
            </w:pPr>
            <w:r>
              <w:rPr>
                <w:rFonts w:ascii="Calibri" w:hAnsi="Calibri"/>
                <w:b w:val="0"/>
                <w:i w:val="0"/>
                <w:color w:val="212121"/>
                <w:sz w:val="19"/>
              </w:rPr>
              <w:t>Occupational (repetitive-strain) exposure accounted for ~15.5% of trigger-finger cases in a hospital series.</w:t>
            </w:r>
          </w:p>
          <w:p>
            <w:pPr>
              <w:spacing w:after="40" w:line="252" w:lineRule="auto"/>
            </w:pPr>
            <w:hyperlink r:id="rId13">
              <w:r>
                <w:rPr>
                  <w:rFonts w:ascii="Calibri" w:hAnsi="Calibri" w:cs="Calibri"/>
                  <w:sz w:val="18"/>
                  <w:color w:val="1155CC"/>
                  <w:u w:val="single"/>
                </w:rPr>
                <w:t xml:space="preserve">openaccessjournals — DM &amp; trigger finger</w:t>
              </w:r>
            </w:hyperlink>
          </w:p>
          <w:p>
            <w:pPr>
              <w:spacing w:before="60" w:after="40"/>
            </w:pPr>
            <w:r>
              <w:rPr>
                <w:rFonts w:ascii="Calibri" w:hAnsi="Calibri"/>
                <w:b w:val="0"/>
                <w:i w:val="0"/>
                <w:color w:val="5A5A5A"/>
                <w:sz w:val="18"/>
              </w:rPr>
              <w:t>#manuallabour  #gripping  #latepresentation  #informalsector</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adults (high diabetes burden)</w:t>
            </w:r>
          </w:p>
        </w:tc>
        <w:tc>
          <w:tcPr>
            <w:tcW w:type="dxa" w:w="4276"/>
            <w:vAlign w:val="top"/>
          </w:tcPr>
          <w:p>
            <w:pPr>
              <w:spacing w:after="60" w:line="259" w:lineRule="auto"/>
            </w:pPr>
            <w:r>
              <w:rPr>
                <w:rFonts w:ascii="Calibri" w:hAnsi="Calibri"/>
                <w:b w:val="0"/>
                <w:i w:val="0"/>
                <w:color w:val="212121"/>
                <w:sz w:val="19"/>
              </w:rPr>
              <w:t>India's exceptionally large and younger-onset diabetic population greatly expands the pool at risk for stenosing tenosynovitis, because diabetes is the strongest systemic driver of the disease.</w:t>
            </w:r>
          </w:p>
          <w:p>
            <w:pPr>
              <w:spacing w:after="40" w:before="60" w:line="259" w:lineRule="auto"/>
            </w:pPr>
            <w:r>
              <w:rPr>
                <w:rFonts w:ascii="Calibri" w:hAnsi="Calibri"/>
                <w:b w:val="0"/>
                <w:i w:val="0"/>
                <w:color w:val="212121"/>
                <w:sz w:val="19"/>
              </w:rPr>
              <w:t>ICMR-INDIAB (2023) estimated diabetes in 11.4% of Indian adults (~101 million people).</w:t>
            </w:r>
          </w:p>
          <w:p>
            <w:pPr>
              <w:spacing w:after="40" w:line="252" w:lineRule="auto"/>
            </w:pPr>
            <w:hyperlink r:id="rId14">
              <w:r>
                <w:rPr>
                  <w:rFonts w:ascii="Calibri" w:hAnsi="Calibri" w:cs="Calibri"/>
                  <w:sz w:val="18"/>
                  <w:color w:val="1155CC"/>
                  <w:u w:val="single"/>
                </w:rPr>
                <w:t xml:space="preserve">Lancet — ICMR-INDIAB national study</w:t>
              </w:r>
            </w:hyperlink>
          </w:p>
          <w:p>
            <w:pPr>
              <w:spacing w:before="60" w:after="40"/>
            </w:pPr>
            <w:r>
              <w:rPr>
                <w:rFonts w:ascii="Calibri" w:hAnsi="Calibri"/>
                <w:b w:val="0"/>
                <w:i w:val="0"/>
                <w:color w:val="5A5A5A"/>
                <w:sz w:val="18"/>
              </w:rPr>
              <w:t>#India  #diabetesburden  #ICMRINDIAB  #atriskpool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 repetitive strain</w:t>
            </w:r>
          </w:p>
        </w:tc>
        <w:tc>
          <w:tcPr>
            <w:tcW w:type="dxa" w:w="2160"/>
            <w:vAlign w:val="top"/>
          </w:tcPr>
          <w:p>
            <w:pPr>
              <w:spacing w:after="40" w:before="0" w:line="259" w:lineRule="auto"/>
            </w:pPr>
            <w:r>
              <w:rPr>
                <w:rFonts w:ascii="Calibri" w:hAnsi="Calibri"/>
                <w:b w:val="0"/>
                <w:i w:val="0"/>
                <w:color w:val="212121"/>
                <w:sz w:val="19"/>
              </w:rPr>
              <w:t>Farmers, artisans, typists, gamers, musicians</w:t>
            </w:r>
          </w:p>
        </w:tc>
        <w:tc>
          <w:tcPr>
            <w:tcW w:type="dxa" w:w="4276"/>
            <w:vAlign w:val="top"/>
          </w:tcPr>
          <w:p>
            <w:pPr>
              <w:spacing w:after="60" w:line="259" w:lineRule="auto"/>
            </w:pPr>
            <w:r>
              <w:rPr>
                <w:rFonts w:ascii="Calibri" w:hAnsi="Calibri"/>
                <w:b w:val="0"/>
                <w:i w:val="0"/>
                <w:color w:val="212121"/>
                <w:sz w:val="19"/>
              </w:rPr>
              <w:t>Sustained or repetitive forceful flexion of the fingers and thumb inflames the flexor sheath and thickens the A1 pulley. Tasks combining pinch grip with vibration or hard tool handles are especially provocative.</w:t>
            </w:r>
          </w:p>
          <w:p>
            <w:pPr>
              <w:spacing w:after="40" w:before="60" w:line="259" w:lineRule="auto"/>
            </w:pPr>
            <w:r>
              <w:rPr>
                <w:rFonts w:ascii="Calibri" w:hAnsi="Calibri"/>
                <w:b w:val="0"/>
                <w:i w:val="0"/>
                <w:color w:val="212121"/>
                <w:sz w:val="19"/>
              </w:rPr>
              <w:t>Repetitive gripping is a recognised non-diabetic trigger; occupational cases formed a substantial minority (~16%) of one series.</w:t>
            </w:r>
          </w:p>
          <w:p>
            <w:pPr>
              <w:spacing w:after="40" w:line="252" w:lineRule="auto"/>
            </w:pPr>
            <w:hyperlink r:id="rId13">
              <w:r>
                <w:rPr>
                  <w:rFonts w:ascii="Calibri" w:hAnsi="Calibri" w:cs="Calibri"/>
                  <w:sz w:val="18"/>
                  <w:color w:val="1155CC"/>
                  <w:u w:val="single"/>
                </w:rPr>
                <w:t xml:space="preserve">openaccessjournals — DM &amp; trigger finger</w:t>
              </w:r>
            </w:hyperlink>
          </w:p>
          <w:p>
            <w:pPr>
              <w:spacing w:before="60" w:after="40"/>
            </w:pPr>
            <w:r>
              <w:rPr>
                <w:rFonts w:ascii="Calibri" w:hAnsi="Calibri"/>
                <w:b w:val="0"/>
                <w:i w:val="0"/>
                <w:color w:val="5A5A5A"/>
                <w:sz w:val="18"/>
              </w:rPr>
              <w:t>#repetitivestrain  #pinchgrip  #overuse  #vibration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screen use</w:t>
            </w:r>
          </w:p>
        </w:tc>
        <w:tc>
          <w:tcPr>
            <w:tcW w:type="dxa" w:w="2160"/>
            <w:vAlign w:val="top"/>
          </w:tcPr>
          <w:p>
            <w:pPr>
              <w:spacing w:after="40" w:before="0" w:line="259" w:lineRule="auto"/>
            </w:pPr>
            <w:r>
              <w:rPr>
                <w:rFonts w:ascii="Calibri" w:hAnsi="Calibri"/>
                <w:b w:val="0"/>
                <w:i w:val="0"/>
                <w:color w:val="212121"/>
                <w:sz w:val="19"/>
              </w:rPr>
              <w:t>Heavy smartphone &amp; gaming users</w:t>
            </w:r>
          </w:p>
        </w:tc>
        <w:tc>
          <w:tcPr>
            <w:tcW w:type="dxa" w:w="4276"/>
            <w:vAlign w:val="top"/>
          </w:tcPr>
          <w:p>
            <w:pPr>
              <w:spacing w:after="60" w:line="259" w:lineRule="auto"/>
            </w:pPr>
            <w:r>
              <w:rPr>
                <w:rFonts w:ascii="Calibri" w:hAnsi="Calibri"/>
                <w:b w:val="0"/>
                <w:i w:val="0"/>
                <w:color w:val="212121"/>
                <w:sz w:val="19"/>
              </w:rPr>
              <w:t>Prolonged thumb and finger flexion during typing, scrolling and gaming produces sustained low-grade flexor tendon loading, contributing to thumb and finger triggering in younger, otherwise low-risk individuals.</w:t>
            </w:r>
          </w:p>
          <w:p>
            <w:pPr>
              <w:spacing w:after="40" w:before="60" w:line="259" w:lineRule="auto"/>
            </w:pPr>
            <w:r>
              <w:rPr>
                <w:rFonts w:ascii="Calibri" w:hAnsi="Calibri"/>
                <w:b w:val="0"/>
                <w:i w:val="0"/>
                <w:color w:val="212121"/>
                <w:sz w:val="19"/>
              </w:rPr>
              <w:t>Repetitive digital-device use is an increasingly reported non-systemic cause of thumb and finger triggering.</w:t>
            </w:r>
          </w:p>
          <w:p>
            <w:pPr>
              <w:spacing w:before="60" w:after="40"/>
            </w:pPr>
            <w:r>
              <w:rPr>
                <w:rFonts w:ascii="Calibri" w:hAnsi="Calibri"/>
                <w:b w:val="0"/>
                <w:i w:val="0"/>
                <w:color w:val="5A5A5A"/>
                <w:sz w:val="18"/>
              </w:rPr>
              <w:t>#smartphone  #gamersthumb  #screentime  #overuse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Tobacco-related microvascular impairment and reduced tendon perfusion may slow flexor-sheath healing and worsen the fibrotic response, and smoking clusters with diabetes and vascular disease.</w:t>
            </w:r>
          </w:p>
          <w:p>
            <w:pPr>
              <w:spacing w:after="40" w:before="60" w:line="259" w:lineRule="auto"/>
            </w:pPr>
            <w:r>
              <w:rPr>
                <w:rFonts w:ascii="Calibri" w:hAnsi="Calibri"/>
                <w:b w:val="0"/>
                <w:i w:val="0"/>
                <w:color w:val="212121"/>
                <w:sz w:val="19"/>
              </w:rPr>
              <w:t>Smoking impairs tendon microcirculation and healing; a direct causal link with trigger finger is plausible but not firmly quantified.</w:t>
            </w:r>
          </w:p>
          <w:p>
            <w:pPr>
              <w:spacing w:before="60" w:after="40"/>
            </w:pPr>
            <w:r>
              <w:rPr>
                <w:rFonts w:ascii="Calibri" w:hAnsi="Calibri"/>
                <w:b w:val="0"/>
                <w:i w:val="0"/>
                <w:color w:val="5A5A5A"/>
                <w:sz w:val="18"/>
              </w:rPr>
              <w:t>#smoking  #microvascular  #tendonhealing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Heavy/regular drinkers</w:t>
            </w:r>
          </w:p>
        </w:tc>
        <w:tc>
          <w:tcPr>
            <w:tcW w:type="dxa" w:w="4276"/>
            <w:vAlign w:val="top"/>
          </w:tcPr>
          <w:p>
            <w:pPr>
              <w:spacing w:after="60" w:line="259" w:lineRule="auto"/>
            </w:pPr>
            <w:r>
              <w:rPr>
                <w:rFonts w:ascii="Calibri" w:hAnsi="Calibri"/>
                <w:b w:val="0"/>
                <w:i w:val="0"/>
                <w:color w:val="212121"/>
                <w:sz w:val="19"/>
              </w:rPr>
              <w:t>Heavy alcohol use worsens glycaemic control, neuropathy and nutritional status, indirectly aggravating the diabetic connective-tissue changes that predispose to triggering; a direct effect is not established.</w:t>
            </w:r>
          </w:p>
          <w:p>
            <w:pPr>
              <w:spacing w:after="40" w:before="60" w:line="259" w:lineRule="auto"/>
            </w:pPr>
            <w:r>
              <w:rPr>
                <w:rFonts w:ascii="Calibri" w:hAnsi="Calibri"/>
                <w:b w:val="0"/>
                <w:i w:val="0"/>
                <w:color w:val="212121"/>
                <w:sz w:val="19"/>
              </w:rPr>
              <w:t>No strong independent association is proven; risk is mediated mainly through metabolic comorbidity.</w:t>
            </w:r>
          </w:p>
          <w:p>
            <w:pPr>
              <w:spacing w:before="60" w:after="40"/>
            </w:pPr>
            <w:r>
              <w:rPr>
                <w:rFonts w:ascii="Calibri" w:hAnsi="Calibri"/>
                <w:b w:val="0"/>
                <w:i w:val="0"/>
                <w:color w:val="5A5A5A"/>
                <w:sz w:val="18"/>
              </w:rPr>
              <w:t>#alcohol  #metabolic  #indirectrisk  #comorbidity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Glycaemic load / poor glycaemic control</w:t>
            </w:r>
          </w:p>
        </w:tc>
        <w:tc>
          <w:tcPr>
            <w:tcW w:type="dxa" w:w="2160"/>
            <w:vAlign w:val="top"/>
          </w:tcPr>
          <w:p>
            <w:pPr>
              <w:spacing w:after="40" w:before="0" w:line="259" w:lineRule="auto"/>
            </w:pPr>
            <w:r>
              <w:rPr>
                <w:rFonts w:ascii="Calibri" w:hAnsi="Calibri"/>
                <w:b w:val="0"/>
                <w:i w:val="0"/>
                <w:color w:val="212121"/>
                <w:sz w:val="19"/>
              </w:rPr>
              <w:t>High-refined-carbohydrate diets, uncontrolled diabetics</w:t>
            </w:r>
          </w:p>
        </w:tc>
        <w:tc>
          <w:tcPr>
            <w:tcW w:type="dxa" w:w="4276"/>
            <w:vAlign w:val="top"/>
          </w:tcPr>
          <w:p>
            <w:pPr>
              <w:spacing w:after="60" w:line="259" w:lineRule="auto"/>
            </w:pPr>
            <w:r>
              <w:rPr>
                <w:rFonts w:ascii="Calibri" w:hAnsi="Calibri"/>
                <w:b w:val="0"/>
                <w:i w:val="0"/>
                <w:color w:val="212121"/>
                <w:sz w:val="19"/>
              </w:rPr>
              <w:t>Chronic hyperglycaemia from high glycaemic-load Indian diets (polished rice, refined wheat, sweets) accelerates advanced glycation end-product formation that stiffens the flexor tendon and pulley.</w:t>
            </w:r>
          </w:p>
          <w:p>
            <w:pPr>
              <w:spacing w:after="40" w:before="60" w:line="259" w:lineRule="auto"/>
            </w:pPr>
            <w:r>
              <w:rPr>
                <w:rFonts w:ascii="Calibri" w:hAnsi="Calibri"/>
                <w:b w:val="0"/>
                <w:i w:val="0"/>
                <w:color w:val="212121"/>
                <w:sz w:val="19"/>
              </w:rPr>
              <w:t>Diabetics with HbA1c ≥ 6.5% had ~3.4x higher odds of musculoskeletal complications than those with HbA1c &lt; 5.7%.</w:t>
            </w:r>
          </w:p>
          <w:p>
            <w:pPr>
              <w:spacing w:after="40" w:line="252" w:lineRule="auto"/>
            </w:pPr>
            <w:hyperlink r:id="rId10">
              <w:r>
                <w:rPr>
                  <w:rFonts w:ascii="Calibri" w:hAnsi="Calibri" w:cs="Calibri"/>
                  <w:sz w:val="18"/>
                  <w:color w:val="1155CC"/>
                  <w:u w:val="single"/>
                </w:rPr>
                <w:t xml:space="preserve">springer — Indian T2DM MSK cohort</w:t>
              </w:r>
            </w:hyperlink>
          </w:p>
          <w:p>
            <w:pPr>
              <w:spacing w:before="60" w:after="40"/>
            </w:pPr>
            <w:r>
              <w:rPr>
                <w:rFonts w:ascii="Calibri" w:hAnsi="Calibri"/>
                <w:b w:val="0"/>
                <w:i w:val="0"/>
                <w:color w:val="5A5A5A"/>
                <w:sz w:val="18"/>
              </w:rPr>
              <w:t>#glycemicload  #AGEs  #refinedcarbs  #HbA1c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 / overweight</w:t>
            </w:r>
          </w:p>
        </w:tc>
        <w:tc>
          <w:tcPr>
            <w:tcW w:type="dxa" w:w="2160"/>
            <w:vAlign w:val="top"/>
          </w:tcPr>
          <w:p>
            <w:pPr>
              <w:spacing w:after="40" w:before="0" w:line="259" w:lineRule="auto"/>
            </w:pPr>
            <w:r>
              <w:rPr>
                <w:rFonts w:ascii="Calibri" w:hAnsi="Calibri"/>
                <w:b w:val="0"/>
                <w:i w:val="0"/>
                <w:color w:val="212121"/>
                <w:sz w:val="19"/>
              </w:rPr>
              <w:t>Adults with BMI ≥ 25 (Asian-Indian cut-off)</w:t>
            </w:r>
          </w:p>
        </w:tc>
        <w:tc>
          <w:tcPr>
            <w:tcW w:type="dxa" w:w="4276"/>
            <w:vAlign w:val="top"/>
          </w:tcPr>
          <w:p>
            <w:pPr>
              <w:spacing w:after="60" w:line="259" w:lineRule="auto"/>
            </w:pPr>
            <w:r>
              <w:rPr>
                <w:rFonts w:ascii="Calibri" w:hAnsi="Calibri"/>
                <w:b w:val="0"/>
                <w:i w:val="0"/>
                <w:color w:val="212121"/>
                <w:sz w:val="19"/>
              </w:rPr>
              <w:t>Obesity is associated with a low-grade inflammatory, insulin-resistant state and with diabetes, all of which favour tendon-sheath fibrosis; the independent effect of obesity itself is modest.</w:t>
            </w:r>
          </w:p>
          <w:p>
            <w:pPr>
              <w:spacing w:after="40" w:before="60" w:line="259" w:lineRule="auto"/>
            </w:pPr>
            <w:r>
              <w:rPr>
                <w:rFonts w:ascii="Calibri" w:hAnsi="Calibri"/>
                <w:b w:val="0"/>
                <w:i w:val="0"/>
                <w:color w:val="212121"/>
                <w:sz w:val="19"/>
              </w:rPr>
              <w:t>Obese patients had a small but significant increase in trigger-finger risk (OR 1.03) in a case-control study of 198,804 patients.</w:t>
            </w:r>
          </w:p>
          <w:p>
            <w:pPr>
              <w:spacing w:after="40" w:line="252" w:lineRule="auto"/>
            </w:pPr>
            <w:hyperlink r:id="rId15">
              <w:r>
                <w:rPr>
                  <w:rFonts w:ascii="Calibri" w:hAnsi="Calibri" w:cs="Calibri"/>
                  <w:sz w:val="18"/>
                  <w:color w:val="1155CC"/>
                  <w:u w:val="single"/>
                </w:rPr>
                <w:t xml:space="preserve">SAGE — obesity &amp; trigger finger</w:t>
              </w:r>
            </w:hyperlink>
          </w:p>
          <w:p>
            <w:pPr>
              <w:spacing w:before="60" w:after="40"/>
            </w:pPr>
            <w:r>
              <w:rPr>
                <w:rFonts w:ascii="Calibri" w:hAnsi="Calibri"/>
                <w:b w:val="0"/>
                <w:i w:val="0"/>
                <w:color w:val="5A5A5A"/>
                <w:sz w:val="18"/>
              </w:rPr>
              <w:t>#obesity  #insulinresistance  #inflammation  #BMI</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connective-tissue predisposition</w:t>
            </w:r>
          </w:p>
        </w:tc>
        <w:tc>
          <w:tcPr>
            <w:tcW w:type="dxa" w:w="2160"/>
            <w:vAlign w:val="top"/>
          </w:tcPr>
          <w:p>
            <w:pPr>
              <w:spacing w:after="40" w:before="0" w:line="259" w:lineRule="auto"/>
            </w:pPr>
            <w:r>
              <w:rPr>
                <w:rFonts w:ascii="Calibri" w:hAnsi="Calibri"/>
                <w:b w:val="0"/>
                <w:i w:val="0"/>
                <w:color w:val="212121"/>
                <w:sz w:val="19"/>
              </w:rPr>
              <w:t>Relatives with Dupuytren/trigger digits</w:t>
            </w:r>
          </w:p>
        </w:tc>
        <w:tc>
          <w:tcPr>
            <w:tcW w:type="dxa" w:w="4276"/>
            <w:vAlign w:val="top"/>
          </w:tcPr>
          <w:p>
            <w:pPr>
              <w:spacing w:after="60" w:line="259" w:lineRule="auto"/>
            </w:pPr>
            <w:r>
              <w:rPr>
                <w:rFonts w:ascii="Calibri" w:hAnsi="Calibri"/>
                <w:b w:val="0"/>
                <w:i w:val="0"/>
                <w:color w:val="212121"/>
                <w:sz w:val="19"/>
              </w:rPr>
              <w:t>A heritable tendency to palmar and tendon-sheath fibrosis clusters trigger finger with Dupuytren's disease and other fibroproliferative conditions within families.</w:t>
            </w:r>
          </w:p>
          <w:p>
            <w:pPr>
              <w:spacing w:after="40" w:before="60" w:line="259" w:lineRule="auto"/>
            </w:pPr>
            <w:r>
              <w:rPr>
                <w:rFonts w:ascii="Calibri" w:hAnsi="Calibri"/>
                <w:b w:val="0"/>
                <w:i w:val="0"/>
                <w:color w:val="212121"/>
                <w:sz w:val="19"/>
              </w:rPr>
              <w:t>Trigger finger co-occurs with Dupuytren's disease and other fibrosing hand conditions that share a familial fibroproliferative tendency.</w:t>
            </w:r>
          </w:p>
          <w:p>
            <w:pPr>
              <w:spacing w:before="60" w:after="40"/>
            </w:pPr>
            <w:r>
              <w:rPr>
                <w:rFonts w:ascii="Calibri" w:hAnsi="Calibri"/>
                <w:b w:val="0"/>
                <w:i w:val="0"/>
                <w:color w:val="5A5A5A"/>
                <w:sz w:val="18"/>
              </w:rPr>
              <w:t>#familyhistory  #fibrosis  #Dupuytren  #connectivetissue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w:t>
            </w:r>
          </w:p>
        </w:tc>
        <w:tc>
          <w:tcPr>
            <w:tcW w:type="dxa" w:w="2160"/>
            <w:vAlign w:val="top"/>
          </w:tcPr>
          <w:p>
            <w:pPr>
              <w:spacing w:after="40" w:before="0" w:line="259" w:lineRule="auto"/>
            </w:pPr>
            <w:r>
              <w:rPr>
                <w:rFonts w:ascii="Calibri" w:hAnsi="Calibri"/>
                <w:b w:val="0"/>
                <w:i w:val="0"/>
                <w:color w:val="212121"/>
                <w:sz w:val="19"/>
              </w:rPr>
              <w:t>Children with trigger thumb (Notta's node)</w:t>
            </w:r>
          </w:p>
        </w:tc>
        <w:tc>
          <w:tcPr>
            <w:tcW w:type="dxa" w:w="4276"/>
            <w:vAlign w:val="top"/>
          </w:tcPr>
          <w:p>
            <w:pPr>
              <w:spacing w:after="60" w:line="259" w:lineRule="auto"/>
            </w:pPr>
            <w:r>
              <w:rPr>
                <w:rFonts w:ascii="Calibri" w:hAnsi="Calibri"/>
                <w:b w:val="0"/>
                <w:i w:val="0"/>
                <w:color w:val="212121"/>
                <w:sz w:val="19"/>
              </w:rPr>
              <w:t>A congenitally tight A1 pulley relative to the flexor pollicis longus produces a palpable Notta's node and fixed thumb flexion in infants and toddlers, a distinct developmental variant of the disease.</w:t>
            </w:r>
          </w:p>
          <w:p>
            <w:pPr>
              <w:spacing w:after="40" w:before="60" w:line="259" w:lineRule="auto"/>
            </w:pPr>
            <w:r>
              <w:rPr>
                <w:rFonts w:ascii="Calibri" w:hAnsi="Calibri"/>
                <w:b w:val="0"/>
                <w:i w:val="0"/>
                <w:color w:val="212121"/>
                <w:sz w:val="19"/>
              </w:rPr>
              <w:t>Paediatric trigger thumb typically presents in the first years of life with a fixed flexed interphalangeal joint and a palpable nodule.</w:t>
            </w:r>
          </w:p>
          <w:p>
            <w:pPr>
              <w:spacing w:after="40" w:line="252" w:lineRule="auto"/>
            </w:pPr>
            <w:hyperlink r:id="rId16">
              <w:r>
                <w:rPr>
                  <w:rFonts w:ascii="Calibri" w:hAnsi="Calibri" w:cs="Calibri"/>
                  <w:sz w:val="18"/>
                  <w:color w:val="1155CC"/>
                  <w:u w:val="single"/>
                </w:rPr>
                <w:t xml:space="preserve">StatPearls — Trigger Finger</w:t>
              </w:r>
            </w:hyperlink>
          </w:p>
          <w:p>
            <w:pPr>
              <w:spacing w:before="60" w:after="40"/>
            </w:pPr>
            <w:r>
              <w:rPr>
                <w:rFonts w:ascii="Calibri" w:hAnsi="Calibri"/>
                <w:b w:val="0"/>
                <w:i w:val="0"/>
                <w:color w:val="5A5A5A"/>
                <w:sz w:val="18"/>
              </w:rPr>
              <w:t>#triggerthumb  #Nottasnode  #congenital  #paediatric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Type 1 and type 2 diabetics</w:t>
            </w:r>
          </w:p>
        </w:tc>
        <w:tc>
          <w:tcPr>
            <w:tcW w:type="dxa" w:w="4276"/>
            <w:vAlign w:val="top"/>
          </w:tcPr>
          <w:p>
            <w:pPr>
              <w:spacing w:after="60" w:line="259" w:lineRule="auto"/>
            </w:pPr>
            <w:r>
              <w:rPr>
                <w:rFonts w:ascii="Calibri" w:hAnsi="Calibri"/>
                <w:b w:val="0"/>
                <w:i w:val="0"/>
                <w:color w:val="212121"/>
                <w:sz w:val="19"/>
              </w:rPr>
              <w:t>Diabetes is the dominant systemic driver: glycation-mediated stiffening and fibrosis of the flexor sheath cause more frequent, multiple-digit and treatment-resistant triggering. Risk tracks with disease duration and HbA1c.</w:t>
            </w:r>
          </w:p>
          <w:p>
            <w:pPr>
              <w:spacing w:after="40" w:before="60" w:line="259" w:lineRule="auto"/>
            </w:pPr>
            <w:r>
              <w:rPr>
                <w:rFonts w:ascii="Calibri" w:hAnsi="Calibri"/>
                <w:b w:val="0"/>
                <w:i w:val="0"/>
                <w:color w:val="212121"/>
                <w:sz w:val="19"/>
              </w:rPr>
              <w:t>Flexor (trigger-finger) tenosynovitis relative risk was 3.54 in type-2 and 5.67 in type-1 diabetes versus non-diabetics.</w:t>
            </w:r>
          </w:p>
          <w:p>
            <w:pPr>
              <w:spacing w:after="40" w:line="252" w:lineRule="auto"/>
            </w:pPr>
            <w:hyperlink r:id="rId17">
              <w:r>
                <w:rPr>
                  <w:rFonts w:ascii="Calibri" w:hAnsi="Calibri" w:cs="Calibri"/>
                  <w:sz w:val="18"/>
                  <w:color w:val="1155CC"/>
                  <w:u w:val="single"/>
                </w:rPr>
                <w:t xml:space="preserve">medRxiv — fibrotic hand in diabetes</w:t>
              </w:r>
            </w:hyperlink>
          </w:p>
          <w:p>
            <w:pPr>
              <w:spacing w:before="60" w:after="40"/>
            </w:pPr>
            <w:r>
              <w:rPr>
                <w:rFonts w:ascii="Calibri" w:hAnsi="Calibri"/>
                <w:b w:val="0"/>
                <w:i w:val="0"/>
                <w:color w:val="5A5A5A"/>
                <w:sz w:val="18"/>
              </w:rPr>
              <w:t>#diabetes  #glycation  #multipledigits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Patients with untreated/overt hypothyroidism</w:t>
            </w:r>
          </w:p>
        </w:tc>
        <w:tc>
          <w:tcPr>
            <w:tcW w:type="dxa" w:w="4276"/>
            <w:vAlign w:val="top"/>
          </w:tcPr>
          <w:p>
            <w:pPr>
              <w:spacing w:after="60" w:line="259" w:lineRule="auto"/>
            </w:pPr>
            <w:r>
              <w:rPr>
                <w:rFonts w:ascii="Calibri" w:hAnsi="Calibri"/>
                <w:b w:val="0"/>
                <w:i w:val="0"/>
                <w:color w:val="212121"/>
                <w:sz w:val="19"/>
              </w:rPr>
              <w:t>Hypothyroidism promotes glycosaminoglycan deposition and soft-tissue swelling around tendons, thickening the flexor sheath and predisposing to triggering, often alongside carpal tunnel syndrome.</w:t>
            </w:r>
          </w:p>
          <w:p>
            <w:pPr>
              <w:spacing w:after="40" w:before="60" w:line="259" w:lineRule="auto"/>
            </w:pPr>
            <w:r>
              <w:rPr>
                <w:rFonts w:ascii="Calibri" w:hAnsi="Calibri"/>
                <w:b w:val="0"/>
                <w:i w:val="0"/>
                <w:color w:val="212121"/>
                <w:sz w:val="19"/>
              </w:rPr>
              <w:t>Hypothyroidism is a recognised systemic cause of stenosing flexor tenosynovitis and frequently coexists with other entrapment neuropathies.</w:t>
            </w:r>
          </w:p>
          <w:p>
            <w:pPr>
              <w:spacing w:after="40" w:line="252" w:lineRule="auto"/>
            </w:pPr>
            <w:hyperlink r:id="rId11">
              <w:r>
                <w:rPr>
                  <w:rFonts w:ascii="Calibri" w:hAnsi="Calibri" w:cs="Calibri"/>
                  <w:sz w:val="18"/>
                  <w:color w:val="1155CC"/>
                  <w:u w:val="single"/>
                </w:rPr>
                <w:t xml:space="preserve">pmc — trigger finger etiology &amp; evaluation</w:t>
              </w:r>
            </w:hyperlink>
          </w:p>
          <w:p>
            <w:pPr>
              <w:spacing w:before="60" w:after="40"/>
            </w:pPr>
            <w:r>
              <w:rPr>
                <w:rFonts w:ascii="Calibri" w:hAnsi="Calibri"/>
                <w:b w:val="0"/>
                <w:i w:val="0"/>
                <w:color w:val="5A5A5A"/>
                <w:sz w:val="18"/>
              </w:rPr>
              <w:t>#hypothyroidism  #GAGdeposition  #softtissue  #endocrine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Carpal tunnel syndrome</w:t>
            </w:r>
          </w:p>
        </w:tc>
        <w:tc>
          <w:tcPr>
            <w:tcW w:type="dxa" w:w="2160"/>
            <w:vAlign w:val="top"/>
          </w:tcPr>
          <w:p>
            <w:pPr>
              <w:spacing w:after="40" w:before="0" w:line="259" w:lineRule="auto"/>
            </w:pPr>
            <w:r>
              <w:rPr>
                <w:rFonts w:ascii="Calibri" w:hAnsi="Calibri"/>
                <w:b w:val="0"/>
                <w:i w:val="0"/>
                <w:color w:val="212121"/>
                <w:sz w:val="19"/>
              </w:rPr>
              <w:t>Patients with CTS (esp. post-release)</w:t>
            </w:r>
          </w:p>
        </w:tc>
        <w:tc>
          <w:tcPr>
            <w:tcW w:type="dxa" w:w="4276"/>
            <w:vAlign w:val="top"/>
          </w:tcPr>
          <w:p>
            <w:pPr>
              <w:spacing w:after="60" w:line="259" w:lineRule="auto"/>
            </w:pPr>
            <w:r>
              <w:rPr>
                <w:rFonts w:ascii="Calibri" w:hAnsi="Calibri"/>
                <w:b w:val="0"/>
                <w:i w:val="0"/>
                <w:color w:val="212121"/>
                <w:sz w:val="19"/>
              </w:rPr>
              <w:t>Carpal tunnel syndrome and trigger finger share a fibro-inflammatory flexor environment and frequently coexist; trigger finger is a well-recognised sequel after carpal tunnel release.</w:t>
            </w:r>
          </w:p>
          <w:p>
            <w:pPr>
              <w:spacing w:after="40" w:before="60" w:line="259" w:lineRule="auto"/>
            </w:pPr>
            <w:r>
              <w:rPr>
                <w:rFonts w:ascii="Calibri" w:hAnsi="Calibri"/>
                <w:b w:val="0"/>
                <w:i w:val="0"/>
                <w:color w:val="212121"/>
                <w:sz w:val="19"/>
              </w:rPr>
              <w:t>A high incidence of new trigger finger is reported after carpal tunnel release in systematic review and meta-analysis.</w:t>
            </w:r>
          </w:p>
          <w:p>
            <w:pPr>
              <w:spacing w:after="40" w:line="252" w:lineRule="auto"/>
            </w:pPr>
            <w:hyperlink r:id="rId18">
              <w:r>
                <w:rPr>
                  <w:rFonts w:ascii="Calibri" w:hAnsi="Calibri" w:cs="Calibri"/>
                  <w:sz w:val="18"/>
                  <w:color w:val="1155CC"/>
                  <w:u w:val="single"/>
                </w:rPr>
                <w:t xml:space="preserve">pmc — trigger finger after CTS release</w:t>
              </w:r>
            </w:hyperlink>
          </w:p>
          <w:p>
            <w:pPr>
              <w:spacing w:before="60" w:after="40"/>
            </w:pPr>
            <w:r>
              <w:rPr>
                <w:rFonts w:ascii="Calibri" w:hAnsi="Calibri"/>
                <w:b w:val="0"/>
                <w:i w:val="0"/>
                <w:color w:val="5A5A5A"/>
                <w:sz w:val="18"/>
              </w:rPr>
              <w:t>#carpaltunnel  #flexortenosynovitis  #postrelease  #coexistence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Rheumatoid arthritis</w:t>
            </w:r>
          </w:p>
        </w:tc>
        <w:tc>
          <w:tcPr>
            <w:tcW w:type="dxa" w:w="2160"/>
            <w:vAlign w:val="top"/>
          </w:tcPr>
          <w:p>
            <w:pPr>
              <w:spacing w:after="40" w:before="0" w:line="259" w:lineRule="auto"/>
            </w:pPr>
            <w:r>
              <w:rPr>
                <w:rFonts w:ascii="Calibri" w:hAnsi="Calibri"/>
                <w:b w:val="0"/>
                <w:i w:val="0"/>
                <w:color w:val="212121"/>
                <w:sz w:val="19"/>
              </w:rPr>
              <w:t>Patients with inflammatory arthritis</w:t>
            </w:r>
          </w:p>
        </w:tc>
        <w:tc>
          <w:tcPr>
            <w:tcW w:type="dxa" w:w="4276"/>
            <w:vAlign w:val="top"/>
          </w:tcPr>
          <w:p>
            <w:pPr>
              <w:spacing w:after="60" w:line="259" w:lineRule="auto"/>
            </w:pPr>
            <w:r>
              <w:rPr>
                <w:rFonts w:ascii="Calibri" w:hAnsi="Calibri"/>
                <w:b w:val="0"/>
                <w:i w:val="0"/>
                <w:color w:val="212121"/>
                <w:sz w:val="19"/>
              </w:rPr>
              <w:t>Rheumatoid and other inflammatory arthritides cause flexor tenosynovitis and tendon nodularity that mechanically obstruct gliding at the A1 pulley, producing triggering as part of the wider synovitis.</w:t>
            </w:r>
          </w:p>
          <w:p>
            <w:pPr>
              <w:spacing w:after="40" w:before="60" w:line="259" w:lineRule="auto"/>
            </w:pPr>
            <w:r>
              <w:rPr>
                <w:rFonts w:ascii="Calibri" w:hAnsi="Calibri"/>
                <w:b w:val="0"/>
                <w:i w:val="0"/>
                <w:color w:val="212121"/>
                <w:sz w:val="19"/>
              </w:rPr>
              <w:t>Inflammatory flexor tenosynovitis in rheumatoid arthritis is an established cause of trigger digits.</w:t>
            </w:r>
          </w:p>
          <w:p>
            <w:pPr>
              <w:spacing w:after="40" w:line="252" w:lineRule="auto"/>
            </w:pPr>
            <w:hyperlink r:id="rId11">
              <w:r>
                <w:rPr>
                  <w:rFonts w:ascii="Calibri" w:hAnsi="Calibri" w:cs="Calibri"/>
                  <w:sz w:val="18"/>
                  <w:color w:val="1155CC"/>
                  <w:u w:val="single"/>
                </w:rPr>
                <w:t xml:space="preserve">pmc — trigger finger etiology &amp; evaluation</w:t>
              </w:r>
            </w:hyperlink>
          </w:p>
          <w:p>
            <w:pPr>
              <w:spacing w:before="60" w:after="40"/>
            </w:pPr>
            <w:r>
              <w:rPr>
                <w:rFonts w:ascii="Calibri" w:hAnsi="Calibri"/>
                <w:b w:val="0"/>
                <w:i w:val="0"/>
                <w:color w:val="5A5A5A"/>
                <w:sz w:val="18"/>
              </w:rPr>
              <w:t>#rheumatoidarthritis  #synovitis  #tenosynovitis  #inflammatory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Repetitive, forceful gripping and manual work are mechanical drivers of flexor tenosynovitis, whereas general fitness is not clearly protective; activity modification and tendon-gliding exercises aid recovery.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glycaemic-load diets worsen the hyperglycaemia and advanced-glycation-end-product formation that stiffen the flexor sheath; diabetics with HbA1c ≥ 6.5% had ~3.4x higher odds of diabetic musculoskeletal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Prolonged nocturnal finger flexion contributes to the characteristic morning locking and stiffness; a night extension splint can reduce it, but sleep itself is not a primary cause.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Tobacco-related microvascular impairment may slow tendon-sheath healing and worsen fibrosis; evidence for a direct causal link is limited.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independent association; heavy use acts indirectly by worsening glycaemic control and metabolic comorbidity.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hand pain and loss of dexterity affect mood and function, and distress can amplify symptom perception, but a causal role is weak.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association between hydration status and trigger finger.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association between caffeine intake and trigger finger.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Hand hygiene is relevant peri-procedurally: good aseptic technique reduces the risk of infection after corticosteroid injection or A1 pulley release, which is higher in diabetics.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New or intensified repetitive gripping, hard tool handles, vibration, recent carpal tunnel release and poor diabetes control provoke and worsen triggering.</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Sustained pinch and power-grip postures and poor hand/wrist ergonomics increase flexor-tendon load at the A1 pulley; ergonomic correction reduces mechanical strain.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Sustained forceful gripping (hours/day)</w:t>
            </w:r>
          </w:p>
        </w:tc>
        <w:tc>
          <w:tcPr>
            <w:tcW w:type="dxa" w:w="1655"/>
            <w:vAlign w:val="top"/>
          </w:tcPr>
          <w:p>
            <w:pPr>
              <w:spacing w:after="40" w:before="0" w:line="259" w:lineRule="auto"/>
            </w:pPr>
            <w:r>
              <w:rPr>
                <w:rFonts w:ascii="Calibri" w:hAnsi="Calibri"/>
                <w:b w:val="0"/>
                <w:i w:val="0"/>
                <w:color w:val="212121"/>
                <w:sz w:val="19"/>
              </w:rPr>
              <w:t>Manual workers, gamers, musicians</w:t>
            </w:r>
          </w:p>
        </w:tc>
        <w:tc>
          <w:tcPr>
            <w:tcW w:type="dxa" w:w="1512"/>
            <w:vAlign w:val="top"/>
          </w:tcPr>
          <w:p>
            <w:pPr>
              <w:spacing w:after="40" w:before="0" w:line="259" w:lineRule="auto"/>
            </w:pPr>
            <w:r>
              <w:rPr>
                <w:rFonts w:ascii="Calibri" w:hAnsi="Calibri"/>
                <w:b w:val="0"/>
                <w:i w:val="0"/>
                <w:color w:val="212121"/>
                <w:sz w:val="19"/>
              </w:rPr>
              <w:t>&lt; 2 h continuous repetitive gripping with breaks</w:t>
            </w:r>
          </w:p>
        </w:tc>
        <w:tc>
          <w:tcPr>
            <w:tcW w:type="dxa" w:w="1512"/>
            <w:vAlign w:val="top"/>
          </w:tcPr>
          <w:p>
            <w:pPr>
              <w:spacing w:after="40" w:before="0" w:line="259" w:lineRule="auto"/>
            </w:pPr>
            <w:r>
              <w:rPr>
                <w:rFonts w:ascii="Calibri" w:hAnsi="Calibri"/>
                <w:b w:val="0"/>
                <w:i w:val="0"/>
                <w:color w:val="212121"/>
                <w:sz w:val="19"/>
              </w:rPr>
              <w:t>Prolonged/repetitive forceful gripping without rest</w:t>
            </w:r>
          </w:p>
        </w:tc>
        <w:tc>
          <w:tcPr>
            <w:tcW w:type="dxa" w:w="1468"/>
            <w:vAlign w:val="top"/>
          </w:tcPr>
          <w:p>
            <w:pPr>
              <w:spacing w:after="60" w:line="259" w:lineRule="auto"/>
            </w:pPr>
            <w:r>
              <w:rPr>
                <w:rFonts w:ascii="Calibri" w:hAnsi="Calibri"/>
                <w:b w:val="0"/>
                <w:i w:val="0"/>
                <w:color w:val="212121"/>
                <w:sz w:val="19"/>
              </w:rPr>
              <w:t>Mechanical overuse thickens the A1 pulley and inflames the flexor sheath</w:t>
            </w:r>
          </w:p>
          <w:p>
            <w:pPr>
              <w:spacing w:after="40" w:line="252" w:lineRule="auto"/>
            </w:pPr>
            <w:hyperlink r:id="rId13">
              <w:r>
                <w:rPr>
                  <w:rFonts w:ascii="Calibri" w:hAnsi="Calibri" w:cs="Calibri"/>
                  <w:sz w:val="18"/>
                  <w:color w:val="1155CC"/>
                  <w:u w:val="single"/>
                </w:rPr>
                <w:t xml:space="preserve">https://www.openaccessjournals.com/articles/association-of-diabetes-mellitus-with-trigger-finger-13094.html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kg/m²</w:t>
            </w:r>
          </w:p>
        </w:tc>
        <w:tc>
          <w:tcPr>
            <w:tcW w:type="dxa" w:w="1512"/>
            <w:vAlign w:val="top"/>
          </w:tcPr>
          <w:p>
            <w:pPr>
              <w:spacing w:after="40" w:before="0" w:line="259" w:lineRule="auto"/>
            </w:pPr>
            <w:r>
              <w:rPr>
                <w:rFonts w:ascii="Calibri" w:hAnsi="Calibri"/>
                <w:b w:val="0"/>
                <w:i w:val="0"/>
                <w:color w:val="212121"/>
                <w:sz w:val="19"/>
              </w:rPr>
              <w:t>≥ 25 kg/m² (obese, Asian-Indian cut-off)</w:t>
            </w:r>
          </w:p>
        </w:tc>
        <w:tc>
          <w:tcPr>
            <w:tcW w:type="dxa" w:w="1468"/>
            <w:vAlign w:val="top"/>
          </w:tcPr>
          <w:p>
            <w:pPr>
              <w:spacing w:after="60" w:line="259" w:lineRule="auto"/>
            </w:pPr>
            <w:r>
              <w:rPr>
                <w:rFonts w:ascii="Calibri" w:hAnsi="Calibri"/>
                <w:b w:val="0"/>
                <w:i w:val="0"/>
                <w:color w:val="212121"/>
                <w:sz w:val="19"/>
              </w:rPr>
              <w:t>Obesity confers a small but significant excess risk (OR ~1.03)</w:t>
            </w:r>
          </w:p>
          <w:p>
            <w:pPr>
              <w:spacing w:after="40" w:line="252" w:lineRule="auto"/>
            </w:pPr>
            <w:hyperlink r:id="rId15">
              <w:r>
                <w:rPr>
                  <w:rFonts w:ascii="Calibri" w:hAnsi="Calibri" w:cs="Calibri"/>
                  <w:sz w:val="18"/>
                  <w:color w:val="1155CC"/>
                  <w:u w:val="single"/>
                </w:rPr>
                <w:t xml:space="preserve">https://journals.sagepub.com/doi/10.1177/15589447251317226</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Glycated haemoglobin (HbA1c)</w:t>
            </w:r>
          </w:p>
        </w:tc>
        <w:tc>
          <w:tcPr>
            <w:tcW w:type="dxa" w:w="1655"/>
            <w:vAlign w:val="top"/>
          </w:tcPr>
          <w:p>
            <w:pPr>
              <w:spacing w:after="40" w:before="0" w:line="259" w:lineRule="auto"/>
            </w:pPr>
            <w:r>
              <w:rPr>
                <w:rFonts w:ascii="Calibri" w:hAnsi="Calibri"/>
                <w:b w:val="0"/>
                <w:i w:val="0"/>
                <w:color w:val="212121"/>
                <w:sz w:val="19"/>
              </w:rPr>
              <w:t>Diabetics, prediabetics</w:t>
            </w:r>
          </w:p>
        </w:tc>
        <w:tc>
          <w:tcPr>
            <w:tcW w:type="dxa" w:w="1512"/>
            <w:vAlign w:val="top"/>
          </w:tcPr>
          <w:p>
            <w:pPr>
              <w:spacing w:after="40" w:before="0" w:line="259" w:lineRule="auto"/>
            </w:pPr>
            <w:r>
              <w:rPr>
                <w:rFonts w:ascii="Calibri" w:hAnsi="Calibri"/>
                <w:b w:val="0"/>
                <w:i w:val="0"/>
                <w:color w:val="212121"/>
                <w:sz w:val="19"/>
              </w:rPr>
              <w:t>&lt; 5.7% (&lt; 39 mmol/mol)</w:t>
            </w:r>
          </w:p>
        </w:tc>
        <w:tc>
          <w:tcPr>
            <w:tcW w:type="dxa" w:w="1512"/>
            <w:vAlign w:val="top"/>
          </w:tcPr>
          <w:p>
            <w:pPr>
              <w:spacing w:after="40" w:before="0" w:line="259" w:lineRule="auto"/>
            </w:pPr>
            <w:r>
              <w:rPr>
                <w:rFonts w:ascii="Calibri" w:hAnsi="Calibri"/>
                <w:b w:val="0"/>
                <w:i w:val="0"/>
                <w:color w:val="212121"/>
                <w:sz w:val="19"/>
              </w:rPr>
              <w:t>≥ 6.5% (≥ 48 mmol/mol); &gt; 64 mmol/mol markedly raises risk</w:t>
            </w:r>
          </w:p>
        </w:tc>
        <w:tc>
          <w:tcPr>
            <w:tcW w:type="dxa" w:w="1468"/>
            <w:vAlign w:val="top"/>
          </w:tcPr>
          <w:p>
            <w:pPr>
              <w:spacing w:after="60" w:line="259" w:lineRule="auto"/>
            </w:pPr>
            <w:r>
              <w:rPr>
                <w:rFonts w:ascii="Calibri" w:hAnsi="Calibri"/>
                <w:b w:val="0"/>
                <w:i w:val="0"/>
                <w:color w:val="212121"/>
                <w:sz w:val="19"/>
              </w:rPr>
              <w:t>Poor glycaemic control drives glycation-mediated tendon stiffening</w:t>
            </w:r>
          </w:p>
          <w:p>
            <w:pPr>
              <w:spacing w:after="40" w:line="252" w:lineRule="auto"/>
            </w:pPr>
            <w:hyperlink r:id="rId12">
              <w:r>
                <w:rPr>
                  <w:rFonts w:ascii="Calibri" w:hAnsi="Calibri" w:cs="Calibri"/>
                  <w:sz w:val="18"/>
                  <w:color w:val="1155CC"/>
                  <w:u w:val="single"/>
                </w:rPr>
                <w:t xml:space="preserve">https://www.news-medical.net/news/20221019/Trigger-finger-most-often-affects-patients-with-type-1-and-type-2-diabetes.aspx</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plasma glucose</w:t>
            </w:r>
          </w:p>
        </w:tc>
        <w:tc>
          <w:tcPr>
            <w:tcW w:type="dxa" w:w="1655"/>
            <w:vAlign w:val="top"/>
          </w:tcPr>
          <w:p>
            <w:pPr>
              <w:spacing w:after="40" w:before="0" w:line="259" w:lineRule="auto"/>
            </w:pPr>
            <w:r>
              <w:rPr>
                <w:rFonts w:ascii="Calibri" w:hAnsi="Calibri"/>
                <w:b w:val="0"/>
                <w:i w:val="0"/>
                <w:color w:val="212121"/>
                <w:sz w:val="19"/>
              </w:rPr>
              <w:t>Diabetics, high-risk adults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60" w:line="259" w:lineRule="auto"/>
            </w:pPr>
            <w:r>
              <w:rPr>
                <w:rFonts w:ascii="Calibri" w:hAnsi="Calibri"/>
                <w:b w:val="0"/>
                <w:i w:val="0"/>
                <w:color w:val="212121"/>
                <w:sz w:val="19"/>
              </w:rPr>
              <w:t>Screens for the diabetes that underlies most systemic trigger finger</w:t>
            </w:r>
          </w:p>
          <w:p>
            <w:pPr>
              <w:spacing w:after="40" w:line="252" w:lineRule="auto"/>
            </w:pPr>
            <w:hyperlink r:id="rId14">
              <w:r>
                <w:rPr>
                  <w:rFonts w:ascii="Calibri" w:hAnsi="Calibri" w:cs="Calibri"/>
                  <w:sz w:val="18"/>
                  <w:color w:val="1155CC"/>
                  <w:u w:val="single"/>
                </w:rPr>
                <w:t xml:space="preserve">https://www.thelancet.com/journals/landia/article/PIIS2213-8587(23)00119-5/fulltext</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Night extension splinting</w:t>
            </w:r>
          </w:p>
        </w:tc>
        <w:tc>
          <w:tcPr>
            <w:tcW w:type="dxa" w:w="1655"/>
            <w:vAlign w:val="top"/>
          </w:tcPr>
          <w:p>
            <w:pPr>
              <w:spacing w:after="40" w:before="0" w:line="259" w:lineRule="auto"/>
            </w:pPr>
            <w:r>
              <w:rPr>
                <w:rFonts w:ascii="Calibri" w:hAnsi="Calibri"/>
                <w:b w:val="0"/>
                <w:i w:val="0"/>
                <w:color w:val="212121"/>
                <w:sz w:val="19"/>
              </w:rPr>
              <w:t>Grade I-II trigger finger</w:t>
            </w:r>
          </w:p>
        </w:tc>
        <w:tc>
          <w:tcPr>
            <w:tcW w:type="dxa" w:w="1512"/>
            <w:vAlign w:val="top"/>
          </w:tcPr>
          <w:p>
            <w:pPr>
              <w:spacing w:after="40" w:before="0" w:line="259" w:lineRule="auto"/>
            </w:pPr>
            <w:r>
              <w:rPr>
                <w:rFonts w:ascii="Calibri" w:hAnsi="Calibri"/>
                <w:b w:val="0"/>
                <w:i w:val="0"/>
                <w:color w:val="212121"/>
                <w:sz w:val="19"/>
              </w:rPr>
              <w:t>Splint worn nightly for 6-10 weeks in early disease</w:t>
            </w:r>
          </w:p>
        </w:tc>
        <w:tc>
          <w:tcPr>
            <w:tcW w:type="dxa" w:w="1512"/>
            <w:vAlign w:val="top"/>
          </w:tcPr>
          <w:p>
            <w:pPr>
              <w:spacing w:after="40" w:before="0" w:line="259" w:lineRule="auto"/>
            </w:pPr>
            <w:r>
              <w:rPr>
                <w:rFonts w:ascii="Calibri" w:hAnsi="Calibri"/>
                <w:b w:val="0"/>
                <w:i w:val="0"/>
                <w:color w:val="212121"/>
                <w:sz w:val="19"/>
              </w:rPr>
              <w:t>Untreated nocturnal flexion → morning locking</w:t>
            </w:r>
          </w:p>
        </w:tc>
        <w:tc>
          <w:tcPr>
            <w:tcW w:type="dxa" w:w="1468"/>
            <w:vAlign w:val="top"/>
          </w:tcPr>
          <w:p>
            <w:pPr>
              <w:spacing w:after="40" w:before="0" w:line="259" w:lineRule="auto"/>
            </w:pPr>
            <w:r>
              <w:rPr>
                <w:rFonts w:ascii="Calibri" w:hAnsi="Calibri"/>
                <w:b w:val="0"/>
                <w:i w:val="0"/>
                <w:color w:val="212121"/>
                <w:sz w:val="19"/>
              </w:rPr>
              <w:t>Reduces morning triggering and can avoid injection in early cases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Impaired tendon microcirculation may slow healing and worsen fibrosis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 14 drinks/week (less if diabetic)</w:t>
            </w:r>
          </w:p>
        </w:tc>
        <w:tc>
          <w:tcPr>
            <w:tcW w:type="dxa" w:w="1512"/>
            <w:vAlign w:val="top"/>
          </w:tcPr>
          <w:p>
            <w:pPr>
              <w:spacing w:after="40" w:before="0" w:line="259" w:lineRule="auto"/>
            </w:pPr>
            <w:r>
              <w:rPr>
                <w:rFonts w:ascii="Calibri" w:hAnsi="Calibri"/>
                <w:b w:val="0"/>
                <w:i w:val="0"/>
                <w:color w:val="212121"/>
                <w:sz w:val="19"/>
              </w:rPr>
              <w:t>&gt; 14 drinks/week</w:t>
            </w:r>
          </w:p>
        </w:tc>
        <w:tc>
          <w:tcPr>
            <w:tcW w:type="dxa" w:w="1468"/>
            <w:vAlign w:val="top"/>
          </w:tcPr>
          <w:p>
            <w:pPr>
              <w:spacing w:after="40" w:before="0" w:line="259" w:lineRule="auto"/>
            </w:pPr>
            <w:r>
              <w:rPr>
                <w:rFonts w:ascii="Calibri" w:hAnsi="Calibri"/>
                <w:b w:val="0"/>
                <w:i w:val="0"/>
                <w:color w:val="212121"/>
                <w:sz w:val="19"/>
              </w:rPr>
              <w:t>Excess alcohol worsens glycaemic control and comorbidity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Corticosteroid injections per digit</w:t>
            </w:r>
          </w:p>
        </w:tc>
        <w:tc>
          <w:tcPr>
            <w:tcW w:type="dxa" w:w="1655"/>
            <w:vAlign w:val="top"/>
          </w:tcPr>
          <w:p>
            <w:pPr>
              <w:spacing w:after="40" w:before="0" w:line="259" w:lineRule="auto"/>
            </w:pPr>
            <w:r>
              <w:rPr>
                <w:rFonts w:ascii="Calibri" w:hAnsi="Calibri"/>
                <w:b w:val="0"/>
                <w:i w:val="0"/>
                <w:color w:val="212121"/>
                <w:sz w:val="19"/>
              </w:rPr>
              <w:t>Recurrent/refractory trigger finger</w:t>
            </w:r>
          </w:p>
        </w:tc>
        <w:tc>
          <w:tcPr>
            <w:tcW w:type="dxa" w:w="1512"/>
            <w:vAlign w:val="top"/>
          </w:tcPr>
          <w:p>
            <w:pPr>
              <w:spacing w:after="40" w:before="0" w:line="259" w:lineRule="auto"/>
            </w:pPr>
            <w:r>
              <w:rPr>
                <w:rFonts w:ascii="Calibri" w:hAnsi="Calibri"/>
                <w:b w:val="0"/>
                <w:i w:val="0"/>
                <w:color w:val="212121"/>
                <w:sz w:val="19"/>
              </w:rPr>
              <w:t>≤ 2-3 injections before considering surgery</w:t>
            </w:r>
          </w:p>
        </w:tc>
        <w:tc>
          <w:tcPr>
            <w:tcW w:type="dxa" w:w="1512"/>
            <w:vAlign w:val="top"/>
          </w:tcPr>
          <w:p>
            <w:pPr>
              <w:spacing w:after="40" w:before="0" w:line="259" w:lineRule="auto"/>
            </w:pPr>
            <w:r>
              <w:rPr>
                <w:rFonts w:ascii="Calibri" w:hAnsi="Calibri"/>
                <w:b w:val="0"/>
                <w:i w:val="0"/>
                <w:color w:val="212121"/>
                <w:sz w:val="19"/>
              </w:rPr>
              <w:t>&gt; 3 injections</w:t>
            </w:r>
          </w:p>
        </w:tc>
        <w:tc>
          <w:tcPr>
            <w:tcW w:type="dxa" w:w="1468"/>
            <w:vAlign w:val="top"/>
          </w:tcPr>
          <w:p>
            <w:pPr>
              <w:spacing w:after="60" w:line="259" w:lineRule="auto"/>
            </w:pPr>
            <w:r>
              <w:rPr>
                <w:rFonts w:ascii="Calibri" w:hAnsi="Calibri"/>
                <w:b w:val="0"/>
                <w:i w:val="0"/>
                <w:color w:val="212121"/>
                <w:sz w:val="19"/>
              </w:rPr>
              <w:t>More than three injections raises recurrence risk and favours A1 pulley release</w:t>
            </w:r>
          </w:p>
          <w:p>
            <w:pPr>
              <w:spacing w:after="40" w:line="252" w:lineRule="auto"/>
            </w:pPr>
            <w:hyperlink r:id="rId16">
              <w:r>
                <w:rPr>
                  <w:rFonts w:ascii="Calibri" w:hAnsi="Calibri" w:cs="Calibri"/>
                  <w:sz w:val="18"/>
                  <w:color w:val="1155CC"/>
                  <w:u w:val="single"/>
                </w:rPr>
                <w:t xml:space="preserve">https://www.ncbi.nlm.nih.gov/books/NBK459310/</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Grip/pinch ergonomics</w:t>
            </w:r>
          </w:p>
        </w:tc>
        <w:tc>
          <w:tcPr>
            <w:tcW w:type="dxa" w:w="1655"/>
            <w:vAlign w:val="top"/>
          </w:tcPr>
          <w:p>
            <w:pPr>
              <w:spacing w:after="40" w:before="0" w:line="259" w:lineRule="auto"/>
            </w:pPr>
            <w:r>
              <w:rPr>
                <w:rFonts w:ascii="Calibri" w:hAnsi="Calibri"/>
                <w:b w:val="0"/>
                <w:i w:val="0"/>
                <w:color w:val="212121"/>
                <w:sz w:val="19"/>
              </w:rPr>
              <w:t>Repetitive-task workers</w:t>
            </w:r>
          </w:p>
        </w:tc>
        <w:tc>
          <w:tcPr>
            <w:tcW w:type="dxa" w:w="1512"/>
            <w:vAlign w:val="top"/>
          </w:tcPr>
          <w:p>
            <w:pPr>
              <w:spacing w:after="40" w:before="0" w:line="259" w:lineRule="auto"/>
            </w:pPr>
            <w:r>
              <w:rPr>
                <w:rFonts w:ascii="Calibri" w:hAnsi="Calibri"/>
                <w:b w:val="0"/>
                <w:i w:val="0"/>
                <w:color w:val="212121"/>
                <w:sz w:val="19"/>
              </w:rPr>
              <w:t>Padded/large-diameter tool handles; neutral wrist</w:t>
            </w:r>
          </w:p>
        </w:tc>
        <w:tc>
          <w:tcPr>
            <w:tcW w:type="dxa" w:w="1512"/>
            <w:vAlign w:val="top"/>
          </w:tcPr>
          <w:p>
            <w:pPr>
              <w:spacing w:after="40" w:before="0" w:line="259" w:lineRule="auto"/>
            </w:pPr>
            <w:r>
              <w:rPr>
                <w:rFonts w:ascii="Calibri" w:hAnsi="Calibri"/>
                <w:b w:val="0"/>
                <w:i w:val="0"/>
                <w:color w:val="212121"/>
                <w:sz w:val="19"/>
              </w:rPr>
              <w:t>Hard-handled tools, sustained pinch, vibration exposure</w:t>
            </w:r>
          </w:p>
        </w:tc>
        <w:tc>
          <w:tcPr>
            <w:tcW w:type="dxa" w:w="1468"/>
            <w:vAlign w:val="top"/>
          </w:tcPr>
          <w:p>
            <w:pPr>
              <w:spacing w:after="40" w:before="0" w:line="259" w:lineRule="auto"/>
            </w:pPr>
            <w:r>
              <w:rPr>
                <w:rFonts w:ascii="Calibri" w:hAnsi="Calibri"/>
                <w:b w:val="0"/>
                <w:i w:val="0"/>
                <w:color w:val="212121"/>
                <w:sz w:val="19"/>
              </w:rPr>
              <w:t>Ergonomic load reduction lowers A1-pulley strain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A1 pulley thickness / flexor tendon nodule</w:t>
            </w:r>
          </w:p>
        </w:tc>
        <w:tc>
          <w:tcPr>
            <w:tcW w:type="dxa" w:w="892"/>
            <w:vAlign w:val="top"/>
          </w:tcPr>
          <w:p>
            <w:pPr>
              <w:spacing w:after="40" w:before="0" w:line="259" w:lineRule="auto"/>
            </w:pPr>
            <w:r>
              <w:rPr>
                <w:rFonts w:ascii="Calibri" w:hAnsi="Calibri"/>
                <w:b w:val="0"/>
                <w:i w:val="0"/>
                <w:color w:val="212121"/>
                <w:sz w:val="16"/>
              </w:rPr>
              <w:t>High-resolution ultrasound</w:t>
            </w:r>
          </w:p>
        </w:tc>
        <w:tc>
          <w:tcPr>
            <w:tcW w:type="dxa" w:w="950"/>
            <w:vAlign w:val="top"/>
          </w:tcPr>
          <w:p>
            <w:pPr>
              <w:spacing w:after="40" w:before="0" w:line="259" w:lineRule="auto"/>
            </w:pPr>
            <w:r>
              <w:rPr>
                <w:rFonts w:ascii="Calibri" w:hAnsi="Calibri"/>
                <w:b w:val="0"/>
                <w:i w:val="0"/>
                <w:color w:val="212121"/>
                <w:sz w:val="16"/>
              </w:rPr>
              <w:t>Thin A1 pulley, smooth gliding tendon, no effusion</w:t>
            </w:r>
          </w:p>
        </w:tc>
        <w:tc>
          <w:tcPr>
            <w:tcW w:type="dxa" w:w="950"/>
            <w:vAlign w:val="top"/>
          </w:tcPr>
          <w:p>
            <w:pPr>
              <w:spacing w:after="40" w:before="0" w:line="259" w:lineRule="auto"/>
            </w:pPr>
            <w:r>
              <w:rPr>
                <w:rFonts w:ascii="Calibri" w:hAnsi="Calibri"/>
                <w:b w:val="0"/>
                <w:i w:val="0"/>
                <w:color w:val="212121"/>
                <w:sz w:val="16"/>
              </w:rPr>
              <w:t>Thickened hypoechoic A1 pulley, peritendinous effusion, tendon nodule</w:t>
            </w:r>
          </w:p>
        </w:tc>
        <w:tc>
          <w:tcPr>
            <w:tcW w:type="dxa" w:w="1036"/>
            <w:vAlign w:val="top"/>
          </w:tcPr>
          <w:p>
            <w:pPr>
              <w:spacing w:after="40" w:before="0" w:line="259" w:lineRule="auto"/>
            </w:pPr>
            <w:r>
              <w:rPr>
                <w:rFonts w:ascii="Calibri" w:hAnsi="Calibri"/>
                <w:b w:val="0"/>
                <w:i w:val="0"/>
                <w:color w:val="212121"/>
                <w:sz w:val="16"/>
              </w:rPr>
              <w:t>Confirms stenosing tenosynovitis in doubtful cases and guides injection</w:t>
            </w:r>
          </w:p>
        </w:tc>
        <w:tc>
          <w:tcPr>
            <w:tcW w:type="dxa" w:w="1036"/>
            <w:vAlign w:val="top"/>
          </w:tcPr>
          <w:p>
            <w:pPr>
              <w:spacing w:after="40" w:before="0" w:line="259" w:lineRule="auto"/>
            </w:pPr>
            <w:r>
              <w:rPr>
                <w:rFonts w:ascii="Calibri" w:hAnsi="Calibri"/>
                <w:b w:val="0"/>
                <w:i w:val="0"/>
                <w:color w:val="212121"/>
                <w:sz w:val="16"/>
              </w:rPr>
              <w:t>Atypical, refractory or recurrent cases</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Dynamic scanning during flexion demonstrates catching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4.0-5.6 %</w:t>
            </w:r>
          </w:p>
        </w:tc>
        <w:tc>
          <w:tcPr>
            <w:tcW w:type="dxa" w:w="950"/>
            <w:vAlign w:val="top"/>
          </w:tcPr>
          <w:p>
            <w:pPr>
              <w:spacing w:after="40" w:before="0" w:line="259" w:lineRule="auto"/>
            </w:pPr>
            <w:r>
              <w:rPr>
                <w:rFonts w:ascii="Calibri" w:hAnsi="Calibri"/>
                <w:b w:val="0"/>
                <w:i w:val="0"/>
                <w:color w:val="212121"/>
                <w:sz w:val="16"/>
              </w:rPr>
              <w:t>≥ 6.5 %</w:t>
            </w:r>
          </w:p>
        </w:tc>
        <w:tc>
          <w:tcPr>
            <w:tcW w:type="dxa" w:w="1036"/>
            <w:vAlign w:val="top"/>
          </w:tcPr>
          <w:p>
            <w:pPr>
              <w:spacing w:after="40" w:before="0" w:line="259" w:lineRule="auto"/>
            </w:pPr>
            <w:r>
              <w:rPr>
                <w:rFonts w:ascii="Calibri" w:hAnsi="Calibri"/>
                <w:b w:val="0"/>
                <w:i w:val="0"/>
                <w:color w:val="212121"/>
                <w:sz w:val="16"/>
              </w:rPr>
              <w:t>Detects/monitors the diabetes that underlies most systemic trigger finger and predicts severity</w:t>
            </w:r>
          </w:p>
        </w:tc>
        <w:tc>
          <w:tcPr>
            <w:tcW w:type="dxa" w:w="1036"/>
            <w:vAlign w:val="top"/>
          </w:tcPr>
          <w:p>
            <w:pPr>
              <w:spacing w:after="40" w:before="0" w:line="259" w:lineRule="auto"/>
            </w:pPr>
            <w:r>
              <w:rPr>
                <w:rFonts w:ascii="Calibri" w:hAnsi="Calibri"/>
                <w:b w:val="0"/>
                <w:i w:val="0"/>
                <w:color w:val="212121"/>
                <w:sz w:val="16"/>
              </w:rPr>
              <w:t>Multiple digits, bilateral, recurrent, diabetic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HbA1c &gt; 64 mmol/mol markedly raises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glucose</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w:t>
            </w:r>
          </w:p>
        </w:tc>
        <w:tc>
          <w:tcPr>
            <w:tcW w:type="dxa" w:w="950"/>
            <w:vAlign w:val="top"/>
          </w:tcPr>
          <w:p>
            <w:pPr>
              <w:spacing w:after="40" w:before="0" w:line="259" w:lineRule="auto"/>
            </w:pPr>
            <w:r>
              <w:rPr>
                <w:rFonts w:ascii="Calibri" w:hAnsi="Calibri"/>
                <w:b w:val="0"/>
                <w:i w:val="0"/>
                <w:color w:val="212121"/>
                <w:sz w:val="16"/>
              </w:rPr>
              <w:t>≥ 126 mg/dL</w:t>
            </w:r>
          </w:p>
        </w:tc>
        <w:tc>
          <w:tcPr>
            <w:tcW w:type="dxa" w:w="1036"/>
            <w:vAlign w:val="top"/>
          </w:tcPr>
          <w:p>
            <w:pPr>
              <w:spacing w:after="40" w:before="0" w:line="259" w:lineRule="auto"/>
            </w:pPr>
            <w:r>
              <w:rPr>
                <w:rFonts w:ascii="Calibri" w:hAnsi="Calibri"/>
                <w:b w:val="0"/>
                <w:i w:val="0"/>
                <w:color w:val="212121"/>
                <w:sz w:val="16"/>
              </w:rPr>
              <w:t>Screens for undiagnosed diabetes in new trigger finger</w:t>
            </w:r>
          </w:p>
        </w:tc>
        <w:tc>
          <w:tcPr>
            <w:tcW w:type="dxa" w:w="1036"/>
            <w:vAlign w:val="top"/>
          </w:tcPr>
          <w:p>
            <w:pPr>
              <w:spacing w:after="40" w:before="0" w:line="259" w:lineRule="auto"/>
            </w:pPr>
            <w:r>
              <w:rPr>
                <w:rFonts w:ascii="Calibri" w:hAnsi="Calibri"/>
                <w:b w:val="0"/>
                <w:i w:val="0"/>
                <w:color w:val="212121"/>
                <w:sz w:val="16"/>
              </w:rPr>
              <w:t>Adults with multiple/recurrent trigger digits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8-hour fast required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&gt; 4.0 mIU/L (hypothyroid) with low free T4</w:t>
            </w:r>
          </w:p>
        </w:tc>
        <w:tc>
          <w:tcPr>
            <w:tcW w:type="dxa" w:w="1036"/>
            <w:vAlign w:val="top"/>
          </w:tcPr>
          <w:p>
            <w:pPr>
              <w:spacing w:after="40" w:before="0" w:line="259" w:lineRule="auto"/>
            </w:pPr>
            <w:r>
              <w:rPr>
                <w:rFonts w:ascii="Calibri" w:hAnsi="Calibri"/>
                <w:b w:val="0"/>
                <w:i w:val="0"/>
                <w:color w:val="212121"/>
                <w:sz w:val="16"/>
              </w:rPr>
              <w:t>Identifies hypothyroidism as a reversible systemic contributor</w:t>
            </w:r>
          </w:p>
        </w:tc>
        <w:tc>
          <w:tcPr>
            <w:tcW w:type="dxa" w:w="1036"/>
            <w:vAlign w:val="top"/>
          </w:tcPr>
          <w:p>
            <w:pPr>
              <w:spacing w:after="40" w:before="0" w:line="259" w:lineRule="auto"/>
            </w:pPr>
            <w:r>
              <w:rPr>
                <w:rFonts w:ascii="Calibri" w:hAnsi="Calibri"/>
                <w:b w:val="0"/>
                <w:i w:val="0"/>
                <w:color w:val="212121"/>
                <w:sz w:val="16"/>
              </w:rPr>
              <w:t>Women, multiple-digit or coexisting carpal tunnel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Consider when systemic disease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Immunologic</w:t>
            </w:r>
          </w:p>
        </w:tc>
        <w:tc>
          <w:tcPr>
            <w:tcW w:type="dxa" w:w="1036"/>
            <w:vAlign w:val="top"/>
          </w:tcPr>
          <w:p>
            <w:pPr>
              <w:spacing w:after="40" w:before="0" w:line="259" w:lineRule="auto"/>
            </w:pPr>
            <w:r>
              <w:rPr>
                <w:rFonts w:ascii="Calibri" w:hAnsi="Calibri"/>
                <w:b w:val="0"/>
                <w:i w:val="0"/>
                <w:color w:val="212121"/>
                <w:sz w:val="16"/>
              </w:rPr>
              <w:t>ESR/CRP, Rheumatoid factor, anti-CCP</w:t>
            </w:r>
          </w:p>
        </w:tc>
        <w:tc>
          <w:tcPr>
            <w:tcW w:type="dxa" w:w="892"/>
            <w:vAlign w:val="top"/>
          </w:tcPr>
          <w:p>
            <w:pPr>
              <w:spacing w:after="40" w:before="0" w:line="259" w:lineRule="auto"/>
            </w:pPr>
            <w:r>
              <w:rPr>
                <w:rFonts w:ascii="Calibri" w:hAnsi="Calibri"/>
                <w:b w:val="0"/>
                <w:i w:val="0"/>
                <w:color w:val="212121"/>
                <w:sz w:val="16"/>
              </w:rPr>
              <w:t>Inflammatory &amp; serologic panel</w:t>
            </w:r>
          </w:p>
        </w:tc>
        <w:tc>
          <w:tcPr>
            <w:tcW w:type="dxa" w:w="950"/>
            <w:vAlign w:val="top"/>
          </w:tcPr>
          <w:p>
            <w:pPr>
              <w:spacing w:after="40" w:before="0" w:line="259" w:lineRule="auto"/>
            </w:pPr>
            <w:r>
              <w:rPr>
                <w:rFonts w:ascii="Calibri" w:hAnsi="Calibri"/>
                <w:b w:val="0"/>
                <w:i w:val="0"/>
                <w:color w:val="212121"/>
                <w:sz w:val="16"/>
              </w:rPr>
              <w:t>Normal inflammatory markers; RF/anti-CCP negative</w:t>
            </w:r>
          </w:p>
        </w:tc>
        <w:tc>
          <w:tcPr>
            <w:tcW w:type="dxa" w:w="950"/>
            <w:vAlign w:val="top"/>
          </w:tcPr>
          <w:p>
            <w:pPr>
              <w:spacing w:after="40" w:before="0" w:line="259" w:lineRule="auto"/>
            </w:pPr>
            <w:r>
              <w:rPr>
                <w:rFonts w:ascii="Calibri" w:hAnsi="Calibri"/>
                <w:b w:val="0"/>
                <w:i w:val="0"/>
                <w:color w:val="212121"/>
                <w:sz w:val="16"/>
              </w:rPr>
              <w:t>Raised ESR/CRP; positive RF/anti-CCP</w:t>
            </w:r>
          </w:p>
        </w:tc>
        <w:tc>
          <w:tcPr>
            <w:tcW w:type="dxa" w:w="1036"/>
            <w:vAlign w:val="top"/>
          </w:tcPr>
          <w:p>
            <w:pPr>
              <w:spacing w:after="40" w:before="0" w:line="259" w:lineRule="auto"/>
            </w:pPr>
            <w:r>
              <w:rPr>
                <w:rFonts w:ascii="Calibri" w:hAnsi="Calibri"/>
                <w:b w:val="0"/>
                <w:i w:val="0"/>
                <w:color w:val="212121"/>
                <w:sz w:val="16"/>
              </w:rPr>
              <w:t>Points to inflammatory arthritis (e.g., RA) causing flexor tenosynovitis</w:t>
            </w:r>
          </w:p>
        </w:tc>
        <w:tc>
          <w:tcPr>
            <w:tcW w:type="dxa" w:w="1036"/>
            <w:vAlign w:val="top"/>
          </w:tcPr>
          <w:p>
            <w:pPr>
              <w:spacing w:after="40" w:before="0" w:line="259" w:lineRule="auto"/>
            </w:pPr>
            <w:r>
              <w:rPr>
                <w:rFonts w:ascii="Calibri" w:hAnsi="Calibri"/>
                <w:b w:val="0"/>
                <w:i w:val="0"/>
                <w:color w:val="212121"/>
                <w:sz w:val="16"/>
              </w:rPr>
              <w:t>Polyarticular symptoms, synovitis, multiple digits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only when inflammatory disease is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Catching, clicking, locking, morning stiffness</w:t>
            </w:r>
          </w:p>
        </w:tc>
        <w:tc>
          <w:tcPr>
            <w:tcW w:type="dxa" w:w="950"/>
            <w:vAlign w:val="top"/>
          </w:tcPr>
          <w:p>
            <w:pPr>
              <w:spacing w:after="40" w:before="0" w:line="259" w:lineRule="auto"/>
            </w:pPr>
            <w:r>
              <w:rPr>
                <w:rFonts w:ascii="Calibri" w:hAnsi="Calibri"/>
                <w:b w:val="0"/>
                <w:i w:val="0"/>
                <w:color w:val="212121"/>
                <w:sz w:val="16"/>
              </w:rPr>
              <w:t>Smooth painless finger motion</w:t>
            </w:r>
          </w:p>
        </w:tc>
        <w:tc>
          <w:tcPr>
            <w:tcW w:type="dxa" w:w="950"/>
            <w:vAlign w:val="top"/>
          </w:tcPr>
          <w:p>
            <w:pPr>
              <w:spacing w:after="40" w:before="0" w:line="259" w:lineRule="auto"/>
            </w:pPr>
            <w:r>
              <w:rPr>
                <w:rFonts w:ascii="Calibri" w:hAnsi="Calibri"/>
                <w:b w:val="0"/>
                <w:i w:val="0"/>
                <w:color w:val="212121"/>
                <w:sz w:val="16"/>
              </w:rPr>
              <w:t>Any painful catching/locking, worse in the morning</w:t>
            </w:r>
          </w:p>
        </w:tc>
        <w:tc>
          <w:tcPr>
            <w:tcW w:type="dxa" w:w="1036"/>
            <w:vAlign w:val="top"/>
          </w:tcPr>
          <w:p>
            <w:pPr>
              <w:spacing w:after="40" w:before="0" w:line="259" w:lineRule="auto"/>
            </w:pPr>
            <w:r>
              <w:rPr>
                <w:rFonts w:ascii="Calibri" w:hAnsi="Calibri"/>
                <w:b w:val="0"/>
                <w:i w:val="0"/>
                <w:color w:val="212121"/>
                <w:sz w:val="16"/>
              </w:rPr>
              <w:t>Cardinal symptom pattern of stenosing tenosynovitis</w:t>
            </w:r>
          </w:p>
        </w:tc>
        <w:tc>
          <w:tcPr>
            <w:tcW w:type="dxa" w:w="1036"/>
            <w:vAlign w:val="top"/>
          </w:tcPr>
          <w:p>
            <w:pPr>
              <w:spacing w:after="40" w:before="0" w:line="259" w:lineRule="auto"/>
            </w:pPr>
            <w:r>
              <w:rPr>
                <w:rFonts w:ascii="Calibri" w:hAnsi="Calibri"/>
                <w:b w:val="0"/>
                <w:i w:val="0"/>
                <w:color w:val="212121"/>
                <w:sz w:val="16"/>
              </w:rPr>
              <w:t>Adults with hand symptoms, diabetics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which digit and whether locking self-resolves or needs manual unlocking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activity history</w:t>
            </w:r>
          </w:p>
        </w:tc>
        <w:tc>
          <w:tcPr>
            <w:tcW w:type="dxa" w:w="979"/>
            <w:vAlign w:val="top"/>
          </w:tcPr>
          <w:p>
            <w:pPr>
              <w:spacing w:after="40" w:before="0" w:line="259" w:lineRule="auto"/>
            </w:pPr>
            <w:r>
              <w:rPr>
                <w:rFonts w:ascii="Calibri" w:hAnsi="Calibri"/>
                <w:b w:val="0"/>
                <w:i w:val="0"/>
                <w:color w:val="212121"/>
                <w:sz w:val="16"/>
              </w:rPr>
              <w:t>Repetitive/forceful gripping, tool &amp; device use</w:t>
            </w:r>
          </w:p>
        </w:tc>
        <w:tc>
          <w:tcPr>
            <w:tcW w:type="dxa" w:w="950"/>
            <w:vAlign w:val="top"/>
          </w:tcPr>
          <w:p>
            <w:pPr>
              <w:spacing w:after="40" w:before="0" w:line="259" w:lineRule="auto"/>
            </w:pPr>
            <w:r>
              <w:rPr>
                <w:rFonts w:ascii="Calibri" w:hAnsi="Calibri"/>
                <w:b w:val="0"/>
                <w:i w:val="0"/>
                <w:color w:val="212121"/>
                <w:sz w:val="16"/>
              </w:rPr>
              <w:t>No sustained repetitive gripping</w:t>
            </w:r>
          </w:p>
        </w:tc>
        <w:tc>
          <w:tcPr>
            <w:tcW w:type="dxa" w:w="950"/>
            <w:vAlign w:val="top"/>
          </w:tcPr>
          <w:p>
            <w:pPr>
              <w:spacing w:after="40" w:before="0" w:line="259" w:lineRule="auto"/>
            </w:pPr>
            <w:r>
              <w:rPr>
                <w:rFonts w:ascii="Calibri" w:hAnsi="Calibri"/>
                <w:b w:val="0"/>
                <w:i w:val="0"/>
                <w:color w:val="212121"/>
                <w:sz w:val="16"/>
              </w:rPr>
              <w:t>Prolonged pinch/power grip, vibration, heavy device use</w:t>
            </w:r>
          </w:p>
        </w:tc>
        <w:tc>
          <w:tcPr>
            <w:tcW w:type="dxa" w:w="1036"/>
            <w:vAlign w:val="top"/>
          </w:tcPr>
          <w:p>
            <w:pPr>
              <w:spacing w:after="40" w:before="0" w:line="259" w:lineRule="auto"/>
            </w:pPr>
            <w:r>
              <w:rPr>
                <w:rFonts w:ascii="Calibri" w:hAnsi="Calibri"/>
                <w:b w:val="0"/>
                <w:i w:val="0"/>
                <w:color w:val="212121"/>
                <w:sz w:val="16"/>
              </w:rPr>
              <w:t>Identifies modifiable mechanical drivers</w:t>
            </w:r>
          </w:p>
        </w:tc>
        <w:tc>
          <w:tcPr>
            <w:tcW w:type="dxa" w:w="1036"/>
            <w:vAlign w:val="top"/>
          </w:tcPr>
          <w:p>
            <w:pPr>
              <w:spacing w:after="40" w:before="0" w:line="259" w:lineRule="auto"/>
            </w:pPr>
            <w:r>
              <w:rPr>
                <w:rFonts w:ascii="Calibri" w:hAnsi="Calibri"/>
                <w:b w:val="0"/>
                <w:i w:val="0"/>
                <w:color w:val="212121"/>
                <w:sz w:val="16"/>
              </w:rPr>
              <w:t>Manual workers, gamers, musicians</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ergonomic and activity-modification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screen</w:t>
            </w:r>
          </w:p>
        </w:tc>
        <w:tc>
          <w:tcPr>
            <w:tcW w:type="dxa" w:w="979"/>
            <w:vAlign w:val="top"/>
          </w:tcPr>
          <w:p>
            <w:pPr>
              <w:spacing w:after="40" w:before="0" w:line="259" w:lineRule="auto"/>
            </w:pPr>
            <w:r>
              <w:rPr>
                <w:rFonts w:ascii="Calibri" w:hAnsi="Calibri"/>
                <w:b w:val="0"/>
                <w:i w:val="0"/>
                <w:color w:val="212121"/>
                <w:sz w:val="16"/>
              </w:rPr>
              <w:t>Diabetes, hypothyroidism, RA, prior CTS/Dupuytren</w:t>
            </w:r>
          </w:p>
        </w:tc>
        <w:tc>
          <w:tcPr>
            <w:tcW w:type="dxa" w:w="950"/>
            <w:vAlign w:val="top"/>
          </w:tcPr>
          <w:p>
            <w:pPr>
              <w:spacing w:after="40" w:before="0" w:line="259" w:lineRule="auto"/>
            </w:pPr>
            <w:r>
              <w:rPr>
                <w:rFonts w:ascii="Calibri" w:hAnsi="Calibri"/>
                <w:b w:val="0"/>
                <w:i w:val="0"/>
                <w:color w:val="212121"/>
                <w:sz w:val="16"/>
              </w:rPr>
              <w:t>No relevant systemic disease</w:t>
            </w:r>
          </w:p>
        </w:tc>
        <w:tc>
          <w:tcPr>
            <w:tcW w:type="dxa" w:w="950"/>
            <w:vAlign w:val="top"/>
          </w:tcPr>
          <w:p>
            <w:pPr>
              <w:spacing w:after="40" w:before="0" w:line="259" w:lineRule="auto"/>
            </w:pPr>
            <w:r>
              <w:rPr>
                <w:rFonts w:ascii="Calibri" w:hAnsi="Calibri"/>
                <w:b w:val="0"/>
                <w:i w:val="0"/>
                <w:color w:val="212121"/>
                <w:sz w:val="16"/>
              </w:rPr>
              <w:t>Diabetes, thyroid or inflammatory disease present</w:t>
            </w:r>
          </w:p>
        </w:tc>
        <w:tc>
          <w:tcPr>
            <w:tcW w:type="dxa" w:w="1036"/>
            <w:vAlign w:val="top"/>
          </w:tcPr>
          <w:p>
            <w:pPr>
              <w:spacing w:after="40" w:before="0" w:line="259" w:lineRule="auto"/>
            </w:pPr>
            <w:r>
              <w:rPr>
                <w:rFonts w:ascii="Calibri" w:hAnsi="Calibri"/>
                <w:b w:val="0"/>
                <w:i w:val="0"/>
                <w:color w:val="212121"/>
                <w:sz w:val="16"/>
              </w:rPr>
              <w:t>Detects systemic drivers that worsen prognosis and recurrence</w:t>
            </w:r>
          </w:p>
        </w:tc>
        <w:tc>
          <w:tcPr>
            <w:tcW w:type="dxa" w:w="1036"/>
            <w:vAlign w:val="top"/>
          </w:tcPr>
          <w:p>
            <w:pPr>
              <w:spacing w:after="40" w:before="0" w:line="259" w:lineRule="auto"/>
            </w:pPr>
            <w:r>
              <w:rPr>
                <w:rFonts w:ascii="Calibri" w:hAnsi="Calibri"/>
                <w:b w:val="0"/>
                <w:i w:val="0"/>
                <w:color w:val="212121"/>
                <w:sz w:val="16"/>
              </w:rPr>
              <w:t>Multiple-digit or recurrent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Multiple/bilateral trigger digits strongly suggest diabetes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A1 pulley palpation &amp; triggering</w:t>
            </w:r>
          </w:p>
        </w:tc>
        <w:tc>
          <w:tcPr>
            <w:tcW w:type="dxa" w:w="979"/>
            <w:vAlign w:val="top"/>
          </w:tcPr>
          <w:p>
            <w:pPr>
              <w:spacing w:after="40" w:before="0" w:line="259" w:lineRule="auto"/>
            </w:pPr>
            <w:r>
              <w:rPr>
                <w:rFonts w:ascii="Calibri" w:hAnsi="Calibri"/>
                <w:b w:val="0"/>
                <w:i w:val="0"/>
                <w:color w:val="212121"/>
                <w:sz w:val="16"/>
              </w:rPr>
              <w:t>Tender nodule + reproducible triggering</w:t>
            </w:r>
          </w:p>
        </w:tc>
        <w:tc>
          <w:tcPr>
            <w:tcW w:type="dxa" w:w="950"/>
            <w:vAlign w:val="top"/>
          </w:tcPr>
          <w:p>
            <w:pPr>
              <w:spacing w:after="40" w:before="0" w:line="259" w:lineRule="auto"/>
            </w:pPr>
            <w:r>
              <w:rPr>
                <w:rFonts w:ascii="Calibri" w:hAnsi="Calibri"/>
                <w:b w:val="0"/>
                <w:i w:val="0"/>
                <w:color w:val="212121"/>
                <w:sz w:val="16"/>
              </w:rPr>
              <w:t>No nodule; smooth motion</w:t>
            </w:r>
          </w:p>
        </w:tc>
        <w:tc>
          <w:tcPr>
            <w:tcW w:type="dxa" w:w="950"/>
            <w:vAlign w:val="top"/>
          </w:tcPr>
          <w:p>
            <w:pPr>
              <w:spacing w:after="40" w:before="0" w:line="259" w:lineRule="auto"/>
            </w:pPr>
            <w:r>
              <w:rPr>
                <w:rFonts w:ascii="Calibri" w:hAnsi="Calibri"/>
                <w:b w:val="0"/>
                <w:i w:val="0"/>
                <w:color w:val="212121"/>
                <w:sz w:val="16"/>
              </w:rPr>
              <w:t>Tender A1-pulley nodule moving with tendon; palpable/audible snap</w:t>
            </w:r>
          </w:p>
        </w:tc>
        <w:tc>
          <w:tcPr>
            <w:tcW w:type="dxa" w:w="1036"/>
            <w:vAlign w:val="top"/>
          </w:tcPr>
          <w:p>
            <w:pPr>
              <w:spacing w:after="40" w:before="0" w:line="259" w:lineRule="auto"/>
            </w:pPr>
            <w:r>
              <w:rPr>
                <w:rFonts w:ascii="Calibri" w:hAnsi="Calibri"/>
                <w:b w:val="0"/>
                <w:i w:val="0"/>
                <w:color w:val="212121"/>
                <w:sz w:val="16"/>
              </w:rPr>
              <w:t>Establishes the clinical diagnosis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Nodule lies at the distal palmar crease / MCP head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Green grading &amp; lock assessment</w:t>
            </w:r>
          </w:p>
        </w:tc>
        <w:tc>
          <w:tcPr>
            <w:tcW w:type="dxa" w:w="979"/>
            <w:vAlign w:val="top"/>
          </w:tcPr>
          <w:p>
            <w:pPr>
              <w:spacing w:after="40" w:before="0" w:line="259" w:lineRule="auto"/>
            </w:pPr>
            <w:r>
              <w:rPr>
                <w:rFonts w:ascii="Calibri" w:hAnsi="Calibri"/>
                <w:b w:val="0"/>
                <w:i w:val="0"/>
                <w:color w:val="212121"/>
                <w:sz w:val="16"/>
              </w:rPr>
              <w:t>Active vs passive correction, PIP contracture</w:t>
            </w:r>
          </w:p>
        </w:tc>
        <w:tc>
          <w:tcPr>
            <w:tcW w:type="dxa" w:w="950"/>
            <w:vAlign w:val="top"/>
          </w:tcPr>
          <w:p>
            <w:pPr>
              <w:spacing w:after="40" w:before="0" w:line="259" w:lineRule="auto"/>
            </w:pPr>
            <w:r>
              <w:rPr>
                <w:rFonts w:ascii="Calibri" w:hAnsi="Calibri"/>
                <w:b w:val="0"/>
                <w:i w:val="0"/>
                <w:color w:val="212121"/>
                <w:sz w:val="16"/>
              </w:rPr>
              <w:t>Grade 0 - full painless motion</w:t>
            </w:r>
          </w:p>
        </w:tc>
        <w:tc>
          <w:tcPr>
            <w:tcW w:type="dxa" w:w="950"/>
            <w:vAlign w:val="top"/>
          </w:tcPr>
          <w:p>
            <w:pPr>
              <w:spacing w:after="40" w:before="0" w:line="259" w:lineRule="auto"/>
            </w:pPr>
            <w:r>
              <w:rPr>
                <w:rFonts w:ascii="Calibri" w:hAnsi="Calibri"/>
                <w:b w:val="0"/>
                <w:i w:val="0"/>
                <w:color w:val="212121"/>
                <w:sz w:val="16"/>
              </w:rPr>
              <w:t>Grade I-IV per catching, locking and contracture</w:t>
            </w:r>
          </w:p>
        </w:tc>
        <w:tc>
          <w:tcPr>
            <w:tcW w:type="dxa" w:w="1036"/>
            <w:vAlign w:val="top"/>
          </w:tcPr>
          <w:p>
            <w:pPr>
              <w:spacing w:after="40" w:before="0" w:line="259" w:lineRule="auto"/>
            </w:pPr>
            <w:r>
              <w:rPr>
                <w:rFonts w:ascii="Calibri" w:hAnsi="Calibri"/>
                <w:b w:val="0"/>
                <w:i w:val="0"/>
                <w:color w:val="212121"/>
                <w:sz w:val="16"/>
              </w:rPr>
              <w:t>Stages severity and directs treatment choice</w:t>
            </w:r>
          </w:p>
        </w:tc>
        <w:tc>
          <w:tcPr>
            <w:tcW w:type="dxa" w:w="1036"/>
            <w:vAlign w:val="top"/>
          </w:tcPr>
          <w:p>
            <w:pPr>
              <w:spacing w:after="40" w:before="0" w:line="259" w:lineRule="auto"/>
            </w:pPr>
            <w:r>
              <w:rPr>
                <w:rFonts w:ascii="Calibri" w:hAnsi="Calibri"/>
                <w:b w:val="0"/>
                <w:i w:val="0"/>
                <w:color w:val="212121"/>
                <w:sz w:val="16"/>
              </w:rPr>
              <w:t>Confirmed trigger finger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Grade IV (fixed contracture) usually needs surgical release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Whole-hand screen</w:t>
            </w:r>
          </w:p>
        </w:tc>
        <w:tc>
          <w:tcPr>
            <w:tcW w:type="dxa" w:w="979"/>
            <w:vAlign w:val="top"/>
          </w:tcPr>
          <w:p>
            <w:pPr>
              <w:spacing w:after="40" w:before="0" w:line="259" w:lineRule="auto"/>
            </w:pPr>
            <w:r>
              <w:rPr>
                <w:rFonts w:ascii="Calibri" w:hAnsi="Calibri"/>
                <w:b w:val="0"/>
                <w:i w:val="0"/>
                <w:color w:val="212121"/>
                <w:sz w:val="16"/>
              </w:rPr>
              <w:t>Multiple digits, Phalen/Tinel, Dupuytren cords</w:t>
            </w:r>
          </w:p>
        </w:tc>
        <w:tc>
          <w:tcPr>
            <w:tcW w:type="dxa" w:w="950"/>
            <w:vAlign w:val="top"/>
          </w:tcPr>
          <w:p>
            <w:pPr>
              <w:spacing w:after="40" w:before="0" w:line="259" w:lineRule="auto"/>
            </w:pPr>
            <w:r>
              <w:rPr>
                <w:rFonts w:ascii="Calibri" w:hAnsi="Calibri"/>
                <w:b w:val="0"/>
                <w:i w:val="0"/>
                <w:color w:val="212121"/>
                <w:sz w:val="16"/>
              </w:rPr>
              <w:t>Single digit; negative CTS/Dupuytren signs</w:t>
            </w:r>
          </w:p>
        </w:tc>
        <w:tc>
          <w:tcPr>
            <w:tcW w:type="dxa" w:w="950"/>
            <w:vAlign w:val="top"/>
          </w:tcPr>
          <w:p>
            <w:pPr>
              <w:spacing w:after="40" w:before="0" w:line="259" w:lineRule="auto"/>
            </w:pPr>
            <w:r>
              <w:rPr>
                <w:rFonts w:ascii="Calibri" w:hAnsi="Calibri"/>
                <w:b w:val="0"/>
                <w:i w:val="0"/>
                <w:color w:val="212121"/>
                <w:sz w:val="16"/>
              </w:rPr>
              <w:t>Multiple trigger digits; positive CTS signs or palmar cords</w:t>
            </w:r>
          </w:p>
        </w:tc>
        <w:tc>
          <w:tcPr>
            <w:tcW w:type="dxa" w:w="1036"/>
            <w:vAlign w:val="top"/>
          </w:tcPr>
          <w:p>
            <w:pPr>
              <w:spacing w:after="40" w:before="0" w:line="259" w:lineRule="auto"/>
            </w:pPr>
            <w:r>
              <w:rPr>
                <w:rFonts w:ascii="Calibri" w:hAnsi="Calibri"/>
                <w:b w:val="0"/>
                <w:i w:val="0"/>
                <w:color w:val="212121"/>
                <w:sz w:val="16"/>
              </w:rPr>
              <w:t>Detects coexisting fibro-inflammatory hand disease</w:t>
            </w:r>
          </w:p>
        </w:tc>
        <w:tc>
          <w:tcPr>
            <w:tcW w:type="dxa" w:w="1036"/>
            <w:vAlign w:val="top"/>
          </w:tcPr>
          <w:p>
            <w:pPr>
              <w:spacing w:after="40" w:before="0" w:line="259" w:lineRule="auto"/>
            </w:pPr>
            <w:r>
              <w:rPr>
                <w:rFonts w:ascii="Calibri" w:hAnsi="Calibri"/>
                <w:b w:val="0"/>
                <w:i w:val="0"/>
                <w:color w:val="212121"/>
                <w:sz w:val="16"/>
              </w:rPr>
              <w:t>Diabetics, women,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Coexistence alters management and suggests systemic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Painful clicking or snapping of the finger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“trigger” as the flexor tendon nodule jerks past the thickened A1 pulley.</w:t>
            </w:r>
          </w:p>
        </w:tc>
      </w:tr>
      <w:tr>
        <w:trPr>
          <w:cantSplit/>
        </w:trPr>
        <w:tc>
          <w:tcPr>
            <w:tcW w:type="dxa" w:w="2304"/>
            <w:vAlign w:val="top"/>
          </w:tcPr>
          <w:p>
            <w:pPr>
              <w:spacing w:after="40" w:before="0" w:line="259" w:lineRule="auto"/>
            </w:pPr>
            <w:r>
              <w:rPr>
                <w:rFonts w:ascii="Calibri" w:hAnsi="Calibri"/>
                <w:b/>
                <w:i w:val="0"/>
                <w:color w:val="212121"/>
                <w:sz w:val="19"/>
              </w:rPr>
              <w:t>Catching of the digit during flexion/extension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finger momentarily hesitates or catches as it is bent or straightened.</w:t>
            </w:r>
          </w:p>
        </w:tc>
      </w:tr>
      <w:tr>
        <w:trPr>
          <w:cantSplit/>
        </w:trPr>
        <w:tc>
          <w:tcPr>
            <w:tcW w:type="dxa" w:w="2304"/>
            <w:vAlign w:val="top"/>
          </w:tcPr>
          <w:p>
            <w:pPr>
              <w:spacing w:after="40" w:before="0" w:line="259" w:lineRule="auto"/>
            </w:pPr>
            <w:r>
              <w:rPr>
                <w:rFonts w:ascii="Calibri" w:hAnsi="Calibri"/>
                <w:b/>
                <w:i w:val="0"/>
                <w:color w:val="212121"/>
                <w:sz w:val="19"/>
              </w:rPr>
              <w:t>Locking of the finger in a flexed position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digit becomes stuck bent and must be pulled straight, often with a sudden release.</w:t>
            </w:r>
          </w:p>
        </w:tc>
      </w:tr>
      <w:tr>
        <w:trPr>
          <w:cantSplit/>
        </w:trPr>
        <w:tc>
          <w:tcPr>
            <w:tcW w:type="dxa" w:w="2304"/>
            <w:vAlign w:val="top"/>
          </w:tcPr>
          <w:p>
            <w:pPr>
              <w:spacing w:after="40" w:before="0" w:line="259" w:lineRule="auto"/>
            </w:pPr>
            <w:r>
              <w:rPr>
                <w:rFonts w:ascii="Calibri" w:hAnsi="Calibri"/>
                <w:b/>
                <w:i w:val="0"/>
                <w:color w:val="212121"/>
                <w:sz w:val="19"/>
              </w:rPr>
              <w:t>Morning stiffness of the affected digit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Symptoms are typically worst on waking and ease with movement through the day.</w:t>
            </w:r>
          </w:p>
        </w:tc>
      </w:tr>
      <w:tr>
        <w:trPr>
          <w:cantSplit/>
        </w:trPr>
        <w:tc>
          <w:tcPr>
            <w:tcW w:type="dxa" w:w="2304"/>
            <w:vAlign w:val="top"/>
          </w:tcPr>
          <w:p>
            <w:pPr>
              <w:spacing w:after="40" w:before="0" w:line="259" w:lineRule="auto"/>
            </w:pPr>
            <w:r>
              <w:rPr>
                <w:rFonts w:ascii="Calibri" w:hAnsi="Calibri"/>
                <w:b/>
                <w:i w:val="0"/>
                <w:color w:val="212121"/>
                <w:sz w:val="19"/>
              </w:rPr>
              <w:t>Pain and tenderness at the base of the finger/palm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Localised over the A1 pulley at the distal palmar crease or metacarpal head.</w:t>
            </w:r>
          </w:p>
        </w:tc>
      </w:tr>
      <w:tr>
        <w:trPr>
          <w:cantSplit/>
        </w:trPr>
        <w:tc>
          <w:tcPr>
            <w:tcW w:type="dxa" w:w="2304"/>
            <w:vAlign w:val="top"/>
          </w:tcPr>
          <w:p>
            <w:pPr>
              <w:spacing w:after="40" w:before="0" w:line="259" w:lineRule="auto"/>
            </w:pPr>
            <w:r>
              <w:rPr>
                <w:rFonts w:ascii="Calibri" w:hAnsi="Calibri"/>
                <w:b/>
                <w:i w:val="0"/>
                <w:color w:val="212121"/>
                <w:sz w:val="19"/>
              </w:rPr>
              <w:t>Palpable lump/nodule at the base of the finger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tender nodule on the flexor tendon that moves as the finger bends.</w:t>
            </w:r>
          </w:p>
        </w:tc>
      </w:tr>
      <w:tr>
        <w:trPr>
          <w:cantSplit/>
        </w:trPr>
        <w:tc>
          <w:tcPr>
            <w:tcW w:type="dxa" w:w="2304"/>
            <w:vAlign w:val="top"/>
          </w:tcPr>
          <w:p>
            <w:pPr>
              <w:spacing w:after="40" w:before="0" w:line="259" w:lineRule="auto"/>
            </w:pPr>
            <w:r>
              <w:rPr>
                <w:rFonts w:ascii="Calibri" w:hAnsi="Calibri"/>
                <w:b/>
                <w:i w:val="0"/>
                <w:color w:val="212121"/>
                <w:sz w:val="19"/>
              </w:rPr>
              <w:t>Difficulty straightening the finger / reduced motion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smooth active extension as triggering worsens.</w:t>
            </w:r>
          </w:p>
        </w:tc>
      </w:tr>
      <w:tr>
        <w:trPr>
          <w:cantSplit/>
        </w:trPr>
        <w:tc>
          <w:tcPr>
            <w:tcW w:type="dxa" w:w="2304"/>
            <w:vAlign w:val="top"/>
          </w:tcPr>
          <w:p>
            <w:pPr>
              <w:spacing w:after="40" w:before="0" w:line="259" w:lineRule="auto"/>
            </w:pPr>
            <w:r>
              <w:rPr>
                <w:rFonts w:ascii="Calibri" w:hAnsi="Calibri"/>
                <w:b/>
                <w:i w:val="0"/>
                <w:color w:val="212121"/>
                <w:sz w:val="19"/>
              </w:rPr>
              <w:t>Inability to actively bend or fully extend the digit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in Grade III disease where locking needs passive correction.</w:t>
            </w:r>
          </w:p>
        </w:tc>
      </w:tr>
      <w:tr>
        <w:trPr>
          <w:cantSplit/>
        </w:trPr>
        <w:tc>
          <w:tcPr>
            <w:tcW w:type="dxa" w:w="2304"/>
            <w:vAlign w:val="top"/>
          </w:tcPr>
          <w:p>
            <w:pPr>
              <w:spacing w:after="40" w:before="0" w:line="259" w:lineRule="auto"/>
            </w:pPr>
            <w:r>
              <w:rPr>
                <w:rFonts w:ascii="Calibri" w:hAnsi="Calibri"/>
                <w:b/>
                <w:i w:val="0"/>
                <w:color w:val="212121"/>
                <w:sz w:val="19"/>
              </w:rPr>
              <w:t>Involvement of several fingers at once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Multiple or bilateral trigger digits strongly suggest underlying diabetes.</w:t>
            </w:r>
          </w:p>
        </w:tc>
      </w:tr>
      <w:tr>
        <w:trPr>
          <w:cantSplit/>
        </w:trPr>
        <w:tc>
          <w:tcPr>
            <w:tcW w:type="dxa" w:w="2304"/>
            <w:vAlign w:val="top"/>
          </w:tcPr>
          <w:p>
            <w:pPr>
              <w:spacing w:after="40" w:before="0" w:line="259" w:lineRule="auto"/>
            </w:pPr>
            <w:r>
              <w:rPr>
                <w:rFonts w:ascii="Calibri" w:hAnsi="Calibri"/>
                <w:b/>
                <w:i w:val="0"/>
                <w:color w:val="212121"/>
                <w:sz w:val="19"/>
              </w:rPr>
              <w:t>Pain referred to the PIP joint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Discomfort is often felt over the middle joint rather than the true A1-pulley site.</w:t>
            </w:r>
          </w:p>
        </w:tc>
      </w:tr>
      <w:tr>
        <w:trPr>
          <w:cantSplit/>
        </w:trPr>
        <w:tc>
          <w:tcPr>
            <w:tcW w:type="dxa" w:w="2304"/>
            <w:vAlign w:val="top"/>
          </w:tcPr>
          <w:p>
            <w:pPr>
              <w:spacing w:after="40" w:before="0" w:line="259" w:lineRule="auto"/>
            </w:pPr>
            <w:r>
              <w:rPr>
                <w:rFonts w:ascii="Calibri" w:hAnsi="Calibri"/>
                <w:b/>
                <w:i w:val="0"/>
                <w:color w:val="212121"/>
                <w:sz w:val="19"/>
              </w:rPr>
              <w:t>Swelling of the digit or palm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soft-tissue swelling from flexor tenosynovitis.</w:t>
            </w:r>
          </w:p>
        </w:tc>
      </w:tr>
      <w:tr>
        <w:trPr>
          <w:cantSplit/>
        </w:trPr>
        <w:tc>
          <w:tcPr>
            <w:tcW w:type="dxa" w:w="2304"/>
            <w:vAlign w:val="top"/>
          </w:tcPr>
          <w:p>
            <w:pPr>
              <w:spacing w:after="40" w:before="0" w:line="259" w:lineRule="auto"/>
            </w:pPr>
            <w:r>
              <w:rPr>
                <w:rFonts w:ascii="Calibri" w:hAnsi="Calibri"/>
                <w:b/>
                <w:i w:val="0"/>
                <w:color w:val="212121"/>
                <w:sz w:val="19"/>
              </w:rPr>
              <w:t>Fixed, permanently bent finger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End-stage Grade IV flexion contracture that can no longer be straightened.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Tender A1-pulley nodule moving with the tendon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at the distal palmar crease; the cardinal physical sign.</w:t>
            </w:r>
          </w:p>
        </w:tc>
      </w:tr>
      <w:tr>
        <w:trPr>
          <w:cantSplit/>
        </w:trPr>
        <w:tc>
          <w:tcPr>
            <w:tcW w:type="dxa" w:w="3456"/>
            <w:vAlign w:val="top"/>
          </w:tcPr>
          <w:p>
            <w:pPr>
              <w:spacing w:after="40" w:before="0" w:line="259" w:lineRule="auto"/>
            </w:pPr>
            <w:r>
              <w:rPr>
                <w:rFonts w:ascii="Calibri" w:hAnsi="Calibri"/>
                <w:b/>
                <w:i w:val="0"/>
                <w:color w:val="212121"/>
                <w:sz w:val="19"/>
              </w:rPr>
              <w:t>Reproducible triggering on active flexion-extension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Catching or snapping demonstrated as the patient makes and releases a fist.</w:t>
            </w:r>
          </w:p>
        </w:tc>
      </w:tr>
      <w:tr>
        <w:trPr>
          <w:cantSplit/>
        </w:trPr>
        <w:tc>
          <w:tcPr>
            <w:tcW w:type="dxa" w:w="3456"/>
            <w:vAlign w:val="top"/>
          </w:tcPr>
          <w:p>
            <w:pPr>
              <w:spacing w:after="40" w:before="0" w:line="259" w:lineRule="auto"/>
            </w:pPr>
            <w:r>
              <w:rPr>
                <w:rFonts w:ascii="Calibri" w:hAnsi="Calibri"/>
                <w:b/>
                <w:i w:val="0"/>
                <w:color w:val="212121"/>
                <w:sz w:val="19"/>
              </w:rPr>
              <w:t>Palpable or audible snap over the A1 pulley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Felt by the examiner's thumb during the trigger event.</w:t>
            </w:r>
          </w:p>
        </w:tc>
      </w:tr>
      <w:tr>
        <w:trPr>
          <w:cantSplit/>
        </w:trPr>
        <w:tc>
          <w:tcPr>
            <w:tcW w:type="dxa" w:w="3456"/>
            <w:vAlign w:val="top"/>
          </w:tcPr>
          <w:p>
            <w:pPr>
              <w:spacing w:after="40" w:before="0" w:line="259" w:lineRule="auto"/>
            </w:pPr>
            <w:r>
              <w:rPr>
                <w:rFonts w:ascii="Calibri" w:hAnsi="Calibri"/>
                <w:b/>
                <w:i w:val="0"/>
                <w:color w:val="212121"/>
                <w:sz w:val="19"/>
              </w:rPr>
              <w:t>Locking in flexion, passively correctable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Digit unlocks only with passive extension - Green Grade III.</w:t>
            </w:r>
          </w:p>
        </w:tc>
      </w:tr>
      <w:tr>
        <w:trPr>
          <w:cantSplit/>
        </w:trPr>
        <w:tc>
          <w:tcPr>
            <w:tcW w:type="dxa" w:w="3456"/>
            <w:vAlign w:val="top"/>
          </w:tcPr>
          <w:p>
            <w:pPr>
              <w:spacing w:after="40" w:before="0" w:line="259" w:lineRule="auto"/>
            </w:pPr>
            <w:r>
              <w:rPr>
                <w:rFonts w:ascii="Calibri" w:hAnsi="Calibri"/>
                <w:b/>
                <w:i w:val="0"/>
                <w:color w:val="212121"/>
                <w:sz w:val="19"/>
              </w:rPr>
              <w:t>Localised tenderness at the distal palmar crease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Point tenderness over the A1 pulley rather than the PIP joint.</w:t>
            </w:r>
          </w:p>
        </w:tc>
      </w:tr>
      <w:tr>
        <w:trPr>
          <w:cantSplit/>
        </w:trPr>
        <w:tc>
          <w:tcPr>
            <w:tcW w:type="dxa" w:w="3456"/>
            <w:vAlign w:val="top"/>
          </w:tcPr>
          <w:p>
            <w:pPr>
              <w:spacing w:after="40" w:before="0" w:line="259" w:lineRule="auto"/>
            </w:pPr>
            <w:r>
              <w:rPr>
                <w:rFonts w:ascii="Calibri" w:hAnsi="Calibri"/>
                <w:b/>
                <w:i w:val="0"/>
                <w:color w:val="212121"/>
                <w:sz w:val="19"/>
              </w:rPr>
              <w:t>Fixed flexion contracture of the PIP joint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Irreversible Grade IV deformity that cannot be passively straightened.</w:t>
            </w:r>
          </w:p>
        </w:tc>
      </w:tr>
      <w:tr>
        <w:trPr>
          <w:cantSplit/>
        </w:trPr>
        <w:tc>
          <w:tcPr>
            <w:tcW w:type="dxa" w:w="3456"/>
            <w:vAlign w:val="top"/>
          </w:tcPr>
          <w:p>
            <w:pPr>
              <w:spacing w:after="40" w:before="0" w:line="259" w:lineRule="auto"/>
            </w:pPr>
            <w:r>
              <w:rPr>
                <w:rFonts w:ascii="Calibri" w:hAnsi="Calibri"/>
                <w:b/>
                <w:i w:val="0"/>
                <w:color w:val="212121"/>
                <w:sz w:val="19"/>
              </w:rPr>
              <w:t>Multiple / bilateral trigger digits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Systemic marker pointing to diabetes or other fibrosing disease.</w:t>
            </w:r>
          </w:p>
        </w:tc>
      </w:tr>
      <w:tr>
        <w:trPr>
          <w:cantSplit/>
        </w:trPr>
        <w:tc>
          <w:tcPr>
            <w:tcW w:type="dxa" w:w="3456"/>
            <w:vAlign w:val="top"/>
          </w:tcPr>
          <w:p>
            <w:pPr>
              <w:spacing w:after="40" w:before="0" w:line="259" w:lineRule="auto"/>
            </w:pPr>
            <w:r>
              <w:rPr>
                <w:rFonts w:ascii="Calibri" w:hAnsi="Calibri"/>
                <w:b/>
                <w:i w:val="0"/>
                <w:color w:val="212121"/>
                <w:sz w:val="19"/>
              </w:rPr>
              <w:t>Positive Phalen's / Tinel's sign (coexisting CTS)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Trigger finger frequently coexists with carpal tunnel syndrome.</w:t>
            </w:r>
          </w:p>
        </w:tc>
      </w:tr>
      <w:tr>
        <w:trPr>
          <w:cantSplit/>
        </w:trPr>
        <w:tc>
          <w:tcPr>
            <w:tcW w:type="dxa" w:w="3456"/>
            <w:vAlign w:val="top"/>
          </w:tcPr>
          <w:p>
            <w:pPr>
              <w:spacing w:after="40" w:before="0" w:line="259" w:lineRule="auto"/>
            </w:pPr>
            <w:r>
              <w:rPr>
                <w:rFonts w:ascii="Calibri" w:hAnsi="Calibri"/>
                <w:b/>
                <w:i w:val="0"/>
                <w:color w:val="212121"/>
                <w:sz w:val="19"/>
              </w:rPr>
              <w:t>Reduced grip strength / hand dexterity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pain, guarding and mechanical dysfunction of the digit.</w:t>
            </w:r>
          </w:p>
        </w:tc>
      </w:tr>
      <w:tr>
        <w:trPr>
          <w:cantSplit/>
        </w:trPr>
        <w:tc>
          <w:tcPr>
            <w:tcW w:type="dxa" w:w="3456"/>
            <w:vAlign w:val="top"/>
          </w:tcPr>
          <w:p>
            <w:pPr>
              <w:spacing w:after="40" w:before="0" w:line="259" w:lineRule="auto"/>
            </w:pPr>
            <w:r>
              <w:rPr>
                <w:rFonts w:ascii="Calibri" w:hAnsi="Calibri"/>
                <w:b/>
                <w:i w:val="0"/>
                <w:color w:val="212121"/>
                <w:sz w:val="19"/>
              </w:rPr>
              <w:t>Palmar Dupuytren cords / nodules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Coexisting fibroproliferative palmar disease, especially in diabetics.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painful catching and clicking of the digit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Intermittent locking of the finger in flexion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Localised A1-pulley pain limiting grip and pinch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active range of motion of the affected digit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fine hand dexterity for daily tasks and work</w:t>
            </w:r>
          </w:p>
        </w:tc>
        <w:tc>
          <w:tcPr>
            <w:tcW w:type="dxa" w:w="2980"/>
            <w:vAlign w:val="top"/>
          </w:tcPr>
          <w:p>
            <w:pPr>
              <w:spacing w:after="40" w:before="0" w:line="259" w:lineRule="auto"/>
            </w:pPr>
            <w:r>
              <w:rPr>
                <w:rFonts w:ascii="Calibri" w:hAnsi="Calibri"/>
                <w:b w:val="0"/>
                <w:i w:val="0"/>
                <w:color w:val="212121"/>
                <w:sz w:val="19"/>
              </w:rPr>
              <w:t>Direct mechanical consequences of impaired flexor-tendon gliding at a stenosed A1 pulley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flexion contracture of the PIP joint (Grade 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stiffness of the PIP/DIP joints from disuse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multiple and bilateral trigger digits (esp. in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after corticosteroid injection or release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Post-injection flare, skin depigmentation or fat-pad atrophy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Digital neurovascular injury or flexor bowstringing after surgery</w:t>
            </w:r>
          </w:p>
        </w:tc>
        <w:tc>
          <w:tcPr>
            <w:tcW w:type="dxa" w:w="2980"/>
            <w:vAlign w:val="top"/>
          </w:tcPr>
          <w:p>
            <w:pPr>
              <w:spacing w:after="40" w:before="0" w:line="259" w:lineRule="auto"/>
            </w:pPr>
            <w:r>
              <w:rPr>
                <w:rFonts w:ascii="Calibri" w:hAnsi="Calibri"/>
                <w:b w:val="0"/>
                <w:i w:val="0"/>
                <w:color w:val="212121"/>
                <w:sz w:val="19"/>
              </w:rPr>
              <w:t>Result from disease progression, coexisting systemic disease and complications of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flexion deformity with chronic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loss of grip and dexterity affecting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hand pain and functional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Surgical-site infection and delayed wound healing (higher in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Complex regional pain syndrome or persistent stiffness after surgery</w:t>
            </w:r>
          </w:p>
        </w:tc>
        <w:tc>
          <w:tcPr>
            <w:tcW w:type="dxa" w:w="2980"/>
            <w:vAlign w:val="top"/>
          </w:tcPr>
          <w:p>
            <w:pPr>
              <w:spacing w:after="40" w:before="0" w:line="259" w:lineRule="auto"/>
            </w:pPr>
            <w:r>
              <w:rPr>
                <w:rFonts w:ascii="Calibri" w:hAnsi="Calibri"/>
                <w:b w:val="0"/>
                <w:i w:val="0"/>
                <w:color w:val="212121"/>
                <w:sz w:val="19"/>
              </w:rPr>
              <w:t>Irreversible, disabling outcomes of longstanding or complicated disease, amplified by poorly controlled diabetes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dominant systemic association - glycation-mediated flexor-sheath fibrosis makes trigger finger more frequent, multi-digit and treatment-resistant; risk rises with duration and HbA1c.</w:t>
            </w:r>
          </w:p>
          <w:p>
            <w:pPr>
              <w:spacing w:after="40" w:before="0" w:line="259" w:lineRule="auto"/>
            </w:pPr>
            <w:r>
              <w:rPr>
                <w:rFonts w:ascii="Calibri" w:hAnsi="Calibri"/>
                <w:b/>
                <w:i w:val="0"/>
                <w:color w:val="212121"/>
                <w:sz w:val="19"/>
              </w:rPr>
              <w:t>~10-20% of diabetics; RR ~3.5 (T2DM)</w:t>
            </w:r>
          </w:p>
        </w:tc>
      </w:tr>
      <w:tr>
        <w:trPr>
          <w:cantSplit/>
        </w:trPr>
        <w:tc>
          <w:tcPr>
            <w:tcW w:type="dxa" w:w="2232"/>
            <w:vAlign w:val="top"/>
          </w:tcPr>
          <w:p>
            <w:pPr>
              <w:spacing w:after="40" w:before="0" w:line="259" w:lineRule="auto"/>
            </w:pPr>
            <w:r>
              <w:rPr>
                <w:rFonts w:ascii="Calibri" w:hAnsi="Calibri"/>
                <w:b/>
                <w:i w:val="0"/>
                <w:color w:val="212121"/>
                <w:sz w:val="19"/>
              </w:rPr>
              <w:t>Carpal tunnel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a fibro-inflammatory flexor environment and frequently coexists; new trigger finger is a recognised sequel after carpal tunnel release.</w:t>
            </w:r>
          </w:p>
        </w:tc>
      </w:tr>
      <w:tr>
        <w:trPr>
          <w:cantSplit/>
        </w:trPr>
        <w:tc>
          <w:tcPr>
            <w:tcW w:type="dxa" w:w="2232"/>
            <w:vAlign w:val="top"/>
          </w:tcPr>
          <w:p>
            <w:pPr>
              <w:spacing w:after="40" w:before="0" w:line="259" w:lineRule="auto"/>
            </w:pPr>
            <w:r>
              <w:rPr>
                <w:rFonts w:ascii="Calibri" w:hAnsi="Calibri"/>
                <w:b/>
                <w:i w:val="0"/>
                <w:color w:val="212121"/>
                <w:sz w:val="19"/>
              </w:rPr>
              <w:t>Diabetic cheiroarthropathy / limited joint mobility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Part of the same diabetic hand syndrome of connective-tissue stiffening; commonly coexists with trigger finger.</w:t>
            </w:r>
          </w:p>
          <w:p>
            <w:pPr>
              <w:spacing w:after="40" w:before="0" w:line="259" w:lineRule="auto"/>
            </w:pPr>
            <w:r>
              <w:rPr>
                <w:rFonts w:ascii="Calibri" w:hAnsi="Calibri"/>
                <w:b/>
                <w:i w:val="0"/>
                <w:color w:val="212121"/>
                <w:sz w:val="19"/>
              </w:rPr>
              <w:t>LJM ~3% in an Indian T2DM cohort</w:t>
            </w:r>
          </w:p>
        </w:tc>
      </w:tr>
      <w:tr>
        <w:trPr>
          <w:cantSplit/>
        </w:trPr>
        <w:tc>
          <w:tcPr>
            <w:tcW w:type="dxa" w:w="2232"/>
            <w:vAlign w:val="top"/>
          </w:tcPr>
          <w:p>
            <w:pPr>
              <w:spacing w:after="40" w:before="0" w:line="259" w:lineRule="auto"/>
            </w:pPr>
            <w:r>
              <w:rPr>
                <w:rFonts w:ascii="Calibri" w:hAnsi="Calibri"/>
                <w:b/>
                <w:i w:val="0"/>
                <w:color w:val="212121"/>
                <w:sz w:val="19"/>
              </w:rPr>
              <w:t>Dupuytren's contracture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Fibroproliferative palmar-fascia disease sharing a fibrotic tendency; both cluster in diabetes and within families.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Glycosaminoglycan deposition and soft-tissue swelling thicken the flexor sheath; a reversible systemic contributor to triggering.</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Inflammatory flexor tenosynovitis and tendon nodularity obstruct gliding at the A1 pulley; treating the arthritis alters management.</w:t>
            </w:r>
          </w:p>
        </w:tc>
      </w:tr>
      <w:tr>
        <w:trPr>
          <w:cantSplit/>
        </w:trPr>
        <w:tc>
          <w:tcPr>
            <w:tcW w:type="dxa" w:w="2232"/>
            <w:vAlign w:val="top"/>
          </w:tcPr>
          <w:p>
            <w:pPr>
              <w:spacing w:after="40" w:before="0" w:line="259" w:lineRule="auto"/>
            </w:pPr>
            <w:r>
              <w:rPr>
                <w:rFonts w:ascii="Calibri" w:hAnsi="Calibri"/>
                <w:b/>
                <w:i w:val="0"/>
                <w:color w:val="212121"/>
                <w:sz w:val="19"/>
              </w:rPr>
              <w:t>De Quervain tenosynovitis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Another stenosing tenosynovitis of the hand that shares mechanical and hormonal risk factors and frequently coexists.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Associated with insulin resistance and low-grade inflammation favouring tendon-sheath fibrosis; independent effect is modest.</w:t>
            </w:r>
          </w:p>
          <w:p>
            <w:pPr>
              <w:spacing w:after="40" w:before="0" w:line="259" w:lineRule="auto"/>
            </w:pPr>
            <w:r>
              <w:rPr>
                <w:rFonts w:ascii="Calibri" w:hAnsi="Calibri"/>
                <w:b/>
                <w:i w:val="0"/>
                <w:color w:val="212121"/>
                <w:sz w:val="19"/>
              </w:rPr>
              <w:t>OR ~1.03</w:t>
            </w:r>
          </w:p>
        </w:tc>
      </w:tr>
      <w:tr>
        <w:trPr>
          <w:cantSplit/>
        </w:trPr>
        <w:tc>
          <w:tcPr>
            <w:tcW w:type="dxa" w:w="2232"/>
            <w:vAlign w:val="top"/>
          </w:tcPr>
          <w:p>
            <w:pPr>
              <w:spacing w:after="40" w:before="0" w:line="259" w:lineRule="auto"/>
            </w:pPr>
            <w:r>
              <w:rPr>
                <w:rFonts w:ascii="Calibri" w:hAnsi="Calibri"/>
                <w:b/>
                <w:i w:val="0"/>
                <w:color w:val="212121"/>
                <w:sz w:val="19"/>
              </w:rPr>
              <w:t>Adhesive capsulitis (frozen shoulder)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 related diabetic soft-tissue fibrosis; its presence flags the same fibro-metabolic milieu that predisposes to trigger finger.</w:t>
            </w:r>
          </w:p>
          <w:p>
            <w:pPr>
              <w:spacing w:after="40" w:before="0" w:line="259" w:lineRule="auto"/>
            </w:pPr>
            <w:r>
              <w:rPr>
                <w:rFonts w:ascii="Calibri" w:hAnsi="Calibri"/>
                <w:b/>
                <w:i w:val="0"/>
                <w:color w:val="212121"/>
                <w:sz w:val="19"/>
              </w:rPr>
              <w:t>~9% in an Indian T2DM cohort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symptoms - painful clicking, catching or morning stiffness of a finger or thumb - and seek care before locking or contracture develops.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diabetes is the strongest risk factor and that good glycaemic control lowers the risk and severity of trigger finger.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Modify aggravating activities: avoid prolonged forceful gripping, take frequent breaks, and use padded or larger-diameter tool handles.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sustained smartphone, gaming and repetitive pinch tasks that load the thumb and finger flexors.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early disease often responds to splinting and a corticosteroid injection, while fixed contracture (Grade IV) usually needs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several fingers or both hands are affected, get screened for diabetes and thyroid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&amp; repetitive-task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Modify or pace repetitive gripping tasks and introduce regular rest breaks to offload the flexor tendons.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gentle tendon- and nerve-gliding exercises and finger range-of-motion work to maintain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metacarpophalangeal (MCP) blocking/extension splint, including at night, for 6-10 weeks in early (Grade I-II)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local heat and self-massage over the A1 pulley to ease stiffness before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injection or surgical release, follow a graded hand-therapy programme to restore full extension and grip.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trigger finger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Grade I-III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Post-injection / post-operative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hand-friendly ergonomics: neutral wrist posture, cushioned grips and anti-vibration gloves for tool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Alternate tasks and avoid long uninterrupted periods of forceful pinch or power grip.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Warm up and stretch the hands before repetitive manual or musical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and mobilise the hands gradually rather than through sudden high-load gripping.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 &amp; artisans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Typists &amp; 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Musicians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tight glycaemic control - aim for an HbA1c below individualised targets to limit tendon glycation.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low-glycaemic-index staples (millets like ragi/jowar/bajra, whole pulses, brown rice) over polished rice and refined wheat.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sweets, sugar-sweetened beverages and fried/bakery foods that worsen hyperglycaemia and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fibre-rich diet with non-starchy vegetables and controlled portions of whole fruit.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(Asian-Indian BMI &lt; 23) to reduce the associated 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&amp; 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High-glycaemic-diet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night-time finger extension splint to prevent the nocturnal flexion that causes morning locking.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Position the hand to avoid prolonged curled-finger postures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painful night waking early, as persistent morning stiffness signals progressing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overall sleep to support pain tolerance and recovery after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morning locking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Grade I-II trigger finger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Post-treatment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preserve tendon microcirculation and support healing after injection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counselling and nicotine-replacement or pharmacotherapy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especially in the peri-operative period to reduce wound-healing and infection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smokers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particularly if diabetic, to avoid worsening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drinking indirectly raises risk through metabolic and nutritional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that interferes with diabetes medication and glucose stability.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frustration and functional limitation that chronic hand pain and locking can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pain-coping strategies, reassurance and clear treatment expectations to reduce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about surgery, and support adherence to hand therapy and diabetes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coexisting depression in patients with chronic diabetic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chronic/refractory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multiple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hysio-pedia.com/Trigger_Finger" TargetMode="External"/><Relationship Id="rId10" Type="http://schemas.openxmlformats.org/officeDocument/2006/relationships/hyperlink" Target="https://link.springer.com/article/10.1007/s13410-025-01481-2" TargetMode="External"/><Relationship Id="rId11" Type="http://schemas.openxmlformats.org/officeDocument/2006/relationships/hyperlink" Target="https://pmc.ncbi.nlm.nih.gov/articles/PMC2684207/" TargetMode="External"/><Relationship Id="rId12" Type="http://schemas.openxmlformats.org/officeDocument/2006/relationships/hyperlink" Target="https://www.news-medical.net/news/20221019/Trigger-finger-most-often-affects-patients-with-type-1-and-type-2-diabetes.aspx" TargetMode="External"/><Relationship Id="rId13" Type="http://schemas.openxmlformats.org/officeDocument/2006/relationships/hyperlink" Target="https://www.openaccessjournals.com/articles/association-of-diabetes-mellitus-with-trigger-finger-13094.html" TargetMode="External"/><Relationship Id="rId14" Type="http://schemas.openxmlformats.org/officeDocument/2006/relationships/hyperlink" Target="https://www.thelancet.com/journals/landia/article/PIIS2213-8587(23)00119-5/fulltext" TargetMode="External"/><Relationship Id="rId15" Type="http://schemas.openxmlformats.org/officeDocument/2006/relationships/hyperlink" Target="https://journals.sagepub.com/doi/10.1177/15589447251317226" TargetMode="External"/><Relationship Id="rId16" Type="http://schemas.openxmlformats.org/officeDocument/2006/relationships/hyperlink" Target="https://www.ncbi.nlm.nih.gov/books/NBK459310/" TargetMode="External"/><Relationship Id="rId17" Type="http://schemas.openxmlformats.org/officeDocument/2006/relationships/hyperlink" Target="https://www.medrxiv.org/content/10.1101/2025.04.21.25326143v1.full.pdf" TargetMode="External"/><Relationship Id="rId18" Type="http://schemas.openxmlformats.org/officeDocument/2006/relationships/hyperlink" Target="https://pmc.ncbi.nlm.nih.gov/articles/PMC104421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