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Plantar Fasciitis</w:t>
      </w:r>
    </w:p>
    <w:p>
      <w:pPr>
        <w:spacing w:before="0" w:after="160"/>
      </w:pPr>
      <w:r>
        <w:rPr>
          <w:rFonts w:ascii="Calibri" w:hAnsi="Calibri"/>
          <w:b/>
          <w:i w:val="0"/>
          <w:color w:val="212121"/>
          <w:sz w:val="22"/>
        </w:rPr>
        <w:t xml:space="preserve">AKA </w:t>
      </w:r>
      <w:r>
        <w:rPr>
          <w:rFonts w:ascii="Calibri" w:hAnsi="Calibri"/>
          <w:b w:val="0"/>
          <w:i w:val="0"/>
          <w:color w:val="212121"/>
          <w:sz w:val="22"/>
        </w:rPr>
        <w:t>i.e., Plantar fasciopathy, Plantar fasciosis, Plantar heel pain, Jogger's heel, Policeman's heel, Chronic (inferior) heel pain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Plantar fasciitis is a degenerative overload disorder of the plantar aponeurosis at its origin on the medial calcaneal tuberosity, and is the commonest cause of inferior heel pain in adults. Despite the “-itis” suffix, histology shows a non-inflammatory degenerative process (“fasciosis”) — collagen disarray, micro-tears and myxoid degeneration with failed reparative response rather than true inflammation. It is characterised by sharp, focal plantar heel pain that is classically worst with the first few steps on rising in the morning or after rest (post-static dyskinesia). It is usually a self-limiting condition, with the majority of cases settling within 6–12 months of conservative care.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Plantar fasciitis affects roughly 10% of people over a lifetime and accounts for the large majority of heel-pain presentations, with peak incidence between 40 and 60 years and about a two-fold higher rate in women. In India it is a common occupational complaint among adults who stand for long hours on hard surfaces: a Pune study of 88 traffic police officers (aged 40–60) found 25% Windlass-test positive with 46% bilateral involvement, while a young Indian working-adult cohort reported plantar-fasciitis pain in up to 56.6% of respondents. Rising obesity in India — generalised obesity 28.6% and abdominal obesity 39.5% (ICMR-INDIAB) — is expected to further increase the burden, as raised BMI is the strongest modifiable risk factor.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Plantar fasciitis is a clinical diagnosis based on a characteristic history and focal examination findings; imaging and laboratory tests are reserved for atypical, bilateral, refractory or suspected-secondary presentations. Supporting features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sharp inferior/medial heel pain that is worst with the first few steps in the morning or after prolonged rest, eases with initial walking, then worsens again with prolonged standing or weight-bearing (post-static dyskinesia);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focal tenderness on palpation at the medial calcaneal tuberosity (the plantar fascia origin);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Windlass (Jack) test — passive dorsiflexion of the great toe/ankle reproduces heel pain by tensioning the fascia — and pain on passive ankle dorsiflexion, often with limited dorsiflexion/tight Achilles (equinus);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only if diagnosis is uncertain or symptoms are refractory: ultrasound showing plantar fascia thickening &gt;4 mm (frequently &gt;4.5 mm) with hypoechogenicity at the calcaneal insertion (sensitivity ~85%, specificity ~95%), or MRI showing thickening with increased STIR/T2 signal; weight-bearing X-ray may show an incidental inferior calcaneal spur (present in ~50%) and helps exclude calcaneal stress fracture;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selective bloods (ESR, CRP, HLA-B27, uric acid, fasting glucose/HbA1c, vitamin D) only when an inflammatory enthesitis (young, bilateral heel pain), gout, or metabolic contributor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Plantar fasciitis has no single formal staging system; in clinical practice it is stratified by symptom duration, by underlying mechanism, and by foot biomechanics, which together guide investigation and management:</w:t>
      </w:r>
    </w:p>
    <w:p>
      <w:pPr>
        <w:spacing w:before="0" w:after="80"/>
      </w:pPr>
      <w:r>
        <w:rPr>
          <w:rFonts w:ascii="Calibri" w:hAnsi="Calibri"/>
          <w:b w:val="0"/>
          <w:i w:val="0"/>
          <w:color w:val="212121"/>
          <w:sz w:val="21"/>
        </w:rPr>
        <w:t>(1) By duration — acute (&lt; 6 weeks), subacute (6 weeks–3 months), and chronic/recalcitrant (&gt; 3–6 months) plantar fasciitis; the chronic form reflects established degenerative fasciosis and is more resistant to conservative treatment;</w:t>
      </w:r>
    </w:p>
    <w:p>
      <w:pPr>
        <w:spacing w:before="0" w:after="80"/>
      </w:pPr>
      <w:r>
        <w:rPr>
          <w:rFonts w:ascii="Calibri" w:hAnsi="Calibri"/>
          <w:b w:val="0"/>
          <w:i w:val="0"/>
          <w:color w:val="212121"/>
          <w:sz w:val="21"/>
        </w:rPr>
        <w:t>(2) By mechanism — mechanical/degenerative overload type (by far the commonest, from repetitive micro-trauma and excess load), inflammatory/enthesitis-related type (heel enthesitis of seronegative spondyloarthropathies such as ankylosing spondylitis, reactive and psoriatic arthritis — suspected with bilateral heel pain in a young, often HLA-B27-positive patient), and neurogenic type (entrapment of the first branch of the lateral plantar nerve, “Baxter’s nerve”, which mimics or coexists with plantar fasciitis);</w:t>
      </w:r>
    </w:p>
    <w:p>
      <w:pPr>
        <w:spacing w:before="0" w:after="80"/>
      </w:pPr>
      <w:r>
        <w:rPr>
          <w:rFonts w:ascii="Calibri" w:hAnsi="Calibri"/>
          <w:b w:val="0"/>
          <w:i w:val="0"/>
          <w:color w:val="212121"/>
          <w:sz w:val="21"/>
        </w:rPr>
        <w:t>(3) By foot biomechanics — pes planus / over-pronation associated (tension-overload of the medial band) versus pes cavus / high-arch associated (impaired shock absorption); leg-length discrepancy and reduced ankle dorsiflexion (isolated gastrocnemius tightness) further modify the loading pattern.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Repetitive mechanical overload: Cumulative tensile micro-trauma at the fascia origin during weight-bearing produces micro-tears that outpace repair, leading to degeneration rather than true inflammation; sudden increases in walking/running load or standing are common triggers.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 raised BMI: Increased axial body load and metabolic factors raise fascia strain — the single strongest modifiable risk factor; obesity is present in a large proportion of patients.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Reduced ankle dorsiflexion &amp; calf tightness (equinus): Tight gastrocnemius–soleus and Achilles increase tensile load transmitted to the plantar fascia through the windlass mechanism.</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Abnormal foot structure/biomechanics: Pes planus with over-pronation, pes cavus, and leg-length discrepancy concentrate stress at the medial calcaneal origin.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Prolonged weight-bearing &amp; training errors: Occupations requiring long standing on hard surfaces and abrupt rises in running distance/intensity precipitate symptoms.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Ageing &amp; heel fat-pad atrophy: Reduced collagen elasticity and thinning of the protective heel pad diminish shock absorption with age.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Inappropriate footwear: Unsupportive flat footwear, worn-out shoes, high heels and barefoot walking on hard floors reduce arch support and cushioning.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(~25–60 years)</w:t>
            </w:r>
          </w:p>
        </w:tc>
        <w:tc>
          <w:tcPr>
            <w:tcW w:type="dxa" w:w="4276"/>
            <w:vAlign w:val="top"/>
          </w:tcPr>
          <w:p>
            <w:pPr>
              <w:spacing w:after="60" w:line="259" w:lineRule="auto"/>
            </w:pPr>
            <w:r>
              <w:rPr>
                <w:rFonts w:ascii="Calibri" w:hAnsi="Calibri"/>
                <w:b w:val="0"/>
                <w:i w:val="0"/>
                <w:color w:val="212121"/>
                <w:sz w:val="19"/>
              </w:rPr>
              <w:t>Cumulative repetitive weight-bearing micro-trauma at the fascia origin peaks in mid-life; the fascia degenerates faster than it repairs. This is the busiest, most weight-bearing phase of life, so load-related fasciopathy is most common here.</w:t>
            </w:r>
          </w:p>
          <w:p>
            <w:pPr>
              <w:spacing w:after="40" w:before="60" w:line="259" w:lineRule="auto"/>
            </w:pPr>
            <w:r>
              <w:rPr>
                <w:rFonts w:ascii="Calibri" w:hAnsi="Calibri"/>
                <w:b w:val="0"/>
                <w:i w:val="0"/>
                <w:color w:val="212121"/>
                <w:sz w:val="19"/>
              </w:rPr>
              <w:t>Peak incidence is between 40 and 60 years, and about 83% of affected patients are working adults aged 25–65.</w:t>
            </w:r>
          </w:p>
          <w:p>
            <w:pPr>
              <w:spacing w:after="40" w:line="252" w:lineRule="auto"/>
            </w:pPr>
            <w:hyperlink r:id="rId9">
              <w:r>
                <w:rPr>
                  <w:rFonts w:ascii="Calibri" w:hAnsi="Calibri" w:cs="Calibri"/>
                  <w:sz w:val="18"/>
                  <w:color w:val="1155CC"/>
                  <w:u w:val="single"/>
                </w:rPr>
                <w:t xml:space="preserve">ncbi.nlm.nih.gov — StatPearls: Plantar Fasciitis</w:t>
              </w:r>
            </w:hyperlink>
          </w:p>
          <w:p>
            <w:pPr>
              <w:spacing w:before="60" w:after="40"/>
            </w:pPr>
            <w:r>
              <w:rPr>
                <w:rFonts w:ascii="Calibri" w:hAnsi="Calibri"/>
                <w:b w:val="0"/>
                <w:i w:val="0"/>
                <w:color w:val="5A5A5A"/>
                <w:sz w:val="18"/>
              </w:rPr>
              <w:t>#heelpain  #overload  #workingadults  #microtrauma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Age-related loss of collagen elasticity plus atrophy of the protective heel fat pad reduce shock absorption, so ordinary standing and walking transmit more stress to the fascia and calcaneus.</w:t>
            </w:r>
          </w:p>
          <w:p>
            <w:pPr>
              <w:spacing w:after="40" w:before="60" w:line="259" w:lineRule="auto"/>
            </w:pPr>
            <w:r>
              <w:rPr>
                <w:rFonts w:ascii="Calibri" w:hAnsi="Calibri"/>
                <w:b w:val="0"/>
                <w:i w:val="0"/>
                <w:color w:val="212121"/>
                <w:sz w:val="19"/>
              </w:rPr>
              <w:t>Heel fat-pad atrophy and degenerative change with ageing are recognised contributors; central heel tenderness in the elderly may reflect fat-pad thinning coexisting with fasciopathy.</w:t>
            </w:r>
          </w:p>
          <w:p>
            <w:pPr>
              <w:spacing w:after="40" w:line="252" w:lineRule="auto"/>
            </w:pPr>
            <w:hyperlink r:id="rId9">
              <w:r>
                <w:rPr>
                  <w:rFonts w:ascii="Calibri" w:hAnsi="Calibri" w:cs="Calibri"/>
                  <w:sz w:val="18"/>
                  <w:color w:val="1155CC"/>
                  <w:u w:val="single"/>
                </w:rPr>
                <w:t xml:space="preserve">ncbi.nlm.nih.gov — StatPearls: Plantar Fasciitis</w:t>
              </w:r>
            </w:hyperlink>
          </w:p>
          <w:p>
            <w:pPr>
              <w:spacing w:before="60" w:after="40"/>
            </w:pPr>
            <w:r>
              <w:rPr>
                <w:rFonts w:ascii="Calibri" w:hAnsi="Calibri"/>
                <w:b w:val="0"/>
                <w:i w:val="0"/>
                <w:color w:val="5A5A5A"/>
                <w:sz w:val="18"/>
              </w:rPr>
              <w:t>#ageing  #fatpadatrophy  #degeneration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40–60 years)</w:t>
            </w:r>
          </w:p>
        </w:tc>
        <w:tc>
          <w:tcPr>
            <w:tcW w:type="dxa" w:w="4276"/>
            <w:vAlign w:val="top"/>
          </w:tcPr>
          <w:p>
            <w:pPr>
              <w:spacing w:after="60" w:line="259" w:lineRule="auto"/>
            </w:pPr>
            <w:r>
              <w:rPr>
                <w:rFonts w:ascii="Calibri" w:hAnsi="Calibri"/>
                <w:b w:val="0"/>
                <w:i w:val="0"/>
                <w:color w:val="212121"/>
                <w:sz w:val="19"/>
              </w:rPr>
              <w:t>Higher prevalence in women is attributed to footwear (high heels, unsupportive flats), post-menopausal weight gain and hormonal effects on collagen, plus load during household and occupational standing.</w:t>
            </w:r>
          </w:p>
          <w:p>
            <w:pPr>
              <w:spacing w:after="40" w:before="60" w:line="259" w:lineRule="auto"/>
            </w:pPr>
            <w:r>
              <w:rPr>
                <w:rFonts w:ascii="Calibri" w:hAnsi="Calibri"/>
                <w:b w:val="0"/>
                <w:i w:val="0"/>
                <w:color w:val="212121"/>
                <w:sz w:val="19"/>
              </w:rPr>
              <w:t>Women develop plantar fasciitis about twice as often as men, with a peak between 40 and 60 years.</w:t>
            </w:r>
          </w:p>
          <w:p>
            <w:pPr>
              <w:spacing w:after="40" w:line="252" w:lineRule="auto"/>
            </w:pPr>
            <w:hyperlink r:id="rId10">
              <w:r>
                <w:rPr>
                  <w:rFonts w:ascii="Calibri" w:hAnsi="Calibri" w:cs="Calibri"/>
                  <w:sz w:val="18"/>
                  <w:color w:val="1155CC"/>
                  <w:u w:val="single"/>
                </w:rPr>
                <w:t xml:space="preserve">emedicine.medscape.com — Plantar Fasciitis</w:t>
              </w:r>
            </w:hyperlink>
          </w:p>
          <w:p>
            <w:pPr>
              <w:spacing w:before="60" w:after="40"/>
            </w:pPr>
            <w:r>
              <w:rPr>
                <w:rFonts w:ascii="Calibri" w:hAnsi="Calibri"/>
                <w:b w:val="0"/>
                <w:i w:val="0"/>
                <w:color w:val="5A5A5A"/>
                <w:sz w:val="18"/>
              </w:rPr>
              <w:t>#women  #footwear  #postmenopausal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street vendors, low-income standing workers</w:t>
            </w:r>
          </w:p>
        </w:tc>
        <w:tc>
          <w:tcPr>
            <w:tcW w:type="dxa" w:w="4276"/>
            <w:vAlign w:val="top"/>
          </w:tcPr>
          <w:p>
            <w:pPr>
              <w:spacing w:after="60" w:line="259" w:lineRule="auto"/>
            </w:pPr>
            <w:r>
              <w:rPr>
                <w:rFonts w:ascii="Calibri" w:hAnsi="Calibri"/>
                <w:b w:val="0"/>
                <w:i w:val="0"/>
                <w:color w:val="212121"/>
                <w:sz w:val="19"/>
              </w:rPr>
              <w:t>Long hours standing/walking on hard surfaces in thin, unsupportive footwear, with little opportunity to rest or replace shoes, sustain fascia overload and delay recovery.</w:t>
            </w:r>
          </w:p>
          <w:p>
            <w:pPr>
              <w:spacing w:after="40" w:before="60" w:line="259" w:lineRule="auto"/>
            </w:pPr>
            <w:r>
              <w:rPr>
                <w:rFonts w:ascii="Calibri" w:hAnsi="Calibri"/>
                <w:b w:val="0"/>
                <w:i w:val="0"/>
                <w:color w:val="212121"/>
                <w:sz w:val="19"/>
              </w:rPr>
              <w:t>Occupations requiring prolonged weight-bearing on hard surfaces are established risk settings for plantar fasciitis.</w:t>
            </w:r>
          </w:p>
          <w:p>
            <w:pPr>
              <w:spacing w:after="40" w:line="252" w:lineRule="auto"/>
            </w:pPr>
            <w:hyperlink r:id="rId9">
              <w:r>
                <w:rPr>
                  <w:rFonts w:ascii="Calibri" w:hAnsi="Calibri" w:cs="Calibri"/>
                  <w:sz w:val="18"/>
                  <w:color w:val="1155CC"/>
                  <w:u w:val="single"/>
                </w:rPr>
                <w:t xml:space="preserve">ncbi.nlm.nih.gov — StatPearls: Plantar Fasciitis</w:t>
              </w:r>
            </w:hyperlink>
          </w:p>
          <w:p>
            <w:pPr>
              <w:spacing w:before="60" w:after="40"/>
            </w:pPr>
            <w:r>
              <w:rPr>
                <w:rFonts w:ascii="Calibri" w:hAnsi="Calibri"/>
                <w:b w:val="0"/>
                <w:i w:val="0"/>
                <w:color w:val="5A5A5A"/>
                <w:sz w:val="18"/>
              </w:rPr>
              <w:t>#standingwork  #hardsurface  #poorfootwear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Indian standing-occupation workers (traffic police, security guards, teachers, retail/sales staff)</w:t>
            </w:r>
          </w:p>
        </w:tc>
        <w:tc>
          <w:tcPr>
            <w:tcW w:type="dxa" w:w="4276"/>
            <w:vAlign w:val="top"/>
          </w:tcPr>
          <w:p>
            <w:pPr>
              <w:spacing w:after="60" w:line="259" w:lineRule="auto"/>
            </w:pPr>
            <w:r>
              <w:rPr>
                <w:rFonts w:ascii="Calibri" w:hAnsi="Calibri"/>
                <w:b w:val="0"/>
                <w:i w:val="0"/>
                <w:color w:val="212121"/>
                <w:sz w:val="19"/>
              </w:rPr>
              <w:t>Indian field and service jobs commonly involve 6–10 hours of continuous standing on hard roads and floors, often in duty shoes with limited cushioning, driving repetitive fascia strain.</w:t>
            </w:r>
          </w:p>
          <w:p>
            <w:pPr>
              <w:spacing w:after="40" w:before="60" w:line="259" w:lineRule="auto"/>
            </w:pPr>
            <w:r>
              <w:rPr>
                <w:rFonts w:ascii="Calibri" w:hAnsi="Calibri"/>
                <w:b w:val="0"/>
                <w:i w:val="0"/>
                <w:color w:val="212121"/>
                <w:sz w:val="19"/>
              </w:rPr>
              <w:t>A Pune study of 88 traffic police officers (aged 40–60) found 25% Windlass-test positive, with 46% of positive cases bilateral.</w:t>
            </w:r>
          </w:p>
          <w:p>
            <w:pPr>
              <w:spacing w:after="40" w:line="252" w:lineRule="auto"/>
            </w:pPr>
            <w:hyperlink r:id="rId11">
              <w:r>
                <w:rPr>
                  <w:rFonts w:ascii="Calibri" w:hAnsi="Calibri" w:cs="Calibri"/>
                  <w:sz w:val="18"/>
                  <w:color w:val="1155CC"/>
                  <w:u w:val="single"/>
                </w:rPr>
                <w:t xml:space="preserve">worldwidejournals.com — Plantar fasciitis in traffic police (Pune)</w:t>
              </w:r>
            </w:hyperlink>
          </w:p>
          <w:p>
            <w:pPr>
              <w:spacing w:before="60" w:after="40"/>
            </w:pPr>
            <w:r>
              <w:rPr>
                <w:rFonts w:ascii="Calibri" w:hAnsi="Calibri"/>
                <w:b w:val="0"/>
                <w:i w:val="0"/>
                <w:color w:val="5A5A5A"/>
                <w:sz w:val="18"/>
              </w:rPr>
              <w:t>#india  #trafficpolice  #standingjobs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 barefoot &amp; thin-chappal population on hard floors</w:t>
            </w:r>
          </w:p>
        </w:tc>
        <w:tc>
          <w:tcPr>
            <w:tcW w:type="dxa" w:w="4276"/>
            <w:vAlign w:val="top"/>
          </w:tcPr>
          <w:p>
            <w:pPr>
              <w:spacing w:after="60" w:line="259" w:lineRule="auto"/>
            </w:pPr>
            <w:r>
              <w:rPr>
                <w:rFonts w:ascii="Calibri" w:hAnsi="Calibri"/>
                <w:b w:val="0"/>
                <w:i w:val="0"/>
                <w:color w:val="212121"/>
                <w:sz w:val="19"/>
              </w:rPr>
              <w:t>Walking barefoot or in flat, unsupportive chappals on hard, uneven surfaces removes arch support and cushioning, increasing tensile load on the medial fascia band.</w:t>
            </w:r>
          </w:p>
          <w:p>
            <w:pPr>
              <w:spacing w:after="40" w:before="60" w:line="259" w:lineRule="auto"/>
            </w:pPr>
            <w:r>
              <w:rPr>
                <w:rFonts w:ascii="Calibri" w:hAnsi="Calibri"/>
                <w:b w:val="0"/>
                <w:i w:val="0"/>
                <w:color w:val="212121"/>
                <w:sz w:val="19"/>
              </w:rPr>
              <w:t>Unsupportive footwear and barefoot walking on hard surfaces are recognised aggravating factors; switching to arch-supportive shoes relieves symptoms in many patients.</w:t>
            </w:r>
          </w:p>
          <w:p>
            <w:pPr>
              <w:spacing w:after="40" w:line="252" w:lineRule="auto"/>
            </w:pPr>
            <w:hyperlink r:id="rId12">
              <w:r>
                <w:rPr>
                  <w:rFonts w:ascii="Calibri" w:hAnsi="Calibri" w:cs="Calibri"/>
                  <w:sz w:val="18"/>
                  <w:color w:val="1155CC"/>
                  <w:u w:val="single"/>
                </w:rPr>
                <w:t xml:space="preserve">ijrrjournal.com — Emerging incidence of plantar fasciitis (India)</w:t>
              </w:r>
            </w:hyperlink>
          </w:p>
          <w:p>
            <w:pPr>
              <w:spacing w:before="60" w:after="40"/>
            </w:pPr>
            <w:r>
              <w:rPr>
                <w:rFonts w:ascii="Calibri" w:hAnsi="Calibri"/>
                <w:b w:val="0"/>
                <w:i w:val="0"/>
                <w:color w:val="5A5A5A"/>
                <w:sz w:val="18"/>
              </w:rPr>
              <w:t>#india  #barefoot  #chappals  #hardfloors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sudden loading</w:t>
            </w:r>
          </w:p>
        </w:tc>
        <w:tc>
          <w:tcPr>
            <w:tcW w:type="dxa" w:w="2160"/>
            <w:vAlign w:val="top"/>
          </w:tcPr>
          <w:p>
            <w:pPr>
              <w:spacing w:after="40" w:before="0" w:line="259" w:lineRule="auto"/>
            </w:pPr>
            <w:r>
              <w:rPr>
                <w:rFonts w:ascii="Calibri" w:hAnsi="Calibri"/>
                <w:b w:val="0"/>
                <w:i w:val="0"/>
                <w:color w:val="212121"/>
                <w:sz w:val="19"/>
              </w:rPr>
              <w:t>Deconditioned adults &amp; 'weekend warriors'</w:t>
            </w:r>
          </w:p>
        </w:tc>
        <w:tc>
          <w:tcPr>
            <w:tcW w:type="dxa" w:w="4276"/>
            <w:vAlign w:val="top"/>
          </w:tcPr>
          <w:p>
            <w:pPr>
              <w:spacing w:after="60" w:line="259" w:lineRule="auto"/>
            </w:pPr>
            <w:r>
              <w:rPr>
                <w:rFonts w:ascii="Calibri" w:hAnsi="Calibri"/>
                <w:b w:val="0"/>
                <w:i w:val="0"/>
                <w:color w:val="212121"/>
                <w:sz w:val="19"/>
              </w:rPr>
              <w:t>A largely sedentary week followed by a sudden burst of walking, trekking or running overloads an unconditioned fascia; deconditioned calf and foot muscles offer little protection.</w:t>
            </w:r>
          </w:p>
          <w:p>
            <w:pPr>
              <w:spacing w:after="40" w:before="60" w:line="259" w:lineRule="auto"/>
            </w:pPr>
            <w:r>
              <w:rPr>
                <w:rFonts w:ascii="Calibri" w:hAnsi="Calibri"/>
                <w:b w:val="0"/>
                <w:i w:val="0"/>
                <w:color w:val="212121"/>
                <w:sz w:val="19"/>
              </w:rPr>
              <w:t>Training errors — abrupt increases in distance, intensity or unaccustomed activity — are well-recognised precipitants of plantar fasciitis.</w:t>
            </w:r>
          </w:p>
          <w:p>
            <w:pPr>
              <w:spacing w:after="40" w:line="252" w:lineRule="auto"/>
            </w:pPr>
            <w:hyperlink r:id="rId10">
              <w:r>
                <w:rPr>
                  <w:rFonts w:ascii="Calibri" w:hAnsi="Calibri" w:cs="Calibri"/>
                  <w:sz w:val="18"/>
                  <w:color w:val="1155CC"/>
                  <w:u w:val="single"/>
                </w:rPr>
                <w:t xml:space="preserve">emedicine.medscape.com — Plantar Fasciitis</w:t>
              </w:r>
            </w:hyperlink>
          </w:p>
          <w:p>
            <w:pPr>
              <w:spacing w:before="60" w:after="40"/>
            </w:pPr>
            <w:r>
              <w:rPr>
                <w:rFonts w:ascii="Calibri" w:hAnsi="Calibri"/>
                <w:b w:val="0"/>
                <w:i w:val="0"/>
                <w:color w:val="5A5A5A"/>
                <w:sz w:val="18"/>
              </w:rPr>
              <w:t>#weekendwarrior  #deconditioning  #suddenload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loading (overuse)</w:t>
            </w:r>
          </w:p>
        </w:tc>
        <w:tc>
          <w:tcPr>
            <w:tcW w:type="dxa" w:w="2160"/>
            <w:vAlign w:val="top"/>
          </w:tcPr>
          <w:p>
            <w:pPr>
              <w:spacing w:after="40" w:before="0" w:line="259" w:lineRule="auto"/>
            </w:pPr>
            <w:r>
              <w:rPr>
                <w:rFonts w:ascii="Calibri" w:hAnsi="Calibri"/>
                <w:b w:val="0"/>
                <w:i w:val="0"/>
                <w:color w:val="212121"/>
                <w:sz w:val="19"/>
              </w:rPr>
              <w:t>Runners, dancers, aerobic/HIIT and jumping-sport athletes</w:t>
            </w:r>
          </w:p>
        </w:tc>
        <w:tc>
          <w:tcPr>
            <w:tcW w:type="dxa" w:w="4276"/>
            <w:vAlign w:val="top"/>
          </w:tcPr>
          <w:p>
            <w:pPr>
              <w:spacing w:after="60" w:line="259" w:lineRule="auto"/>
            </w:pPr>
            <w:r>
              <w:rPr>
                <w:rFonts w:ascii="Calibri" w:hAnsi="Calibri"/>
                <w:b w:val="0"/>
                <w:i w:val="0"/>
                <w:color w:val="212121"/>
                <w:sz w:val="19"/>
              </w:rPr>
              <w:t>Repetitive high-impact loading and push-off tension the plantar fascia; training on hard surfaces, hill work and inadequate footwear compound the strain.</w:t>
            </w:r>
          </w:p>
          <w:p>
            <w:pPr>
              <w:spacing w:after="40" w:before="60" w:line="259" w:lineRule="auto"/>
            </w:pPr>
            <w:r>
              <w:rPr>
                <w:rFonts w:ascii="Calibri" w:hAnsi="Calibri"/>
                <w:b w:val="0"/>
                <w:i w:val="0"/>
                <w:color w:val="212121"/>
                <w:sz w:val="19"/>
              </w:rPr>
              <w:t>Plantar fasciitis accounts for about 10% of running-related injuries, and prevalence in runners has been reported up to 22%.</w:t>
            </w:r>
          </w:p>
          <w:p>
            <w:pPr>
              <w:spacing w:after="40" w:line="252" w:lineRule="auto"/>
            </w:pPr>
            <w:hyperlink r:id="rId9">
              <w:r>
                <w:rPr>
                  <w:rFonts w:ascii="Calibri" w:hAnsi="Calibri" w:cs="Calibri"/>
                  <w:sz w:val="18"/>
                  <w:color w:val="1155CC"/>
                  <w:u w:val="single"/>
                </w:rPr>
                <w:t xml:space="preserve">ncbi.nlm.nih.gov — StatPearls: Plantar Fasciitis</w:t>
              </w:r>
            </w:hyperlink>
          </w:p>
          <w:p>
            <w:pPr>
              <w:spacing w:before="60" w:after="40"/>
            </w:pPr>
            <w:r>
              <w:rPr>
                <w:rFonts w:ascii="Calibri" w:hAnsi="Calibri"/>
                <w:b w:val="0"/>
                <w:i w:val="0"/>
                <w:color w:val="5A5A5A"/>
                <w:sz w:val="18"/>
              </w:rPr>
              <w:t>#runners  #overuse  #impact  #athletes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(prolonged standing)</w:t>
            </w:r>
          </w:p>
        </w:tc>
        <w:tc>
          <w:tcPr>
            <w:tcW w:type="dxa" w:w="2160"/>
            <w:vAlign w:val="top"/>
          </w:tcPr>
          <w:p>
            <w:pPr>
              <w:spacing w:after="40" w:before="0" w:line="259" w:lineRule="auto"/>
            </w:pPr>
            <w:r>
              <w:rPr>
                <w:rFonts w:ascii="Calibri" w:hAnsi="Calibri"/>
                <w:b w:val="0"/>
                <w:i w:val="0"/>
                <w:color w:val="212121"/>
                <w:sz w:val="19"/>
              </w:rPr>
              <w:t>Nurses, teachers, factory/retail workers, cooks, security personnel</w:t>
            </w:r>
          </w:p>
        </w:tc>
        <w:tc>
          <w:tcPr>
            <w:tcW w:type="dxa" w:w="4276"/>
            <w:vAlign w:val="top"/>
          </w:tcPr>
          <w:p>
            <w:pPr>
              <w:spacing w:after="60" w:line="259" w:lineRule="auto"/>
            </w:pPr>
            <w:r>
              <w:rPr>
                <w:rFonts w:ascii="Calibri" w:hAnsi="Calibri"/>
                <w:b w:val="0"/>
                <w:i w:val="0"/>
                <w:color w:val="212121"/>
                <w:sz w:val="19"/>
              </w:rPr>
              <w:t>Sustained static weight-bearing keeps the fascia under prolonged tension with few unloading breaks, a classic occupational driver of plantar heel pain.</w:t>
            </w:r>
          </w:p>
          <w:p>
            <w:pPr>
              <w:spacing w:after="40" w:before="60" w:line="259" w:lineRule="auto"/>
            </w:pPr>
            <w:r>
              <w:rPr>
                <w:rFonts w:ascii="Calibri" w:hAnsi="Calibri"/>
                <w:b w:val="0"/>
                <w:i w:val="0"/>
                <w:color w:val="212121"/>
                <w:sz w:val="19"/>
              </w:rPr>
              <w:t>In a South-Indian survey, teachers were the largest occupational group presenting with plantar heel pain (38.9%), and middle-aged individuals showed the greatest prevalence.</w:t>
            </w:r>
          </w:p>
          <w:p>
            <w:pPr>
              <w:spacing w:after="40" w:line="252" w:lineRule="auto"/>
            </w:pPr>
            <w:hyperlink r:id="rId13">
              <w:r>
                <w:rPr>
                  <w:rFonts w:ascii="Calibri" w:hAnsi="Calibri" w:cs="Calibri"/>
                  <w:sz w:val="18"/>
                  <w:color w:val="1155CC"/>
                  <w:u w:val="single"/>
                </w:rPr>
                <w:t xml:space="preserve">scidoc.org — BMI &amp; plantar fasciitis, Chennai survey</w:t>
              </w:r>
            </w:hyperlink>
          </w:p>
          <w:p>
            <w:pPr>
              <w:spacing w:before="60" w:after="40"/>
            </w:pPr>
            <w:r>
              <w:rPr>
                <w:rFonts w:ascii="Calibri" w:hAnsi="Calibri"/>
                <w:b w:val="0"/>
                <w:i w:val="0"/>
                <w:color w:val="5A5A5A"/>
                <w:sz w:val="18"/>
              </w:rPr>
              <w:t>#nurses  #teachers  #standing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Footwear</w:t>
            </w:r>
          </w:p>
        </w:tc>
        <w:tc>
          <w:tcPr>
            <w:tcW w:type="dxa" w:w="2160"/>
            <w:vAlign w:val="top"/>
          </w:tcPr>
          <w:p>
            <w:pPr>
              <w:spacing w:after="40" w:before="0" w:line="259" w:lineRule="auto"/>
            </w:pPr>
            <w:r>
              <w:rPr>
                <w:rFonts w:ascii="Calibri" w:hAnsi="Calibri"/>
                <w:b w:val="0"/>
                <w:i w:val="0"/>
                <w:color w:val="212121"/>
                <w:sz w:val="19"/>
              </w:rPr>
              <w:t>Women in unsupportive flats / high heels; worn-out or ill-fitting shoes</w:t>
            </w:r>
          </w:p>
        </w:tc>
        <w:tc>
          <w:tcPr>
            <w:tcW w:type="dxa" w:w="4276"/>
            <w:vAlign w:val="top"/>
          </w:tcPr>
          <w:p>
            <w:pPr>
              <w:spacing w:after="60" w:line="259" w:lineRule="auto"/>
            </w:pPr>
            <w:r>
              <w:rPr>
                <w:rFonts w:ascii="Calibri" w:hAnsi="Calibri"/>
                <w:b w:val="0"/>
                <w:i w:val="0"/>
                <w:color w:val="212121"/>
                <w:sz w:val="19"/>
              </w:rPr>
              <w:t>Footwear lacking arch support and cushioning increases fascia tension and heel impact; worn soles lose shock absorption. Corrective footwear frequently reduces symptoms.</w:t>
            </w:r>
          </w:p>
          <w:p>
            <w:pPr>
              <w:spacing w:after="40" w:before="60" w:line="259" w:lineRule="auto"/>
            </w:pPr>
            <w:r>
              <w:rPr>
                <w:rFonts w:ascii="Calibri" w:hAnsi="Calibri"/>
                <w:b w:val="0"/>
                <w:i w:val="0"/>
                <w:color w:val="212121"/>
                <w:sz w:val="19"/>
              </w:rPr>
              <w:t>In a young Indian working-adult cohort with up to 56.6% reporting plantar-fasciitis pain, changing from flat shoes to arch-supportive sports shoes relieved most of the pain.</w:t>
            </w:r>
          </w:p>
          <w:p>
            <w:pPr>
              <w:spacing w:after="40" w:line="252" w:lineRule="auto"/>
            </w:pPr>
            <w:hyperlink r:id="rId12">
              <w:r>
                <w:rPr>
                  <w:rFonts w:ascii="Calibri" w:hAnsi="Calibri" w:cs="Calibri"/>
                  <w:sz w:val="18"/>
                  <w:color w:val="1155CC"/>
                  <w:u w:val="single"/>
                </w:rPr>
                <w:t xml:space="preserve">ijrrjournal.com — Emerging incidence of plantar fasciitis (India)</w:t>
              </w:r>
            </w:hyperlink>
          </w:p>
          <w:p>
            <w:pPr>
              <w:spacing w:before="60" w:after="40"/>
            </w:pPr>
            <w:r>
              <w:rPr>
                <w:rFonts w:ascii="Calibri" w:hAnsi="Calibri"/>
                <w:b w:val="0"/>
                <w:i w:val="0"/>
                <w:color w:val="5A5A5A"/>
                <w:sz w:val="18"/>
              </w:rPr>
              <w:t>#footwear  #highheels  #archsupport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tobacco users</w:t>
            </w:r>
          </w:p>
        </w:tc>
        <w:tc>
          <w:tcPr>
            <w:tcW w:type="dxa" w:w="4276"/>
            <w:vAlign w:val="top"/>
          </w:tcPr>
          <w:p>
            <w:pPr>
              <w:spacing w:after="60" w:line="259" w:lineRule="auto"/>
            </w:pPr>
            <w:r>
              <w:rPr>
                <w:rFonts w:ascii="Calibri" w:hAnsi="Calibri"/>
                <w:b w:val="0"/>
                <w:i w:val="0"/>
                <w:color w:val="212121"/>
                <w:sz w:val="19"/>
              </w:rPr>
              <w:t>Smoking impairs microvascular perfusion and collagen synthesis, which may slow repair of the already poorly-vascularised degenerating fascia and prolong recovery.</w:t>
            </w:r>
          </w:p>
          <w:p>
            <w:pPr>
              <w:spacing w:after="40" w:before="60" w:line="259" w:lineRule="auto"/>
            </w:pPr>
            <w:r>
              <w:rPr>
                <w:rFonts w:ascii="Calibri" w:hAnsi="Calibri"/>
                <w:b w:val="0"/>
                <w:i w:val="0"/>
                <w:color w:val="212121"/>
                <w:sz w:val="19"/>
              </w:rPr>
              <w:t>Evidence is indirect: impaired microcirculation and collagen healing plausibly delay recovery, though smoking is not established as a primary cause.</w:t>
            </w:r>
          </w:p>
          <w:p>
            <w:pPr>
              <w:spacing w:before="60" w:after="40"/>
            </w:pPr>
            <w:r>
              <w:rPr>
                <w:rFonts w:ascii="Calibri" w:hAnsi="Calibri"/>
                <w:b w:val="0"/>
                <w:i w:val="0"/>
                <w:color w:val="5A5A5A"/>
                <w:sz w:val="18"/>
              </w:rPr>
              <w:t>#smoking  #microcirculation  #healing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 23 kg/m²)</w:t>
            </w:r>
          </w:p>
        </w:tc>
        <w:tc>
          <w:tcPr>
            <w:tcW w:type="dxa" w:w="4276"/>
            <w:vAlign w:val="top"/>
          </w:tcPr>
          <w:p>
            <w:pPr>
              <w:spacing w:after="60" w:line="259" w:lineRule="auto"/>
            </w:pPr>
            <w:r>
              <w:rPr>
                <w:rFonts w:ascii="Calibri" w:hAnsi="Calibri"/>
                <w:b w:val="0"/>
                <w:i w:val="0"/>
                <w:color w:val="212121"/>
                <w:sz w:val="19"/>
              </w:rPr>
              <w:t>Even modest excess weight increases the mechanical load borne by the plantar fascia with every step and prolongs the tissue's exposure to overload.</w:t>
            </w:r>
          </w:p>
          <w:p>
            <w:pPr>
              <w:spacing w:after="40" w:before="60" w:line="259" w:lineRule="auto"/>
            </w:pPr>
            <w:r>
              <w:rPr>
                <w:rFonts w:ascii="Calibri" w:hAnsi="Calibri"/>
                <w:b w:val="0"/>
                <w:i w:val="0"/>
                <w:color w:val="212121"/>
                <w:sz w:val="19"/>
              </w:rPr>
              <w:t>Higher BMI is significantly associated with plantar fasciitis; a South-Indian survey found higher-BMI individuals were undergoing treatment for plantar fasciitis significantly more often (p = 0.00).</w:t>
            </w:r>
          </w:p>
          <w:p>
            <w:pPr>
              <w:spacing w:after="40" w:line="252" w:lineRule="auto"/>
            </w:pPr>
            <w:hyperlink r:id="rId13">
              <w:r>
                <w:rPr>
                  <w:rFonts w:ascii="Calibri" w:hAnsi="Calibri" w:cs="Calibri"/>
                  <w:sz w:val="18"/>
                  <w:color w:val="1155CC"/>
                  <w:u w:val="single"/>
                </w:rPr>
                <w:t xml:space="preserve">scidoc.org — BMI &amp; plantar fasciitis, Chennai survey</w:t>
              </w:r>
            </w:hyperlink>
          </w:p>
          <w:p>
            <w:pPr>
              <w:spacing w:before="60" w:after="40"/>
            </w:pPr>
            <w:r>
              <w:rPr>
                <w:rFonts w:ascii="Calibri" w:hAnsi="Calibri"/>
                <w:b w:val="0"/>
                <w:i w:val="0"/>
                <w:color w:val="5A5A5A"/>
                <w:sz w:val="18"/>
              </w:rPr>
              <w:t>#overweight  #BMI  #load  #asianindian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 central obesity (Asian-Indian BMI ≥ 25; WHO ≥ 30 kg/m²)</w:t>
            </w:r>
          </w:p>
        </w:tc>
        <w:tc>
          <w:tcPr>
            <w:tcW w:type="dxa" w:w="4276"/>
            <w:vAlign w:val="top"/>
          </w:tcPr>
          <w:p>
            <w:pPr>
              <w:spacing w:after="60" w:line="259" w:lineRule="auto"/>
            </w:pPr>
            <w:r>
              <w:rPr>
                <w:rFonts w:ascii="Calibri" w:hAnsi="Calibri"/>
                <w:b w:val="0"/>
                <w:i w:val="0"/>
                <w:color w:val="212121"/>
                <w:sz w:val="19"/>
              </w:rPr>
              <w:t>Obesity is the strongest modifiable risk factor — sustained high axial load plus a pro-inflammatory metabolic state accelerate fascia degeneration and impair healing.</w:t>
            </w:r>
          </w:p>
          <w:p>
            <w:pPr>
              <w:spacing w:after="40" w:before="60" w:line="259" w:lineRule="auto"/>
            </w:pPr>
            <w:r>
              <w:rPr>
                <w:rFonts w:ascii="Calibri" w:hAnsi="Calibri"/>
                <w:b w:val="0"/>
                <w:i w:val="0"/>
                <w:color w:val="212121"/>
                <w:sz w:val="19"/>
              </w:rPr>
              <w:t>Obesity is present in roughly 70% of patients presenting with plantar fasciitis; in India abdominal obesity affects 39.5% of adults (ICMR-INDIAB), amplifying population risk.</w:t>
            </w:r>
          </w:p>
          <w:p>
            <w:pPr>
              <w:spacing w:after="40" w:line="252" w:lineRule="auto"/>
            </w:pPr>
            <w:hyperlink r:id="rId14">
              <w:r>
                <w:rPr>
                  <w:rFonts w:ascii="Calibri" w:hAnsi="Calibri" w:cs="Calibri"/>
                  <w:sz w:val="18"/>
                  <w:color w:val="1155CC"/>
                  <w:u w:val="single"/>
                </w:rPr>
                <w:t xml:space="preserve">en.wikipedia.org — Plantar fasciitis (obesity ~70%)</w:t>
              </w:r>
            </w:hyperlink>
          </w:p>
          <w:p>
            <w:pPr>
              <w:spacing w:before="60" w:after="40"/>
            </w:pPr>
            <w:r>
              <w:rPr>
                <w:rFonts w:ascii="Calibri" w:hAnsi="Calibri"/>
                <w:b w:val="0"/>
                <w:i w:val="0"/>
                <w:color w:val="5A5A5A"/>
                <w:sz w:val="18"/>
              </w:rPr>
              <w:t>#obesity  #centralobesity  #modifiable  #icmrindiab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Energy-dense, high-calorie diet with low awareness of BMI–heel-pain link</w:t>
            </w:r>
          </w:p>
        </w:tc>
        <w:tc>
          <w:tcPr>
            <w:tcW w:type="dxa" w:w="4276"/>
            <w:vAlign w:val="top"/>
          </w:tcPr>
          <w:p>
            <w:pPr>
              <w:spacing w:after="60" w:line="259" w:lineRule="auto"/>
            </w:pPr>
            <w:r>
              <w:rPr>
                <w:rFonts w:ascii="Calibri" w:hAnsi="Calibri"/>
                <w:b w:val="0"/>
                <w:i w:val="0"/>
                <w:color w:val="212121"/>
                <w:sz w:val="19"/>
              </w:rPr>
              <w:t>Calorie-dense, ultra-processed diets drive weight gain, indirectly loading the fascia; poor public awareness of the obesity–heel-pain connection delays preventive weight control.</w:t>
            </w:r>
          </w:p>
          <w:p>
            <w:pPr>
              <w:spacing w:after="40" w:before="60" w:line="259" w:lineRule="auto"/>
            </w:pPr>
            <w:r>
              <w:rPr>
                <w:rFonts w:ascii="Calibri" w:hAnsi="Calibri"/>
                <w:b w:val="0"/>
                <w:i w:val="0"/>
                <w:color w:val="212121"/>
                <w:sz w:val="19"/>
              </w:rPr>
              <w:t>In a South-Indian survey, 66.1% of respondents were unaware that a higher BMI is a major risk factor for plantar heel pain.</w:t>
            </w:r>
          </w:p>
          <w:p>
            <w:pPr>
              <w:spacing w:after="40" w:line="252" w:lineRule="auto"/>
            </w:pPr>
            <w:hyperlink r:id="rId13">
              <w:r>
                <w:rPr>
                  <w:rFonts w:ascii="Calibri" w:hAnsi="Calibri" w:cs="Calibri"/>
                  <w:sz w:val="18"/>
                  <w:color w:val="1155CC"/>
                  <w:u w:val="single"/>
                </w:rPr>
                <w:t xml:space="preserve">scidoc.org — BMI &amp; plantar fasciitis, Chennai survey</w:t>
              </w:r>
            </w:hyperlink>
          </w:p>
          <w:p>
            <w:pPr>
              <w:spacing w:before="60" w:after="40"/>
            </w:pPr>
            <w:r>
              <w:rPr>
                <w:rFonts w:ascii="Calibri" w:hAnsi="Calibri"/>
                <w:b w:val="0"/>
                <w:i w:val="0"/>
                <w:color w:val="5A5A5A"/>
                <w:sz w:val="18"/>
              </w:rPr>
              <w:t>#diet  #weightgain  #awareness  #india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foot morphology</w:t>
            </w:r>
          </w:p>
        </w:tc>
        <w:tc>
          <w:tcPr>
            <w:tcW w:type="dxa" w:w="2160"/>
            <w:vAlign w:val="top"/>
          </w:tcPr>
          <w:p>
            <w:pPr>
              <w:spacing w:after="40" w:before="0" w:line="259" w:lineRule="auto"/>
            </w:pPr>
            <w:r>
              <w:rPr>
                <w:rFonts w:ascii="Calibri" w:hAnsi="Calibri"/>
                <w:b w:val="0"/>
                <w:i w:val="0"/>
                <w:color w:val="212121"/>
                <w:sz w:val="19"/>
              </w:rPr>
              <w:t>Inherited pes planus (flat foot), pes cavus (high arch) or HLA-B27 positivity</w:t>
            </w:r>
          </w:p>
        </w:tc>
        <w:tc>
          <w:tcPr>
            <w:tcW w:type="dxa" w:w="4276"/>
            <w:vAlign w:val="top"/>
          </w:tcPr>
          <w:p>
            <w:pPr>
              <w:spacing w:after="60" w:line="259" w:lineRule="auto"/>
            </w:pPr>
            <w:r>
              <w:rPr>
                <w:rFonts w:ascii="Calibri" w:hAnsi="Calibri"/>
                <w:b w:val="0"/>
                <w:i w:val="0"/>
                <w:color w:val="212121"/>
                <w:sz w:val="19"/>
              </w:rPr>
              <w:t>Heritable foot posture (flat or high-arched feet) alters load distribution and predisposes to fascia overload, while HLA-B27 predisposes to the enthesitis-related inflammatory subtype.</w:t>
            </w:r>
          </w:p>
          <w:p>
            <w:pPr>
              <w:spacing w:after="40" w:before="60" w:line="259" w:lineRule="auto"/>
            </w:pPr>
            <w:r>
              <w:rPr>
                <w:rFonts w:ascii="Calibri" w:hAnsi="Calibri"/>
                <w:b w:val="0"/>
                <w:i w:val="0"/>
                <w:color w:val="212121"/>
                <w:sz w:val="19"/>
              </w:rPr>
              <w:t>About 31% of a young Indian plantar-fasciitis cohort had flat feet, and flat-footed individuals were more prone to activity-related heel pain.</w:t>
            </w:r>
          </w:p>
          <w:p>
            <w:pPr>
              <w:spacing w:after="40" w:line="252" w:lineRule="auto"/>
            </w:pPr>
            <w:hyperlink r:id="rId12">
              <w:r>
                <w:rPr>
                  <w:rFonts w:ascii="Calibri" w:hAnsi="Calibri" w:cs="Calibri"/>
                  <w:sz w:val="18"/>
                  <w:color w:val="1155CC"/>
                  <w:u w:val="single"/>
                </w:rPr>
                <w:t xml:space="preserve">ijrrjournal.com — Emerging incidence of plantar fasciitis (India)</w:t>
              </w:r>
            </w:hyperlink>
          </w:p>
          <w:p>
            <w:pPr>
              <w:spacing w:before="60" w:after="40"/>
            </w:pPr>
            <w:r>
              <w:rPr>
                <w:rFonts w:ascii="Calibri" w:hAnsi="Calibri"/>
                <w:b w:val="0"/>
                <w:i w:val="0"/>
                <w:color w:val="5A5A5A"/>
                <w:sz w:val="18"/>
              </w:rPr>
              <w:t>#flatfoot  #pescavus  #HLAB27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Chronic hyperglycaemia drives advanced glycation end-product (AGE) cross-linking of collagen, thickening and stiffening the plantar fascia and Achilles and reducing tissue vascularity — predisposing to fasciopathy.</w:t>
            </w:r>
          </w:p>
          <w:p>
            <w:pPr>
              <w:spacing w:after="40" w:before="60" w:line="259" w:lineRule="auto"/>
            </w:pPr>
            <w:r>
              <w:rPr>
                <w:rFonts w:ascii="Calibri" w:hAnsi="Calibri"/>
                <w:b w:val="0"/>
                <w:i w:val="0"/>
                <w:color w:val="212121"/>
                <w:sz w:val="19"/>
              </w:rPr>
              <w:t>In a large cohort the incidence of plantar fasciitis was higher in type 2 diabetics (1.31%) than in non-diabetic adults (0.80%) or type 1 diabetics (0.92%).</w:t>
            </w:r>
          </w:p>
          <w:p>
            <w:pPr>
              <w:spacing w:after="40" w:line="252" w:lineRule="auto"/>
            </w:pPr>
            <w:hyperlink r:id="rId15">
              <w:r>
                <w:rPr>
                  <w:rFonts w:ascii="Calibri" w:hAnsi="Calibri" w:cs="Calibri"/>
                  <w:sz w:val="18"/>
                  <w:color w:val="1155CC"/>
                  <w:u w:val="single"/>
                </w:rPr>
                <w:t xml:space="preserve">dovepress.com — Plantar fasciitis in diabetic foot patients</w:t>
              </w:r>
            </w:hyperlink>
          </w:p>
          <w:p>
            <w:pPr>
              <w:spacing w:before="60" w:after="40"/>
            </w:pPr>
            <w:r>
              <w:rPr>
                <w:rFonts w:ascii="Calibri" w:hAnsi="Calibri"/>
                <w:b w:val="0"/>
                <w:i w:val="0"/>
                <w:color w:val="5A5A5A"/>
                <w:sz w:val="18"/>
              </w:rPr>
              <w:t>#diabetes  #AGEs  #thickenedfascia  #collagen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Seronegative spondyloarthropathy</w:t>
            </w:r>
          </w:p>
        </w:tc>
        <w:tc>
          <w:tcPr>
            <w:tcW w:type="dxa" w:w="2160"/>
            <w:vAlign w:val="top"/>
          </w:tcPr>
          <w:p>
            <w:pPr>
              <w:spacing w:after="40" w:before="0" w:line="259" w:lineRule="auto"/>
            </w:pPr>
            <w:r>
              <w:rPr>
                <w:rFonts w:ascii="Calibri" w:hAnsi="Calibri"/>
                <w:b w:val="0"/>
                <w:i w:val="0"/>
                <w:color w:val="212121"/>
                <w:sz w:val="19"/>
              </w:rPr>
              <w:t>Young adults with ankylosing spondylitis / reactive / psoriatic arthritis</w:t>
            </w:r>
          </w:p>
        </w:tc>
        <w:tc>
          <w:tcPr>
            <w:tcW w:type="dxa" w:w="4276"/>
            <w:vAlign w:val="top"/>
          </w:tcPr>
          <w:p>
            <w:pPr>
              <w:spacing w:after="60" w:line="259" w:lineRule="auto"/>
            </w:pPr>
            <w:r>
              <w:rPr>
                <w:rFonts w:ascii="Calibri" w:hAnsi="Calibri"/>
                <w:b w:val="0"/>
                <w:i w:val="0"/>
                <w:color w:val="212121"/>
                <w:sz w:val="19"/>
              </w:rPr>
              <w:t>These conditions cause enthesitis at the plantar fascia origin; heel pain may be the presenting feature. Bilateral heel pain in a young patient, especially with inflammatory features, should prompt evaluation for spondyloarthropathy.</w:t>
            </w:r>
          </w:p>
          <w:p>
            <w:pPr>
              <w:spacing w:after="40" w:before="60" w:line="259" w:lineRule="auto"/>
            </w:pPr>
            <w:r>
              <w:rPr>
                <w:rFonts w:ascii="Calibri" w:hAnsi="Calibri"/>
                <w:b w:val="0"/>
                <w:i w:val="0"/>
                <w:color w:val="212121"/>
                <w:sz w:val="19"/>
              </w:rPr>
              <w:t>Bilateral heel pain (about one-third of plantar-fasciitis cases are bilateral) in a young adult raises suspicion of an inflammatory enthesitis rather than mechanical fasciitis.</w:t>
            </w:r>
          </w:p>
          <w:p>
            <w:pPr>
              <w:spacing w:after="40" w:line="252" w:lineRule="auto"/>
            </w:pPr>
            <w:hyperlink r:id="rId14">
              <w:r>
                <w:rPr>
                  <w:rFonts w:ascii="Calibri" w:hAnsi="Calibri" w:cs="Calibri"/>
                  <w:sz w:val="18"/>
                  <w:color w:val="1155CC"/>
                  <w:u w:val="single"/>
                </w:rPr>
                <w:t xml:space="preserve">en.wikipedia.org — Plantar fasciitis (differential diagnosis)</w:t>
              </w:r>
            </w:hyperlink>
          </w:p>
          <w:p>
            <w:pPr>
              <w:spacing w:before="60" w:after="40"/>
            </w:pPr>
            <w:r>
              <w:rPr>
                <w:rFonts w:ascii="Calibri" w:hAnsi="Calibri"/>
                <w:b w:val="0"/>
                <w:i w:val="0"/>
                <w:color w:val="5A5A5A"/>
                <w:sz w:val="18"/>
              </w:rPr>
              <w:t>#enthesitis  #spondyloarthropathy  #HLAB27  #bilateral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Ankle equinus / Achilles-gastrocnemius tightness</w:t>
            </w:r>
          </w:p>
        </w:tc>
        <w:tc>
          <w:tcPr>
            <w:tcW w:type="dxa" w:w="2160"/>
            <w:vAlign w:val="top"/>
          </w:tcPr>
          <w:p>
            <w:pPr>
              <w:spacing w:after="40" w:before="0" w:line="259" w:lineRule="auto"/>
            </w:pPr>
            <w:r>
              <w:rPr>
                <w:rFonts w:ascii="Calibri" w:hAnsi="Calibri"/>
                <w:b w:val="0"/>
                <w:i w:val="0"/>
                <w:color w:val="212121"/>
                <w:sz w:val="19"/>
              </w:rPr>
              <w:t>Patients with limited ankle dorsiflexion</w:t>
            </w:r>
          </w:p>
        </w:tc>
        <w:tc>
          <w:tcPr>
            <w:tcW w:type="dxa" w:w="4276"/>
            <w:vAlign w:val="top"/>
          </w:tcPr>
          <w:p>
            <w:pPr>
              <w:spacing w:after="60" w:line="259" w:lineRule="auto"/>
            </w:pPr>
            <w:r>
              <w:rPr>
                <w:rFonts w:ascii="Calibri" w:hAnsi="Calibri"/>
                <w:b w:val="0"/>
                <w:i w:val="0"/>
                <w:color w:val="212121"/>
                <w:sz w:val="19"/>
              </w:rPr>
              <w:t>A tight gastrocnemius–soleus complex limits ankle dorsiflexion and increases the tensile load transmitted to the plantar fascia during stance and push-off — a key, correctable biomechanical driver.</w:t>
            </w:r>
          </w:p>
          <w:p>
            <w:pPr>
              <w:spacing w:after="40" w:before="60" w:line="259" w:lineRule="auto"/>
            </w:pPr>
            <w:r>
              <w:rPr>
                <w:rFonts w:ascii="Calibri" w:hAnsi="Calibri"/>
                <w:b w:val="0"/>
                <w:i w:val="0"/>
                <w:color w:val="212121"/>
                <w:sz w:val="19"/>
              </w:rPr>
              <w:t>Reduced ankle dorsiflexion (equinus) and calf tightness are among the strongest biomechanical risk factors and predict recalcitrant disease.</w:t>
            </w:r>
          </w:p>
          <w:p>
            <w:pPr>
              <w:spacing w:after="40" w:line="252" w:lineRule="auto"/>
            </w:pPr>
            <w:hyperlink r:id="rId9">
              <w:r>
                <w:rPr>
                  <w:rFonts w:ascii="Calibri" w:hAnsi="Calibri" w:cs="Calibri"/>
                  <w:sz w:val="18"/>
                  <w:color w:val="1155CC"/>
                  <w:u w:val="single"/>
                </w:rPr>
                <w:t xml:space="preserve">ncbi.nlm.nih.gov — StatPearls: Plantar Fasciitis</w:t>
              </w:r>
            </w:hyperlink>
          </w:p>
          <w:p>
            <w:pPr>
              <w:spacing w:before="60" w:after="40"/>
            </w:pPr>
            <w:r>
              <w:rPr>
                <w:rFonts w:ascii="Calibri" w:hAnsi="Calibri"/>
                <w:b w:val="0"/>
                <w:i w:val="0"/>
                <w:color w:val="5A5A5A"/>
                <w:sz w:val="18"/>
              </w:rPr>
              <w:t>#equinus  #achilles  #dorsiflexion  #windlass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Activity is central and bidirectional: sudden overload (running, jumping, prolonged standing) and abrupt training increases precipitate fasciopathy, while deconditioned calf/foot muscles and reduced ankle dorsiflexion raise risk; graded loading, stretching and strengthening are the mainstay of therapy.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food directly causes plantar fasciitis, but energy-dense diets drive obesity — the strongest modifiable risk factor, present in around 70% of patients — so weight reduction meaningfully lowers fascia load.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inadequate or poor-quality sleep may lower pain thresholds and impair connective-tissue repair, indirectly influencing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Limited, indirect evidence: smoking impairs microvascular perfusion and collagen synthesis and may delay healing of the poorly-vascularised degenerating fascia.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heavy intake contributes indirectly through weight gain, gout (a heel-pain mimic) and impaired tissue healing.</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heel pain is associated with psychological distress and reduced quality of life; pain catastrophizing amplifies perceived pain and can delay recovery.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evidence linking hydration to plantar fasciitis; adequate hydration supports general connective-tissue health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plantar fasciitis risk or severity.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directly causal; foot hygiene matters mainly in diabetics to prevent secondary skin breakdown and infection at altered pressure/loading sites.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Highly relevant: sudden increases in walking/running distance, unaccustomed prolonged standing on hard floors, barefoot walking, and worn/unsupportive footwear are classic precipitants of symptom onset and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Foot posture and lower-limb biomechanics are pivotal: pes planus with over-pronation, pes cavus, leg-length discrepancy and tight calf (equinus) alter fascia loading and drive both onset and recurrence.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increases fascia load and is the strongest modifiable risk factor</w:t>
            </w:r>
          </w:p>
          <w:p>
            <w:pPr>
              <w:spacing w:after="40" w:line="252" w:lineRule="auto"/>
            </w:pPr>
            <w:hyperlink r:id="rId13">
              <w:r>
                <w:rPr>
                  <w:rFonts w:ascii="Calibri" w:hAnsi="Calibri" w:cs="Calibri"/>
                  <w:sz w:val="18"/>
                  <w:color w:val="1155CC"/>
                  <w:u w:val="single"/>
                </w:rPr>
                <w:t xml:space="preserve">https://scidoc.org/IJDOS-2377-8075-08-3029.php</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Ankle dorsiflexion range (knee extended)</w:t>
            </w:r>
          </w:p>
        </w:tc>
        <w:tc>
          <w:tcPr>
            <w:tcW w:type="dxa" w:w="1655"/>
            <w:vAlign w:val="top"/>
          </w:tcPr>
          <w:p>
            <w:pPr>
              <w:spacing w:after="40" w:before="0" w:line="259" w:lineRule="auto"/>
            </w:pPr>
            <w:r>
              <w:rPr>
                <w:rFonts w:ascii="Calibri" w:hAnsi="Calibri"/>
                <w:b w:val="0"/>
                <w:i w:val="0"/>
                <w:color w:val="212121"/>
                <w:sz w:val="19"/>
              </w:rPr>
              <w:t>Adults, athletes</w:t>
            </w:r>
          </w:p>
        </w:tc>
        <w:tc>
          <w:tcPr>
            <w:tcW w:type="dxa" w:w="1512"/>
            <w:vAlign w:val="top"/>
          </w:tcPr>
          <w:p>
            <w:pPr>
              <w:spacing w:after="40" w:before="0" w:line="259" w:lineRule="auto"/>
            </w:pPr>
            <w:r>
              <w:rPr>
                <w:rFonts w:ascii="Calibri" w:hAnsi="Calibri"/>
                <w:b w:val="0"/>
                <w:i w:val="0"/>
                <w:color w:val="212121"/>
                <w:sz w:val="19"/>
              </w:rPr>
              <w:t>≥ 10°</w:t>
            </w:r>
          </w:p>
        </w:tc>
        <w:tc>
          <w:tcPr>
            <w:tcW w:type="dxa" w:w="1512"/>
            <w:vAlign w:val="top"/>
          </w:tcPr>
          <w:p>
            <w:pPr>
              <w:spacing w:after="40" w:before="0" w:line="259" w:lineRule="auto"/>
            </w:pPr>
            <w:r>
              <w:rPr>
                <w:rFonts w:ascii="Calibri" w:hAnsi="Calibri"/>
                <w:b w:val="0"/>
                <w:i w:val="0"/>
                <w:color w:val="212121"/>
                <w:sz w:val="19"/>
              </w:rPr>
              <w:t>&lt; 10° (equinus / gastrocnemius tightness)</w:t>
            </w:r>
          </w:p>
        </w:tc>
        <w:tc>
          <w:tcPr>
            <w:tcW w:type="dxa" w:w="1468"/>
            <w:vAlign w:val="top"/>
          </w:tcPr>
          <w:p>
            <w:pPr>
              <w:spacing w:after="60" w:line="259" w:lineRule="auto"/>
            </w:pPr>
            <w:r>
              <w:rPr>
                <w:rFonts w:ascii="Calibri" w:hAnsi="Calibri"/>
                <w:b w:val="0"/>
                <w:i w:val="0"/>
                <w:color w:val="212121"/>
                <w:sz w:val="19"/>
              </w:rPr>
              <w:t>Reduced dorsiflexion sharply raises plantar-fascia tensile load</w:t>
            </w:r>
          </w:p>
          <w:p>
            <w:pPr>
              <w:spacing w:after="40" w:line="252" w:lineRule="auto"/>
            </w:pPr>
            <w:hyperlink r:id="rId9">
              <w:r>
                <w:rPr>
                  <w:rFonts w:ascii="Calibri" w:hAnsi="Calibri" w:cs="Calibri"/>
                  <w:sz w:val="18"/>
                  <w:color w:val="1155CC"/>
                  <w:u w:val="single"/>
                </w:rPr>
                <w:t xml:space="preserve">https://www.ncbi.nlm.nih.gov/books/NBK431073/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Weekly running / load progression</w:t>
            </w:r>
          </w:p>
        </w:tc>
        <w:tc>
          <w:tcPr>
            <w:tcW w:type="dxa" w:w="1655"/>
            <w:vAlign w:val="top"/>
          </w:tcPr>
          <w:p>
            <w:pPr>
              <w:spacing w:after="40" w:before="0" w:line="259" w:lineRule="auto"/>
            </w:pPr>
            <w:r>
              <w:rPr>
                <w:rFonts w:ascii="Calibri" w:hAnsi="Calibri"/>
                <w:b w:val="0"/>
                <w:i w:val="0"/>
                <w:color w:val="212121"/>
                <w:sz w:val="19"/>
              </w:rPr>
              <w:t>Runners, weekend athletes</w:t>
            </w:r>
          </w:p>
        </w:tc>
        <w:tc>
          <w:tcPr>
            <w:tcW w:type="dxa" w:w="1512"/>
            <w:vAlign w:val="top"/>
          </w:tcPr>
          <w:p>
            <w:pPr>
              <w:spacing w:after="40" w:before="0" w:line="259" w:lineRule="auto"/>
            </w:pPr>
            <w:r>
              <w:rPr>
                <w:rFonts w:ascii="Calibri" w:hAnsi="Calibri"/>
                <w:b w:val="0"/>
                <w:i w:val="0"/>
                <w:color w:val="212121"/>
                <w:sz w:val="19"/>
              </w:rPr>
              <w:t>Gradual increase ≤ 10% per week</w:t>
            </w:r>
          </w:p>
        </w:tc>
        <w:tc>
          <w:tcPr>
            <w:tcW w:type="dxa" w:w="1512"/>
            <w:vAlign w:val="top"/>
          </w:tcPr>
          <w:p>
            <w:pPr>
              <w:spacing w:after="40" w:before="0" w:line="259" w:lineRule="auto"/>
            </w:pPr>
            <w:r>
              <w:rPr>
                <w:rFonts w:ascii="Calibri" w:hAnsi="Calibri"/>
                <w:b w:val="0"/>
                <w:i w:val="0"/>
                <w:color w:val="212121"/>
                <w:sz w:val="19"/>
              </w:rPr>
              <w:t>Abrupt spikes in distance/intensity</w:t>
            </w:r>
          </w:p>
        </w:tc>
        <w:tc>
          <w:tcPr>
            <w:tcW w:type="dxa" w:w="1468"/>
            <w:vAlign w:val="top"/>
          </w:tcPr>
          <w:p>
            <w:pPr>
              <w:spacing w:after="60" w:line="259" w:lineRule="auto"/>
            </w:pPr>
            <w:r>
              <w:rPr>
                <w:rFonts w:ascii="Calibri" w:hAnsi="Calibri"/>
                <w:b w:val="0"/>
                <w:i w:val="0"/>
                <w:color w:val="212121"/>
                <w:sz w:val="19"/>
              </w:rPr>
              <w:t>Training errors precipitate fascia micro-tears</w:t>
            </w:r>
          </w:p>
          <w:p>
            <w:pPr>
              <w:spacing w:after="40" w:line="252" w:lineRule="auto"/>
            </w:pPr>
            <w:hyperlink r:id="rId10">
              <w:r>
                <w:rPr>
                  <w:rFonts w:ascii="Calibri" w:hAnsi="Calibri" w:cs="Calibri"/>
                  <w:sz w:val="18"/>
                  <w:color w:val="1155CC"/>
                  <w:u w:val="single"/>
                </w:rPr>
                <w:t xml:space="preserve">https://emedicine.medscape.com/article/86143-overview</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Foot posture / arch type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Neutral arch, balanced pronation</w:t>
            </w:r>
          </w:p>
        </w:tc>
        <w:tc>
          <w:tcPr>
            <w:tcW w:type="dxa" w:w="1512"/>
            <w:vAlign w:val="top"/>
          </w:tcPr>
          <w:p>
            <w:pPr>
              <w:spacing w:after="40" w:before="0" w:line="259" w:lineRule="auto"/>
            </w:pPr>
            <w:r>
              <w:rPr>
                <w:rFonts w:ascii="Calibri" w:hAnsi="Calibri"/>
                <w:b w:val="0"/>
                <w:i w:val="0"/>
                <w:color w:val="212121"/>
                <w:sz w:val="19"/>
              </w:rPr>
              <w:t>Pes planus (over-pronation) or pes cavus</w:t>
            </w:r>
          </w:p>
        </w:tc>
        <w:tc>
          <w:tcPr>
            <w:tcW w:type="dxa" w:w="1468"/>
            <w:vAlign w:val="top"/>
          </w:tcPr>
          <w:p>
            <w:pPr>
              <w:spacing w:after="60" w:line="259" w:lineRule="auto"/>
            </w:pPr>
            <w:r>
              <w:rPr>
                <w:rFonts w:ascii="Calibri" w:hAnsi="Calibri"/>
                <w:b w:val="0"/>
                <w:i w:val="0"/>
                <w:color w:val="212121"/>
                <w:sz w:val="19"/>
              </w:rPr>
              <w:t>Abnormal arch concentrates stress at the medial fascia origin</w:t>
            </w:r>
          </w:p>
          <w:p>
            <w:pPr>
              <w:spacing w:after="40" w:line="252" w:lineRule="auto"/>
            </w:pPr>
            <w:hyperlink r:id="rId12">
              <w:r>
                <w:rPr>
                  <w:rFonts w:ascii="Calibri" w:hAnsi="Calibri" w:cs="Calibri"/>
                  <w:sz w:val="18"/>
                  <w:color w:val="1155CC"/>
                  <w:u w:val="single"/>
                </w:rPr>
                <w:t xml:space="preserve">https://www.ijrrjournal.com/IJRR_Vol.12_Issue.2_Feb2025/IJRR21.pdf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standing / weight-bearing hours</w:t>
            </w:r>
          </w:p>
        </w:tc>
        <w:tc>
          <w:tcPr>
            <w:tcW w:type="dxa" w:w="1655"/>
            <w:vAlign w:val="top"/>
          </w:tcPr>
          <w:p>
            <w:pPr>
              <w:spacing w:after="40" w:before="0" w:line="259" w:lineRule="auto"/>
            </w:pPr>
            <w:r>
              <w:rPr>
                <w:rFonts w:ascii="Calibri" w:hAnsi="Calibri"/>
                <w:b w:val="0"/>
                <w:i w:val="0"/>
                <w:color w:val="212121"/>
                <w:sz w:val="19"/>
              </w:rPr>
              <w:t>Standing-occupation workers</w:t>
            </w:r>
          </w:p>
        </w:tc>
        <w:tc>
          <w:tcPr>
            <w:tcW w:type="dxa" w:w="1512"/>
            <w:vAlign w:val="top"/>
          </w:tcPr>
          <w:p>
            <w:pPr>
              <w:spacing w:after="40" w:before="0" w:line="259" w:lineRule="auto"/>
            </w:pPr>
            <w:r>
              <w:rPr>
                <w:rFonts w:ascii="Calibri" w:hAnsi="Calibri"/>
                <w:b w:val="0"/>
                <w:i w:val="0"/>
                <w:color w:val="212121"/>
                <w:sz w:val="19"/>
              </w:rPr>
              <w:t>&lt; 4 h continuous, with unloading breaks</w:t>
            </w:r>
          </w:p>
        </w:tc>
        <w:tc>
          <w:tcPr>
            <w:tcW w:type="dxa" w:w="1512"/>
            <w:vAlign w:val="top"/>
          </w:tcPr>
          <w:p>
            <w:pPr>
              <w:spacing w:after="40" w:before="0" w:line="259" w:lineRule="auto"/>
            </w:pPr>
            <w:r>
              <w:rPr>
                <w:rFonts w:ascii="Calibri" w:hAnsi="Calibri"/>
                <w:b w:val="0"/>
                <w:i w:val="0"/>
                <w:color w:val="212121"/>
                <w:sz w:val="19"/>
              </w:rPr>
              <w:t>&gt; 6 h/day on hard surfaces</w:t>
            </w:r>
          </w:p>
        </w:tc>
        <w:tc>
          <w:tcPr>
            <w:tcW w:type="dxa" w:w="1468"/>
            <w:vAlign w:val="top"/>
          </w:tcPr>
          <w:p>
            <w:pPr>
              <w:spacing w:after="60" w:line="259" w:lineRule="auto"/>
            </w:pPr>
            <w:r>
              <w:rPr>
                <w:rFonts w:ascii="Calibri" w:hAnsi="Calibri"/>
                <w:b w:val="0"/>
                <w:i w:val="0"/>
                <w:color w:val="212121"/>
                <w:sz w:val="19"/>
              </w:rPr>
              <w:t>Prolonged static loading is a classic occupational driver</w:t>
            </w:r>
          </w:p>
          <w:p>
            <w:pPr>
              <w:spacing w:after="40" w:line="252" w:lineRule="auto"/>
            </w:pPr>
            <w:hyperlink r:id="rId11">
              <w:r>
                <w:rPr>
                  <w:rFonts w:ascii="Calibri" w:hAnsi="Calibri" w:cs="Calibri"/>
                  <w:sz w:val="18"/>
                  <w:color w:val="1155CC"/>
                  <w:u w:val="single"/>
                </w:rPr>
                <w:t xml:space="preserve">https://www.worldwidejournals.com/international-journal-of-scientific-research-(IJSR)/recent_issues_pdf/2020/December/prevalence-of-plantar-fasciitis-in-traffic-police-officers-a-cross-sectional-study_December_2020_3596061191_4910634.pdf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Footwear support &amp; age of shoe</w:t>
            </w:r>
          </w:p>
        </w:tc>
        <w:tc>
          <w:tcPr>
            <w:tcW w:type="dxa" w:w="1655"/>
            <w:vAlign w:val="top"/>
          </w:tcPr>
          <w:p>
            <w:pPr>
              <w:spacing w:after="40" w:before="0" w:line="259" w:lineRule="auto"/>
            </w:pPr>
            <w:r>
              <w:rPr>
                <w:rFonts w:ascii="Calibri" w:hAnsi="Calibri"/>
                <w:b w:val="0"/>
                <w:i w:val="0"/>
                <w:color w:val="212121"/>
                <w:sz w:val="19"/>
              </w:rPr>
              <w:t>Adults, women</w:t>
            </w:r>
          </w:p>
        </w:tc>
        <w:tc>
          <w:tcPr>
            <w:tcW w:type="dxa" w:w="1512"/>
            <w:vAlign w:val="top"/>
          </w:tcPr>
          <w:p>
            <w:pPr>
              <w:spacing w:after="40" w:before="0" w:line="259" w:lineRule="auto"/>
            </w:pPr>
            <w:r>
              <w:rPr>
                <w:rFonts w:ascii="Calibri" w:hAnsi="Calibri"/>
                <w:b w:val="0"/>
                <w:i w:val="0"/>
                <w:color w:val="212121"/>
                <w:sz w:val="19"/>
              </w:rPr>
              <w:t>Cushioned, arch-supported, replaced regularly</w:t>
            </w:r>
          </w:p>
        </w:tc>
        <w:tc>
          <w:tcPr>
            <w:tcW w:type="dxa" w:w="1512"/>
            <w:vAlign w:val="top"/>
          </w:tcPr>
          <w:p>
            <w:pPr>
              <w:spacing w:after="40" w:before="0" w:line="259" w:lineRule="auto"/>
            </w:pPr>
            <w:r>
              <w:rPr>
                <w:rFonts w:ascii="Calibri" w:hAnsi="Calibri"/>
                <w:b w:val="0"/>
                <w:i w:val="0"/>
                <w:color w:val="212121"/>
                <w:sz w:val="19"/>
              </w:rPr>
              <w:t>Flat/worn/high-heeled or unsupportive shoes</w:t>
            </w:r>
          </w:p>
        </w:tc>
        <w:tc>
          <w:tcPr>
            <w:tcW w:type="dxa" w:w="1468"/>
            <w:vAlign w:val="top"/>
          </w:tcPr>
          <w:p>
            <w:pPr>
              <w:spacing w:after="60" w:line="259" w:lineRule="auto"/>
            </w:pPr>
            <w:r>
              <w:rPr>
                <w:rFonts w:ascii="Calibri" w:hAnsi="Calibri"/>
                <w:b w:val="0"/>
                <w:i w:val="0"/>
                <w:color w:val="212121"/>
                <w:sz w:val="19"/>
              </w:rPr>
              <w:t>Poor support increases heel impact and fascia tension</w:t>
            </w:r>
          </w:p>
          <w:p>
            <w:pPr>
              <w:spacing w:after="40" w:line="252" w:lineRule="auto"/>
            </w:pPr>
            <w:hyperlink r:id="rId12">
              <w:r>
                <w:rPr>
                  <w:rFonts w:ascii="Calibri" w:hAnsi="Calibri" w:cs="Calibri"/>
                  <w:sz w:val="18"/>
                  <w:color w:val="1155CC"/>
                  <w:u w:val="single"/>
                </w:rPr>
                <w:t xml:space="preserve">https://www.ijrrjournal.com/IJRR_Vol.12_Issue.2_Feb2025/IJRR21.pdf</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obesity marks both mechanical load and metabolic risk</w:t>
            </w:r>
          </w:p>
          <w:p>
            <w:pPr>
              <w:spacing w:after="40" w:line="252" w:lineRule="auto"/>
            </w:pPr>
            <w:hyperlink r:id="rId16">
              <w:r>
                <w:rPr>
                  <w:rFonts w:ascii="Calibri" w:hAnsi="Calibri" w:cs="Calibri"/>
                  <w:sz w:val="18"/>
                  <w:color w:val="1155CC"/>
                  <w:u w:val="single"/>
                </w:rPr>
                <w:t xml:space="preserve">https://theprint.in/health/new-lancet-report-sounds-alarm-over-indias-obesity-crisis-researchers-call-for-5-yr-action-plan/2529353/</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First-step (post-static) morning heel pain</w:t>
            </w:r>
          </w:p>
        </w:tc>
        <w:tc>
          <w:tcPr>
            <w:tcW w:type="dxa" w:w="1655"/>
            <w:vAlign w:val="top"/>
          </w:tcPr>
          <w:p>
            <w:pPr>
              <w:spacing w:after="40" w:before="0" w:line="259" w:lineRule="auto"/>
            </w:pPr>
            <w:r>
              <w:rPr>
                <w:rFonts w:ascii="Calibri" w:hAnsi="Calibri"/>
                <w:b w:val="0"/>
                <w:i w:val="0"/>
                <w:color w:val="212121"/>
                <w:sz w:val="19"/>
              </w:rPr>
              <w:t>Plantar-fasciitis patients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Present, severe on first steps after rest</w:t>
            </w:r>
          </w:p>
        </w:tc>
        <w:tc>
          <w:tcPr>
            <w:tcW w:type="dxa" w:w="1468"/>
            <w:vAlign w:val="top"/>
          </w:tcPr>
          <w:p>
            <w:pPr>
              <w:spacing w:after="60" w:line="259" w:lineRule="auto"/>
            </w:pPr>
            <w:r>
              <w:rPr>
                <w:rFonts w:ascii="Calibri" w:hAnsi="Calibri"/>
                <w:b w:val="0"/>
                <w:i w:val="0"/>
                <w:color w:val="212121"/>
                <w:sz w:val="19"/>
              </w:rPr>
              <w:t>Hallmark clinical marker of disease activity/severity</w:t>
            </w:r>
          </w:p>
          <w:p>
            <w:pPr>
              <w:spacing w:after="40" w:line="252" w:lineRule="auto"/>
            </w:pPr>
            <w:hyperlink r:id="rId9">
              <w:r>
                <w:rPr>
                  <w:rFonts w:ascii="Calibri" w:hAnsi="Calibri" w:cs="Calibri"/>
                  <w:sz w:val="18"/>
                  <w:color w:val="1155CC"/>
                  <w:u w:val="single"/>
                </w:rPr>
                <w:t xml:space="preserve">https://www.ncbi.nlm.nih.gov/books/NBK431073/</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shift workers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lowers pain thresholds and slows tissue repair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chronic/refractory PF, diabetics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microcirculation and collagen healing, delaying recovery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Pain-related distress / Foot Function Index</w:t>
            </w:r>
          </w:p>
        </w:tc>
        <w:tc>
          <w:tcPr>
            <w:tcW w:type="dxa" w:w="1655"/>
            <w:vAlign w:val="top"/>
          </w:tcPr>
          <w:p>
            <w:pPr>
              <w:spacing w:after="40" w:before="0" w:line="259" w:lineRule="auto"/>
            </w:pPr>
            <w:r>
              <w:rPr>
                <w:rFonts w:ascii="Calibri" w:hAnsi="Calibri"/>
                <w:b w:val="0"/>
                <w:i w:val="0"/>
                <w:color w:val="212121"/>
                <w:sz w:val="19"/>
              </w:rPr>
              <w:t>Chronic PF patients</w:t>
            </w:r>
          </w:p>
        </w:tc>
        <w:tc>
          <w:tcPr>
            <w:tcW w:type="dxa" w:w="1512"/>
            <w:vAlign w:val="top"/>
          </w:tcPr>
          <w:p>
            <w:pPr>
              <w:spacing w:after="40" w:before="0" w:line="259" w:lineRule="auto"/>
            </w:pPr>
            <w:r>
              <w:rPr>
                <w:rFonts w:ascii="Calibri" w:hAnsi="Calibri"/>
                <w:b w:val="0"/>
                <w:i w:val="0"/>
                <w:color w:val="212121"/>
                <w:sz w:val="19"/>
              </w:rPr>
              <w:t>Minimal distress, low FFI</w:t>
            </w:r>
          </w:p>
        </w:tc>
        <w:tc>
          <w:tcPr>
            <w:tcW w:type="dxa" w:w="1512"/>
            <w:vAlign w:val="top"/>
          </w:tcPr>
          <w:p>
            <w:pPr>
              <w:spacing w:after="40" w:before="0" w:line="259" w:lineRule="auto"/>
            </w:pPr>
            <w:r>
              <w:rPr>
                <w:rFonts w:ascii="Calibri" w:hAnsi="Calibri"/>
                <w:b w:val="0"/>
                <w:i w:val="0"/>
                <w:color w:val="212121"/>
                <w:sz w:val="19"/>
              </w:rPr>
              <w:t>High catastrophizing / high FFI score</w:t>
            </w:r>
          </w:p>
        </w:tc>
        <w:tc>
          <w:tcPr>
            <w:tcW w:type="dxa" w:w="1468"/>
            <w:vAlign w:val="top"/>
          </w:tcPr>
          <w:p>
            <w:pPr>
              <w:spacing w:after="40" w:before="0" w:line="259" w:lineRule="auto"/>
            </w:pPr>
            <w:r>
              <w:rPr>
                <w:rFonts w:ascii="Calibri" w:hAnsi="Calibri"/>
                <w:b w:val="0"/>
                <w:i w:val="0"/>
                <w:color w:val="212121"/>
                <w:sz w:val="19"/>
              </w:rPr>
              <w:t>Distress amplifies pain and delays functional recovery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Plantar fascia thickness</w:t>
            </w:r>
          </w:p>
        </w:tc>
        <w:tc>
          <w:tcPr>
            <w:tcW w:type="dxa" w:w="892"/>
            <w:vAlign w:val="top"/>
          </w:tcPr>
          <w:p>
            <w:pPr>
              <w:spacing w:after="40" w:before="0" w:line="259" w:lineRule="auto"/>
            </w:pPr>
            <w:r>
              <w:rPr>
                <w:rFonts w:ascii="Calibri" w:hAnsi="Calibri"/>
                <w:b w:val="0"/>
                <w:i w:val="0"/>
                <w:color w:val="212121"/>
                <w:sz w:val="16"/>
              </w:rPr>
              <w:t>Musculoskeletal ultrasound</w:t>
            </w:r>
          </w:p>
        </w:tc>
        <w:tc>
          <w:tcPr>
            <w:tcW w:type="dxa" w:w="950"/>
            <w:vAlign w:val="top"/>
          </w:tcPr>
          <w:p>
            <w:pPr>
              <w:spacing w:after="40" w:before="0" w:line="259" w:lineRule="auto"/>
            </w:pPr>
            <w:r>
              <w:rPr>
                <w:rFonts w:ascii="Calibri" w:hAnsi="Calibri"/>
                <w:b w:val="0"/>
                <w:i w:val="0"/>
                <w:color w:val="212121"/>
                <w:sz w:val="16"/>
              </w:rPr>
              <w:t>≤ 4 mm at calcaneal insertion</w:t>
            </w:r>
          </w:p>
        </w:tc>
        <w:tc>
          <w:tcPr>
            <w:tcW w:type="dxa" w:w="950"/>
            <w:vAlign w:val="top"/>
          </w:tcPr>
          <w:p>
            <w:pPr>
              <w:spacing w:after="40" w:before="0" w:line="259" w:lineRule="auto"/>
            </w:pPr>
            <w:r>
              <w:rPr>
                <w:rFonts w:ascii="Calibri" w:hAnsi="Calibri"/>
                <w:b w:val="0"/>
                <w:i w:val="0"/>
                <w:color w:val="212121"/>
                <w:sz w:val="16"/>
              </w:rPr>
              <w:t>&gt; 4 mm (often &gt; 4.5 mm), hypoechoic</w:t>
            </w:r>
          </w:p>
        </w:tc>
        <w:tc>
          <w:tcPr>
            <w:tcW w:type="dxa" w:w="1036"/>
            <w:vAlign w:val="top"/>
          </w:tcPr>
          <w:p>
            <w:pPr>
              <w:spacing w:after="40" w:before="0" w:line="259" w:lineRule="auto"/>
            </w:pPr>
            <w:r>
              <w:rPr>
                <w:rFonts w:ascii="Calibri" w:hAnsi="Calibri"/>
                <w:b w:val="0"/>
                <w:i w:val="0"/>
                <w:color w:val="212121"/>
                <w:sz w:val="16"/>
              </w:rPr>
              <w:t>Confirms fasciopathy and monitors response; first-line imaging</w:t>
            </w:r>
          </w:p>
        </w:tc>
        <w:tc>
          <w:tcPr>
            <w:tcW w:type="dxa" w:w="1036"/>
            <w:vAlign w:val="top"/>
          </w:tcPr>
          <w:p>
            <w:pPr>
              <w:spacing w:after="40" w:before="0" w:line="259" w:lineRule="auto"/>
            </w:pPr>
            <w:r>
              <w:rPr>
                <w:rFonts w:ascii="Calibri" w:hAnsi="Calibri"/>
                <w:b w:val="0"/>
                <w:i w:val="0"/>
                <w:color w:val="212121"/>
                <w:sz w:val="16"/>
              </w:rPr>
              <w:t>Atypical, bilateral or refractory plantar fasciitis</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Sensitivity ~85%, specificity ~95%; operator-dependent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Calcaneal spur / bony detail</w:t>
            </w:r>
          </w:p>
        </w:tc>
        <w:tc>
          <w:tcPr>
            <w:tcW w:type="dxa" w:w="892"/>
            <w:vAlign w:val="top"/>
          </w:tcPr>
          <w:p>
            <w:pPr>
              <w:spacing w:after="40" w:before="0" w:line="259" w:lineRule="auto"/>
            </w:pPr>
            <w:r>
              <w:rPr>
                <w:rFonts w:ascii="Calibri" w:hAnsi="Calibri"/>
                <w:b w:val="0"/>
                <w:i w:val="0"/>
                <w:color w:val="212121"/>
                <w:sz w:val="16"/>
              </w:rPr>
              <w:t>Weight-bearing lateral foot X-ray</w:t>
            </w:r>
          </w:p>
        </w:tc>
        <w:tc>
          <w:tcPr>
            <w:tcW w:type="dxa" w:w="950"/>
            <w:vAlign w:val="top"/>
          </w:tcPr>
          <w:p>
            <w:pPr>
              <w:spacing w:after="40" w:before="0" w:line="259" w:lineRule="auto"/>
            </w:pPr>
            <w:r>
              <w:rPr>
                <w:rFonts w:ascii="Calibri" w:hAnsi="Calibri"/>
                <w:b w:val="0"/>
                <w:i w:val="0"/>
                <w:color w:val="212121"/>
                <w:sz w:val="16"/>
              </w:rPr>
              <w:t>No fracture; ± incidental spur</w:t>
            </w:r>
          </w:p>
        </w:tc>
        <w:tc>
          <w:tcPr>
            <w:tcW w:type="dxa" w:w="950"/>
            <w:vAlign w:val="top"/>
          </w:tcPr>
          <w:p>
            <w:pPr>
              <w:spacing w:after="40" w:before="0" w:line="259" w:lineRule="auto"/>
            </w:pPr>
            <w:r>
              <w:rPr>
                <w:rFonts w:ascii="Calibri" w:hAnsi="Calibri"/>
                <w:b w:val="0"/>
                <w:i w:val="0"/>
                <w:color w:val="212121"/>
                <w:sz w:val="16"/>
              </w:rPr>
              <w:t>Inferior calcaneal spur; excludes fracture</w:t>
            </w:r>
          </w:p>
        </w:tc>
        <w:tc>
          <w:tcPr>
            <w:tcW w:type="dxa" w:w="1036"/>
            <w:vAlign w:val="top"/>
          </w:tcPr>
          <w:p>
            <w:pPr>
              <w:spacing w:after="40" w:before="0" w:line="259" w:lineRule="auto"/>
            </w:pPr>
            <w:r>
              <w:rPr>
                <w:rFonts w:ascii="Calibri" w:hAnsi="Calibri"/>
                <w:b w:val="0"/>
                <w:i w:val="0"/>
                <w:color w:val="212121"/>
                <w:sz w:val="16"/>
              </w:rPr>
              <w:t>Heel spur is incidental (non-causal); mainly excludes calcaneal stress fracture/lesion</w:t>
            </w:r>
          </w:p>
        </w:tc>
        <w:tc>
          <w:tcPr>
            <w:tcW w:type="dxa" w:w="1036"/>
            <w:vAlign w:val="top"/>
          </w:tcPr>
          <w:p>
            <w:pPr>
              <w:spacing w:after="40" w:before="0" w:line="259" w:lineRule="auto"/>
            </w:pPr>
            <w:r>
              <w:rPr>
                <w:rFonts w:ascii="Calibri" w:hAnsi="Calibri"/>
                <w:b w:val="0"/>
                <w:i w:val="0"/>
                <w:color w:val="212121"/>
                <w:sz w:val="16"/>
              </w:rPr>
              <w:t>Chronic/refractory, trauma, atypical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Spur present in ~50% and does not affect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Fascia signal / partial tear</w:t>
            </w:r>
          </w:p>
        </w:tc>
        <w:tc>
          <w:tcPr>
            <w:tcW w:type="dxa" w:w="892"/>
            <w:vAlign w:val="top"/>
          </w:tcPr>
          <w:p>
            <w:pPr>
              <w:spacing w:after="40" w:before="0" w:line="259" w:lineRule="auto"/>
            </w:pPr>
            <w:r>
              <w:rPr>
                <w:rFonts w:ascii="Calibri" w:hAnsi="Calibri"/>
                <w:b w:val="0"/>
                <w:i w:val="0"/>
                <w:color w:val="212121"/>
                <w:sz w:val="16"/>
              </w:rPr>
              <w:t>MRI foot (T2/STIR)</w:t>
            </w:r>
          </w:p>
        </w:tc>
        <w:tc>
          <w:tcPr>
            <w:tcW w:type="dxa" w:w="950"/>
            <w:vAlign w:val="top"/>
          </w:tcPr>
          <w:p>
            <w:pPr>
              <w:spacing w:after="40" w:before="0" w:line="259" w:lineRule="auto"/>
            </w:pPr>
            <w:r>
              <w:rPr>
                <w:rFonts w:ascii="Calibri" w:hAnsi="Calibri"/>
                <w:b w:val="0"/>
                <w:i w:val="0"/>
                <w:color w:val="212121"/>
                <w:sz w:val="16"/>
              </w:rPr>
              <w:t>Normal thickness and signal</w:t>
            </w:r>
          </w:p>
        </w:tc>
        <w:tc>
          <w:tcPr>
            <w:tcW w:type="dxa" w:w="950"/>
            <w:vAlign w:val="top"/>
          </w:tcPr>
          <w:p>
            <w:pPr>
              <w:spacing w:after="40" w:before="0" w:line="259" w:lineRule="auto"/>
            </w:pPr>
            <w:r>
              <w:rPr>
                <w:rFonts w:ascii="Calibri" w:hAnsi="Calibri"/>
                <w:b w:val="0"/>
                <w:i w:val="0"/>
                <w:color w:val="212121"/>
                <w:sz w:val="16"/>
              </w:rPr>
              <w:t>Thickening &gt; 4 mm with increased STIR/T2 signal, ± tear</w:t>
            </w:r>
          </w:p>
        </w:tc>
        <w:tc>
          <w:tcPr>
            <w:tcW w:type="dxa" w:w="1036"/>
            <w:vAlign w:val="top"/>
          </w:tcPr>
          <w:p>
            <w:pPr>
              <w:spacing w:after="40" w:before="0" w:line="259" w:lineRule="auto"/>
            </w:pPr>
            <w:r>
              <w:rPr>
                <w:rFonts w:ascii="Calibri" w:hAnsi="Calibri"/>
                <w:b w:val="0"/>
                <w:i w:val="0"/>
                <w:color w:val="212121"/>
                <w:sz w:val="16"/>
              </w:rPr>
              <w:t>Detects fascia tears and excludes stress fracture, tumour or infection</w:t>
            </w:r>
          </w:p>
        </w:tc>
        <w:tc>
          <w:tcPr>
            <w:tcW w:type="dxa" w:w="1036"/>
            <w:vAlign w:val="top"/>
          </w:tcPr>
          <w:p>
            <w:pPr>
              <w:spacing w:after="40" w:before="0" w:line="259" w:lineRule="auto"/>
            </w:pPr>
            <w:r>
              <w:rPr>
                <w:rFonts w:ascii="Calibri" w:hAnsi="Calibri"/>
                <w:b w:val="0"/>
                <w:i w:val="0"/>
                <w:color w:val="212121"/>
                <w:sz w:val="16"/>
              </w:rPr>
              <w:t>Refractory cases, suspected rupture/mass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Reserved for diagnostic uncertainty or pre-surgical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diabetes, which thickens the fascia and raises PF risk</w:t>
            </w:r>
          </w:p>
        </w:tc>
        <w:tc>
          <w:tcPr>
            <w:tcW w:type="dxa" w:w="1036"/>
            <w:vAlign w:val="top"/>
          </w:tcPr>
          <w:p>
            <w:pPr>
              <w:spacing w:after="40" w:before="0" w:line="259" w:lineRule="auto"/>
            </w:pPr>
            <w:r>
              <w:rPr>
                <w:rFonts w:ascii="Calibri" w:hAnsi="Calibri"/>
                <w:b w:val="0"/>
                <w:i w:val="0"/>
                <w:color w:val="212121"/>
                <w:sz w:val="16"/>
              </w:rPr>
              <w:t>Middle-aged, obese, bilateral or recurrent PF</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Type 2 diabetics show higher PF incidence (1.31% vs 0.80%)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seronegative spondyloarthropathy in young/bilateral heel enthesitis</w:t>
            </w:r>
          </w:p>
        </w:tc>
        <w:tc>
          <w:tcPr>
            <w:tcW w:type="dxa" w:w="1036"/>
            <w:vAlign w:val="top"/>
          </w:tcPr>
          <w:p>
            <w:pPr>
              <w:spacing w:after="40" w:before="0" w:line="259" w:lineRule="auto"/>
            </w:pPr>
            <w:r>
              <w:rPr>
                <w:rFonts w:ascii="Calibri" w:hAnsi="Calibri"/>
                <w:b w:val="0"/>
                <w:i w:val="0"/>
                <w:color w:val="212121"/>
                <w:sz w:val="16"/>
              </w:rPr>
              <w:t>Young adults, bilateral heel pain, inflammatory features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only when inflammatory enthesitis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Elevation suggests inflammatory enthesitis rather than mechanical fasciitis</w:t>
            </w:r>
          </w:p>
        </w:tc>
        <w:tc>
          <w:tcPr>
            <w:tcW w:type="dxa" w:w="1036"/>
            <w:vAlign w:val="top"/>
          </w:tcPr>
          <w:p>
            <w:pPr>
              <w:spacing w:after="40" w:before="0" w:line="259" w:lineRule="auto"/>
            </w:pPr>
            <w:r>
              <w:rPr>
                <w:rFonts w:ascii="Calibri" w:hAnsi="Calibri"/>
                <w:b w:val="0"/>
                <w:i w:val="0"/>
                <w:color w:val="212121"/>
                <w:sz w:val="16"/>
              </w:rPr>
              <w:t>Young, bilateral, systemic or inflammatory features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Usually normal in mechanical plantar fasciitis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3.5–7.2 mg/dL</w:t>
            </w:r>
          </w:p>
        </w:tc>
        <w:tc>
          <w:tcPr>
            <w:tcW w:type="dxa" w:w="950"/>
            <w:vAlign w:val="top"/>
          </w:tcPr>
          <w:p>
            <w:pPr>
              <w:spacing w:after="40" w:before="0" w:line="259" w:lineRule="auto"/>
            </w:pPr>
            <w:r>
              <w:rPr>
                <w:rFonts w:ascii="Calibri" w:hAnsi="Calibri"/>
                <w:b w:val="0"/>
                <w:i w:val="0"/>
                <w:color w:val="212121"/>
                <w:sz w:val="16"/>
              </w:rPr>
              <w:t>&gt; 7 mg/dL</w:t>
            </w:r>
          </w:p>
        </w:tc>
        <w:tc>
          <w:tcPr>
            <w:tcW w:type="dxa" w:w="1036"/>
            <w:vAlign w:val="top"/>
          </w:tcPr>
          <w:p>
            <w:pPr>
              <w:spacing w:after="40" w:before="0" w:line="259" w:lineRule="auto"/>
            </w:pPr>
            <w:r>
              <w:rPr>
                <w:rFonts w:ascii="Calibri" w:hAnsi="Calibri"/>
                <w:b w:val="0"/>
                <w:i w:val="0"/>
                <w:color w:val="212121"/>
                <w:sz w:val="16"/>
              </w:rPr>
              <w:t>Excludes gout/hyperuricaemia as a cause of acute heel/enthesis pain</w:t>
            </w:r>
          </w:p>
        </w:tc>
        <w:tc>
          <w:tcPr>
            <w:tcW w:type="dxa" w:w="1036"/>
            <w:vAlign w:val="top"/>
          </w:tcPr>
          <w:p>
            <w:pPr>
              <w:spacing w:after="40" w:before="0" w:line="259" w:lineRule="auto"/>
            </w:pPr>
            <w:r>
              <w:rPr>
                <w:rFonts w:ascii="Calibri" w:hAnsi="Calibri"/>
                <w:b w:val="0"/>
                <w:i w:val="0"/>
                <w:color w:val="212121"/>
                <w:sz w:val="16"/>
              </w:rPr>
              <w:t>Acute, mono-articular heel pain; men; alcohol users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Gout can mimic or coexist with heel pain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Serum 25-OH vitamin D / calcium</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Vitamin D &gt; 20–30 ng/mL</w:t>
            </w:r>
          </w:p>
        </w:tc>
        <w:tc>
          <w:tcPr>
            <w:tcW w:type="dxa" w:w="950"/>
            <w:vAlign w:val="top"/>
          </w:tcPr>
          <w:p>
            <w:pPr>
              <w:spacing w:after="40" w:before="0" w:line="259" w:lineRule="auto"/>
            </w:pPr>
            <w:r>
              <w:rPr>
                <w:rFonts w:ascii="Calibri" w:hAnsi="Calibri"/>
                <w:b w:val="0"/>
                <w:i w:val="0"/>
                <w:color w:val="212121"/>
                <w:sz w:val="16"/>
              </w:rPr>
              <w:t>Deficient &lt; 20 ng/mL</w:t>
            </w:r>
          </w:p>
        </w:tc>
        <w:tc>
          <w:tcPr>
            <w:tcW w:type="dxa" w:w="1036"/>
            <w:vAlign w:val="top"/>
          </w:tcPr>
          <w:p>
            <w:pPr>
              <w:spacing w:after="40" w:before="0" w:line="259" w:lineRule="auto"/>
            </w:pPr>
            <w:r>
              <w:rPr>
                <w:rFonts w:ascii="Calibri" w:hAnsi="Calibri"/>
                <w:b w:val="0"/>
                <w:i w:val="0"/>
                <w:color w:val="212121"/>
                <w:sz w:val="16"/>
              </w:rPr>
              <w:t>Deficiency is linked to diffuse musculoskeletal/heel pain and poorer healing</w:t>
            </w:r>
          </w:p>
        </w:tc>
        <w:tc>
          <w:tcPr>
            <w:tcW w:type="dxa" w:w="1036"/>
            <w:vAlign w:val="top"/>
          </w:tcPr>
          <w:p>
            <w:pPr>
              <w:spacing w:after="40" w:before="0" w:line="259" w:lineRule="auto"/>
            </w:pPr>
            <w:r>
              <w:rPr>
                <w:rFonts w:ascii="Calibri" w:hAnsi="Calibri"/>
                <w:b w:val="0"/>
                <w:i w:val="0"/>
                <w:color w:val="212121"/>
                <w:sz w:val="16"/>
              </w:rPr>
              <w:t>Indoor workers, covered/veiled, elderly, poor sun exposure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Vitamin-D deficiency is common in India; correct if low</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 pain pattern</w:t>
            </w:r>
          </w:p>
        </w:tc>
        <w:tc>
          <w:tcPr>
            <w:tcW w:type="dxa" w:w="979"/>
            <w:vAlign w:val="top"/>
          </w:tcPr>
          <w:p>
            <w:pPr>
              <w:spacing w:after="40" w:before="0" w:line="259" w:lineRule="auto"/>
            </w:pPr>
            <w:r>
              <w:rPr>
                <w:rFonts w:ascii="Calibri" w:hAnsi="Calibri"/>
                <w:b w:val="0"/>
                <w:i w:val="0"/>
                <w:color w:val="212121"/>
                <w:sz w:val="16"/>
              </w:rPr>
              <w:t>First-step morning heel pain (post-static dyskinesia)</w:t>
            </w:r>
          </w:p>
        </w:tc>
        <w:tc>
          <w:tcPr>
            <w:tcW w:type="dxa" w:w="950"/>
            <w:vAlign w:val="top"/>
          </w:tcPr>
          <w:p>
            <w:pPr>
              <w:spacing w:after="40" w:before="0" w:line="259" w:lineRule="auto"/>
            </w:pPr>
            <w:r>
              <w:rPr>
                <w:rFonts w:ascii="Calibri" w:hAnsi="Calibri"/>
                <w:b w:val="0"/>
                <w:i w:val="0"/>
                <w:color w:val="212121"/>
                <w:sz w:val="16"/>
              </w:rPr>
              <w:t>No heel pain</w:t>
            </w:r>
          </w:p>
        </w:tc>
        <w:tc>
          <w:tcPr>
            <w:tcW w:type="dxa" w:w="950"/>
            <w:vAlign w:val="top"/>
          </w:tcPr>
          <w:p>
            <w:pPr>
              <w:spacing w:after="40" w:before="0" w:line="259" w:lineRule="auto"/>
            </w:pPr>
            <w:r>
              <w:rPr>
                <w:rFonts w:ascii="Calibri" w:hAnsi="Calibri"/>
                <w:b w:val="0"/>
                <w:i w:val="0"/>
                <w:color w:val="212121"/>
                <w:sz w:val="16"/>
              </w:rPr>
              <w:t>Sharp medial heel pain worst on first steps after rest</w:t>
            </w:r>
          </w:p>
        </w:tc>
        <w:tc>
          <w:tcPr>
            <w:tcW w:type="dxa" w:w="1036"/>
            <w:vAlign w:val="top"/>
          </w:tcPr>
          <w:p>
            <w:pPr>
              <w:spacing w:after="40" w:before="0" w:line="259" w:lineRule="auto"/>
            </w:pPr>
            <w:r>
              <w:rPr>
                <w:rFonts w:ascii="Calibri" w:hAnsi="Calibri"/>
                <w:b w:val="0"/>
                <w:i w:val="0"/>
                <w:color w:val="212121"/>
                <w:sz w:val="16"/>
              </w:rPr>
              <w:t>Cardinal history of plantar fasciitis</w:t>
            </w:r>
          </w:p>
        </w:tc>
        <w:tc>
          <w:tcPr>
            <w:tcW w:type="dxa" w:w="1036"/>
            <w:vAlign w:val="top"/>
          </w:tcPr>
          <w:p>
            <w:pPr>
              <w:spacing w:after="40" w:before="0" w:line="259" w:lineRule="auto"/>
            </w:pPr>
            <w:r>
              <w:rPr>
                <w:rFonts w:ascii="Calibri" w:hAnsi="Calibri"/>
                <w:b w:val="0"/>
                <w:i w:val="0"/>
                <w:color w:val="212121"/>
                <w:sz w:val="16"/>
              </w:rPr>
              <w:t>Standing-occupation workers, runners, obese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Eases with early walking, worsens with prolonged standing by day-end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Medial calcaneal tuberosity tenderness</w:t>
            </w:r>
          </w:p>
        </w:tc>
        <w:tc>
          <w:tcPr>
            <w:tcW w:type="dxa" w:w="950"/>
            <w:vAlign w:val="top"/>
          </w:tcPr>
          <w:p>
            <w:pPr>
              <w:spacing w:after="40" w:before="0" w:line="259" w:lineRule="auto"/>
            </w:pPr>
            <w:r>
              <w:rPr>
                <w:rFonts w:ascii="Calibri" w:hAnsi="Calibri"/>
                <w:b w:val="0"/>
                <w:i w:val="0"/>
                <w:color w:val="212121"/>
                <w:sz w:val="16"/>
              </w:rPr>
              <w:t>Non-tender</w:t>
            </w:r>
          </w:p>
        </w:tc>
        <w:tc>
          <w:tcPr>
            <w:tcW w:type="dxa" w:w="950"/>
            <w:vAlign w:val="top"/>
          </w:tcPr>
          <w:p>
            <w:pPr>
              <w:spacing w:after="40" w:before="0" w:line="259" w:lineRule="auto"/>
            </w:pPr>
            <w:r>
              <w:rPr>
                <w:rFonts w:ascii="Calibri" w:hAnsi="Calibri"/>
                <w:b w:val="0"/>
                <w:i w:val="0"/>
                <w:color w:val="212121"/>
                <w:sz w:val="16"/>
              </w:rPr>
              <w:t>Focal tenderness at the fascia origin</w:t>
            </w:r>
          </w:p>
        </w:tc>
        <w:tc>
          <w:tcPr>
            <w:tcW w:type="dxa" w:w="1036"/>
            <w:vAlign w:val="top"/>
          </w:tcPr>
          <w:p>
            <w:pPr>
              <w:spacing w:after="40" w:before="0" w:line="259" w:lineRule="auto"/>
            </w:pPr>
            <w:r>
              <w:rPr>
                <w:rFonts w:ascii="Calibri" w:hAnsi="Calibri"/>
                <w:b w:val="0"/>
                <w:i w:val="0"/>
                <w:color w:val="212121"/>
                <w:sz w:val="16"/>
              </w:rPr>
              <w:t>Localises pathology to the plantar fascia insertion</w:t>
            </w:r>
          </w:p>
        </w:tc>
        <w:tc>
          <w:tcPr>
            <w:tcW w:type="dxa" w:w="1036"/>
            <w:vAlign w:val="top"/>
          </w:tcPr>
          <w:p>
            <w:pPr>
              <w:spacing w:after="40" w:before="0" w:line="259" w:lineRule="auto"/>
            </w:pPr>
            <w:r>
              <w:rPr>
                <w:rFonts w:ascii="Calibri" w:hAnsi="Calibri"/>
                <w:b w:val="0"/>
                <w:i w:val="0"/>
                <w:color w:val="212121"/>
                <w:sz w:val="16"/>
              </w:rPr>
              <w:t>All plantar-fasciitis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Most reliable and reproducible clinical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w:t>
            </w:r>
          </w:p>
        </w:tc>
        <w:tc>
          <w:tcPr>
            <w:tcW w:type="dxa" w:w="950"/>
            <w:vAlign w:val="top"/>
          </w:tcPr>
          <w:p>
            <w:pPr>
              <w:spacing w:after="40" w:before="0" w:line="259" w:lineRule="auto"/>
            </w:pPr>
            <w:r>
              <w:rPr>
                <w:rFonts w:ascii="Calibri" w:hAnsi="Calibri"/>
                <w:b w:val="0"/>
                <w:i w:val="0"/>
                <w:color w:val="212121"/>
                <w:sz w:val="16"/>
              </w:rPr>
              <w:t>Windlass (Jack) test</w:t>
            </w:r>
          </w:p>
        </w:tc>
        <w:tc>
          <w:tcPr>
            <w:tcW w:type="dxa" w:w="979"/>
            <w:vAlign w:val="top"/>
          </w:tcPr>
          <w:p>
            <w:pPr>
              <w:spacing w:after="40" w:before="0" w:line="259" w:lineRule="auto"/>
            </w:pPr>
            <w:r>
              <w:rPr>
                <w:rFonts w:ascii="Calibri" w:hAnsi="Calibri"/>
                <w:b w:val="0"/>
                <w:i w:val="0"/>
                <w:color w:val="212121"/>
                <w:sz w:val="16"/>
              </w:rPr>
              <w:t>Passive great-toe/ankle dorsiflexion</w:t>
            </w:r>
          </w:p>
        </w:tc>
        <w:tc>
          <w:tcPr>
            <w:tcW w:type="dxa" w:w="950"/>
            <w:vAlign w:val="top"/>
          </w:tcPr>
          <w:p>
            <w:pPr>
              <w:spacing w:after="40" w:before="0" w:line="259" w:lineRule="auto"/>
            </w:pPr>
            <w:r>
              <w:rPr>
                <w:rFonts w:ascii="Calibri" w:hAnsi="Calibri"/>
                <w:b w:val="0"/>
                <w:i w:val="0"/>
                <w:color w:val="212121"/>
                <w:sz w:val="16"/>
              </w:rPr>
              <w:t>No pain on dorsiflexion</w:t>
            </w:r>
          </w:p>
        </w:tc>
        <w:tc>
          <w:tcPr>
            <w:tcW w:type="dxa" w:w="950"/>
            <w:vAlign w:val="top"/>
          </w:tcPr>
          <w:p>
            <w:pPr>
              <w:spacing w:after="40" w:before="0" w:line="259" w:lineRule="auto"/>
            </w:pPr>
            <w:r>
              <w:rPr>
                <w:rFonts w:ascii="Calibri" w:hAnsi="Calibri"/>
                <w:b w:val="0"/>
                <w:i w:val="0"/>
                <w:color w:val="212121"/>
                <w:sz w:val="16"/>
              </w:rPr>
              <w:t>Reproduces plantar heel pain</w:t>
            </w:r>
          </w:p>
        </w:tc>
        <w:tc>
          <w:tcPr>
            <w:tcW w:type="dxa" w:w="1036"/>
            <w:vAlign w:val="top"/>
          </w:tcPr>
          <w:p>
            <w:pPr>
              <w:spacing w:after="40" w:before="0" w:line="259" w:lineRule="auto"/>
            </w:pPr>
            <w:r>
              <w:rPr>
                <w:rFonts w:ascii="Calibri" w:hAnsi="Calibri"/>
                <w:b w:val="0"/>
                <w:i w:val="0"/>
                <w:color w:val="212121"/>
                <w:sz w:val="16"/>
              </w:rPr>
              <w:t>Tensioning the fascia confirms the diagnosis</w:t>
            </w:r>
          </w:p>
        </w:tc>
        <w:tc>
          <w:tcPr>
            <w:tcW w:type="dxa" w:w="1036"/>
            <w:vAlign w:val="top"/>
          </w:tcPr>
          <w:p>
            <w:pPr>
              <w:spacing w:after="40" w:before="0" w:line="259" w:lineRule="auto"/>
            </w:pPr>
            <w:r>
              <w:rPr>
                <w:rFonts w:ascii="Calibri" w:hAnsi="Calibri"/>
                <w:b w:val="0"/>
                <w:i w:val="0"/>
                <w:color w:val="212121"/>
                <w:sz w:val="16"/>
              </w:rPr>
              <w:t>All plantar-fasciitis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More sensitive when performed weight-bearing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Silfverskiöld / dorsiflexion assessment</w:t>
            </w:r>
          </w:p>
        </w:tc>
        <w:tc>
          <w:tcPr>
            <w:tcW w:type="dxa" w:w="979"/>
            <w:vAlign w:val="top"/>
          </w:tcPr>
          <w:p>
            <w:pPr>
              <w:spacing w:after="40" w:before="0" w:line="259" w:lineRule="auto"/>
            </w:pPr>
            <w:r>
              <w:rPr>
                <w:rFonts w:ascii="Calibri" w:hAnsi="Calibri"/>
                <w:b w:val="0"/>
                <w:i w:val="0"/>
                <w:color w:val="212121"/>
                <w:sz w:val="16"/>
              </w:rPr>
              <w:t>Ankle dorsiflexion range (knee extended vs flexed)</w:t>
            </w:r>
          </w:p>
        </w:tc>
        <w:tc>
          <w:tcPr>
            <w:tcW w:type="dxa" w:w="950"/>
            <w:vAlign w:val="top"/>
          </w:tcPr>
          <w:p>
            <w:pPr>
              <w:spacing w:after="40" w:before="0" w:line="259" w:lineRule="auto"/>
            </w:pPr>
            <w:r>
              <w:rPr>
                <w:rFonts w:ascii="Calibri" w:hAnsi="Calibri"/>
                <w:b w:val="0"/>
                <w:i w:val="0"/>
                <w:color w:val="212121"/>
                <w:sz w:val="16"/>
              </w:rPr>
              <w:t>≥ 10° dorsiflexion</w:t>
            </w:r>
          </w:p>
        </w:tc>
        <w:tc>
          <w:tcPr>
            <w:tcW w:type="dxa" w:w="950"/>
            <w:vAlign w:val="top"/>
          </w:tcPr>
          <w:p>
            <w:pPr>
              <w:spacing w:after="40" w:before="0" w:line="259" w:lineRule="auto"/>
            </w:pPr>
            <w:r>
              <w:rPr>
                <w:rFonts w:ascii="Calibri" w:hAnsi="Calibri"/>
                <w:b w:val="0"/>
                <w:i w:val="0"/>
                <w:color w:val="212121"/>
                <w:sz w:val="16"/>
              </w:rPr>
              <w:t>&lt; 10°; improves with knee flexed = gastrocnemius tightness</w:t>
            </w:r>
          </w:p>
        </w:tc>
        <w:tc>
          <w:tcPr>
            <w:tcW w:type="dxa" w:w="1036"/>
            <w:vAlign w:val="top"/>
          </w:tcPr>
          <w:p>
            <w:pPr>
              <w:spacing w:after="40" w:before="0" w:line="259" w:lineRule="auto"/>
            </w:pPr>
            <w:r>
              <w:rPr>
                <w:rFonts w:ascii="Calibri" w:hAnsi="Calibri"/>
                <w:b w:val="0"/>
                <w:i w:val="0"/>
                <w:color w:val="212121"/>
                <w:sz w:val="16"/>
              </w:rPr>
              <w:t>Identifies a key, correctable biomechanical driver (equinus)</w:t>
            </w:r>
          </w:p>
        </w:tc>
        <w:tc>
          <w:tcPr>
            <w:tcW w:type="dxa" w:w="1036"/>
            <w:vAlign w:val="top"/>
          </w:tcPr>
          <w:p>
            <w:pPr>
              <w:spacing w:after="40" w:before="0" w:line="259" w:lineRule="auto"/>
            </w:pPr>
            <w:r>
              <w:rPr>
                <w:rFonts w:ascii="Calibri" w:hAnsi="Calibri"/>
                <w:b w:val="0"/>
                <w:i w:val="0"/>
                <w:color w:val="212121"/>
                <w:sz w:val="16"/>
              </w:rPr>
              <w:t>Athletes, patients with tight calves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targeted calf stretching / gastrocnemius recession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Foot posture / arch assessment</w:t>
            </w:r>
          </w:p>
        </w:tc>
        <w:tc>
          <w:tcPr>
            <w:tcW w:type="dxa" w:w="979"/>
            <w:vAlign w:val="top"/>
          </w:tcPr>
          <w:p>
            <w:pPr>
              <w:spacing w:after="40" w:before="0" w:line="259" w:lineRule="auto"/>
            </w:pPr>
            <w:r>
              <w:rPr>
                <w:rFonts w:ascii="Calibri" w:hAnsi="Calibri"/>
                <w:b w:val="0"/>
                <w:i w:val="0"/>
                <w:color w:val="212121"/>
                <w:sz w:val="16"/>
              </w:rPr>
              <w:t>Arch height, navicular drop, pronation</w:t>
            </w:r>
          </w:p>
        </w:tc>
        <w:tc>
          <w:tcPr>
            <w:tcW w:type="dxa" w:w="950"/>
            <w:vAlign w:val="top"/>
          </w:tcPr>
          <w:p>
            <w:pPr>
              <w:spacing w:after="40" w:before="0" w:line="259" w:lineRule="auto"/>
            </w:pPr>
            <w:r>
              <w:rPr>
                <w:rFonts w:ascii="Calibri" w:hAnsi="Calibri"/>
                <w:b w:val="0"/>
                <w:i w:val="0"/>
                <w:color w:val="212121"/>
                <w:sz w:val="16"/>
              </w:rPr>
              <w:t>Neutral arch, balanced pronation</w:t>
            </w:r>
          </w:p>
        </w:tc>
        <w:tc>
          <w:tcPr>
            <w:tcW w:type="dxa" w:w="950"/>
            <w:vAlign w:val="top"/>
          </w:tcPr>
          <w:p>
            <w:pPr>
              <w:spacing w:after="40" w:before="0" w:line="259" w:lineRule="auto"/>
            </w:pPr>
            <w:r>
              <w:rPr>
                <w:rFonts w:ascii="Calibri" w:hAnsi="Calibri"/>
                <w:b w:val="0"/>
                <w:i w:val="0"/>
                <w:color w:val="212121"/>
                <w:sz w:val="16"/>
              </w:rPr>
              <w:t>Pes planus/over-pronation or pes cavus</w:t>
            </w:r>
          </w:p>
        </w:tc>
        <w:tc>
          <w:tcPr>
            <w:tcW w:type="dxa" w:w="1036"/>
            <w:vAlign w:val="top"/>
          </w:tcPr>
          <w:p>
            <w:pPr>
              <w:spacing w:after="40" w:before="0" w:line="259" w:lineRule="auto"/>
            </w:pPr>
            <w:r>
              <w:rPr>
                <w:rFonts w:ascii="Calibri" w:hAnsi="Calibri"/>
                <w:b w:val="0"/>
                <w:i w:val="0"/>
                <w:color w:val="212121"/>
                <w:sz w:val="16"/>
              </w:rPr>
              <w:t>Abnormal loading predisposes to onset and recurrence</w:t>
            </w:r>
          </w:p>
        </w:tc>
        <w:tc>
          <w:tcPr>
            <w:tcW w:type="dxa" w:w="1036"/>
            <w:vAlign w:val="top"/>
          </w:tcPr>
          <w:p>
            <w:pPr>
              <w:spacing w:after="40" w:before="0" w:line="259" w:lineRule="auto"/>
            </w:pPr>
            <w:r>
              <w:rPr>
                <w:rFonts w:ascii="Calibri" w:hAnsi="Calibri"/>
                <w:b w:val="0"/>
                <w:i w:val="0"/>
                <w:color w:val="212121"/>
                <w:sz w:val="16"/>
              </w:rPr>
              <w:t>Flat-footed or high-arched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Identifies orthotic candidates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Heel fat-pad &amp; gait</w:t>
            </w:r>
          </w:p>
        </w:tc>
        <w:tc>
          <w:tcPr>
            <w:tcW w:type="dxa" w:w="979"/>
            <w:vAlign w:val="top"/>
          </w:tcPr>
          <w:p>
            <w:pPr>
              <w:spacing w:after="40" w:before="0" w:line="259" w:lineRule="auto"/>
            </w:pPr>
            <w:r>
              <w:rPr>
                <w:rFonts w:ascii="Calibri" w:hAnsi="Calibri"/>
                <w:b w:val="0"/>
                <w:i w:val="0"/>
                <w:color w:val="212121"/>
                <w:sz w:val="16"/>
              </w:rPr>
              <w:t>Fat-pad thickness, gait pattern</w:t>
            </w:r>
          </w:p>
        </w:tc>
        <w:tc>
          <w:tcPr>
            <w:tcW w:type="dxa" w:w="950"/>
            <w:vAlign w:val="top"/>
          </w:tcPr>
          <w:p>
            <w:pPr>
              <w:spacing w:after="40" w:before="0" w:line="259" w:lineRule="auto"/>
            </w:pPr>
            <w:r>
              <w:rPr>
                <w:rFonts w:ascii="Calibri" w:hAnsi="Calibri"/>
                <w:b w:val="0"/>
                <w:i w:val="0"/>
                <w:color w:val="212121"/>
                <w:sz w:val="16"/>
              </w:rPr>
              <w:t>Intact pad, symmetric gait</w:t>
            </w:r>
          </w:p>
        </w:tc>
        <w:tc>
          <w:tcPr>
            <w:tcW w:type="dxa" w:w="950"/>
            <w:vAlign w:val="top"/>
          </w:tcPr>
          <w:p>
            <w:pPr>
              <w:spacing w:after="40" w:before="0" w:line="259" w:lineRule="auto"/>
            </w:pPr>
            <w:r>
              <w:rPr>
                <w:rFonts w:ascii="Calibri" w:hAnsi="Calibri"/>
                <w:b w:val="0"/>
                <w:i w:val="0"/>
                <w:color w:val="212121"/>
                <w:sz w:val="16"/>
              </w:rPr>
              <w:t>Fat-pad atrophy, antalgic/heel-sparing gait</w:t>
            </w:r>
          </w:p>
        </w:tc>
        <w:tc>
          <w:tcPr>
            <w:tcW w:type="dxa" w:w="1036"/>
            <w:vAlign w:val="top"/>
          </w:tcPr>
          <w:p>
            <w:pPr>
              <w:spacing w:after="40" w:before="0" w:line="259" w:lineRule="auto"/>
            </w:pPr>
            <w:r>
              <w:rPr>
                <w:rFonts w:ascii="Calibri" w:hAnsi="Calibri"/>
                <w:b w:val="0"/>
                <w:i w:val="0"/>
                <w:color w:val="212121"/>
                <w:sz w:val="16"/>
              </w:rPr>
              <w:t>Distinguishes heel fat-pad syndrome and gauges functional severity</w:t>
            </w:r>
          </w:p>
        </w:tc>
        <w:tc>
          <w:tcPr>
            <w:tcW w:type="dxa" w:w="1036"/>
            <w:vAlign w:val="top"/>
          </w:tcPr>
          <w:p>
            <w:pPr>
              <w:spacing w:after="40" w:before="0" w:line="259" w:lineRule="auto"/>
            </w:pPr>
            <w:r>
              <w:rPr>
                <w:rFonts w:ascii="Calibri" w:hAnsi="Calibri"/>
                <w:b w:val="0"/>
                <w:i w:val="0"/>
                <w:color w:val="212121"/>
                <w:sz w:val="16"/>
              </w:rPr>
              <w:t>Elderly, obese, chronic pain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Central heel pain suggests fat-pad rather than fascia origin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Tinel's over tarsal tunnel / Baxter's nerve</w:t>
            </w:r>
          </w:p>
        </w:tc>
        <w:tc>
          <w:tcPr>
            <w:tcW w:type="dxa" w:w="979"/>
            <w:vAlign w:val="top"/>
          </w:tcPr>
          <w:p>
            <w:pPr>
              <w:spacing w:after="40" w:before="0" w:line="259" w:lineRule="auto"/>
            </w:pPr>
            <w:r>
              <w:rPr>
                <w:rFonts w:ascii="Calibri" w:hAnsi="Calibri"/>
                <w:b w:val="0"/>
                <w:i w:val="0"/>
                <w:color w:val="212121"/>
                <w:sz w:val="16"/>
              </w:rPr>
              <w:t>Percussion + plantar sensation</w:t>
            </w:r>
          </w:p>
        </w:tc>
        <w:tc>
          <w:tcPr>
            <w:tcW w:type="dxa" w:w="950"/>
            <w:vAlign w:val="top"/>
          </w:tcPr>
          <w:p>
            <w:pPr>
              <w:spacing w:after="40" w:before="0" w:line="259" w:lineRule="auto"/>
            </w:pPr>
            <w:r>
              <w:rPr>
                <w:rFonts w:ascii="Calibri" w:hAnsi="Calibri"/>
                <w:b w:val="0"/>
                <w:i w:val="0"/>
                <w:color w:val="212121"/>
                <w:sz w:val="16"/>
              </w:rPr>
              <w:t>Negative Tinel, normal sensation</w:t>
            </w:r>
          </w:p>
        </w:tc>
        <w:tc>
          <w:tcPr>
            <w:tcW w:type="dxa" w:w="950"/>
            <w:vAlign w:val="top"/>
          </w:tcPr>
          <w:p>
            <w:pPr>
              <w:spacing w:after="40" w:before="0" w:line="259" w:lineRule="auto"/>
            </w:pPr>
            <w:r>
              <w:rPr>
                <w:rFonts w:ascii="Calibri" w:hAnsi="Calibri"/>
                <w:b w:val="0"/>
                <w:i w:val="0"/>
                <w:color w:val="212121"/>
                <w:sz w:val="16"/>
              </w:rPr>
              <w:t>Positive Tinel, burning/paraesthesia</w:t>
            </w:r>
          </w:p>
        </w:tc>
        <w:tc>
          <w:tcPr>
            <w:tcW w:type="dxa" w:w="1036"/>
            <w:vAlign w:val="top"/>
          </w:tcPr>
          <w:p>
            <w:pPr>
              <w:spacing w:after="40" w:before="0" w:line="259" w:lineRule="auto"/>
            </w:pPr>
            <w:r>
              <w:rPr>
                <w:rFonts w:ascii="Calibri" w:hAnsi="Calibri"/>
                <w:b w:val="0"/>
                <w:i w:val="0"/>
                <w:color w:val="212121"/>
                <w:sz w:val="16"/>
              </w:rPr>
              <w:t>Detects nerve entrapment that mimics or coexists with plantar fasciitis</w:t>
            </w:r>
          </w:p>
        </w:tc>
        <w:tc>
          <w:tcPr>
            <w:tcW w:type="dxa" w:w="1036"/>
            <w:vAlign w:val="top"/>
          </w:tcPr>
          <w:p>
            <w:pPr>
              <w:spacing w:after="40" w:before="0" w:line="259" w:lineRule="auto"/>
            </w:pPr>
            <w:r>
              <w:rPr>
                <w:rFonts w:ascii="Calibri" w:hAnsi="Calibri"/>
                <w:b w:val="0"/>
                <w:i w:val="0"/>
                <w:color w:val="212121"/>
                <w:sz w:val="16"/>
              </w:rPr>
              <w:t>Burning or radiating heel pain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Identifies the neurogenic subtype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lifestyle &amp; footwear history</w:t>
            </w:r>
          </w:p>
        </w:tc>
        <w:tc>
          <w:tcPr>
            <w:tcW w:type="dxa" w:w="979"/>
            <w:vAlign w:val="top"/>
          </w:tcPr>
          <w:p>
            <w:pPr>
              <w:spacing w:after="40" w:before="0" w:line="259" w:lineRule="auto"/>
            </w:pPr>
            <w:r>
              <w:rPr>
                <w:rFonts w:ascii="Calibri" w:hAnsi="Calibri"/>
                <w:b w:val="0"/>
                <w:i w:val="0"/>
                <w:color w:val="212121"/>
                <w:sz w:val="16"/>
              </w:rPr>
              <w:t>Standing hours, activity change, footwear, BMI, comorbidity</w:t>
            </w:r>
          </w:p>
        </w:tc>
        <w:tc>
          <w:tcPr>
            <w:tcW w:type="dxa" w:w="950"/>
            <w:vAlign w:val="top"/>
          </w:tcPr>
          <w:p>
            <w:pPr>
              <w:spacing w:after="40" w:before="0" w:line="259" w:lineRule="auto"/>
            </w:pPr>
            <w:r>
              <w:rPr>
                <w:rFonts w:ascii="Calibri" w:hAnsi="Calibri"/>
                <w:b w:val="0"/>
                <w:i w:val="0"/>
                <w:color w:val="212121"/>
                <w:sz w:val="16"/>
              </w:rPr>
              <w:t>Supportive footwear, gradual load, healthy BMI</w:t>
            </w:r>
          </w:p>
        </w:tc>
        <w:tc>
          <w:tcPr>
            <w:tcW w:type="dxa" w:w="950"/>
            <w:vAlign w:val="top"/>
          </w:tcPr>
          <w:p>
            <w:pPr>
              <w:spacing w:after="40" w:before="0" w:line="259" w:lineRule="auto"/>
            </w:pPr>
            <w:r>
              <w:rPr>
                <w:rFonts w:ascii="Calibri" w:hAnsi="Calibri"/>
                <w:b w:val="0"/>
                <w:i w:val="0"/>
                <w:color w:val="212121"/>
                <w:sz w:val="16"/>
              </w:rPr>
              <w:t>Prolonged standing, sudden ↑ running, worn/flat shoes, high BMI, diabetes</w:t>
            </w:r>
          </w:p>
        </w:tc>
        <w:tc>
          <w:tcPr>
            <w:tcW w:type="dxa" w:w="1036"/>
            <w:vAlign w:val="top"/>
          </w:tcPr>
          <w:p>
            <w:pPr>
              <w:spacing w:after="40" w:before="0" w:line="259" w:lineRule="auto"/>
            </w:pPr>
            <w:r>
              <w:rPr>
                <w:rFonts w:ascii="Calibri" w:hAnsi="Calibri"/>
                <w:b w:val="0"/>
                <w:i w:val="0"/>
                <w:color w:val="212121"/>
                <w:sz w:val="16"/>
              </w:rPr>
              <w:t>Identifies modifiable drivers to target in management</w:t>
            </w:r>
          </w:p>
        </w:tc>
        <w:tc>
          <w:tcPr>
            <w:tcW w:type="dxa" w:w="1036"/>
            <w:vAlign w:val="top"/>
          </w:tcPr>
          <w:p>
            <w:pPr>
              <w:spacing w:after="40" w:before="0" w:line="259" w:lineRule="auto"/>
            </w:pPr>
            <w:r>
              <w:rPr>
                <w:rFonts w:ascii="Calibri" w:hAnsi="Calibri"/>
                <w:b w:val="0"/>
                <w:i w:val="0"/>
                <w:color w:val="212121"/>
                <w:sz w:val="16"/>
              </w:rPr>
              <w:t>Standing workers, runners, overweight/obese, diabetics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footwear, weight and activity advice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First-step (post-static) heel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inferior/medial heel pain with the first few steps on rising in the morning or after prolonged rest — the hallmark symptom.</w:t>
            </w:r>
          </w:p>
        </w:tc>
      </w:tr>
      <w:tr>
        <w:trPr>
          <w:cantSplit/>
        </w:trPr>
        <w:tc>
          <w:tcPr>
            <w:tcW w:type="dxa" w:w="2304"/>
            <w:vAlign w:val="top"/>
          </w:tcPr>
          <w:p>
            <w:pPr>
              <w:spacing w:after="40" w:before="0" w:line="259" w:lineRule="auto"/>
            </w:pPr>
            <w:r>
              <w:rPr>
                <w:rFonts w:ascii="Calibri" w:hAnsi="Calibri"/>
                <w:b/>
                <w:i w:val="0"/>
                <w:color w:val="212121"/>
                <w:sz w:val="19"/>
              </w:rPr>
              <w:t>Inferior/medial heel pain on weight-bearing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Plantar heel pain that worsens with prolonged standing or walking, especially on hard surfaces.</w:t>
            </w:r>
          </w:p>
        </w:tc>
      </w:tr>
      <w:tr>
        <w:trPr>
          <w:cantSplit/>
        </w:trPr>
        <w:tc>
          <w:tcPr>
            <w:tcW w:type="dxa" w:w="2304"/>
            <w:vAlign w:val="top"/>
          </w:tcPr>
          <w:p>
            <w:pPr>
              <w:spacing w:after="40" w:before="0" w:line="259" w:lineRule="auto"/>
            </w:pPr>
            <w:r>
              <w:rPr>
                <w:rFonts w:ascii="Calibri" w:hAnsi="Calibri"/>
                <w:b/>
                <w:i w:val="0"/>
                <w:color w:val="212121"/>
                <w:sz w:val="19"/>
              </w:rPr>
              <w:t>Pain that eases with activity then returns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Improves after the fascia 'warms up' with initial movement, then intensifies later in the day or after long standing.</w:t>
            </w:r>
          </w:p>
        </w:tc>
      </w:tr>
      <w:tr>
        <w:trPr>
          <w:cantSplit/>
        </w:trPr>
        <w:tc>
          <w:tcPr>
            <w:tcW w:type="dxa" w:w="2304"/>
            <w:vAlign w:val="top"/>
          </w:tcPr>
          <w:p>
            <w:pPr>
              <w:spacing w:after="40" w:before="0" w:line="259" w:lineRule="auto"/>
            </w:pPr>
            <w:r>
              <w:rPr>
                <w:rFonts w:ascii="Calibri" w:hAnsi="Calibri"/>
                <w:b/>
                <w:i w:val="0"/>
                <w:color w:val="212121"/>
                <w:sz w:val="19"/>
              </w:rPr>
              <w:t>Tenderness at the bottom of the heel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Localised soreness felt at the medial calcaneal tuberosity.</w:t>
            </w:r>
          </w:p>
        </w:tc>
      </w:tr>
      <w:tr>
        <w:trPr>
          <w:cantSplit/>
        </w:trPr>
        <w:tc>
          <w:tcPr>
            <w:tcW w:type="dxa" w:w="2304"/>
            <w:vAlign w:val="top"/>
          </w:tcPr>
          <w:p>
            <w:pPr>
              <w:spacing w:after="40" w:before="0" w:line="259" w:lineRule="auto"/>
            </w:pPr>
            <w:r>
              <w:rPr>
                <w:rFonts w:ascii="Calibri" w:hAnsi="Calibri"/>
                <w:b/>
                <w:i w:val="0"/>
                <w:color w:val="212121"/>
                <w:sz w:val="19"/>
              </w:rPr>
              <w:t>Pain on stairs or standing on tip-toes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Toe dorsiflexion and push-off tension the fascia via the windlass mechanism, provoking pain.</w:t>
            </w:r>
          </w:p>
        </w:tc>
      </w:tr>
      <w:tr>
        <w:trPr>
          <w:cantSplit/>
        </w:trPr>
        <w:tc>
          <w:tcPr>
            <w:tcW w:type="dxa" w:w="2304"/>
            <w:vAlign w:val="top"/>
          </w:tcPr>
          <w:p>
            <w:pPr>
              <w:spacing w:after="40" w:before="0" w:line="259" w:lineRule="auto"/>
            </w:pPr>
            <w:r>
              <w:rPr>
                <w:rFonts w:ascii="Calibri" w:hAnsi="Calibri"/>
                <w:b/>
                <w:i w:val="0"/>
                <w:color w:val="212121"/>
                <w:sz w:val="19"/>
              </w:rPr>
              <w:t>Morning stiffness of the sole/arch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Tightness along the plantar arch, most marked on first weight-bearing after rest.</w:t>
            </w:r>
          </w:p>
        </w:tc>
      </w:tr>
      <w:tr>
        <w:trPr>
          <w:cantSplit/>
        </w:trPr>
        <w:tc>
          <w:tcPr>
            <w:tcW w:type="dxa" w:w="2304"/>
            <w:vAlign w:val="top"/>
          </w:tcPr>
          <w:p>
            <w:pPr>
              <w:spacing w:after="40" w:before="0" w:line="259" w:lineRule="auto"/>
            </w:pPr>
            <w:r>
              <w:rPr>
                <w:rFonts w:ascii="Calibri" w:hAnsi="Calibri"/>
                <w:b/>
                <w:i w:val="0"/>
                <w:color w:val="212121"/>
                <w:sz w:val="19"/>
              </w:rPr>
              <w:t>Pain worse barefoot or on hard floors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Walking barefoot or in unsupportive footwear increases heel impact and symptoms.</w:t>
            </w:r>
          </w:p>
        </w:tc>
      </w:tr>
      <w:tr>
        <w:trPr>
          <w:cantSplit/>
        </w:trPr>
        <w:tc>
          <w:tcPr>
            <w:tcW w:type="dxa" w:w="2304"/>
            <w:vAlign w:val="top"/>
          </w:tcPr>
          <w:p>
            <w:pPr>
              <w:spacing w:after="40" w:before="0" w:line="259" w:lineRule="auto"/>
            </w:pPr>
            <w:r>
              <w:rPr>
                <w:rFonts w:ascii="Calibri" w:hAnsi="Calibri"/>
                <w:b/>
                <w:i w:val="0"/>
                <w:color w:val="212121"/>
                <w:sz w:val="19"/>
              </w:rPr>
              <w:t>Pain after (rather than during) exercise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runners the pain often peaks after activity or the following morning.</w:t>
            </w:r>
          </w:p>
        </w:tc>
      </w:tr>
      <w:tr>
        <w:trPr>
          <w:cantSplit/>
        </w:trPr>
        <w:tc>
          <w:tcPr>
            <w:tcW w:type="dxa" w:w="2304"/>
            <w:vAlign w:val="top"/>
          </w:tcPr>
          <w:p>
            <w:pPr>
              <w:spacing w:after="40" w:before="0" w:line="259" w:lineRule="auto"/>
            </w:pPr>
            <w:r>
              <w:rPr>
                <w:rFonts w:ascii="Calibri" w:hAnsi="Calibri"/>
                <w:b/>
                <w:i w:val="0"/>
                <w:color w:val="212121"/>
                <w:sz w:val="19"/>
              </w:rPr>
              <w:t>Aching radiating along the medial arch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Discomfort spreading from the heel forward along the medial longitudinal arch.</w:t>
            </w:r>
          </w:p>
        </w:tc>
      </w:tr>
      <w:tr>
        <w:trPr>
          <w:cantSplit/>
        </w:trPr>
        <w:tc>
          <w:tcPr>
            <w:tcW w:type="dxa" w:w="2304"/>
            <w:vAlign w:val="top"/>
          </w:tcPr>
          <w:p>
            <w:pPr>
              <w:spacing w:after="40" w:before="0" w:line="259" w:lineRule="auto"/>
            </w:pPr>
            <w:r>
              <w:rPr>
                <w:rFonts w:ascii="Calibri" w:hAnsi="Calibri"/>
                <w:b/>
                <w:i w:val="0"/>
                <w:color w:val="212121"/>
                <w:sz w:val="19"/>
              </w:rPr>
              <w:t>Burning or tingling in the heel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coexisting nerve involvement (Baxter's nerve / tarsal tunnel syndrome).</w:t>
            </w:r>
          </w:p>
        </w:tc>
      </w:tr>
      <w:tr>
        <w:trPr>
          <w:cantSplit/>
        </w:trPr>
        <w:tc>
          <w:tcPr>
            <w:tcW w:type="dxa" w:w="2304"/>
            <w:vAlign w:val="top"/>
          </w:tcPr>
          <w:p>
            <w:pPr>
              <w:spacing w:after="40" w:before="0" w:line="259" w:lineRule="auto"/>
            </w:pPr>
            <w:r>
              <w:rPr>
                <w:rFonts w:ascii="Calibri" w:hAnsi="Calibri"/>
                <w:b/>
                <w:i w:val="0"/>
                <w:color w:val="212121"/>
                <w:sz w:val="19"/>
              </w:rPr>
              <w:t>Bilateral heel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About one-third of cases are bilateral; in a young adult this should prompt consideration of inflammatory spondyloarthropathy.</w:t>
            </w:r>
          </w:p>
        </w:tc>
      </w:tr>
      <w:tr>
        <w:trPr>
          <w:cantSplit/>
        </w:trPr>
        <w:tc>
          <w:tcPr>
            <w:tcW w:type="dxa" w:w="2304"/>
            <w:vAlign w:val="top"/>
          </w:tcPr>
          <w:p>
            <w:pPr>
              <w:spacing w:after="40" w:before="0" w:line="259" w:lineRule="auto"/>
            </w:pPr>
            <w:r>
              <w:rPr>
                <w:rFonts w:ascii="Calibri" w:hAnsi="Calibri"/>
                <w:b/>
                <w:i w:val="0"/>
                <w:color w:val="212121"/>
                <w:sz w:val="19"/>
              </w:rPr>
              <w:t>Antalgic limp / altered walking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Off-loading the painful heel changes gait and can strain other joints.</w:t>
            </w:r>
          </w:p>
        </w:tc>
      </w:tr>
      <w:tr>
        <w:trPr>
          <w:cantSplit/>
        </w:trPr>
        <w:tc>
          <w:tcPr>
            <w:tcW w:type="dxa" w:w="2304"/>
            <w:vAlign w:val="top"/>
          </w:tcPr>
          <w:p>
            <w:pPr>
              <w:spacing w:after="40" w:before="0" w:line="259" w:lineRule="auto"/>
            </w:pPr>
            <w:r>
              <w:rPr>
                <w:rFonts w:ascii="Calibri" w:hAnsi="Calibri"/>
                <w:b/>
                <w:i w:val="0"/>
                <w:color w:val="212121"/>
                <w:sz w:val="19"/>
              </w:rPr>
              <w:t>Persistent night or rest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simple plantar fasciitis; if prominent, reconsider infection, tumour or calcaneal stress fracture.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Point tenderness at the medial calcaneal tuberosity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tenderness at the fascia origin — the most reliable examination finding.</w:t>
            </w:r>
          </w:p>
        </w:tc>
      </w:tr>
      <w:tr>
        <w:trPr>
          <w:cantSplit/>
        </w:trPr>
        <w:tc>
          <w:tcPr>
            <w:tcW w:type="dxa" w:w="3456"/>
            <w:vAlign w:val="top"/>
          </w:tcPr>
          <w:p>
            <w:pPr>
              <w:spacing w:after="40" w:before="0" w:line="259" w:lineRule="auto"/>
            </w:pPr>
            <w:r>
              <w:rPr>
                <w:rFonts w:ascii="Calibri" w:hAnsi="Calibri"/>
                <w:b/>
                <w:i w:val="0"/>
                <w:color w:val="212121"/>
                <w:sz w:val="19"/>
              </w:rPr>
              <w:t>Positive Windlass (Jack)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Passive dorsiflexion of the great toe/ankle reproduces heel pain by tensioning the fascia.</w:t>
            </w:r>
          </w:p>
        </w:tc>
      </w:tr>
      <w:tr>
        <w:trPr>
          <w:cantSplit/>
        </w:trPr>
        <w:tc>
          <w:tcPr>
            <w:tcW w:type="dxa" w:w="3456"/>
            <w:vAlign w:val="top"/>
          </w:tcPr>
          <w:p>
            <w:pPr>
              <w:spacing w:after="40" w:before="0" w:line="259" w:lineRule="auto"/>
            </w:pPr>
            <w:r>
              <w:rPr>
                <w:rFonts w:ascii="Calibri" w:hAnsi="Calibri"/>
                <w:b/>
                <w:i w:val="0"/>
                <w:color w:val="212121"/>
                <w:sz w:val="19"/>
              </w:rPr>
              <w:t>Pain on passive ankle/toe dorsiflexion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Stretching the fascia elicits characteristic plantar heel pain.</w:t>
            </w:r>
          </w:p>
        </w:tc>
      </w:tr>
      <w:tr>
        <w:trPr>
          <w:cantSplit/>
        </w:trPr>
        <w:tc>
          <w:tcPr>
            <w:tcW w:type="dxa" w:w="3456"/>
            <w:vAlign w:val="top"/>
          </w:tcPr>
          <w:p>
            <w:pPr>
              <w:spacing w:after="40" w:before="0" w:line="259" w:lineRule="auto"/>
            </w:pPr>
            <w:r>
              <w:rPr>
                <w:rFonts w:ascii="Calibri" w:hAnsi="Calibri"/>
                <w:b/>
                <w:i w:val="0"/>
                <w:color w:val="212121"/>
                <w:sz w:val="19"/>
              </w:rPr>
              <w:t>Limited ankle dorsiflexion / tight Achilles (equinus)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dorsiflexion; the Silfverskiöld test differentiates gastrocnemius from soleus tightness.</w:t>
            </w:r>
          </w:p>
        </w:tc>
      </w:tr>
      <w:tr>
        <w:trPr>
          <w:cantSplit/>
        </w:trPr>
        <w:tc>
          <w:tcPr>
            <w:tcW w:type="dxa" w:w="3456"/>
            <w:vAlign w:val="top"/>
          </w:tcPr>
          <w:p>
            <w:pPr>
              <w:spacing w:after="40" w:before="0" w:line="259" w:lineRule="auto"/>
            </w:pPr>
            <w:r>
              <w:rPr>
                <w:rFonts w:ascii="Calibri" w:hAnsi="Calibri"/>
                <w:b/>
                <w:i w:val="0"/>
                <w:color w:val="212121"/>
                <w:sz w:val="19"/>
              </w:rPr>
              <w:t>Tenderness/thickening along the medial fascia band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tenderness, sometimes with a thickened cord, along the proximal medial band.</w:t>
            </w:r>
          </w:p>
        </w:tc>
      </w:tr>
      <w:tr>
        <w:trPr>
          <w:cantSplit/>
        </w:trPr>
        <w:tc>
          <w:tcPr>
            <w:tcW w:type="dxa" w:w="3456"/>
            <w:vAlign w:val="top"/>
          </w:tcPr>
          <w:p>
            <w:pPr>
              <w:spacing w:after="40" w:before="0" w:line="259" w:lineRule="auto"/>
            </w:pPr>
            <w:r>
              <w:rPr>
                <w:rFonts w:ascii="Calibri" w:hAnsi="Calibri"/>
                <w:b/>
                <w:i w:val="0"/>
                <w:color w:val="212121"/>
                <w:sz w:val="19"/>
              </w:rPr>
              <w:t>Pes planus or pes cavus on weight-bearing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Abnormal arch height noted on standing inspection.</w:t>
            </w:r>
          </w:p>
        </w:tc>
      </w:tr>
      <w:tr>
        <w:trPr>
          <w:cantSplit/>
        </w:trPr>
        <w:tc>
          <w:tcPr>
            <w:tcW w:type="dxa" w:w="3456"/>
            <w:vAlign w:val="top"/>
          </w:tcPr>
          <w:p>
            <w:pPr>
              <w:spacing w:after="40" w:before="0" w:line="259" w:lineRule="auto"/>
            </w:pPr>
            <w:r>
              <w:rPr>
                <w:rFonts w:ascii="Calibri" w:hAnsi="Calibri"/>
                <w:b/>
                <w:i w:val="0"/>
                <w:color w:val="212121"/>
                <w:sz w:val="19"/>
              </w:rPr>
              <w:t>Over-pronation on gait analysis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Excessive foot pronation during stance/heel-strike observed on gait assessment.</w:t>
            </w:r>
          </w:p>
        </w:tc>
      </w:tr>
      <w:tr>
        <w:trPr>
          <w:cantSplit/>
        </w:trPr>
        <w:tc>
          <w:tcPr>
            <w:tcW w:type="dxa" w:w="3456"/>
            <w:vAlign w:val="top"/>
          </w:tcPr>
          <w:p>
            <w:pPr>
              <w:spacing w:after="40" w:before="0" w:line="259" w:lineRule="auto"/>
            </w:pPr>
            <w:r>
              <w:rPr>
                <w:rFonts w:ascii="Calibri" w:hAnsi="Calibri"/>
                <w:b/>
                <w:i w:val="0"/>
                <w:color w:val="212121"/>
                <w:sz w:val="19"/>
              </w:rPr>
              <w:t>Antalgic, heel-sparing gait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patient avoids loading the painful heel, shortening the stance phase.</w:t>
            </w:r>
          </w:p>
        </w:tc>
      </w:tr>
      <w:tr>
        <w:trPr>
          <w:cantSplit/>
        </w:trPr>
        <w:tc>
          <w:tcPr>
            <w:tcW w:type="dxa" w:w="3456"/>
            <w:vAlign w:val="top"/>
          </w:tcPr>
          <w:p>
            <w:pPr>
              <w:spacing w:after="40" w:before="0" w:line="259" w:lineRule="auto"/>
            </w:pPr>
            <w:r>
              <w:rPr>
                <w:rFonts w:ascii="Calibri" w:hAnsi="Calibri"/>
                <w:b/>
                <w:i w:val="0"/>
                <w:color w:val="212121"/>
                <w:sz w:val="19"/>
              </w:rPr>
              <w:t>Heel fat-pad atrophy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Thinned heel pad with central heel tenderness, especially in the elderly.</w:t>
            </w:r>
          </w:p>
        </w:tc>
      </w:tr>
      <w:tr>
        <w:trPr>
          <w:cantSplit/>
        </w:trPr>
        <w:tc>
          <w:tcPr>
            <w:tcW w:type="dxa" w:w="3456"/>
            <w:vAlign w:val="top"/>
          </w:tcPr>
          <w:p>
            <w:pPr>
              <w:spacing w:after="40" w:before="0" w:line="259" w:lineRule="auto"/>
            </w:pPr>
            <w:r>
              <w:rPr>
                <w:rFonts w:ascii="Calibri" w:hAnsi="Calibri"/>
                <w:b/>
                <w:i w:val="0"/>
                <w:color w:val="212121"/>
                <w:sz w:val="19"/>
              </w:rPr>
              <w:t>Positive Tinel's over the tarsal tunnel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Percussion reproduces tingling, suggesting nerve entrapment mimicking plantar fasciitis.</w:t>
            </w:r>
          </w:p>
        </w:tc>
      </w:tr>
      <w:tr>
        <w:trPr>
          <w:cantSplit/>
        </w:trPr>
        <w:tc>
          <w:tcPr>
            <w:tcW w:type="dxa" w:w="3456"/>
            <w:vAlign w:val="top"/>
          </w:tcPr>
          <w:p>
            <w:pPr>
              <w:spacing w:after="40" w:before="0" w:line="259" w:lineRule="auto"/>
            </w:pPr>
            <w:r>
              <w:rPr>
                <w:rFonts w:ascii="Calibri" w:hAnsi="Calibri"/>
                <w:b/>
                <w:i w:val="0"/>
                <w:color w:val="212121"/>
                <w:sz w:val="19"/>
              </w:rPr>
              <w:t>Palpable/tender calcaneal spur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palpable; the inferior calcaneal spur is incidental and non-causal.</w:t>
            </w:r>
          </w:p>
        </w:tc>
      </w:tr>
      <w:tr>
        <w:trPr>
          <w:cantSplit/>
        </w:trPr>
        <w:tc>
          <w:tcPr>
            <w:tcW w:type="dxa" w:w="3456"/>
            <w:vAlign w:val="top"/>
          </w:tcPr>
          <w:p>
            <w:pPr>
              <w:spacing w:after="40" w:before="0" w:line="259" w:lineRule="auto"/>
            </w:pPr>
            <w:r>
              <w:rPr>
                <w:rFonts w:ascii="Calibri" w:hAnsi="Calibri"/>
                <w:b/>
                <w:i w:val="0"/>
                <w:color w:val="212121"/>
                <w:sz w:val="19"/>
              </w:rPr>
              <w:t>Enthesitis at other sites or dactylitis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If present, points to an underlying seronegative spondyloarthropathy.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recalcitrant plantar fasciitis (persisting &gt; 6–12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degenerative fasciosis with collagen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Partial plantar fascia tears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inferior heel pain limiting weight-bearing</w:t>
            </w:r>
          </w:p>
        </w:tc>
        <w:tc>
          <w:tcPr>
            <w:tcW w:type="dxa" w:w="2980"/>
            <w:vAlign w:val="top"/>
          </w:tcPr>
          <w:p>
            <w:pPr>
              <w:spacing w:after="40" w:before="0" w:line="259" w:lineRule="auto"/>
            </w:pPr>
            <w:r>
              <w:rPr>
                <w:rFonts w:ascii="Calibri" w:hAnsi="Calibri"/>
                <w:b w:val="0"/>
                <w:i w:val="0"/>
                <w:color w:val="212121"/>
                <w:sz w:val="19"/>
              </w:rPr>
              <w:t>Direct consequences of ongoing fascia overload and failed reparative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Altered/antalgic gait causing secondary knee, hip and low-back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Overload of the contralateral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Heel fat-pad atrophy (accelerated by repeated corticosteroid injections)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Plantar fascia rupture (notably after repeated steroid injections)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physical activity leading to weight gain and deconditioning</w:t>
            </w:r>
          </w:p>
        </w:tc>
        <w:tc>
          <w:tcPr>
            <w:tcW w:type="dxa" w:w="2980"/>
            <w:vAlign w:val="top"/>
          </w:tcPr>
          <w:p>
            <w:pPr>
              <w:spacing w:after="40" w:before="0" w:line="259" w:lineRule="auto"/>
            </w:pPr>
            <w:r>
              <w:rPr>
                <w:rFonts w:ascii="Calibri" w:hAnsi="Calibri"/>
                <w:b w:val="0"/>
                <w:i w:val="0"/>
                <w:color w:val="212121"/>
                <w:sz w:val="19"/>
              </w:rPr>
              <w:t>Result from compensatory biomechanics, off-loading behaviour and treatment side-effects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with reduced quality of life and work absenteeism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Deconditioning-related weight gain worsening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complications after fasciotomy (arch/lateral-column instability, nerve injury, incomplete relief)</w:t>
            </w:r>
          </w:p>
        </w:tc>
        <w:tc>
          <w:tcPr>
            <w:tcW w:type="dxa" w:w="2980"/>
            <w:vAlign w:val="top"/>
          </w:tcPr>
          <w:p>
            <w:pPr>
              <w:spacing w:after="40" w:before="0" w:line="259" w:lineRule="auto"/>
            </w:pPr>
            <w:r>
              <w:rPr>
                <w:rFonts w:ascii="Calibri" w:hAnsi="Calibri"/>
                <w:b w:val="0"/>
                <w:i w:val="0"/>
                <w:color w:val="212121"/>
                <w:sz w:val="19"/>
              </w:rPr>
              <w:t>Irreversible or disabling outcomes of longstanding, poorly-controlled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 / raised BMI</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obesity increases axial load on the fascia and adds a pro-inflammatory metabolic state — the strongest modifiable association.</w:t>
            </w:r>
          </w:p>
          <w:p>
            <w:pPr>
              <w:spacing w:after="40" w:before="0" w:line="259" w:lineRule="auto"/>
            </w:pPr>
            <w:r>
              <w:rPr>
                <w:rFonts w:ascii="Calibri" w:hAnsi="Calibri"/>
                <w:b/>
                <w:i w:val="0"/>
                <w:color w:val="212121"/>
                <w:sz w:val="19"/>
              </w:rPr>
              <w:t>Up to ~70%</w:t>
            </w:r>
          </w:p>
        </w:tc>
      </w:tr>
      <w:tr>
        <w:trPr>
          <w:cantSplit/>
        </w:trPr>
        <w:tc>
          <w:tcPr>
            <w:tcW w:type="dxa" w:w="2232"/>
            <w:vAlign w:val="top"/>
          </w:tcPr>
          <w:p>
            <w:pPr>
              <w:spacing w:after="40" w:before="0" w:line="259" w:lineRule="auto"/>
            </w:pPr>
            <w:r>
              <w:rPr>
                <w:rFonts w:ascii="Calibri" w:hAnsi="Calibri"/>
                <w:b/>
                <w:i w:val="0"/>
                <w:color w:val="212121"/>
                <w:sz w:val="19"/>
              </w:rPr>
              <w:t>Reduced ankle dorsiflexion / Achilles-gastrocnemius tightness (equinus)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Tight calf raises the tensile load on the plantar fascia; one of the strongest and most correctable biomechanical associations.</w:t>
            </w:r>
          </w:p>
        </w:tc>
      </w:tr>
      <w:tr>
        <w:trPr>
          <w:cantSplit/>
        </w:trPr>
        <w:tc>
          <w:tcPr>
            <w:tcW w:type="dxa" w:w="2232"/>
            <w:vAlign w:val="top"/>
          </w:tcPr>
          <w:p>
            <w:pPr>
              <w:spacing w:after="40" w:before="0" w:line="259" w:lineRule="auto"/>
            </w:pPr>
            <w:r>
              <w:rPr>
                <w:rFonts w:ascii="Calibri" w:hAnsi="Calibri"/>
                <w:b/>
                <w:i w:val="0"/>
                <w:color w:val="212121"/>
                <w:sz w:val="19"/>
              </w:rPr>
              <w:t>Pes planus / pes cavus (foot deformity)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Abnormal arch alters load distribution and predisposes to fascia overload and recurrence.</w:t>
            </w:r>
          </w:p>
          <w:p>
            <w:pPr>
              <w:spacing w:after="40" w:before="0" w:line="259" w:lineRule="auto"/>
            </w:pPr>
            <w:r>
              <w:rPr>
                <w:rFonts w:ascii="Calibri" w:hAnsi="Calibri"/>
                <w:b/>
                <w:i w:val="0"/>
                <w:color w:val="212121"/>
                <w:sz w:val="19"/>
              </w:rPr>
              <w:t>~31% flat foot in a young Indian PF cohort</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AGE-mediated collagen cross-linking thickens and stiffens the fascia; PF incidence is higher in type 2 diabetics (1.31%) than non-diabetics (0.80%).</w:t>
            </w:r>
          </w:p>
        </w:tc>
      </w:tr>
      <w:tr>
        <w:trPr>
          <w:cantSplit/>
        </w:trPr>
        <w:tc>
          <w:tcPr>
            <w:tcW w:type="dxa" w:w="2232"/>
            <w:vAlign w:val="top"/>
          </w:tcPr>
          <w:p>
            <w:pPr>
              <w:spacing w:after="40" w:before="0" w:line="259" w:lineRule="auto"/>
            </w:pPr>
            <w:r>
              <w:rPr>
                <w:rFonts w:ascii="Calibri" w:hAnsi="Calibri"/>
                <w:b/>
                <w:i w:val="0"/>
                <w:color w:val="212121"/>
                <w:sz w:val="19"/>
              </w:rPr>
              <w:t>Seronegative spondyloarthropathy (ankylosing spondylitis, reactive, psoriatic)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enthesitis at the fascia origin; suspect with bilateral heel pain in a young, often HLA-B27-positive patient.</w:t>
            </w:r>
          </w:p>
        </w:tc>
      </w:tr>
      <w:tr>
        <w:trPr>
          <w:cantSplit/>
        </w:trPr>
        <w:tc>
          <w:tcPr>
            <w:tcW w:type="dxa" w:w="2232"/>
            <w:vAlign w:val="top"/>
          </w:tcPr>
          <w:p>
            <w:pPr>
              <w:spacing w:after="40" w:before="0" w:line="259" w:lineRule="auto"/>
            </w:pPr>
            <w:r>
              <w:rPr>
                <w:rFonts w:ascii="Calibri" w:hAnsi="Calibri"/>
                <w:b/>
                <w:i w:val="0"/>
                <w:color w:val="212121"/>
                <w:sz w:val="19"/>
              </w:rPr>
              <w:t>Achilles tendinopathy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posterior heel/calf tendinopathy arising from the same overload and calf-tightness mechanism.</w:t>
            </w:r>
          </w:p>
        </w:tc>
      </w:tr>
      <w:tr>
        <w:trPr>
          <w:cantSplit/>
        </w:trPr>
        <w:tc>
          <w:tcPr>
            <w:tcW w:type="dxa" w:w="2232"/>
            <w:vAlign w:val="top"/>
          </w:tcPr>
          <w:p>
            <w:pPr>
              <w:spacing w:after="40" w:before="0" w:line="259" w:lineRule="auto"/>
            </w:pPr>
            <w:r>
              <w:rPr>
                <w:rFonts w:ascii="Calibri" w:hAnsi="Calibri"/>
                <w:b/>
                <w:i w:val="0"/>
                <w:color w:val="212121"/>
                <w:sz w:val="19"/>
              </w:rPr>
              <w:t>Inferior calcaneal (heel) spur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but is an incidental traction phenomenon and non-causal; does not affect prognosis.</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Gout / hyperuricaemia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 mimic or coexist as a cause of acute heel and enthesis pain, particularly in men and alcohol users.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hallmark warning sign — sharp heel pain with the first steps in the morning or after rest — and seek early advice rather than pushing through.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(18.0–22.9 kg/m²); even modest weight loss reduces load on the fascia.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cushioned, arch-supportive footwear; avoid prolonged barefoot walking on hard floors and replace worn-out shoes.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walking, running or standing loads gradually (≤ 10% per week) and warm up with calf and foot stretches.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standing with sitting/unloading breaks and use cushioned mats at standing workstations.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Stretch the calf (gastrocnemius/soleus) and plantar fascia daily, especially before the first steps of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control diabetes, which thickens and stiffens the fascia and predisposes to heel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Standing-occupation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Runners and weekend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in unsupportive footwear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plantar fascia-specific stretching (cross the leg, pull the toes into dorsiflexion, hold 30 s) several times daily, particularly before first steps.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standing calf stretches and eccentric heel-drop exercises to lengthen a tight gastrocnemius–soleus complex.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the intrinsic foot muscles (towel curls, 'short-foot' exercise, toe splaying) to improve arch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to low-impact cross-training (swimming, cycling) during painful flares to maintain fitness while off-loading the heel.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running gradually with attention to footwear, surface and load progression once pain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night splint for chronic morning pain to keep the fascia gently stretched overnight.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plantar fasciitis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Runners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tight calves/equinus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Chronic/recalcitrant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if BMI ≥ 23 kg/m² (Asian-Indian), as obesity is the leading modifiable risk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calorie-appropriate diet rich in whole grains and millets (ragi, jowar, bajra), pulses, fruit and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deep-fried and sugar-sweetened foods that promote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for connective-tissue repair and correct vitamin-D deficiency, which is common in India and linked to musculoskeletal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meals sensibly and avoid late-night heavy eating to support weight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recurrent PF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connective-tissue repair and pain modulation.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night/rest pain with a night splint and appropriate analgesia so sleep is not disrupted.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daytime standing and weight-bearing so the fascia is not overloaded before rest.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plantar fasciitis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and standing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smoking/tobacco use to improve microcirculation and collagen healing in the poorly-vascularised fascia.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brief counselling and nicotine-replacement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cessation in diabetics and in chronic/refractory cases where healing is already impaired.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chronic/refractory PF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excess contributes to weight gain that loads the fascia.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precipitate gout — a mimic and aggravator of heel/enthesis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use impairs tissue healing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Gout-prone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pain-related distress and catastrophizing, which amplify perceived pain and delay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plantar fasciitis is usually self-limiting, with about 80–90% improving within a year of conservative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pacing and graded return to function to rebuild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cognitive-behavioural strategies or referral for persistent, disabling chronic heel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Chronic/recalcitrant plantar fasciitis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pain-related distress / high FFI</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1073/" TargetMode="External"/><Relationship Id="rId10" Type="http://schemas.openxmlformats.org/officeDocument/2006/relationships/hyperlink" Target="https://emedicine.medscape.com/article/86143-overview" TargetMode="External"/><Relationship Id="rId11" Type="http://schemas.openxmlformats.org/officeDocument/2006/relationships/hyperlink" Target="https://www.worldwidejournals.com/international-journal-of-scientific-research-(IJSR)/recent_issues_pdf/2020/December/prevalence-of-plantar-fasciitis-in-traffic-police-officers-a-cross-sectional-study_December_2020_3596061191_4910634.pdf" TargetMode="External"/><Relationship Id="rId12" Type="http://schemas.openxmlformats.org/officeDocument/2006/relationships/hyperlink" Target="https://www.ijrrjournal.com/IJRR_Vol.12_Issue.2_Feb2025/IJRR21.pdf" TargetMode="External"/><Relationship Id="rId13" Type="http://schemas.openxmlformats.org/officeDocument/2006/relationships/hyperlink" Target="https://scidoc.org/IJDOS-2377-8075-08-3029.php" TargetMode="External"/><Relationship Id="rId14" Type="http://schemas.openxmlformats.org/officeDocument/2006/relationships/hyperlink" Target="https://en.wikipedia.org/wiki/Plantar_fasciitis" TargetMode="External"/><Relationship Id="rId15" Type="http://schemas.openxmlformats.org/officeDocument/2006/relationships/hyperlink" Target="https://www.dovepress.com/plantar-fasciitis-in-diabetic-foot-patients-risk-factors-pathophysiolo-peer-reviewed-fulltext-article-DMSO" TargetMode="External"/><Relationship Id="rId16" Type="http://schemas.openxmlformats.org/officeDocument/2006/relationships/hyperlink" Target="https://theprint.in/health/new-lancet-report-sounds-alarm-over-indias-obesity-crisis-researchers-call-for-5-yr-action-plan/2529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