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Bursitis</w:t>
      </w:r>
    </w:p>
    <w:p>
      <w:pPr>
        <w:spacing w:before="0" w:after="160"/>
      </w:pPr>
      <w:r>
        <w:rPr>
          <w:rFonts w:ascii="Calibri" w:hAnsi="Calibri"/>
          <w:b/>
          <w:i w:val="0"/>
          <w:color w:val="212121"/>
          <w:sz w:val="22"/>
        </w:rPr>
        <w:t xml:space="preserve">AKA </w:t>
      </w:r>
      <w:r>
        <w:rPr>
          <w:rFonts w:ascii="Calibri" w:hAnsi="Calibri"/>
          <w:b w:val="0"/>
          <w:i w:val="0"/>
          <w:color w:val="212121"/>
          <w:sz w:val="22"/>
        </w:rPr>
        <w:t>i.e., Bursal inflammation, Inflamed bursa; site-specific forms include Subacromial (shoulder) bursitis, Olecranon bursitis (“student's / miner's elbow”), Prepatellar bursitis (“housemaid's knee”), Infrapatellar bursitis (“clergyman's knee”), Trochanteric bursitis / Greater Trochanteric Pain Syndrome (hip), Ischial bursitis (“weaver's bottom”), Iliopsoas bursitis, Pes anserine bursitis and Retrocalcaneal bursitis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bursa is a small, synovium-lined, fluid-containing sac situated near bony prominences and between bones, tendons, muscles and skin, where it reduces friction during movement; the body contains over 150 such bursae. Bursitis is inflammation or swelling of a bursa that produces localised pain, tenderness, swelling, warmth and restricted movement of the neighbouring joint. It may be acute or chronic, and is broadly either aseptic (from prolonged pressure, repetitive overuse or microtrauma, direct trauma, crystal deposition or inflammatory arthritis) or septic (infected, most often by Staphylococcus aureus following a breach of the overlying skin). Most superficial bursitis is a clinical diagnosis managed conservatively, but septic and crystal-induced forms require aspiration and targeted treatment.</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lacks population-level prevalence data for bursitis specifically, but its burden is reflected in musculoskeletal and occupational surveys. Work-related musculoskeletal disorders affect an estimated 76% of Indian occupational workers over 12 months, with shoulder complaints in about 36% and very high rates among those who squat, kneel and carry loads (agriculture 87% overall with shoulder pain in 44%; textile/handloom 74% with shoulder pain in 56%; IT workers 71%). Among Indians aged 45 and older, musculoskeletal disorders affect 53.5% (women 62.3%, men 48.9%). For specific bursae, olecranon bursitis has an estimated incidence of 10–29 per 100,000 per year, prepatellar bursitis around 1 per 10,000 per year (over 80% in men aged 40–60), and greater trochanteric pain syndrome affects roughly 15% of women and 8% of men (about 1.8 per 1000 adults annually); subacromial bursitis accounts for around 0.4% of primary-care visits.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Bursitis is largely a clinical diagnosis, especially for superficial bursae (olecranon, prepatellar); the priority is to distinguish aseptic from septic disease and to identify any crystal or inflammatory cause. Assessment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features — localised tenderness, fluctuant swelling, warmth and pain over a named bursa, with painful active movement but relatively preserved passive movement of the adjacent joint; superficial bursitis can be diagnosed on examination alone.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Features suggesting septic bursitis — overlying erythema/cellulitis, marked warmth (a temperature difference of ≥ 2.2°C between the affected and contralateral bursa is highly sensitive and specific), fever and disproportionate tenderness; these mandate aspiration.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Bursal aspiration — send fluid for cell count and differential, Gram stain, culture, glucose and crystal analysis: a white-cell count &lt; 500/mm³ is consistent with non-infectious, non-crystalline bursitis, leucocytosis &gt; 2000/mm³ is about 94% sensitive and 79% specific for infection, and average septic counts approach 63,000/mm³.</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 ultrasound gives real-time views of bursal fluid, wall thickening, “cobblestoning” of overlying fat and Doppler hyperaemia in infection; plain radiographs assess trauma, fracture, foreign body or calcification; MRI best delineates deep bursae (subacromial, trochanteric, iliopsoas) and coexisting tendon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Search for and test the underlying cause — serum urate and polarised-light crystal analysis for gout/pseudogout, rheumatoid factor/anti-CCP and ESR/CRP for inflammatory arthritis, and blood glucose/HbA1c where diabetes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Bursitis is classified by the presence of infection (aseptic vs septic), by its time course (acute vs chronic) and by the anatomical bursa involved; these axes overlap in practice:</w:t>
      </w:r>
    </w:p>
    <w:p>
      <w:pPr>
        <w:spacing w:before="0" w:after="80"/>
      </w:pPr>
      <w:r>
        <w:rPr>
          <w:rFonts w:ascii="Calibri" w:hAnsi="Calibri"/>
          <w:b w:val="0"/>
          <w:i w:val="0"/>
          <w:color w:val="212121"/>
          <w:sz w:val="21"/>
        </w:rPr>
        <w:t>(1) Aseptic (non-infective) bursitis — the large majority of cases, arising from prolonged pressure, repetitive overuse and microtrauma, direct trauma, crystal deposition (gout, pseudogout) or systemic inflammatory arthropathy (rheumatoid arthritis, spondyloarthritis, SLE); managed conservatively.</w:t>
      </w:r>
    </w:p>
    <w:p>
      <w:pPr>
        <w:spacing w:before="0" w:after="80"/>
      </w:pPr>
      <w:r>
        <w:rPr>
          <w:rFonts w:ascii="Calibri" w:hAnsi="Calibri"/>
          <w:b w:val="0"/>
          <w:i w:val="0"/>
          <w:color w:val="212121"/>
          <w:sz w:val="21"/>
        </w:rPr>
        <w:t>(2) Septic (infective) bursitis — accounts for roughly one-third of superficial olecranon and prepatellar presentations, usually follows a breach of the overlying skin, and is caused by Staphylococcus aureus in 80–90% of cases; it requires antibiotics with or without drainage.</w:t>
      </w:r>
    </w:p>
    <w:p>
      <w:pPr>
        <w:spacing w:before="0" w:after="80"/>
      </w:pPr>
      <w:r>
        <w:rPr>
          <w:rFonts w:ascii="Calibri" w:hAnsi="Calibri"/>
          <w:b w:val="0"/>
          <w:i w:val="0"/>
          <w:color w:val="212121"/>
          <w:sz w:val="21"/>
        </w:rPr>
        <w:t>(3) Acute versus chronic — acute bursitis (from trauma, infection or crystals) presents with pain on palpation, warmth and swelling, whereas chronic bursitis (from repetitive pressure/microtrauma or inflammatory disease) is often relatively painless with a thickened, expanded bursa.</w:t>
      </w:r>
    </w:p>
    <w:p>
      <w:pPr>
        <w:spacing w:before="0" w:after="80"/>
      </w:pPr>
      <w:r>
        <w:rPr>
          <w:rFonts w:ascii="Calibri" w:hAnsi="Calibri"/>
          <w:b w:val="0"/>
          <w:i w:val="0"/>
          <w:color w:val="212121"/>
          <w:sz w:val="21"/>
        </w:rPr>
        <w:t>(4) By anatomical site — subacromial (shoulder), olecranon (elbow), prepatellar and infrapatellar (knee), trochanteric (hip, part of greater trochanteric pain syndrome), ischial, iliopsoas, pes anserine and retrocalcaneal bursitis, each with characteristic occupational and biomechanical associations.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Prolonged pressure: The commonest cause; sustained pressure over a superficial bursa — resting the elbows on a hard surface (olecranon), kneeling (prepatellar), or sitting on hard ground (ischial) — causes low-grade inflammation and effusion.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Repetitive overuse and microtrauma: Repeated friction and loading, such as overhead work (subacromial), running and iliotibial-band friction (trochanteric), or repetitive elbow flexion, inflames and thickens the bursa.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Direct trauma: A blow or fall onto a bursa causes acute haemorrhagic or inflammatory bursitis and, by breaching skin, raises the risk of secondary infection.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Infection: Usually direct inoculation through broken skin (abrasions, cuts, insect bites); Staphylococcus aureus accounts for 80–90% of septic bursitis, with streptococci next most common.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Crystal deposition disease: Monosodium urate (gout) and calcium pyrophosphate (pseudogout) crystals precipitate in bursae — particularly the olecranon and prepatellar — provoking acute inflammation, sometimes with tophi.</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Inflammatory / autoimmune arthropathy: Rheumatoid arthritis, spondyloarthritis and SLE cause chronic or recurrent bursitis, and rheumatoid nodules commonly overlie the olecranon bursa.</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Predisposing host factors: Obesity (mechanical loading of hip and knee bursae), diabetes mellitus, older age with coexisting osteoarthritis, and immunosuppression increase susceptibility and the risk of the septic form.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(30–60 years)</w:t>
            </w:r>
          </w:p>
        </w:tc>
        <w:tc>
          <w:tcPr>
            <w:tcW w:type="dxa" w:w="4276"/>
            <w:vAlign w:val="top"/>
          </w:tcPr>
          <w:p>
            <w:pPr>
              <w:spacing w:after="60" w:line="259" w:lineRule="auto"/>
            </w:pPr>
            <w:r>
              <w:rPr>
                <w:rFonts w:ascii="Calibri" w:hAnsi="Calibri"/>
                <w:b w:val="0"/>
                <w:i w:val="0"/>
                <w:color w:val="212121"/>
                <w:sz w:val="19"/>
              </w:rPr>
              <w:t>Occupational and sporting bursitis clusters in the productive years, when repetitive overhead work, elbow-leaning, kneeling and running load the subacromial, olecranon and prepatellar bursae. Damage accrues during peak earning and caregiving life.</w:t>
            </w:r>
          </w:p>
          <w:p>
            <w:pPr>
              <w:spacing w:after="40" w:before="60" w:line="259" w:lineRule="auto"/>
            </w:pPr>
            <w:r>
              <w:rPr>
                <w:rFonts w:ascii="Calibri" w:hAnsi="Calibri"/>
                <w:b w:val="0"/>
                <w:i w:val="0"/>
                <w:color w:val="212121"/>
                <w:sz w:val="19"/>
              </w:rPr>
              <w:t>Olecranon bursitis typically affects men aged 30–60 with an estimated incidence of 10–29 per 100,000 per year, and over 80% of prepatellar bursitis occurs in men aged 40–60.</w:t>
            </w:r>
          </w:p>
          <w:p>
            <w:pPr>
              <w:spacing w:after="40" w:line="252" w:lineRule="auto"/>
            </w:pPr>
            <w:hyperlink r:id="rId9">
              <w:r>
                <w:rPr>
                  <w:rFonts w:ascii="Calibri" w:hAnsi="Calibri" w:cs="Calibri"/>
                  <w:sz w:val="18"/>
                  <w:color w:val="1155CC"/>
                  <w:u w:val="single"/>
                </w:rPr>
                <w:t xml:space="preserve">ncbi.nlm.nih.gov — olecranon bursitis (StatPearls)</w:t>
              </w:r>
            </w:hyperlink>
          </w:p>
          <w:p>
            <w:pPr>
              <w:spacing w:before="60" w:after="40"/>
            </w:pPr>
            <w:r>
              <w:rPr>
                <w:rFonts w:ascii="Calibri" w:hAnsi="Calibri"/>
                <w:b w:val="0"/>
                <w:i w:val="0"/>
                <w:color w:val="5A5A5A"/>
                <w:sz w:val="18"/>
              </w:rPr>
              <w:t>#bursitis  #workingage  #olecranon  #occupational  #overuse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Risk rises again in older age because concurrent osteoarthritis, tendon degeneration and reduced skin and immune resilience predispose to both aseptic and septic bursitis, and healing is slower.</w:t>
            </w:r>
          </w:p>
          <w:p>
            <w:pPr>
              <w:spacing w:after="40" w:before="60" w:line="259" w:lineRule="auto"/>
            </w:pPr>
            <w:r>
              <w:rPr>
                <w:rFonts w:ascii="Calibri" w:hAnsi="Calibri"/>
                <w:b w:val="0"/>
                <w:i w:val="0"/>
                <w:color w:val="212121"/>
                <w:sz w:val="19"/>
              </w:rPr>
              <w:t>Among Indians aged 45 and older, musculoskeletal disorders affect 53.5% overall, rising to 60.4% in those over 60.</w:t>
            </w:r>
          </w:p>
          <w:p>
            <w:pPr>
              <w:spacing w:after="40" w:line="252" w:lineRule="auto"/>
            </w:pPr>
            <w:hyperlink r:id="rId10">
              <w:r>
                <w:rPr>
                  <w:rFonts w:ascii="Calibri" w:hAnsi="Calibri" w:cs="Calibri"/>
                  <w:sz w:val="18"/>
                  <w:color w:val="1155CC"/>
                  <w:u w:val="single"/>
                </w:rPr>
                <w:t xml:space="preserve">journals.plos.org — musculoskeletal disorders in older Indian adults (LASI)</w:t>
              </w:r>
            </w:hyperlink>
          </w:p>
          <w:p>
            <w:pPr>
              <w:spacing w:before="60" w:after="40"/>
            </w:pPr>
            <w:r>
              <w:rPr>
                <w:rFonts w:ascii="Calibri" w:hAnsi="Calibri"/>
                <w:b w:val="0"/>
                <w:i w:val="0"/>
                <w:color w:val="5A5A5A"/>
                <w:sz w:val="18"/>
              </w:rPr>
              <w:t>#elderly  #osteoarthritis  #healing  #comorbidity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(olecranon &amp; prepatellar)</w:t>
            </w:r>
          </w:p>
        </w:tc>
        <w:tc>
          <w:tcPr>
            <w:tcW w:type="dxa" w:w="4276"/>
            <w:vAlign w:val="top"/>
          </w:tcPr>
          <w:p>
            <w:pPr>
              <w:spacing w:after="60" w:line="259" w:lineRule="auto"/>
            </w:pPr>
            <w:r>
              <w:rPr>
                <w:rFonts w:ascii="Calibri" w:hAnsi="Calibri"/>
                <w:b w:val="0"/>
                <w:i w:val="0"/>
                <w:color w:val="212121"/>
                <w:sz w:val="19"/>
              </w:rPr>
              <w:t>Men predominate in olecranon and prepatellar bursitis because of greater exposure to occupational pressure and trauma, and septic bursitis is also commoner in males.</w:t>
            </w:r>
          </w:p>
          <w:p>
            <w:pPr>
              <w:spacing w:after="40" w:before="60" w:line="259" w:lineRule="auto"/>
            </w:pPr>
            <w:r>
              <w:rPr>
                <w:rFonts w:ascii="Calibri" w:hAnsi="Calibri"/>
                <w:b w:val="0"/>
                <w:i w:val="0"/>
                <w:color w:val="212121"/>
                <w:sz w:val="19"/>
              </w:rPr>
              <w:t>Olecranon bursitis affects men more than women, and septic bursitis occurs more frequently in males with a mean age of about 50 years.</w:t>
            </w:r>
          </w:p>
          <w:p>
            <w:pPr>
              <w:spacing w:after="40" w:line="252" w:lineRule="auto"/>
            </w:pPr>
            <w:hyperlink r:id="rId11">
              <w:r>
                <w:rPr>
                  <w:rFonts w:ascii="Calibri" w:hAnsi="Calibri" w:cs="Calibri"/>
                  <w:sz w:val="18"/>
                  <w:color w:val="1155CC"/>
                  <w:u w:val="single"/>
                </w:rPr>
                <w:t xml:space="preserve">ncbi.nlm.nih.gov — septic bursitis (StatPearls)</w:t>
              </w:r>
            </w:hyperlink>
          </w:p>
          <w:p>
            <w:pPr>
              <w:spacing w:before="60" w:after="40"/>
            </w:pPr>
            <w:r>
              <w:rPr>
                <w:rFonts w:ascii="Calibri" w:hAnsi="Calibri"/>
                <w:b w:val="0"/>
                <w:i w:val="0"/>
                <w:color w:val="5A5A5A"/>
                <w:sz w:val="18"/>
              </w:rPr>
              <w:t>#male  #olecranon  #prepatellar  #septic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(trochanteric &amp; pes anserine)</w:t>
            </w:r>
          </w:p>
        </w:tc>
        <w:tc>
          <w:tcPr>
            <w:tcW w:type="dxa" w:w="4276"/>
            <w:vAlign w:val="top"/>
          </w:tcPr>
          <w:p>
            <w:pPr>
              <w:spacing w:after="60" w:line="259" w:lineRule="auto"/>
            </w:pPr>
            <w:r>
              <w:rPr>
                <w:rFonts w:ascii="Calibri" w:hAnsi="Calibri"/>
                <w:b w:val="0"/>
                <w:i w:val="0"/>
                <w:color w:val="212121"/>
                <w:sz w:val="19"/>
              </w:rPr>
              <w:t>Women are disproportionately affected by trochanteric (greater trochanteric pain syndrome) and pes anserine bursitis, attributed to a wider pelvis, hip biomechanics and hormonal influences.</w:t>
            </w:r>
          </w:p>
          <w:p>
            <w:pPr>
              <w:spacing w:after="40" w:before="60" w:line="259" w:lineRule="auto"/>
            </w:pPr>
            <w:r>
              <w:rPr>
                <w:rFonts w:ascii="Calibri" w:hAnsi="Calibri"/>
                <w:b w:val="0"/>
                <w:i w:val="0"/>
                <w:color w:val="212121"/>
                <w:sz w:val="19"/>
              </w:rPr>
              <w:t>Greater trochanteric pain syndrome affects about 15% of women versus 8% of men (female odds ratio 3.37), a 2- to 5-fold higher risk.</w:t>
            </w:r>
          </w:p>
          <w:p>
            <w:pPr>
              <w:spacing w:after="40" w:line="252" w:lineRule="auto"/>
            </w:pPr>
            <w:hyperlink r:id="rId12">
              <w:r>
                <w:rPr>
                  <w:rFonts w:ascii="Calibri" w:hAnsi="Calibri" w:cs="Calibri"/>
                  <w:sz w:val="18"/>
                  <w:color w:val="1155CC"/>
                  <w:u w:val="single"/>
                </w:rPr>
                <w:t xml:space="preserve">pubmed.ncbi.nlm.nih.gov/17678660 — GTPS epidemiology (Segal)</w:t>
              </w:r>
            </w:hyperlink>
          </w:p>
          <w:p>
            <w:pPr>
              <w:spacing w:before="60" w:after="40"/>
            </w:pPr>
            <w:r>
              <w:rPr>
                <w:rFonts w:ascii="Calibri" w:hAnsi="Calibri"/>
                <w:b w:val="0"/>
                <w:i w:val="0"/>
                <w:color w:val="5A5A5A"/>
                <w:sz w:val="18"/>
              </w:rPr>
              <w:t>#female  #trochanteric  #GTPS  #pesanserine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&amp; low-income workers</w:t>
            </w:r>
          </w:p>
        </w:tc>
        <w:tc>
          <w:tcPr>
            <w:tcW w:type="dxa" w:w="4276"/>
            <w:vAlign w:val="top"/>
          </w:tcPr>
          <w:p>
            <w:pPr>
              <w:spacing w:after="60" w:line="259" w:lineRule="auto"/>
            </w:pPr>
            <w:r>
              <w:rPr>
                <w:rFonts w:ascii="Calibri" w:hAnsi="Calibri"/>
                <w:b w:val="0"/>
                <w:i w:val="0"/>
                <w:color w:val="212121"/>
                <w:sz w:val="19"/>
              </w:rPr>
              <w:t>Manual and informal workers face repeated pressure and trauma over the elbows and knees, often without protective padding, and limited access to care allows chronic and septic bursitis to progress before treatment.</w:t>
            </w:r>
          </w:p>
          <w:p>
            <w:pPr>
              <w:spacing w:after="40" w:before="60" w:line="259" w:lineRule="auto"/>
            </w:pPr>
            <w:r>
              <w:rPr>
                <w:rFonts w:ascii="Calibri" w:hAnsi="Calibri"/>
                <w:b w:val="0"/>
                <w:i w:val="0"/>
                <w:color w:val="212121"/>
                <w:sz w:val="19"/>
              </w:rPr>
              <w:t>Work-related musculoskeletal disorders affect about 76% of Indian occupational workers over 12 months, highest in agriculture (87%) and physically loaded trades.</w:t>
            </w:r>
          </w:p>
          <w:p>
            <w:pPr>
              <w:spacing w:after="40" w:line="252" w:lineRule="auto"/>
            </w:pPr>
            <w:hyperlink r:id="rId13">
              <w:r>
                <w:rPr>
                  <w:rFonts w:ascii="Calibri" w:hAnsi="Calibri" w:cs="Calibri"/>
                  <w:sz w:val="18"/>
                  <w:color w:val="1155CC"/>
                  <w:u w:val="single"/>
                </w:rPr>
                <w:t xml:space="preserve">academic.oup.com — WMSD among Indian workers (meta-analysis)</w:t>
              </w:r>
            </w:hyperlink>
          </w:p>
          <w:p>
            <w:pPr>
              <w:spacing w:before="60" w:after="40"/>
            </w:pPr>
            <w:r>
              <w:rPr>
                <w:rFonts w:ascii="Calibri" w:hAnsi="Calibri"/>
                <w:b w:val="0"/>
                <w:i w:val="0"/>
                <w:color w:val="5A5A5A"/>
                <w:sz w:val="18"/>
              </w:rPr>
              <w:t>#lowincome  #manuallabour  #nopadding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floor-sitting &amp; squatting culture</w:t>
            </w:r>
          </w:p>
        </w:tc>
        <w:tc>
          <w:tcPr>
            <w:tcW w:type="dxa" w:w="4276"/>
            <w:vAlign w:val="top"/>
          </w:tcPr>
          <w:p>
            <w:pPr>
              <w:spacing w:after="60" w:line="259" w:lineRule="auto"/>
            </w:pPr>
            <w:r>
              <w:rPr>
                <w:rFonts w:ascii="Calibri" w:hAnsi="Calibri"/>
                <w:b w:val="0"/>
                <w:i w:val="0"/>
                <w:color w:val="212121"/>
                <w:sz w:val="19"/>
              </w:rPr>
              <w:t>Habitual floor-sitting, deep squatting for cooking, worship and use of squat toilets, and cross-legged sitting repeatedly load the prepatellar, infrapatellar, ischial and trochanteric bursae in Indian daily life.</w:t>
            </w:r>
          </w:p>
          <w:p>
            <w:pPr>
              <w:spacing w:after="40" w:before="60" w:line="259" w:lineRule="auto"/>
            </w:pPr>
            <w:r>
              <w:rPr>
                <w:rFonts w:ascii="Calibri" w:hAnsi="Calibri"/>
                <w:b w:val="0"/>
                <w:i w:val="0"/>
                <w:color w:val="212121"/>
                <w:sz w:val="19"/>
              </w:rPr>
              <w:t>Handloom/textile workers, who sit and lean for long hours, report shoulder pain in 56% and overall WMSD in 74%.</w:t>
            </w:r>
          </w:p>
          <w:p>
            <w:pPr>
              <w:spacing w:after="40" w:line="252" w:lineRule="auto"/>
            </w:pPr>
            <w:hyperlink r:id="rId13">
              <w:r>
                <w:rPr>
                  <w:rFonts w:ascii="Calibri" w:hAnsi="Calibri" w:cs="Calibri"/>
                  <w:sz w:val="18"/>
                  <w:color w:val="1155CC"/>
                  <w:u w:val="single"/>
                </w:rPr>
                <w:t xml:space="preserve">academic.oup.com — WMSD among Indian workers (meta-analysis)</w:t>
              </w:r>
            </w:hyperlink>
          </w:p>
          <w:p>
            <w:pPr>
              <w:spacing w:before="60" w:after="40"/>
            </w:pPr>
            <w:r>
              <w:rPr>
                <w:rFonts w:ascii="Calibri" w:hAnsi="Calibri"/>
                <w:b w:val="0"/>
                <w:i w:val="0"/>
                <w:color w:val="5A5A5A"/>
                <w:sz w:val="18"/>
              </w:rPr>
              <w:t>#India  #squatting  #floorsitting  #handloom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 / region</w:t>
            </w:r>
          </w:p>
        </w:tc>
        <w:tc>
          <w:tcPr>
            <w:tcW w:type="dxa" w:w="2160"/>
            <w:vAlign w:val="top"/>
          </w:tcPr>
          <w:p>
            <w:pPr>
              <w:spacing w:after="40" w:before="0" w:line="259" w:lineRule="auto"/>
            </w:pPr>
            <w:r>
              <w:rPr>
                <w:rFonts w:ascii="Calibri" w:hAnsi="Calibri"/>
                <w:b w:val="0"/>
                <w:i w:val="0"/>
                <w:color w:val="212121"/>
                <w:sz w:val="19"/>
              </w:rPr>
              <w:t>Agricultural &amp; construction workers</w:t>
            </w:r>
          </w:p>
        </w:tc>
        <w:tc>
          <w:tcPr>
            <w:tcW w:type="dxa" w:w="4276"/>
            <w:vAlign w:val="top"/>
          </w:tcPr>
          <w:p>
            <w:pPr>
              <w:spacing w:after="60" w:line="259" w:lineRule="auto"/>
            </w:pPr>
            <w:r>
              <w:rPr>
                <w:rFonts w:ascii="Calibri" w:hAnsi="Calibri"/>
                <w:b w:val="0"/>
                <w:i w:val="0"/>
                <w:color w:val="212121"/>
                <w:sz w:val="19"/>
              </w:rPr>
              <w:t>Repetitive bending, kneeling, load-carrying and overhead work in farming and construction mechanically stress the knee, hip and shoulder bursae and expose skin to abrasions that seed infection.</w:t>
            </w:r>
          </w:p>
          <w:p>
            <w:pPr>
              <w:spacing w:after="40" w:before="60" w:line="259" w:lineRule="auto"/>
            </w:pPr>
            <w:r>
              <w:rPr>
                <w:rFonts w:ascii="Calibri" w:hAnsi="Calibri"/>
                <w:b w:val="0"/>
                <w:i w:val="0"/>
                <w:color w:val="212121"/>
                <w:sz w:val="19"/>
              </w:rPr>
              <w:t>Agricultural workers report the highest musculoskeletal burden in India (87% overall, shoulder pain 44%).</w:t>
            </w:r>
          </w:p>
          <w:p>
            <w:pPr>
              <w:spacing w:after="40" w:line="252" w:lineRule="auto"/>
            </w:pPr>
            <w:hyperlink r:id="rId13">
              <w:r>
                <w:rPr>
                  <w:rFonts w:ascii="Calibri" w:hAnsi="Calibri" w:cs="Calibri"/>
                  <w:sz w:val="18"/>
                  <w:color w:val="1155CC"/>
                  <w:u w:val="single"/>
                </w:rPr>
                <w:t xml:space="preserve">academic.oup.com — WMSD among Indian workers (meta-analysis)</w:t>
              </w:r>
            </w:hyperlink>
          </w:p>
          <w:p>
            <w:pPr>
              <w:spacing w:before="60" w:after="40"/>
            </w:pPr>
            <w:r>
              <w:rPr>
                <w:rFonts w:ascii="Calibri" w:hAnsi="Calibri"/>
                <w:b w:val="0"/>
                <w:i w:val="0"/>
                <w:color w:val="5A5A5A"/>
                <w:sz w:val="18"/>
              </w:rPr>
              <w:t>#agriculture  #construction  #kneeling  #loadcarrying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posture</w:t>
            </w:r>
          </w:p>
        </w:tc>
        <w:tc>
          <w:tcPr>
            <w:tcW w:type="dxa" w:w="2160"/>
            <w:vAlign w:val="top"/>
          </w:tcPr>
          <w:p>
            <w:pPr>
              <w:spacing w:after="40" w:before="0" w:line="259" w:lineRule="auto"/>
            </w:pPr>
            <w:r>
              <w:rPr>
                <w:rFonts w:ascii="Calibri" w:hAnsi="Calibri"/>
                <w:b w:val="0"/>
                <w:i w:val="0"/>
                <w:color w:val="212121"/>
                <w:sz w:val="19"/>
              </w:rPr>
              <w:t>Office &amp; IT desk workers</w:t>
            </w:r>
          </w:p>
        </w:tc>
        <w:tc>
          <w:tcPr>
            <w:tcW w:type="dxa" w:w="4276"/>
            <w:vAlign w:val="top"/>
          </w:tcPr>
          <w:p>
            <w:pPr>
              <w:spacing w:after="60" w:line="259" w:lineRule="auto"/>
            </w:pPr>
            <w:r>
              <w:rPr>
                <w:rFonts w:ascii="Calibri" w:hAnsi="Calibri"/>
                <w:b w:val="0"/>
                <w:i w:val="0"/>
                <w:color w:val="212121"/>
                <w:sz w:val="19"/>
              </w:rPr>
              <w:t>Prolonged leaning of the elbows on desks predisposes to olecranon bursitis, while sustained poor shoulder posture and repetitive mousing contribute to subacromial irritation.</w:t>
            </w:r>
          </w:p>
          <w:p>
            <w:pPr>
              <w:spacing w:after="40" w:before="60" w:line="259" w:lineRule="auto"/>
            </w:pPr>
            <w:r>
              <w:rPr>
                <w:rFonts w:ascii="Calibri" w:hAnsi="Calibri"/>
                <w:b w:val="0"/>
                <w:i w:val="0"/>
                <w:color w:val="212121"/>
                <w:sz w:val="19"/>
              </w:rPr>
              <w:t>IT workers in India report work-related musculoskeletal disorders in about 71% over 12 months.</w:t>
            </w:r>
          </w:p>
          <w:p>
            <w:pPr>
              <w:spacing w:after="40" w:line="252" w:lineRule="auto"/>
            </w:pPr>
            <w:hyperlink r:id="rId13">
              <w:r>
                <w:rPr>
                  <w:rFonts w:ascii="Calibri" w:hAnsi="Calibri" w:cs="Calibri"/>
                  <w:sz w:val="18"/>
                  <w:color w:val="1155CC"/>
                  <w:u w:val="single"/>
                </w:rPr>
                <w:t xml:space="preserve">academic.oup.com — WMSD among Indian workers (meta-analysis)</w:t>
              </w:r>
            </w:hyperlink>
          </w:p>
          <w:p>
            <w:pPr>
              <w:spacing w:before="60" w:after="40"/>
            </w:pPr>
            <w:r>
              <w:rPr>
                <w:rFonts w:ascii="Calibri" w:hAnsi="Calibri"/>
                <w:b w:val="0"/>
                <w:i w:val="0"/>
                <w:color w:val="5A5A5A"/>
                <w:sz w:val="18"/>
              </w:rPr>
              <w:t>#deskwork  #IT  #elbowleaning  #posture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kneeling</w:t>
            </w:r>
          </w:p>
        </w:tc>
        <w:tc>
          <w:tcPr>
            <w:tcW w:type="dxa" w:w="2160"/>
            <w:vAlign w:val="top"/>
          </w:tcPr>
          <w:p>
            <w:pPr>
              <w:spacing w:after="40" w:before="0" w:line="259" w:lineRule="auto"/>
            </w:pPr>
            <w:r>
              <w:rPr>
                <w:rFonts w:ascii="Calibri" w:hAnsi="Calibri"/>
                <w:b w:val="0"/>
                <w:i w:val="0"/>
                <w:color w:val="212121"/>
                <w:sz w:val="19"/>
              </w:rPr>
              <w:t>Plumbers, carpet-layers, miners, housemaids, clergy, roofers, gardeners</w:t>
            </w:r>
          </w:p>
        </w:tc>
        <w:tc>
          <w:tcPr>
            <w:tcW w:type="dxa" w:w="4276"/>
            <w:vAlign w:val="top"/>
          </w:tcPr>
          <w:p>
            <w:pPr>
              <w:spacing w:after="60" w:line="259" w:lineRule="auto"/>
            </w:pPr>
            <w:r>
              <w:rPr>
                <w:rFonts w:ascii="Calibri" w:hAnsi="Calibri"/>
                <w:b w:val="0"/>
                <w:i w:val="0"/>
                <w:color w:val="212121"/>
                <w:sz w:val="19"/>
              </w:rPr>
              <w:t>Trades that require prolonged or repetitive kneeling drive prepatellar and infrapatellar bursitis — the classic “housemaid's”, “carpet-layer's” and “clergyman's” knee — and skin abrasion at the knee predisposes to the septic form.</w:t>
            </w:r>
          </w:p>
          <w:p>
            <w:pPr>
              <w:spacing w:after="40" w:before="60" w:line="259" w:lineRule="auto"/>
            </w:pPr>
            <w:r>
              <w:rPr>
                <w:rFonts w:ascii="Calibri" w:hAnsi="Calibri"/>
                <w:b w:val="0"/>
                <w:i w:val="0"/>
                <w:color w:val="212121"/>
                <w:sz w:val="19"/>
              </w:rPr>
              <w:t>Prepatellar bursitis affects roughly 1 in 10,000 people per year, concentrated in kneeling occupations, and about one-third of cases are septic.</w:t>
            </w:r>
          </w:p>
          <w:p>
            <w:pPr>
              <w:spacing w:after="40" w:line="252" w:lineRule="auto"/>
            </w:pPr>
            <w:hyperlink r:id="rId14">
              <w:r>
                <w:rPr>
                  <w:rFonts w:ascii="Calibri" w:hAnsi="Calibri" w:cs="Calibri"/>
                  <w:sz w:val="18"/>
                  <w:color w:val="1155CC"/>
                  <w:u w:val="single"/>
                </w:rPr>
                <w:t xml:space="preserve">ncbi.nlm.nih.gov — prepatellar bursitis (StatPearls)</w:t>
              </w:r>
            </w:hyperlink>
          </w:p>
          <w:p>
            <w:pPr>
              <w:spacing w:before="60" w:after="40"/>
            </w:pPr>
            <w:r>
              <w:rPr>
                <w:rFonts w:ascii="Calibri" w:hAnsi="Calibri"/>
                <w:b w:val="0"/>
                <w:i w:val="0"/>
                <w:color w:val="5A5A5A"/>
                <w:sz w:val="18"/>
              </w:rPr>
              <w:t>#kneeling  #prepatellar  #housemaidsknee  #septicrisk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&amp; bidi users</w:t>
            </w:r>
          </w:p>
        </w:tc>
        <w:tc>
          <w:tcPr>
            <w:tcW w:type="dxa" w:w="4276"/>
            <w:vAlign w:val="top"/>
          </w:tcPr>
          <w:p>
            <w:pPr>
              <w:spacing w:after="60" w:line="259" w:lineRule="auto"/>
            </w:pPr>
            <w:r>
              <w:rPr>
                <w:rFonts w:ascii="Calibri" w:hAnsi="Calibri"/>
                <w:b w:val="0"/>
                <w:i w:val="0"/>
                <w:color w:val="212121"/>
                <w:sz w:val="19"/>
              </w:rPr>
              <w:t>Smoking is an independent risk factor for olecranon bursitis and impairs microcirculation, wound healing and immunity, increasing the likelihood and severity of infection.</w:t>
            </w:r>
          </w:p>
          <w:p>
            <w:pPr>
              <w:spacing w:after="40" w:before="60" w:line="259" w:lineRule="auto"/>
            </w:pPr>
            <w:r>
              <w:rPr>
                <w:rFonts w:ascii="Calibri" w:hAnsi="Calibri"/>
                <w:b w:val="0"/>
                <w:i w:val="0"/>
                <w:color w:val="212121"/>
                <w:sz w:val="19"/>
              </w:rPr>
              <w:t>Epidemiological studies identify smoking, along with higher BMI and hyperlipidaemia, as an independent risk factor for olecranon bursitis.</w:t>
            </w:r>
          </w:p>
          <w:p>
            <w:pPr>
              <w:spacing w:after="40" w:line="252" w:lineRule="auto"/>
            </w:pPr>
            <w:hyperlink r:id="rId9">
              <w:r>
                <w:rPr>
                  <w:rFonts w:ascii="Calibri" w:hAnsi="Calibri" w:cs="Calibri"/>
                  <w:sz w:val="18"/>
                  <w:color w:val="1155CC"/>
                  <w:u w:val="single"/>
                </w:rPr>
                <w:t xml:space="preserve">ncbi.nlm.nih.gov — olecranon bursitis (StatPearls)</w:t>
              </w:r>
            </w:hyperlink>
          </w:p>
          <w:p>
            <w:pPr>
              <w:spacing w:before="60" w:after="40"/>
            </w:pPr>
            <w:r>
              <w:rPr>
                <w:rFonts w:ascii="Calibri" w:hAnsi="Calibri"/>
                <w:b w:val="0"/>
                <w:i w:val="0"/>
                <w:color w:val="5A5A5A"/>
                <w:sz w:val="18"/>
              </w:rPr>
              <w:t>#smoking  #bidi  #impairedhealing  #infectionrisk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Heavy alcohol use raises serum urate and precipitates gout (a cause of crystal bursitis) and, through immunosuppression and poor self-care, increases the risk of septic bursitis.</w:t>
            </w:r>
          </w:p>
          <w:p>
            <w:pPr>
              <w:spacing w:after="40" w:before="60" w:line="259" w:lineRule="auto"/>
            </w:pPr>
            <w:r>
              <w:rPr>
                <w:rFonts w:ascii="Calibri" w:hAnsi="Calibri"/>
                <w:b w:val="0"/>
                <w:i w:val="0"/>
                <w:color w:val="212121"/>
                <w:sz w:val="19"/>
              </w:rPr>
              <w:t>Alcoholism is listed among the immunosuppressive host risk factors for bursitis, alongside diabetes and HIV.</w:t>
            </w:r>
          </w:p>
          <w:p>
            <w:pPr>
              <w:spacing w:after="40" w:line="252" w:lineRule="auto"/>
            </w:pPr>
            <w:hyperlink r:id="rId15">
              <w:r>
                <w:rPr>
                  <w:rFonts w:ascii="Calibri" w:hAnsi="Calibri" w:cs="Calibri"/>
                  <w:sz w:val="18"/>
                  <w:color w:val="1155CC"/>
                  <w:u w:val="single"/>
                </w:rPr>
                <w:t xml:space="preserve">ncbi.nlm.nih.gov — bursitis (StatPearls)</w:t>
              </w:r>
            </w:hyperlink>
          </w:p>
          <w:p>
            <w:pPr>
              <w:spacing w:before="60" w:after="40"/>
            </w:pPr>
            <w:r>
              <w:rPr>
                <w:rFonts w:ascii="Calibri" w:hAnsi="Calibri"/>
                <w:b w:val="0"/>
                <w:i w:val="0"/>
                <w:color w:val="5A5A5A"/>
                <w:sz w:val="18"/>
              </w:rPr>
              <w:t>#alcohol  #gout  #immunosuppression  #septic</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Overweight &amp; obese adults</w:t>
            </w:r>
          </w:p>
        </w:tc>
        <w:tc>
          <w:tcPr>
            <w:tcW w:type="dxa" w:w="4276"/>
            <w:vAlign w:val="top"/>
          </w:tcPr>
          <w:p>
            <w:pPr>
              <w:spacing w:after="60" w:line="259" w:lineRule="auto"/>
            </w:pPr>
            <w:r>
              <w:rPr>
                <w:rFonts w:ascii="Calibri" w:hAnsi="Calibri"/>
                <w:b w:val="0"/>
                <w:i w:val="0"/>
                <w:color w:val="212121"/>
                <w:sz w:val="19"/>
              </w:rPr>
              <w:t>Excess body weight increases mechanical load across the hip and knee, predisposing to trochanteric and pes anserine bursitis and amplifying friction at the iliotibial band.</w:t>
            </w:r>
          </w:p>
          <w:p>
            <w:pPr>
              <w:spacing w:after="40" w:before="60" w:line="259" w:lineRule="auto"/>
            </w:pPr>
            <w:r>
              <w:rPr>
                <w:rFonts w:ascii="Calibri" w:hAnsi="Calibri"/>
                <w:b w:val="0"/>
                <w:i w:val="0"/>
                <w:color w:val="212121"/>
                <w:sz w:val="19"/>
              </w:rPr>
              <w:t>Individuals with elevated BMI show a 2.8-fold higher incidence of greater trochanteric pain syndrome.</w:t>
            </w:r>
          </w:p>
          <w:p>
            <w:pPr>
              <w:spacing w:after="40" w:line="252" w:lineRule="auto"/>
            </w:pPr>
            <w:hyperlink r:id="rId16">
              <w:r>
                <w:rPr>
                  <w:rFonts w:ascii="Calibri" w:hAnsi="Calibri" w:cs="Calibri"/>
                  <w:sz w:val="18"/>
                  <w:color w:val="1155CC"/>
                  <w:u w:val="single"/>
                </w:rPr>
                <w:t xml:space="preserve">ncbi.nlm.nih.gov — greater trochanteric pain syndrome (StatPearls)</w:t>
              </w:r>
            </w:hyperlink>
          </w:p>
          <w:p>
            <w:pPr>
              <w:spacing w:before="60" w:after="40"/>
            </w:pPr>
            <w:r>
              <w:rPr>
                <w:rFonts w:ascii="Calibri" w:hAnsi="Calibri"/>
                <w:b w:val="0"/>
                <w:i w:val="0"/>
                <w:color w:val="5A5A5A"/>
                <w:sz w:val="18"/>
              </w:rPr>
              <w:t>#obesity  #mechanicalload  #trochanteric  #ITB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High-purine diet (red/organ meat, seafood, alcohol)</w:t>
            </w:r>
          </w:p>
        </w:tc>
        <w:tc>
          <w:tcPr>
            <w:tcW w:type="dxa" w:w="4276"/>
            <w:vAlign w:val="top"/>
          </w:tcPr>
          <w:p>
            <w:pPr>
              <w:spacing w:after="60" w:line="259" w:lineRule="auto"/>
            </w:pPr>
            <w:r>
              <w:rPr>
                <w:rFonts w:ascii="Calibri" w:hAnsi="Calibri"/>
                <w:b w:val="0"/>
                <w:i w:val="0"/>
                <w:color w:val="212121"/>
                <w:sz w:val="19"/>
              </w:rPr>
              <w:t>A purine-rich diet raises serum urate and provokes gout, which deposits monosodium-urate crystals in the olecranon and prepatellar bursae to cause recurrent acute crystal bursitis.</w:t>
            </w:r>
          </w:p>
          <w:p>
            <w:pPr>
              <w:spacing w:after="40" w:before="60" w:line="259" w:lineRule="auto"/>
            </w:pPr>
            <w:r>
              <w:rPr>
                <w:rFonts w:ascii="Calibri" w:hAnsi="Calibri"/>
                <w:b w:val="0"/>
                <w:i w:val="0"/>
                <w:color w:val="212121"/>
                <w:sz w:val="19"/>
              </w:rPr>
              <w:t>Gout and other crystal-deposition diseases are recognised causes of olecranon and prepatellar bursitis.</w:t>
            </w:r>
          </w:p>
          <w:p>
            <w:pPr>
              <w:spacing w:after="40" w:line="252" w:lineRule="auto"/>
            </w:pPr>
            <w:hyperlink r:id="rId9">
              <w:r>
                <w:rPr>
                  <w:rFonts w:ascii="Calibri" w:hAnsi="Calibri" w:cs="Calibri"/>
                  <w:sz w:val="18"/>
                  <w:color w:val="1155CC"/>
                  <w:u w:val="single"/>
                </w:rPr>
                <w:t xml:space="preserve">ncbi.nlm.nih.gov — olecranon bursitis (StatPearls)</w:t>
              </w:r>
            </w:hyperlink>
          </w:p>
          <w:p>
            <w:pPr>
              <w:spacing w:before="60" w:after="40"/>
            </w:pPr>
            <w:r>
              <w:rPr>
                <w:rFonts w:ascii="Calibri" w:hAnsi="Calibri"/>
                <w:b w:val="0"/>
                <w:i w:val="0"/>
                <w:color w:val="5A5A5A"/>
                <w:sz w:val="18"/>
              </w:rPr>
              <w:t>#purine  #hyperuricaemia  #gout  #crystalbursitis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gout / inflammatory arthritis</w:t>
            </w:r>
          </w:p>
        </w:tc>
        <w:tc>
          <w:tcPr>
            <w:tcW w:type="dxa" w:w="4276"/>
            <w:vAlign w:val="top"/>
          </w:tcPr>
          <w:p>
            <w:pPr>
              <w:spacing w:after="60" w:line="259" w:lineRule="auto"/>
            </w:pPr>
            <w:r>
              <w:rPr>
                <w:rFonts w:ascii="Calibri" w:hAnsi="Calibri"/>
                <w:b w:val="0"/>
                <w:i w:val="0"/>
                <w:color w:val="212121"/>
                <w:sz w:val="19"/>
              </w:rPr>
              <w:t>An inherited tendency to hyperuricaemia and gout, or to rheumatoid and spondyloarthritis, predisposes family members to the crystal-induced and inflammatory forms of bursitis rather than to bursitis directly.</w:t>
            </w:r>
          </w:p>
          <w:p>
            <w:pPr>
              <w:spacing w:before="60" w:after="40"/>
            </w:pPr>
            <w:r>
              <w:rPr>
                <w:rFonts w:ascii="Calibri" w:hAnsi="Calibri"/>
                <w:b w:val="0"/>
                <w:i w:val="0"/>
                <w:color w:val="5A5A5A"/>
                <w:sz w:val="18"/>
              </w:rPr>
              <w:t>#familyhistory  #hyperuricaemia  #rheumatoid  #predisposition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Diabetes impairs immunity, microcirculation and wound healing, markedly raising the risk of septic bursitis after minor skin breaches and complicating its treatment.</w:t>
            </w:r>
          </w:p>
          <w:p>
            <w:pPr>
              <w:spacing w:after="40" w:before="60" w:line="259" w:lineRule="auto"/>
            </w:pPr>
            <w:r>
              <w:rPr>
                <w:rFonts w:ascii="Calibri" w:hAnsi="Calibri"/>
                <w:b w:val="0"/>
                <w:i w:val="0"/>
                <w:color w:val="212121"/>
                <w:sz w:val="19"/>
              </w:rPr>
              <w:t>Diabetes mellitus is a recognised immunosuppressive risk factor for bursitis and, in particular, for the septic form of prepatellar bursitis.</w:t>
            </w:r>
          </w:p>
          <w:p>
            <w:pPr>
              <w:spacing w:after="40" w:line="252" w:lineRule="auto"/>
            </w:pPr>
            <w:hyperlink r:id="rId14">
              <w:r>
                <w:rPr>
                  <w:rFonts w:ascii="Calibri" w:hAnsi="Calibri" w:cs="Calibri"/>
                  <w:sz w:val="18"/>
                  <w:color w:val="1155CC"/>
                  <w:u w:val="single"/>
                </w:rPr>
                <w:t xml:space="preserve">ncbi.nlm.nih.gov — prepatellar bursitis (StatPearls)</w:t>
              </w:r>
            </w:hyperlink>
          </w:p>
          <w:p>
            <w:pPr>
              <w:spacing w:before="60" w:after="40"/>
            </w:pPr>
            <w:r>
              <w:rPr>
                <w:rFonts w:ascii="Calibri" w:hAnsi="Calibri"/>
                <w:b w:val="0"/>
                <w:i w:val="0"/>
                <w:color w:val="5A5A5A"/>
                <w:sz w:val="18"/>
              </w:rPr>
              <w:t>#diabetes  #septicbursitis  #impairedhealing  #immunecompromise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Rheumatoid arthritis</w:t>
            </w:r>
          </w:p>
        </w:tc>
        <w:tc>
          <w:tcPr>
            <w:tcW w:type="dxa" w:w="2160"/>
            <w:vAlign w:val="top"/>
          </w:tcPr>
          <w:p>
            <w:pPr>
              <w:spacing w:after="40" w:before="0" w:line="259" w:lineRule="auto"/>
            </w:pPr>
            <w:r>
              <w:rPr>
                <w:rFonts w:ascii="Calibri" w:hAnsi="Calibri"/>
                <w:b w:val="0"/>
                <w:i w:val="0"/>
                <w:color w:val="212121"/>
                <w:sz w:val="19"/>
              </w:rPr>
              <w:t>Patients with rheumatoid arthritis</w:t>
            </w:r>
          </w:p>
        </w:tc>
        <w:tc>
          <w:tcPr>
            <w:tcW w:type="dxa" w:w="4276"/>
            <w:vAlign w:val="top"/>
          </w:tcPr>
          <w:p>
            <w:pPr>
              <w:spacing w:after="60" w:line="259" w:lineRule="auto"/>
            </w:pPr>
            <w:r>
              <w:rPr>
                <w:rFonts w:ascii="Calibri" w:hAnsi="Calibri"/>
                <w:b w:val="0"/>
                <w:i w:val="0"/>
                <w:color w:val="212121"/>
                <w:sz w:val="19"/>
              </w:rPr>
              <w:t>Rheumatoid arthritis causes chronic and recurrent bursitis through synovial inflammation, and rheumatoid nodules frequently overlie the olecranon bursa, sometimes becoming secondarily infected.</w:t>
            </w:r>
          </w:p>
          <w:p>
            <w:pPr>
              <w:spacing w:after="40" w:before="60" w:line="259" w:lineRule="auto"/>
            </w:pPr>
            <w:r>
              <w:rPr>
                <w:rFonts w:ascii="Calibri" w:hAnsi="Calibri"/>
                <w:b w:val="0"/>
                <w:i w:val="0"/>
                <w:color w:val="212121"/>
                <w:sz w:val="19"/>
              </w:rPr>
              <w:t>Rheumatoid arthritis and other inflammatory arthropathies are established causes of chronic and recurrent bursitis.</w:t>
            </w:r>
          </w:p>
          <w:p>
            <w:pPr>
              <w:spacing w:after="40" w:line="252" w:lineRule="auto"/>
            </w:pPr>
            <w:hyperlink r:id="rId9">
              <w:r>
                <w:rPr>
                  <w:rFonts w:ascii="Calibri" w:hAnsi="Calibri" w:cs="Calibri"/>
                  <w:sz w:val="18"/>
                  <w:color w:val="1155CC"/>
                  <w:u w:val="single"/>
                </w:rPr>
                <w:t xml:space="preserve">ncbi.nlm.nih.gov — olecranon bursitis (StatPearls)</w:t>
              </w:r>
            </w:hyperlink>
          </w:p>
          <w:p>
            <w:pPr>
              <w:spacing w:before="60" w:after="40"/>
            </w:pPr>
            <w:r>
              <w:rPr>
                <w:rFonts w:ascii="Calibri" w:hAnsi="Calibri"/>
                <w:b w:val="0"/>
                <w:i w:val="0"/>
                <w:color w:val="5A5A5A"/>
                <w:sz w:val="18"/>
              </w:rPr>
              <w:t>#rheumatoid  #nodules  #chronicbursitis  #synovitis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Gout / crystal disease</w:t>
            </w:r>
          </w:p>
        </w:tc>
        <w:tc>
          <w:tcPr>
            <w:tcW w:type="dxa" w:w="2160"/>
            <w:vAlign w:val="top"/>
          </w:tcPr>
          <w:p>
            <w:pPr>
              <w:spacing w:after="40" w:before="0" w:line="259" w:lineRule="auto"/>
            </w:pPr>
            <w:r>
              <w:rPr>
                <w:rFonts w:ascii="Calibri" w:hAnsi="Calibri"/>
                <w:b w:val="0"/>
                <w:i w:val="0"/>
                <w:color w:val="212121"/>
                <w:sz w:val="19"/>
              </w:rPr>
              <w:t>Patients with gout or pseudogout</w:t>
            </w:r>
          </w:p>
        </w:tc>
        <w:tc>
          <w:tcPr>
            <w:tcW w:type="dxa" w:w="4276"/>
            <w:vAlign w:val="top"/>
          </w:tcPr>
          <w:p>
            <w:pPr>
              <w:spacing w:after="60" w:line="259" w:lineRule="auto"/>
            </w:pPr>
            <w:r>
              <w:rPr>
                <w:rFonts w:ascii="Calibri" w:hAnsi="Calibri"/>
                <w:b w:val="0"/>
                <w:i w:val="0"/>
                <w:color w:val="212121"/>
                <w:sz w:val="19"/>
              </w:rPr>
              <w:t>Deposition of monosodium urate (gout) or calcium pyrophosphate (pseudogout) crystals within a bursa produces acute, painful crystal bursitis, classically at the olecranon and prepatellar sites.</w:t>
            </w:r>
          </w:p>
          <w:p>
            <w:pPr>
              <w:spacing w:after="40" w:before="60" w:line="259" w:lineRule="auto"/>
            </w:pPr>
            <w:r>
              <w:rPr>
                <w:rFonts w:ascii="Calibri" w:hAnsi="Calibri"/>
                <w:b w:val="0"/>
                <w:i w:val="0"/>
                <w:color w:val="212121"/>
                <w:sz w:val="19"/>
              </w:rPr>
              <w:t>Crystal-induced arthropathy such as gout is among the leading non-infective causes of olecranon and prepatellar bursitis.</w:t>
            </w:r>
          </w:p>
          <w:p>
            <w:pPr>
              <w:spacing w:after="40" w:line="252" w:lineRule="auto"/>
            </w:pPr>
            <w:hyperlink r:id="rId11">
              <w:r>
                <w:rPr>
                  <w:rFonts w:ascii="Calibri" w:hAnsi="Calibri" w:cs="Calibri"/>
                  <w:sz w:val="18"/>
                  <w:color w:val="1155CC"/>
                  <w:u w:val="single"/>
                </w:rPr>
                <w:t xml:space="preserve">ncbi.nlm.nih.gov — septic bursitis (StatPearls)</w:t>
              </w:r>
            </w:hyperlink>
          </w:p>
          <w:p>
            <w:pPr>
              <w:spacing w:before="60" w:after="40"/>
            </w:pPr>
            <w:r>
              <w:rPr>
                <w:rFonts w:ascii="Calibri" w:hAnsi="Calibri"/>
                <w:b w:val="0"/>
                <w:i w:val="0"/>
                <w:color w:val="5A5A5A"/>
                <w:sz w:val="18"/>
              </w:rPr>
              <w:t>#gout  #pseudogout  #crystals  #olecranon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Osteoarthritis (knee/hip)</w:t>
            </w:r>
          </w:p>
        </w:tc>
        <w:tc>
          <w:tcPr>
            <w:tcW w:type="dxa" w:w="2160"/>
            <w:vAlign w:val="top"/>
          </w:tcPr>
          <w:p>
            <w:pPr>
              <w:spacing w:after="40" w:before="0" w:line="259" w:lineRule="auto"/>
            </w:pPr>
            <w:r>
              <w:rPr>
                <w:rFonts w:ascii="Calibri" w:hAnsi="Calibri"/>
                <w:b w:val="0"/>
                <w:i w:val="0"/>
                <w:color w:val="212121"/>
                <w:sz w:val="19"/>
              </w:rPr>
              <w:t>Patients with knee or hip osteoarthritis</w:t>
            </w:r>
          </w:p>
        </w:tc>
        <w:tc>
          <w:tcPr>
            <w:tcW w:type="dxa" w:w="4276"/>
            <w:vAlign w:val="top"/>
          </w:tcPr>
          <w:p>
            <w:pPr>
              <w:spacing w:after="60" w:line="259" w:lineRule="auto"/>
            </w:pPr>
            <w:r>
              <w:rPr>
                <w:rFonts w:ascii="Calibri" w:hAnsi="Calibri"/>
                <w:b w:val="0"/>
                <w:i w:val="0"/>
                <w:color w:val="212121"/>
                <w:sz w:val="19"/>
              </w:rPr>
              <w:t>Osteoarthritis alters joint mechanics and gait, and is strongly linked to trochanteric and pes anserine bursitis; it also predicts more persistent symptoms.</w:t>
            </w:r>
          </w:p>
          <w:p>
            <w:pPr>
              <w:spacing w:after="40" w:before="60" w:line="259" w:lineRule="auto"/>
            </w:pPr>
            <w:r>
              <w:rPr>
                <w:rFonts w:ascii="Calibri" w:hAnsi="Calibri"/>
                <w:b w:val="0"/>
                <w:i w:val="0"/>
                <w:color w:val="212121"/>
                <w:sz w:val="19"/>
              </w:rPr>
              <w:t>Ipsilateral knee osteoarthritis is strongly associated with greater trochanteric pain syndrome (odds ratio 3.47), and osteoarthritis patients are about 4.8 times more likely to have persistent symptoms at one year.</w:t>
            </w:r>
          </w:p>
          <w:p>
            <w:pPr>
              <w:spacing w:after="40" w:line="252" w:lineRule="auto"/>
            </w:pPr>
            <w:hyperlink r:id="rId12">
              <w:r>
                <w:rPr>
                  <w:rFonts w:ascii="Calibri" w:hAnsi="Calibri" w:cs="Calibri"/>
                  <w:sz w:val="18"/>
                  <w:color w:val="1155CC"/>
                  <w:u w:val="single"/>
                </w:rPr>
                <w:t xml:space="preserve">pubmed.ncbi.nlm.nih.gov/17678660 — GTPS epidemiology (Segal)</w:t>
              </w:r>
            </w:hyperlink>
          </w:p>
          <w:p>
            <w:pPr>
              <w:spacing w:before="60" w:after="40"/>
            </w:pPr>
            <w:r>
              <w:rPr>
                <w:rFonts w:ascii="Calibri" w:hAnsi="Calibri"/>
                <w:b w:val="0"/>
                <w:i w:val="0"/>
                <w:color w:val="5A5A5A"/>
                <w:sz w:val="18"/>
              </w:rPr>
              <w:t>#osteoarthritis  #GTPS  #pesanserine  #gaitmechanics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CKD / haemodialysis / immunosuppression</w:t>
            </w:r>
          </w:p>
        </w:tc>
        <w:tc>
          <w:tcPr>
            <w:tcW w:type="dxa" w:w="2160"/>
            <w:vAlign w:val="top"/>
          </w:tcPr>
          <w:p>
            <w:pPr>
              <w:spacing w:after="40" w:before="0" w:line="259" w:lineRule="auto"/>
            </w:pPr>
            <w:r>
              <w:rPr>
                <w:rFonts w:ascii="Calibri" w:hAnsi="Calibri"/>
                <w:b w:val="0"/>
                <w:i w:val="0"/>
                <w:color w:val="212121"/>
                <w:sz w:val="19"/>
              </w:rPr>
              <w:t>Patients on long-term dialysis or immunosuppressed</w:t>
            </w:r>
          </w:p>
        </w:tc>
        <w:tc>
          <w:tcPr>
            <w:tcW w:type="dxa" w:w="4276"/>
            <w:vAlign w:val="top"/>
          </w:tcPr>
          <w:p>
            <w:pPr>
              <w:spacing w:after="60" w:line="259" w:lineRule="auto"/>
            </w:pPr>
            <w:r>
              <w:rPr>
                <w:rFonts w:ascii="Calibri" w:hAnsi="Calibri"/>
                <w:b w:val="0"/>
                <w:i w:val="0"/>
                <w:color w:val="212121"/>
                <w:sz w:val="19"/>
              </w:rPr>
              <w:t>Uraemia and long-term haemodialysis are associated with olecranon bursitis, and any cause of immunosuppression (HIV, steroids, chemotherapy) increases the risk of the septic form.</w:t>
            </w:r>
          </w:p>
          <w:p>
            <w:pPr>
              <w:spacing w:after="40" w:before="60" w:line="259" w:lineRule="auto"/>
            </w:pPr>
            <w:r>
              <w:rPr>
                <w:rFonts w:ascii="Calibri" w:hAnsi="Calibri"/>
                <w:b w:val="0"/>
                <w:i w:val="0"/>
                <w:color w:val="212121"/>
                <w:sz w:val="19"/>
              </w:rPr>
              <w:t>Long-term haemodialysis and uraemia are recognised associations of olecranon bursitis, and immunocompromised patients are at higher risk of septic bursitis.</w:t>
            </w:r>
          </w:p>
          <w:p>
            <w:pPr>
              <w:spacing w:after="40" w:line="252" w:lineRule="auto"/>
            </w:pPr>
            <w:hyperlink r:id="rId9">
              <w:r>
                <w:rPr>
                  <w:rFonts w:ascii="Calibri" w:hAnsi="Calibri" w:cs="Calibri"/>
                  <w:sz w:val="18"/>
                  <w:color w:val="1155CC"/>
                  <w:u w:val="single"/>
                </w:rPr>
                <w:t xml:space="preserve">ncbi.nlm.nih.gov — olecranon bursitis (StatPearls)</w:t>
              </w:r>
            </w:hyperlink>
          </w:p>
          <w:p>
            <w:pPr>
              <w:spacing w:before="60" w:after="40"/>
            </w:pPr>
            <w:r>
              <w:rPr>
                <w:rFonts w:ascii="Calibri" w:hAnsi="Calibri"/>
                <w:b w:val="0"/>
                <w:i w:val="0"/>
                <w:color w:val="5A5A5A"/>
                <w:sz w:val="18"/>
              </w:rPr>
              <w:t>#CKD  #haemodialysis  #immunosuppression  #uraemia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extremes matter: sudden increases in repetitive overhead, kneeling or running load provoke overuse bursitis, while appropriate strengthening and load management prevent and rehabilitate it. Elevated BMI raises trochanteric bursitis incidence 2.8-fold.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mainly through obesity, which mechanically loads hip and knee bursae, and through purine intake, which raises urate and precipitates gouty crystal bursitis; weight loss reduces mechanical bursitis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Bursitis pain — especially trochanteric pain when lying on the affected side — disrupts sleep, with about 40% of GTPS patients reporting sleep disturbance; poor sleep amplifies pain but is not causal.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an independent risk factor for olecranon bursitis and impairs microcirculation, wound healing and immunity, increasing susceptibility to and severity of infection.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raises serum urate (predisposing to gouty bursitis) and, via immunosuppression and poor self-care, increases the risk of septic bursitis.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bursal pain and activity limitation contribute to low mood and frustration, and psychological distress modulates chronic-pain perception, but mental health does not cause bursitis.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role in bursitis, though adequate fluid intake supports renal urate excretion and thereby modestly lowers gout-related crystal bursitis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link between caffeine and bursitis; any effect is indirect and negligible, with some evidence that coffee slightly lowers gout risk.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Skin hygiene and prompt cleaning and dressing of abrasions over superficial bursae (elbow, knee) reduce septic bursitis, which follows a breach of the overlying skin; poor hygiene and untreated wounds predispose to staphylococcal infection.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trauma, prolonged pressure or kneeling, repetitive overuse, a skin breach, an acute gout attack, and corticosteroid injection into a superficial bursa all provoke or trigger bursitis.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pressure postures — leaning on the elbows, kneeling, prolonged floor-sitting or squatting, and sleeping on the side over the greater trochanter — mechanically load bursae and are central to olecranon, prepatellar, ischial and trochanteric bursitis.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 Asian-Indian)</w:t>
            </w:r>
          </w:p>
        </w:tc>
        <w:tc>
          <w:tcPr>
            <w:tcW w:type="dxa" w:w="1655"/>
            <w:vAlign w:val="top"/>
          </w:tcPr>
          <w:p>
            <w:pPr>
              <w:spacing w:after="40" w:before="0" w:line="259" w:lineRule="auto"/>
            </w:pPr>
            <w:r>
              <w:rPr>
                <w:rFonts w:ascii="Calibri" w:hAnsi="Calibri"/>
                <w:b w:val="0"/>
                <w:i w:val="0"/>
                <w:color w:val="212121"/>
                <w:sz w:val="19"/>
              </w:rPr>
              <w:t>Adults at risk of hip/knee bursitis</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raises trochanteric bursitis incidence 2.8-fold and loads knee bursae</w:t>
            </w:r>
          </w:p>
          <w:p>
            <w:pPr>
              <w:spacing w:after="40" w:line="252" w:lineRule="auto"/>
            </w:pPr>
            <w:hyperlink r:id="rId16">
              <w:r>
                <w:rPr>
                  <w:rFonts w:ascii="Calibri" w:hAnsi="Calibri" w:cs="Calibri"/>
                  <w:sz w:val="18"/>
                  <w:color w:val="1155CC"/>
                  <w:u w:val="single"/>
                </w:rPr>
                <w:t xml:space="preserve">https://www.ncbi.nlm.nih.gov/books/NBK557433/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Training / occupational load progression</w:t>
            </w:r>
          </w:p>
        </w:tc>
        <w:tc>
          <w:tcPr>
            <w:tcW w:type="dxa" w:w="1655"/>
            <w:vAlign w:val="top"/>
          </w:tcPr>
          <w:p>
            <w:pPr>
              <w:spacing w:after="40" w:before="0" w:line="259" w:lineRule="auto"/>
            </w:pPr>
            <w:r>
              <w:rPr>
                <w:rFonts w:ascii="Calibri" w:hAnsi="Calibri"/>
                <w:b w:val="0"/>
                <w:i w:val="0"/>
                <w:color w:val="212121"/>
                <w:sz w:val="19"/>
              </w:rPr>
              <w:t>Runners, overhead &amp; kneeling workers</w:t>
            </w:r>
          </w:p>
        </w:tc>
        <w:tc>
          <w:tcPr>
            <w:tcW w:type="dxa" w:w="1512"/>
            <w:vAlign w:val="top"/>
          </w:tcPr>
          <w:p>
            <w:pPr>
              <w:spacing w:after="40" w:before="0" w:line="259" w:lineRule="auto"/>
            </w:pPr>
            <w:r>
              <w:rPr>
                <w:rFonts w:ascii="Calibri" w:hAnsi="Calibri"/>
                <w:b w:val="0"/>
                <w:i w:val="0"/>
                <w:color w:val="212121"/>
                <w:sz w:val="19"/>
              </w:rPr>
              <w:t>Gradual increase (≤ ~10% per week)</w:t>
            </w:r>
          </w:p>
        </w:tc>
        <w:tc>
          <w:tcPr>
            <w:tcW w:type="dxa" w:w="1512"/>
            <w:vAlign w:val="top"/>
          </w:tcPr>
          <w:p>
            <w:pPr>
              <w:spacing w:after="40" w:before="0" w:line="259" w:lineRule="auto"/>
            </w:pPr>
            <w:r>
              <w:rPr>
                <w:rFonts w:ascii="Calibri" w:hAnsi="Calibri"/>
                <w:b w:val="0"/>
                <w:i w:val="0"/>
                <w:color w:val="212121"/>
                <w:sz w:val="19"/>
              </w:rPr>
              <w:t>Abrupt rise in overhead, kneeling or running load</w:t>
            </w:r>
          </w:p>
        </w:tc>
        <w:tc>
          <w:tcPr>
            <w:tcW w:type="dxa" w:w="1468"/>
            <w:vAlign w:val="top"/>
          </w:tcPr>
          <w:p>
            <w:pPr>
              <w:spacing w:after="40" w:before="0" w:line="259" w:lineRule="auto"/>
            </w:pPr>
            <w:r>
              <w:rPr>
                <w:rFonts w:ascii="Calibri" w:hAnsi="Calibri"/>
                <w:b w:val="0"/>
                <w:i w:val="0"/>
                <w:color w:val="212121"/>
                <w:sz w:val="19"/>
              </w:rPr>
              <w:t>Sudden load spikes provoke overuse subacromial, trochanteric and prepatellar bursitis</w:t>
            </w:r>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Daily unprotected kneeling / squatting time</w:t>
            </w:r>
          </w:p>
        </w:tc>
        <w:tc>
          <w:tcPr>
            <w:tcW w:type="dxa" w:w="1655"/>
            <w:vAlign w:val="top"/>
          </w:tcPr>
          <w:p>
            <w:pPr>
              <w:spacing w:after="40" w:before="0" w:line="259" w:lineRule="auto"/>
            </w:pPr>
            <w:r>
              <w:rPr>
                <w:rFonts w:ascii="Calibri" w:hAnsi="Calibri"/>
                <w:b w:val="0"/>
                <w:i w:val="0"/>
                <w:color w:val="212121"/>
                <w:sz w:val="19"/>
              </w:rPr>
              <w:t>Kneeling trades, floor-sitting adults</w:t>
            </w:r>
          </w:p>
        </w:tc>
        <w:tc>
          <w:tcPr>
            <w:tcW w:type="dxa" w:w="1512"/>
            <w:vAlign w:val="top"/>
          </w:tcPr>
          <w:p>
            <w:pPr>
              <w:spacing w:after="40" w:before="0" w:line="259" w:lineRule="auto"/>
            </w:pPr>
            <w:r>
              <w:rPr>
                <w:rFonts w:ascii="Calibri" w:hAnsi="Calibri"/>
                <w:b w:val="0"/>
                <w:i w:val="0"/>
                <w:color w:val="212121"/>
                <w:sz w:val="19"/>
              </w:rPr>
              <w:t>Minimal; use knee pads / cushioning</w:t>
            </w:r>
          </w:p>
        </w:tc>
        <w:tc>
          <w:tcPr>
            <w:tcW w:type="dxa" w:w="1512"/>
            <w:vAlign w:val="top"/>
          </w:tcPr>
          <w:p>
            <w:pPr>
              <w:spacing w:after="40" w:before="0" w:line="259" w:lineRule="auto"/>
            </w:pPr>
            <w:r>
              <w:rPr>
                <w:rFonts w:ascii="Calibri" w:hAnsi="Calibri"/>
                <w:b w:val="0"/>
                <w:i w:val="0"/>
                <w:color w:val="212121"/>
                <w:sz w:val="19"/>
              </w:rPr>
              <w:t>Prolonged repetitive unprotected kneeling</w:t>
            </w:r>
          </w:p>
        </w:tc>
        <w:tc>
          <w:tcPr>
            <w:tcW w:type="dxa" w:w="1468"/>
            <w:vAlign w:val="top"/>
          </w:tcPr>
          <w:p>
            <w:pPr>
              <w:spacing w:after="60" w:line="259" w:lineRule="auto"/>
            </w:pPr>
            <w:r>
              <w:rPr>
                <w:rFonts w:ascii="Calibri" w:hAnsi="Calibri"/>
                <w:b w:val="0"/>
                <w:i w:val="0"/>
                <w:color w:val="212121"/>
                <w:sz w:val="19"/>
              </w:rPr>
              <w:t>Sustained kneeling pressure drives prepatellar and infrapatellar bursitis</w:t>
            </w:r>
          </w:p>
          <w:p>
            <w:pPr>
              <w:spacing w:after="40" w:line="252" w:lineRule="auto"/>
            </w:pPr>
            <w:hyperlink r:id="rId14">
              <w:r>
                <w:rPr>
                  <w:rFonts w:ascii="Calibri" w:hAnsi="Calibri" w:cs="Calibri"/>
                  <w:sz w:val="18"/>
                  <w:color w:val="1155CC"/>
                  <w:u w:val="single"/>
                </w:rPr>
                <w:t xml:space="preserve">https://www.ncbi.nlm.nih.gov/books/NBK557508/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Prolonged elbow-leaning / desk pressure</w:t>
            </w:r>
          </w:p>
        </w:tc>
        <w:tc>
          <w:tcPr>
            <w:tcW w:type="dxa" w:w="1655"/>
            <w:vAlign w:val="top"/>
          </w:tcPr>
          <w:p>
            <w:pPr>
              <w:spacing w:after="40" w:before="0" w:line="259" w:lineRule="auto"/>
            </w:pPr>
            <w:r>
              <w:rPr>
                <w:rFonts w:ascii="Calibri" w:hAnsi="Calibri"/>
                <w:b w:val="0"/>
                <w:i w:val="0"/>
                <w:color w:val="212121"/>
                <w:sz w:val="19"/>
              </w:rPr>
              <w:t>Desk &amp; IT workers, students</w:t>
            </w:r>
          </w:p>
        </w:tc>
        <w:tc>
          <w:tcPr>
            <w:tcW w:type="dxa" w:w="1512"/>
            <w:vAlign w:val="top"/>
          </w:tcPr>
          <w:p>
            <w:pPr>
              <w:spacing w:after="40" w:before="0" w:line="259" w:lineRule="auto"/>
            </w:pPr>
            <w:r>
              <w:rPr>
                <w:rFonts w:ascii="Calibri" w:hAnsi="Calibri"/>
                <w:b w:val="0"/>
                <w:i w:val="0"/>
                <w:color w:val="212121"/>
                <w:sz w:val="19"/>
              </w:rPr>
              <w:t>Padded support, frequent position change</w:t>
            </w:r>
          </w:p>
        </w:tc>
        <w:tc>
          <w:tcPr>
            <w:tcW w:type="dxa" w:w="1512"/>
            <w:vAlign w:val="top"/>
          </w:tcPr>
          <w:p>
            <w:pPr>
              <w:spacing w:after="40" w:before="0" w:line="259" w:lineRule="auto"/>
            </w:pPr>
            <w:r>
              <w:rPr>
                <w:rFonts w:ascii="Calibri" w:hAnsi="Calibri"/>
                <w:b w:val="0"/>
                <w:i w:val="0"/>
                <w:color w:val="212121"/>
                <w:sz w:val="19"/>
              </w:rPr>
              <w:t>Prolonged pressure resting on the olecranon</w:t>
            </w:r>
          </w:p>
        </w:tc>
        <w:tc>
          <w:tcPr>
            <w:tcW w:type="dxa" w:w="1468"/>
            <w:vAlign w:val="top"/>
          </w:tcPr>
          <w:p>
            <w:pPr>
              <w:spacing w:after="60" w:line="259" w:lineRule="auto"/>
            </w:pPr>
            <w:r>
              <w:rPr>
                <w:rFonts w:ascii="Calibri" w:hAnsi="Calibri"/>
                <w:b w:val="0"/>
                <w:i w:val="0"/>
                <w:color w:val="212121"/>
                <w:sz w:val="19"/>
              </w:rPr>
              <w:t>Chronic pressure over the elbow is a classic cause of olecranon bursitis</w:t>
            </w:r>
          </w:p>
          <w:p>
            <w:pPr>
              <w:spacing w:after="40" w:line="252" w:lineRule="auto"/>
            </w:pPr>
            <w:hyperlink r:id="rId9">
              <w:r>
                <w:rPr>
                  <w:rFonts w:ascii="Calibri" w:hAnsi="Calibri" w:cs="Calibri"/>
                  <w:sz w:val="18"/>
                  <w:color w:val="1155CC"/>
                  <w:u w:val="single"/>
                </w:rPr>
                <w:t xml:space="preserve">https://www.ncbi.nlm.nih.gov/books/NBK470291/</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Skin integrity over the bursa</w:t>
            </w:r>
          </w:p>
        </w:tc>
        <w:tc>
          <w:tcPr>
            <w:tcW w:type="dxa" w:w="1655"/>
            <w:vAlign w:val="top"/>
          </w:tcPr>
          <w:p>
            <w:pPr>
              <w:spacing w:after="40" w:before="0" w:line="259" w:lineRule="auto"/>
            </w:pPr>
            <w:r>
              <w:rPr>
                <w:rFonts w:ascii="Calibri" w:hAnsi="Calibri"/>
                <w:b w:val="0"/>
                <w:i w:val="0"/>
                <w:color w:val="212121"/>
                <w:sz w:val="19"/>
              </w:rPr>
              <w:t>Elbow/knee-loading workers, diabetics</w:t>
            </w:r>
          </w:p>
        </w:tc>
        <w:tc>
          <w:tcPr>
            <w:tcW w:type="dxa" w:w="1512"/>
            <w:vAlign w:val="top"/>
          </w:tcPr>
          <w:p>
            <w:pPr>
              <w:spacing w:after="40" w:before="0" w:line="259" w:lineRule="auto"/>
            </w:pPr>
            <w:r>
              <w:rPr>
                <w:rFonts w:ascii="Calibri" w:hAnsi="Calibri"/>
                <w:b w:val="0"/>
                <w:i w:val="0"/>
                <w:color w:val="212121"/>
                <w:sz w:val="19"/>
              </w:rPr>
              <w:t>Intact, clean skin</w:t>
            </w:r>
          </w:p>
        </w:tc>
        <w:tc>
          <w:tcPr>
            <w:tcW w:type="dxa" w:w="1512"/>
            <w:vAlign w:val="top"/>
          </w:tcPr>
          <w:p>
            <w:pPr>
              <w:spacing w:after="40" w:before="0" w:line="259" w:lineRule="auto"/>
            </w:pPr>
            <w:r>
              <w:rPr>
                <w:rFonts w:ascii="Calibri" w:hAnsi="Calibri"/>
                <w:b w:val="0"/>
                <w:i w:val="0"/>
                <w:color w:val="212121"/>
                <w:sz w:val="19"/>
              </w:rPr>
              <w:t>Abrasion, laceration or overlying cellulitis</w:t>
            </w:r>
          </w:p>
        </w:tc>
        <w:tc>
          <w:tcPr>
            <w:tcW w:type="dxa" w:w="1468"/>
            <w:vAlign w:val="top"/>
          </w:tcPr>
          <w:p>
            <w:pPr>
              <w:spacing w:after="60" w:line="259" w:lineRule="auto"/>
            </w:pPr>
            <w:r>
              <w:rPr>
                <w:rFonts w:ascii="Calibri" w:hAnsi="Calibri"/>
                <w:b w:val="0"/>
                <w:i w:val="0"/>
                <w:color w:val="212121"/>
                <w:sz w:val="19"/>
              </w:rPr>
              <w:t>A breach of overlying skin is the usual route to septic (S. aureus) bursitis</w:t>
            </w:r>
          </w:p>
          <w:p>
            <w:pPr>
              <w:spacing w:after="40" w:line="252" w:lineRule="auto"/>
            </w:pPr>
            <w:hyperlink r:id="rId11">
              <w:r>
                <w:rPr>
                  <w:rFonts w:ascii="Calibri" w:hAnsi="Calibri" w:cs="Calibri"/>
                  <w:sz w:val="18"/>
                  <w:color w:val="1155CC"/>
                  <w:u w:val="single"/>
                </w:rPr>
                <w:t xml:space="preserve">https://www.ncbi.nlm.nih.gov/books/NBK470331/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Local temperature difference vs contralateral bursa</w:t>
            </w:r>
          </w:p>
        </w:tc>
        <w:tc>
          <w:tcPr>
            <w:tcW w:type="dxa" w:w="1655"/>
            <w:vAlign w:val="top"/>
          </w:tcPr>
          <w:p>
            <w:pPr>
              <w:spacing w:after="40" w:before="0" w:line="259" w:lineRule="auto"/>
            </w:pPr>
            <w:r>
              <w:rPr>
                <w:rFonts w:ascii="Calibri" w:hAnsi="Calibri"/>
                <w:b w:val="0"/>
                <w:i w:val="0"/>
                <w:color w:val="212121"/>
                <w:sz w:val="19"/>
              </w:rPr>
              <w:t>Acute swollen bursa</w:t>
            </w:r>
          </w:p>
        </w:tc>
        <w:tc>
          <w:tcPr>
            <w:tcW w:type="dxa" w:w="1512"/>
            <w:vAlign w:val="top"/>
          </w:tcPr>
          <w:p>
            <w:pPr>
              <w:spacing w:after="40" w:before="0" w:line="259" w:lineRule="auto"/>
            </w:pPr>
            <w:r>
              <w:rPr>
                <w:rFonts w:ascii="Calibri" w:hAnsi="Calibri"/>
                <w:b w:val="0"/>
                <w:i w:val="0"/>
                <w:color w:val="212121"/>
                <w:sz w:val="19"/>
              </w:rPr>
              <w:t>&lt; 1°C difference</w:t>
            </w:r>
          </w:p>
        </w:tc>
        <w:tc>
          <w:tcPr>
            <w:tcW w:type="dxa" w:w="1512"/>
            <w:vAlign w:val="top"/>
          </w:tcPr>
          <w:p>
            <w:pPr>
              <w:spacing w:after="40" w:before="0" w:line="259" w:lineRule="auto"/>
            </w:pPr>
            <w:r>
              <w:rPr>
                <w:rFonts w:ascii="Calibri" w:hAnsi="Calibri"/>
                <w:b w:val="0"/>
                <w:i w:val="0"/>
                <w:color w:val="212121"/>
                <w:sz w:val="19"/>
              </w:rPr>
              <w:t>≥ 2.2°C warmer than the opposite side</w:t>
            </w:r>
          </w:p>
        </w:tc>
        <w:tc>
          <w:tcPr>
            <w:tcW w:type="dxa" w:w="1468"/>
            <w:vAlign w:val="top"/>
          </w:tcPr>
          <w:p>
            <w:pPr>
              <w:spacing w:after="60" w:line="259" w:lineRule="auto"/>
            </w:pPr>
            <w:r>
              <w:rPr>
                <w:rFonts w:ascii="Calibri" w:hAnsi="Calibri"/>
                <w:b w:val="0"/>
                <w:i w:val="0"/>
                <w:color w:val="212121"/>
                <w:sz w:val="19"/>
              </w:rPr>
              <w:t>A ≥ 2.2°C difference is highly sensitive and specific for septic bursitis</w:t>
            </w:r>
          </w:p>
          <w:p>
            <w:pPr>
              <w:spacing w:after="40" w:line="252" w:lineRule="auto"/>
            </w:pPr>
            <w:hyperlink r:id="rId15">
              <w:r>
                <w:rPr>
                  <w:rFonts w:ascii="Calibri" w:hAnsi="Calibri" w:cs="Calibri"/>
                  <w:sz w:val="18"/>
                  <w:color w:val="1155CC"/>
                  <w:u w:val="single"/>
                </w:rPr>
                <w:t xml:space="preserve">https://www.ncbi.nlm.nih.gov/books/NBK513340/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Bursal-fluid white-cell count (aspirate)</w:t>
            </w:r>
          </w:p>
        </w:tc>
        <w:tc>
          <w:tcPr>
            <w:tcW w:type="dxa" w:w="1655"/>
            <w:vAlign w:val="top"/>
          </w:tcPr>
          <w:p>
            <w:pPr>
              <w:spacing w:after="40" w:before="0" w:line="259" w:lineRule="auto"/>
            </w:pPr>
            <w:r>
              <w:rPr>
                <w:rFonts w:ascii="Calibri" w:hAnsi="Calibri"/>
                <w:b w:val="0"/>
                <w:i w:val="0"/>
                <w:color w:val="212121"/>
                <w:sz w:val="19"/>
              </w:rPr>
              <w:t>Suspected septic bursitis</w:t>
            </w:r>
          </w:p>
        </w:tc>
        <w:tc>
          <w:tcPr>
            <w:tcW w:type="dxa" w:w="1512"/>
            <w:vAlign w:val="top"/>
          </w:tcPr>
          <w:p>
            <w:pPr>
              <w:spacing w:after="40" w:before="0" w:line="259" w:lineRule="auto"/>
            </w:pPr>
            <w:r>
              <w:rPr>
                <w:rFonts w:ascii="Calibri" w:hAnsi="Calibri"/>
                <w:b w:val="0"/>
                <w:i w:val="0"/>
                <w:color w:val="212121"/>
                <w:sz w:val="19"/>
              </w:rPr>
              <w:t>&lt; 500/mm³ (non-infective)</w:t>
            </w:r>
          </w:p>
        </w:tc>
        <w:tc>
          <w:tcPr>
            <w:tcW w:type="dxa" w:w="1512"/>
            <w:vAlign w:val="top"/>
          </w:tcPr>
          <w:p>
            <w:pPr>
              <w:spacing w:after="40" w:before="0" w:line="259" w:lineRule="auto"/>
            </w:pPr>
            <w:r>
              <w:rPr>
                <w:rFonts w:ascii="Calibri" w:hAnsi="Calibri"/>
                <w:b w:val="0"/>
                <w:i w:val="0"/>
                <w:color w:val="212121"/>
                <w:sz w:val="19"/>
              </w:rPr>
              <w:t>&gt; 2000/mm³ (≈94% sensitive for infection)</w:t>
            </w:r>
          </w:p>
        </w:tc>
        <w:tc>
          <w:tcPr>
            <w:tcW w:type="dxa" w:w="1468"/>
            <w:vAlign w:val="top"/>
          </w:tcPr>
          <w:p>
            <w:pPr>
              <w:spacing w:after="60" w:line="259" w:lineRule="auto"/>
            </w:pPr>
            <w:r>
              <w:rPr>
                <w:rFonts w:ascii="Calibri" w:hAnsi="Calibri"/>
                <w:b w:val="0"/>
                <w:i w:val="0"/>
                <w:color w:val="212121"/>
                <w:sz w:val="19"/>
              </w:rPr>
              <w:t>Average septic counts approach 63,000/mm³; guides antibiotic decisions</w:t>
            </w:r>
          </w:p>
          <w:p>
            <w:pPr>
              <w:spacing w:after="40" w:line="252" w:lineRule="auto"/>
            </w:pPr>
            <w:hyperlink r:id="rId11">
              <w:r>
                <w:rPr>
                  <w:rFonts w:ascii="Calibri" w:hAnsi="Calibri" w:cs="Calibri"/>
                  <w:sz w:val="18"/>
                  <w:color w:val="1155CC"/>
                  <w:u w:val="single"/>
                </w:rPr>
                <w:t xml:space="preserve">https://www.ncbi.nlm.nih.gov/books/NBK470331/</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uric acid</w:t>
            </w:r>
          </w:p>
        </w:tc>
        <w:tc>
          <w:tcPr>
            <w:tcW w:type="dxa" w:w="1655"/>
            <w:vAlign w:val="top"/>
          </w:tcPr>
          <w:p>
            <w:pPr>
              <w:spacing w:after="40" w:before="0" w:line="259" w:lineRule="auto"/>
            </w:pPr>
            <w:r>
              <w:rPr>
                <w:rFonts w:ascii="Calibri" w:hAnsi="Calibri"/>
                <w:b w:val="0"/>
                <w:i w:val="0"/>
                <w:color w:val="212121"/>
                <w:sz w:val="19"/>
              </w:rPr>
              <w:t>Recurrent olecranon/prepatellar bursitis</w:t>
            </w:r>
          </w:p>
        </w:tc>
        <w:tc>
          <w:tcPr>
            <w:tcW w:type="dxa" w:w="1512"/>
            <w:vAlign w:val="top"/>
          </w:tcPr>
          <w:p>
            <w:pPr>
              <w:spacing w:after="40" w:before="0" w:line="259" w:lineRule="auto"/>
            </w:pPr>
            <w:r>
              <w:rPr>
                <w:rFonts w:ascii="Calibri" w:hAnsi="Calibri"/>
                <w:b w:val="0"/>
                <w:i w:val="0"/>
                <w:color w:val="212121"/>
                <w:sz w:val="19"/>
              </w:rPr>
              <w:t>&lt; 6 mg/dL</w:t>
            </w:r>
          </w:p>
        </w:tc>
        <w:tc>
          <w:tcPr>
            <w:tcW w:type="dxa" w:w="1512"/>
            <w:vAlign w:val="top"/>
          </w:tcPr>
          <w:p>
            <w:pPr>
              <w:spacing w:after="40" w:before="0" w:line="259" w:lineRule="auto"/>
            </w:pPr>
            <w:r>
              <w:rPr>
                <w:rFonts w:ascii="Calibri" w:hAnsi="Calibri"/>
                <w:b w:val="0"/>
                <w:i w:val="0"/>
                <w:color w:val="212121"/>
                <w:sz w:val="19"/>
              </w:rPr>
              <w:t>&gt; 6.8–7 mg/dL (hyperuricaemia)</w:t>
            </w:r>
          </w:p>
        </w:tc>
        <w:tc>
          <w:tcPr>
            <w:tcW w:type="dxa" w:w="1468"/>
            <w:vAlign w:val="top"/>
          </w:tcPr>
          <w:p>
            <w:pPr>
              <w:spacing w:after="40" w:before="0" w:line="259" w:lineRule="auto"/>
            </w:pPr>
            <w:r>
              <w:rPr>
                <w:rFonts w:ascii="Calibri" w:hAnsi="Calibri"/>
                <w:b w:val="0"/>
                <w:i w:val="0"/>
                <w:color w:val="212121"/>
                <w:sz w:val="19"/>
              </w:rPr>
              <w:t>Sustained hyperuricaemia predisposes to gouty crystal bursitis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(Asian cut-offs)</w:t>
            </w:r>
          </w:p>
        </w:tc>
        <w:tc>
          <w:tcPr>
            <w:tcW w:type="dxa" w:w="1655"/>
            <w:vAlign w:val="top"/>
          </w:tcPr>
          <w:p>
            <w:pPr>
              <w:spacing w:after="40" w:before="0" w:line="259" w:lineRule="auto"/>
            </w:pPr>
            <w:r>
              <w:rPr>
                <w:rFonts w:ascii="Calibri" w:hAnsi="Calibri"/>
                <w:b w:val="0"/>
                <w:i w:val="0"/>
                <w:color w:val="212121"/>
                <w:sz w:val="19"/>
              </w:rPr>
              <w:t>Adults with hip/knee bursitis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Central adiposity adds mechanical load and low-grade inflammation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Adults with or at risk of olecranon bursitis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60" w:line="259" w:lineRule="auto"/>
            </w:pPr>
            <w:r>
              <w:rPr>
                <w:rFonts w:ascii="Calibri" w:hAnsi="Calibri"/>
                <w:b w:val="0"/>
                <w:i w:val="0"/>
                <w:color w:val="212121"/>
                <w:sz w:val="19"/>
              </w:rPr>
              <w:t>Smoking independently raises olecranon bursitis risk and impairs healing</w:t>
            </w:r>
          </w:p>
          <w:p>
            <w:pPr>
              <w:spacing w:after="40" w:line="252" w:lineRule="auto"/>
            </w:pPr>
            <w:hyperlink r:id="rId9">
              <w:r>
                <w:rPr>
                  <w:rFonts w:ascii="Calibri" w:hAnsi="Calibri" w:cs="Calibri"/>
                  <w:sz w:val="18"/>
                  <w:color w:val="1155CC"/>
                  <w:u w:val="single"/>
                </w:rPr>
                <w:t xml:space="preserve">https://www.ncbi.nlm.nih.gov/books/NBK470291/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gout/immunosuppression</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Heavy or regular intake</w:t>
            </w:r>
          </w:p>
        </w:tc>
        <w:tc>
          <w:tcPr>
            <w:tcW w:type="dxa" w:w="1468"/>
            <w:vAlign w:val="top"/>
          </w:tcPr>
          <w:p>
            <w:pPr>
              <w:spacing w:after="40" w:before="0" w:line="259" w:lineRule="auto"/>
            </w:pPr>
            <w:r>
              <w:rPr>
                <w:rFonts w:ascii="Calibri" w:hAnsi="Calibri"/>
                <w:b w:val="0"/>
                <w:i w:val="0"/>
                <w:color w:val="212121"/>
                <w:sz w:val="19"/>
              </w:rPr>
              <w:t>Raises urate and impairs immunity, favouring crystal and septic bursitis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Bursal aspiration</w:t>
            </w:r>
          </w:p>
        </w:tc>
        <w:tc>
          <w:tcPr>
            <w:tcW w:type="dxa" w:w="1036"/>
            <w:vAlign w:val="top"/>
          </w:tcPr>
          <w:p>
            <w:pPr>
              <w:spacing w:after="40" w:before="0" w:line="259" w:lineRule="auto"/>
            </w:pPr>
            <w:r>
              <w:rPr>
                <w:rFonts w:ascii="Calibri" w:hAnsi="Calibri"/>
                <w:b w:val="0"/>
                <w:i w:val="0"/>
                <w:color w:val="212121"/>
                <w:sz w:val="16"/>
              </w:rPr>
              <w:t>Cell count &amp; differential</w:t>
            </w:r>
          </w:p>
        </w:tc>
        <w:tc>
          <w:tcPr>
            <w:tcW w:type="dxa" w:w="892"/>
            <w:vAlign w:val="top"/>
          </w:tcPr>
          <w:p>
            <w:pPr>
              <w:spacing w:after="40" w:before="0" w:line="259" w:lineRule="auto"/>
            </w:pPr>
            <w:r>
              <w:rPr>
                <w:rFonts w:ascii="Calibri" w:hAnsi="Calibri"/>
                <w:b w:val="0"/>
                <w:i w:val="0"/>
                <w:color w:val="212121"/>
                <w:sz w:val="16"/>
              </w:rPr>
              <w:t>Bursal fluid analysis</w:t>
            </w:r>
          </w:p>
        </w:tc>
        <w:tc>
          <w:tcPr>
            <w:tcW w:type="dxa" w:w="950"/>
            <w:vAlign w:val="top"/>
          </w:tcPr>
          <w:p>
            <w:pPr>
              <w:spacing w:after="40" w:before="0" w:line="259" w:lineRule="auto"/>
            </w:pPr>
            <w:r>
              <w:rPr>
                <w:rFonts w:ascii="Calibri" w:hAnsi="Calibri"/>
                <w:b w:val="0"/>
                <w:i w:val="0"/>
                <w:color w:val="212121"/>
                <w:sz w:val="16"/>
              </w:rPr>
              <w:t>&lt; 500/mm³ (non-infective)</w:t>
            </w:r>
          </w:p>
        </w:tc>
        <w:tc>
          <w:tcPr>
            <w:tcW w:type="dxa" w:w="950"/>
            <w:vAlign w:val="top"/>
          </w:tcPr>
          <w:p>
            <w:pPr>
              <w:spacing w:after="40" w:before="0" w:line="259" w:lineRule="auto"/>
            </w:pPr>
            <w:r>
              <w:rPr>
                <w:rFonts w:ascii="Calibri" w:hAnsi="Calibri"/>
                <w:b w:val="0"/>
                <w:i w:val="0"/>
                <w:color w:val="212121"/>
                <w:sz w:val="16"/>
              </w:rPr>
              <w:t>&gt; 2000/mm³; septic average ≈ 63,000/mm³</w:t>
            </w:r>
          </w:p>
        </w:tc>
        <w:tc>
          <w:tcPr>
            <w:tcW w:type="dxa" w:w="1036"/>
            <w:vAlign w:val="top"/>
          </w:tcPr>
          <w:p>
            <w:pPr>
              <w:spacing w:after="40" w:before="0" w:line="259" w:lineRule="auto"/>
            </w:pPr>
            <w:r>
              <w:rPr>
                <w:rFonts w:ascii="Calibri" w:hAnsi="Calibri"/>
                <w:b w:val="0"/>
                <w:i w:val="0"/>
                <w:color w:val="212121"/>
                <w:sz w:val="16"/>
              </w:rPr>
              <w:t>Leucocytosis &gt; 2000/mm³ is ~94% sensitive and 79% specific for septic bursitis</w:t>
            </w:r>
          </w:p>
        </w:tc>
        <w:tc>
          <w:tcPr>
            <w:tcW w:type="dxa" w:w="1036"/>
            <w:vAlign w:val="top"/>
          </w:tcPr>
          <w:p>
            <w:pPr>
              <w:spacing w:after="40" w:before="0" w:line="259" w:lineRule="auto"/>
            </w:pPr>
            <w:r>
              <w:rPr>
                <w:rFonts w:ascii="Calibri" w:hAnsi="Calibri"/>
                <w:b w:val="0"/>
                <w:i w:val="0"/>
                <w:color w:val="212121"/>
                <w:sz w:val="16"/>
              </w:rPr>
              <w:t>Acute warm swollen superficial bursa</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test to separate septic from aseptic bursitis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Bursal aspiration</w:t>
            </w:r>
          </w:p>
        </w:tc>
        <w:tc>
          <w:tcPr>
            <w:tcW w:type="dxa" w:w="1036"/>
            <w:vAlign w:val="top"/>
          </w:tcPr>
          <w:p>
            <w:pPr>
              <w:spacing w:after="40" w:before="0" w:line="259" w:lineRule="auto"/>
            </w:pPr>
            <w:r>
              <w:rPr>
                <w:rFonts w:ascii="Calibri" w:hAnsi="Calibri"/>
                <w:b w:val="0"/>
                <w:i w:val="0"/>
                <w:color w:val="212121"/>
                <w:sz w:val="16"/>
              </w:rPr>
              <w:t>Gram stain &amp; culture</w:t>
            </w:r>
          </w:p>
        </w:tc>
        <w:tc>
          <w:tcPr>
            <w:tcW w:type="dxa" w:w="892"/>
            <w:vAlign w:val="top"/>
          </w:tcPr>
          <w:p>
            <w:pPr>
              <w:spacing w:after="40" w:before="0" w:line="259" w:lineRule="auto"/>
            </w:pPr>
            <w:r>
              <w:rPr>
                <w:rFonts w:ascii="Calibri" w:hAnsi="Calibri"/>
                <w:b w:val="0"/>
                <w:i w:val="0"/>
                <w:color w:val="212121"/>
                <w:sz w:val="16"/>
              </w:rPr>
              <w:t>Bursal fluid microbiology</w:t>
            </w:r>
          </w:p>
        </w:tc>
        <w:tc>
          <w:tcPr>
            <w:tcW w:type="dxa" w:w="950"/>
            <w:vAlign w:val="top"/>
          </w:tcPr>
          <w:p>
            <w:pPr>
              <w:spacing w:after="40" w:before="0" w:line="259" w:lineRule="auto"/>
            </w:pPr>
            <w:r>
              <w:rPr>
                <w:rFonts w:ascii="Calibri" w:hAnsi="Calibri"/>
                <w:b w:val="0"/>
                <w:i w:val="0"/>
                <w:color w:val="212121"/>
                <w:sz w:val="16"/>
              </w:rPr>
              <w:t>No organisms; sterile culture</w:t>
            </w:r>
          </w:p>
        </w:tc>
        <w:tc>
          <w:tcPr>
            <w:tcW w:type="dxa" w:w="950"/>
            <w:vAlign w:val="top"/>
          </w:tcPr>
          <w:p>
            <w:pPr>
              <w:spacing w:after="40" w:before="0" w:line="259" w:lineRule="auto"/>
            </w:pPr>
            <w:r>
              <w:rPr>
                <w:rFonts w:ascii="Calibri" w:hAnsi="Calibri"/>
                <w:b w:val="0"/>
                <w:i w:val="0"/>
                <w:color w:val="212121"/>
                <w:sz w:val="16"/>
              </w:rPr>
              <w:t>Organisms seen / positive culture (S. aureus 80–90%)</w:t>
            </w:r>
          </w:p>
        </w:tc>
        <w:tc>
          <w:tcPr>
            <w:tcW w:type="dxa" w:w="1036"/>
            <w:vAlign w:val="top"/>
          </w:tcPr>
          <w:p>
            <w:pPr>
              <w:spacing w:after="40" w:before="0" w:line="259" w:lineRule="auto"/>
            </w:pPr>
            <w:r>
              <w:rPr>
                <w:rFonts w:ascii="Calibri" w:hAnsi="Calibri"/>
                <w:b w:val="0"/>
                <w:i w:val="0"/>
                <w:color w:val="212121"/>
                <w:sz w:val="16"/>
              </w:rPr>
              <w:t>Confirms infection and guides antibiotic choice; culture is the gold standard</w:t>
            </w:r>
          </w:p>
        </w:tc>
        <w:tc>
          <w:tcPr>
            <w:tcW w:type="dxa" w:w="1036"/>
            <w:vAlign w:val="top"/>
          </w:tcPr>
          <w:p>
            <w:pPr>
              <w:spacing w:after="40" w:before="0" w:line="259" w:lineRule="auto"/>
            </w:pPr>
            <w:r>
              <w:rPr>
                <w:rFonts w:ascii="Calibri" w:hAnsi="Calibri"/>
                <w:b w:val="0"/>
                <w:i w:val="0"/>
                <w:color w:val="212121"/>
                <w:sz w:val="16"/>
              </w:rPr>
              <w:t>Suspected septic bursitis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Gram-stain sensitivity is variable, so a negative stain does not exclude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Bursal aspiration</w:t>
            </w:r>
          </w:p>
        </w:tc>
        <w:tc>
          <w:tcPr>
            <w:tcW w:type="dxa" w:w="1036"/>
            <w:vAlign w:val="top"/>
          </w:tcPr>
          <w:p>
            <w:pPr>
              <w:spacing w:after="40" w:before="0" w:line="259" w:lineRule="auto"/>
            </w:pPr>
            <w:r>
              <w:rPr>
                <w:rFonts w:ascii="Calibri" w:hAnsi="Calibri"/>
                <w:b w:val="0"/>
                <w:i w:val="0"/>
                <w:color w:val="212121"/>
                <w:sz w:val="16"/>
              </w:rPr>
              <w:t>Crystal analysis (polarised light)</w:t>
            </w:r>
          </w:p>
        </w:tc>
        <w:tc>
          <w:tcPr>
            <w:tcW w:type="dxa" w:w="892"/>
            <w:vAlign w:val="top"/>
          </w:tcPr>
          <w:p>
            <w:pPr>
              <w:spacing w:after="40" w:before="0" w:line="259" w:lineRule="auto"/>
            </w:pPr>
            <w:r>
              <w:rPr>
                <w:rFonts w:ascii="Calibri" w:hAnsi="Calibri"/>
                <w:b w:val="0"/>
                <w:i w:val="0"/>
                <w:color w:val="212121"/>
                <w:sz w:val="16"/>
              </w:rPr>
              <w:t>Crystal microscopy</w:t>
            </w:r>
          </w:p>
        </w:tc>
        <w:tc>
          <w:tcPr>
            <w:tcW w:type="dxa" w:w="950"/>
            <w:vAlign w:val="top"/>
          </w:tcPr>
          <w:p>
            <w:pPr>
              <w:spacing w:after="40" w:before="0" w:line="259" w:lineRule="auto"/>
            </w:pPr>
            <w:r>
              <w:rPr>
                <w:rFonts w:ascii="Calibri" w:hAnsi="Calibri"/>
                <w:b w:val="0"/>
                <w:i w:val="0"/>
                <w:color w:val="212121"/>
                <w:sz w:val="16"/>
              </w:rPr>
              <w:t>No crystals</w:t>
            </w:r>
          </w:p>
        </w:tc>
        <w:tc>
          <w:tcPr>
            <w:tcW w:type="dxa" w:w="950"/>
            <w:vAlign w:val="top"/>
          </w:tcPr>
          <w:p>
            <w:pPr>
              <w:spacing w:after="40" w:before="0" w:line="259" w:lineRule="auto"/>
            </w:pPr>
            <w:r>
              <w:rPr>
                <w:rFonts w:ascii="Calibri" w:hAnsi="Calibri"/>
                <w:b w:val="0"/>
                <w:i w:val="0"/>
                <w:color w:val="212121"/>
                <w:sz w:val="16"/>
              </w:rPr>
              <w:t>Negatively birefringent MSU (gout) or positively birefringent CPPD (pseudogout)</w:t>
            </w:r>
          </w:p>
        </w:tc>
        <w:tc>
          <w:tcPr>
            <w:tcW w:type="dxa" w:w="1036"/>
            <w:vAlign w:val="top"/>
          </w:tcPr>
          <w:p>
            <w:pPr>
              <w:spacing w:after="40" w:before="0" w:line="259" w:lineRule="auto"/>
            </w:pPr>
            <w:r>
              <w:rPr>
                <w:rFonts w:ascii="Calibri" w:hAnsi="Calibri"/>
                <w:b w:val="0"/>
                <w:i w:val="0"/>
                <w:color w:val="212121"/>
                <w:sz w:val="16"/>
              </w:rPr>
              <w:t>Identifies crystal-induced bursitis, which can coexist with or mimic infection</w:t>
            </w:r>
          </w:p>
        </w:tc>
        <w:tc>
          <w:tcPr>
            <w:tcW w:type="dxa" w:w="1036"/>
            <w:vAlign w:val="top"/>
          </w:tcPr>
          <w:p>
            <w:pPr>
              <w:spacing w:after="40" w:before="0" w:line="259" w:lineRule="auto"/>
            </w:pPr>
            <w:r>
              <w:rPr>
                <w:rFonts w:ascii="Calibri" w:hAnsi="Calibri"/>
                <w:b w:val="0"/>
                <w:i w:val="0"/>
                <w:color w:val="212121"/>
                <w:sz w:val="16"/>
              </w:rPr>
              <w:t>Recurrent olecranon/prepatellar bursitis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request crystals alongside cell count and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uric acid</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&lt; 6–7 mg/dL</w:t>
            </w:r>
          </w:p>
        </w:tc>
        <w:tc>
          <w:tcPr>
            <w:tcW w:type="dxa" w:w="950"/>
            <w:vAlign w:val="top"/>
          </w:tcPr>
          <w:p>
            <w:pPr>
              <w:spacing w:after="40" w:before="0" w:line="259" w:lineRule="auto"/>
            </w:pPr>
            <w:r>
              <w:rPr>
                <w:rFonts w:ascii="Calibri" w:hAnsi="Calibri"/>
                <w:b w:val="0"/>
                <w:i w:val="0"/>
                <w:color w:val="212121"/>
                <w:sz w:val="16"/>
              </w:rPr>
              <w:t>Hyperuricaemia</w:t>
            </w:r>
          </w:p>
        </w:tc>
        <w:tc>
          <w:tcPr>
            <w:tcW w:type="dxa" w:w="1036"/>
            <w:vAlign w:val="top"/>
          </w:tcPr>
          <w:p>
            <w:pPr>
              <w:spacing w:after="40" w:before="0" w:line="259" w:lineRule="auto"/>
            </w:pPr>
            <w:r>
              <w:rPr>
                <w:rFonts w:ascii="Calibri" w:hAnsi="Calibri"/>
                <w:b w:val="0"/>
                <w:i w:val="0"/>
                <w:color w:val="212121"/>
                <w:sz w:val="16"/>
              </w:rPr>
              <w:t>Supports a gouty cause of recurrent bursitis, though urate may be normal during an acute attack</w:t>
            </w:r>
          </w:p>
        </w:tc>
        <w:tc>
          <w:tcPr>
            <w:tcW w:type="dxa" w:w="1036"/>
            <w:vAlign w:val="top"/>
          </w:tcPr>
          <w:p>
            <w:pPr>
              <w:spacing w:after="40" w:before="0" w:line="259" w:lineRule="auto"/>
            </w:pPr>
            <w:r>
              <w:rPr>
                <w:rFonts w:ascii="Calibri" w:hAnsi="Calibri"/>
                <w:b w:val="0"/>
                <w:i w:val="0"/>
                <w:color w:val="212121"/>
                <w:sz w:val="16"/>
              </w:rPr>
              <w:t>Recurrent crystal bursitis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crystal analysis, not in isolation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CBC, CRP / ESR</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Normal WBC; CRP/ESR within range</w:t>
            </w:r>
          </w:p>
        </w:tc>
        <w:tc>
          <w:tcPr>
            <w:tcW w:type="dxa" w:w="950"/>
            <w:vAlign w:val="top"/>
          </w:tcPr>
          <w:p>
            <w:pPr>
              <w:spacing w:after="40" w:before="0" w:line="259" w:lineRule="auto"/>
            </w:pPr>
            <w:r>
              <w:rPr>
                <w:rFonts w:ascii="Calibri" w:hAnsi="Calibri"/>
                <w:b w:val="0"/>
                <w:i w:val="0"/>
                <w:color w:val="212121"/>
                <w:sz w:val="16"/>
              </w:rPr>
              <w:t>Leucocytosis with raised CRP/ESR</w:t>
            </w:r>
          </w:p>
        </w:tc>
        <w:tc>
          <w:tcPr>
            <w:tcW w:type="dxa" w:w="1036"/>
            <w:vAlign w:val="top"/>
          </w:tcPr>
          <w:p>
            <w:pPr>
              <w:spacing w:after="40" w:before="0" w:line="259" w:lineRule="auto"/>
            </w:pPr>
            <w:r>
              <w:rPr>
                <w:rFonts w:ascii="Calibri" w:hAnsi="Calibri"/>
                <w:b w:val="0"/>
                <w:i w:val="0"/>
                <w:color w:val="212121"/>
                <w:sz w:val="16"/>
              </w:rPr>
              <w:t>Support systemic inflammation or infection but are non-specific and can be normal in localised bursitis</w:t>
            </w:r>
          </w:p>
        </w:tc>
        <w:tc>
          <w:tcPr>
            <w:tcW w:type="dxa" w:w="1036"/>
            <w:vAlign w:val="top"/>
          </w:tcPr>
          <w:p>
            <w:pPr>
              <w:spacing w:after="40" w:before="0" w:line="259" w:lineRule="auto"/>
            </w:pPr>
            <w:r>
              <w:rPr>
                <w:rFonts w:ascii="Calibri" w:hAnsi="Calibri"/>
                <w:b w:val="0"/>
                <w:i w:val="0"/>
                <w:color w:val="212121"/>
                <w:sz w:val="16"/>
              </w:rPr>
              <w:t>Suspected septic or inflammatory bursitis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Use with clinical findings and aspiration, not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Ultrasound of the bursa</w:t>
            </w:r>
          </w:p>
        </w:tc>
        <w:tc>
          <w:tcPr>
            <w:tcW w:type="dxa" w:w="892"/>
            <w:vAlign w:val="top"/>
          </w:tcPr>
          <w:p>
            <w:pPr>
              <w:spacing w:after="40" w:before="0" w:line="259" w:lineRule="auto"/>
            </w:pPr>
            <w:r>
              <w:rPr>
                <w:rFonts w:ascii="Calibri" w:hAnsi="Calibri"/>
                <w:b w:val="0"/>
                <w:i w:val="0"/>
                <w:color w:val="212121"/>
                <w:sz w:val="16"/>
              </w:rPr>
              <w:t>Ultrasound</w:t>
            </w:r>
          </w:p>
        </w:tc>
        <w:tc>
          <w:tcPr>
            <w:tcW w:type="dxa" w:w="950"/>
            <w:vAlign w:val="top"/>
          </w:tcPr>
          <w:p>
            <w:pPr>
              <w:spacing w:after="40" w:before="0" w:line="259" w:lineRule="auto"/>
            </w:pPr>
            <w:r>
              <w:rPr>
                <w:rFonts w:ascii="Calibri" w:hAnsi="Calibri"/>
                <w:b w:val="0"/>
                <w:i w:val="0"/>
                <w:color w:val="212121"/>
                <w:sz w:val="16"/>
              </w:rPr>
              <w:t>Collapsed / thin bursa, no significant fluid</w:t>
            </w:r>
          </w:p>
        </w:tc>
        <w:tc>
          <w:tcPr>
            <w:tcW w:type="dxa" w:w="950"/>
            <w:vAlign w:val="top"/>
          </w:tcPr>
          <w:p>
            <w:pPr>
              <w:spacing w:after="40" w:before="0" w:line="259" w:lineRule="auto"/>
            </w:pPr>
            <w:r>
              <w:rPr>
                <w:rFonts w:ascii="Calibri" w:hAnsi="Calibri"/>
                <w:b w:val="0"/>
                <w:i w:val="0"/>
                <w:color w:val="212121"/>
                <w:sz w:val="16"/>
              </w:rPr>
              <w:t>Distended fluid, wall thickening, fat cobblestoning, Doppler hyperaemia</w:t>
            </w:r>
          </w:p>
        </w:tc>
        <w:tc>
          <w:tcPr>
            <w:tcW w:type="dxa" w:w="1036"/>
            <w:vAlign w:val="top"/>
          </w:tcPr>
          <w:p>
            <w:pPr>
              <w:spacing w:after="40" w:before="0" w:line="259" w:lineRule="auto"/>
            </w:pPr>
            <w:r>
              <w:rPr>
                <w:rFonts w:ascii="Calibri" w:hAnsi="Calibri"/>
                <w:b w:val="0"/>
                <w:i w:val="0"/>
                <w:color w:val="212121"/>
                <w:sz w:val="16"/>
              </w:rPr>
              <w:t>Confirms bursal effusion, guides aspiration and suggests infection when Doppler hyperaemia and cobblestoning are present</w:t>
            </w:r>
          </w:p>
        </w:tc>
        <w:tc>
          <w:tcPr>
            <w:tcW w:type="dxa" w:w="1036"/>
            <w:vAlign w:val="top"/>
          </w:tcPr>
          <w:p>
            <w:pPr>
              <w:spacing w:after="40" w:before="0" w:line="259" w:lineRule="auto"/>
            </w:pPr>
            <w:r>
              <w:rPr>
                <w:rFonts w:ascii="Calibri" w:hAnsi="Calibri"/>
                <w:b w:val="0"/>
                <w:i w:val="0"/>
                <w:color w:val="212121"/>
                <w:sz w:val="16"/>
              </w:rPr>
              <w:t>Superficial and deep bursitis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First-line imaging; real-time and radiation-free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Plain radiograph</w:t>
            </w:r>
          </w:p>
        </w:tc>
        <w:tc>
          <w:tcPr>
            <w:tcW w:type="dxa" w:w="892"/>
            <w:vAlign w:val="top"/>
          </w:tcPr>
          <w:p>
            <w:pPr>
              <w:spacing w:after="40" w:before="0" w:line="259" w:lineRule="auto"/>
            </w:pPr>
            <w:r>
              <w:rPr>
                <w:rFonts w:ascii="Calibri" w:hAnsi="Calibri"/>
                <w:b w:val="0"/>
                <w:i w:val="0"/>
                <w:color w:val="212121"/>
                <w:sz w:val="16"/>
              </w:rPr>
              <w:t>X-ray</w:t>
            </w:r>
          </w:p>
        </w:tc>
        <w:tc>
          <w:tcPr>
            <w:tcW w:type="dxa" w:w="950"/>
            <w:vAlign w:val="top"/>
          </w:tcPr>
          <w:p>
            <w:pPr>
              <w:spacing w:after="40" w:before="0" w:line="259" w:lineRule="auto"/>
            </w:pPr>
            <w:r>
              <w:rPr>
                <w:rFonts w:ascii="Calibri" w:hAnsi="Calibri"/>
                <w:b w:val="0"/>
                <w:i w:val="0"/>
                <w:color w:val="212121"/>
                <w:sz w:val="16"/>
              </w:rPr>
              <w:t>No fracture, foreign body or calcification</w:t>
            </w:r>
          </w:p>
        </w:tc>
        <w:tc>
          <w:tcPr>
            <w:tcW w:type="dxa" w:w="950"/>
            <w:vAlign w:val="top"/>
          </w:tcPr>
          <w:p>
            <w:pPr>
              <w:spacing w:after="40" w:before="0" w:line="259" w:lineRule="auto"/>
            </w:pPr>
            <w:r>
              <w:rPr>
                <w:rFonts w:ascii="Calibri" w:hAnsi="Calibri"/>
                <w:b w:val="0"/>
                <w:i w:val="0"/>
                <w:color w:val="212121"/>
                <w:sz w:val="16"/>
              </w:rPr>
              <w:t>Soft-tissue swelling, calcification, olecranon spur, foreign body or fracture</w:t>
            </w:r>
          </w:p>
        </w:tc>
        <w:tc>
          <w:tcPr>
            <w:tcW w:type="dxa" w:w="1036"/>
            <w:vAlign w:val="top"/>
          </w:tcPr>
          <w:p>
            <w:pPr>
              <w:spacing w:after="40" w:before="0" w:line="259" w:lineRule="auto"/>
            </w:pPr>
            <w:r>
              <w:rPr>
                <w:rFonts w:ascii="Calibri" w:hAnsi="Calibri"/>
                <w:b w:val="0"/>
                <w:i w:val="0"/>
                <w:color w:val="212121"/>
                <w:sz w:val="16"/>
              </w:rPr>
              <w:t>Excludes bony injury, retained foreign body and calcific deposits after trauma</w:t>
            </w:r>
          </w:p>
        </w:tc>
        <w:tc>
          <w:tcPr>
            <w:tcW w:type="dxa" w:w="1036"/>
            <w:vAlign w:val="top"/>
          </w:tcPr>
          <w:p>
            <w:pPr>
              <w:spacing w:after="40" w:before="0" w:line="259" w:lineRule="auto"/>
            </w:pPr>
            <w:r>
              <w:rPr>
                <w:rFonts w:ascii="Calibri" w:hAnsi="Calibri"/>
                <w:b w:val="0"/>
                <w:i w:val="0"/>
                <w:color w:val="212121"/>
                <w:sz w:val="16"/>
              </w:rPr>
              <w:t>Post-traumatic or chronic bursitis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Normal films do not exclude bursitis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(deep bursae)</w:t>
            </w:r>
          </w:p>
        </w:tc>
        <w:tc>
          <w:tcPr>
            <w:tcW w:type="dxa" w:w="892"/>
            <w:vAlign w:val="top"/>
          </w:tcPr>
          <w:p>
            <w:pPr>
              <w:spacing w:after="40" w:before="0" w:line="259" w:lineRule="auto"/>
            </w:pPr>
            <w:r>
              <w:rPr>
                <w:rFonts w:ascii="Calibri" w:hAnsi="Calibri"/>
                <w:b w:val="0"/>
                <w:i w:val="0"/>
                <w:color w:val="212121"/>
                <w:sz w:val="16"/>
              </w:rPr>
              <w:t>MRI</w:t>
            </w:r>
          </w:p>
        </w:tc>
        <w:tc>
          <w:tcPr>
            <w:tcW w:type="dxa" w:w="950"/>
            <w:vAlign w:val="top"/>
          </w:tcPr>
          <w:p>
            <w:pPr>
              <w:spacing w:after="40" w:before="0" w:line="259" w:lineRule="auto"/>
            </w:pPr>
            <w:r>
              <w:rPr>
                <w:rFonts w:ascii="Calibri" w:hAnsi="Calibri"/>
                <w:b w:val="0"/>
                <w:i w:val="0"/>
                <w:color w:val="212121"/>
                <w:sz w:val="16"/>
              </w:rPr>
              <w:t>No abnormal bursal fluid or tendon change</w:t>
            </w:r>
          </w:p>
        </w:tc>
        <w:tc>
          <w:tcPr>
            <w:tcW w:type="dxa" w:w="950"/>
            <w:vAlign w:val="top"/>
          </w:tcPr>
          <w:p>
            <w:pPr>
              <w:spacing w:after="40" w:before="0" w:line="259" w:lineRule="auto"/>
            </w:pPr>
            <w:r>
              <w:rPr>
                <w:rFonts w:ascii="Calibri" w:hAnsi="Calibri"/>
                <w:b w:val="0"/>
                <w:i w:val="0"/>
                <w:color w:val="212121"/>
                <w:sz w:val="16"/>
              </w:rPr>
              <w:t>Distension of subacromial, trochanteric or iliopsoas bursa with associated tendinopathy/tear</w:t>
            </w:r>
          </w:p>
        </w:tc>
        <w:tc>
          <w:tcPr>
            <w:tcW w:type="dxa" w:w="1036"/>
            <w:vAlign w:val="top"/>
          </w:tcPr>
          <w:p>
            <w:pPr>
              <w:spacing w:after="40" w:before="0" w:line="259" w:lineRule="auto"/>
            </w:pPr>
            <w:r>
              <w:rPr>
                <w:rFonts w:ascii="Calibri" w:hAnsi="Calibri"/>
                <w:b w:val="0"/>
                <w:i w:val="0"/>
                <w:color w:val="212121"/>
                <w:sz w:val="16"/>
              </w:rPr>
              <w:t>Best delineates deep bursae and coexisting rotator-cuff or gluteal tendon disease</w:t>
            </w:r>
          </w:p>
        </w:tc>
        <w:tc>
          <w:tcPr>
            <w:tcW w:type="dxa" w:w="1036"/>
            <w:vAlign w:val="top"/>
          </w:tcPr>
          <w:p>
            <w:pPr>
              <w:spacing w:after="40" w:before="0" w:line="259" w:lineRule="auto"/>
            </w:pPr>
            <w:r>
              <w:rPr>
                <w:rFonts w:ascii="Calibri" w:hAnsi="Calibri"/>
                <w:b w:val="0"/>
                <w:i w:val="0"/>
                <w:color w:val="212121"/>
                <w:sz w:val="16"/>
              </w:rPr>
              <w:t>Deep or refractory bursitis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Reserve for deep, atypical or treatment-resistant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Localised swelling, pain, warmth over a named bursa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Painful, swollen, warm bursa worse with movement or pressure</w:t>
            </w:r>
          </w:p>
        </w:tc>
        <w:tc>
          <w:tcPr>
            <w:tcW w:type="dxa" w:w="1036"/>
            <w:vAlign w:val="top"/>
          </w:tcPr>
          <w:p>
            <w:pPr>
              <w:spacing w:after="40" w:before="0" w:line="259" w:lineRule="auto"/>
            </w:pPr>
            <w:r>
              <w:rPr>
                <w:rFonts w:ascii="Calibri" w:hAnsi="Calibri"/>
                <w:b w:val="0"/>
                <w:i w:val="0"/>
                <w:color w:val="212121"/>
                <w:sz w:val="16"/>
              </w:rPr>
              <w:t>Points to the affected bursa and its likely mechanism</w:t>
            </w:r>
          </w:p>
        </w:tc>
        <w:tc>
          <w:tcPr>
            <w:tcW w:type="dxa" w:w="1036"/>
            <w:vAlign w:val="top"/>
          </w:tcPr>
          <w:p>
            <w:pPr>
              <w:spacing w:after="40" w:before="0" w:line="259" w:lineRule="auto"/>
            </w:pPr>
            <w:r>
              <w:rPr>
                <w:rFonts w:ascii="Calibri" w:hAnsi="Calibri"/>
                <w:b w:val="0"/>
                <w:i w:val="0"/>
                <w:color w:val="212121"/>
                <w:sz w:val="16"/>
              </w:rPr>
              <w:t>All suspected bursitis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which movements and positions reproduce the pain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activity history</w:t>
            </w:r>
          </w:p>
        </w:tc>
        <w:tc>
          <w:tcPr>
            <w:tcW w:type="dxa" w:w="979"/>
            <w:vAlign w:val="top"/>
          </w:tcPr>
          <w:p>
            <w:pPr>
              <w:spacing w:after="40" w:before="0" w:line="259" w:lineRule="auto"/>
            </w:pPr>
            <w:r>
              <w:rPr>
                <w:rFonts w:ascii="Calibri" w:hAnsi="Calibri"/>
                <w:b w:val="0"/>
                <w:i w:val="0"/>
                <w:color w:val="212121"/>
                <w:sz w:val="16"/>
              </w:rPr>
              <w:t>Kneeling, elbow-leaning, overhead work, running, squatting; recent trauma or skin breach</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Repetitive pressure/overuse or a skin wound over the bursa</w:t>
            </w:r>
          </w:p>
        </w:tc>
        <w:tc>
          <w:tcPr>
            <w:tcW w:type="dxa" w:w="1036"/>
            <w:vAlign w:val="top"/>
          </w:tcPr>
          <w:p>
            <w:pPr>
              <w:spacing w:after="40" w:before="0" w:line="259" w:lineRule="auto"/>
            </w:pPr>
            <w:r>
              <w:rPr>
                <w:rFonts w:ascii="Calibri" w:hAnsi="Calibri"/>
                <w:b w:val="0"/>
                <w:i w:val="0"/>
                <w:color w:val="212121"/>
                <w:sz w:val="16"/>
              </w:rPr>
              <w:t>Identifies the provoking mechanical exposure and infection risk</w:t>
            </w:r>
          </w:p>
        </w:tc>
        <w:tc>
          <w:tcPr>
            <w:tcW w:type="dxa" w:w="1036"/>
            <w:vAlign w:val="top"/>
          </w:tcPr>
          <w:p>
            <w:pPr>
              <w:spacing w:after="40" w:before="0" w:line="259" w:lineRule="auto"/>
            </w:pPr>
            <w:r>
              <w:rPr>
                <w:rFonts w:ascii="Calibri" w:hAnsi="Calibri"/>
                <w:b w:val="0"/>
                <w:i w:val="0"/>
                <w:color w:val="212121"/>
                <w:sz w:val="16"/>
              </w:rPr>
              <w:t>Manual, kneeling, overhead and desk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Central to prevention and ergonomic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risk history</w:t>
            </w:r>
          </w:p>
        </w:tc>
        <w:tc>
          <w:tcPr>
            <w:tcW w:type="dxa" w:w="979"/>
            <w:vAlign w:val="top"/>
          </w:tcPr>
          <w:p>
            <w:pPr>
              <w:spacing w:after="40" w:before="0" w:line="259" w:lineRule="auto"/>
            </w:pPr>
            <w:r>
              <w:rPr>
                <w:rFonts w:ascii="Calibri" w:hAnsi="Calibri"/>
                <w:b w:val="0"/>
                <w:i w:val="0"/>
                <w:color w:val="212121"/>
                <w:sz w:val="16"/>
              </w:rPr>
              <w:t>Gout, rheumatoid arthritis, diabetes, CKD/dialysis, immunosuppression, prior steroid injection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predisposing conditions present</w:t>
            </w:r>
          </w:p>
        </w:tc>
        <w:tc>
          <w:tcPr>
            <w:tcW w:type="dxa" w:w="1036"/>
            <w:vAlign w:val="top"/>
          </w:tcPr>
          <w:p>
            <w:pPr>
              <w:spacing w:after="40" w:before="0" w:line="259" w:lineRule="auto"/>
            </w:pPr>
            <w:r>
              <w:rPr>
                <w:rFonts w:ascii="Calibri" w:hAnsi="Calibri"/>
                <w:b w:val="0"/>
                <w:i w:val="0"/>
                <w:color w:val="212121"/>
                <w:sz w:val="16"/>
              </w:rPr>
              <w:t>Reveals crystal, inflammatory or septic predisposition that changes management</w:t>
            </w:r>
          </w:p>
        </w:tc>
        <w:tc>
          <w:tcPr>
            <w:tcW w:type="dxa" w:w="1036"/>
            <w:vAlign w:val="top"/>
          </w:tcPr>
          <w:p>
            <w:pPr>
              <w:spacing w:after="40" w:before="0" w:line="259" w:lineRule="auto"/>
            </w:pPr>
            <w:r>
              <w:rPr>
                <w:rFonts w:ascii="Calibri" w:hAnsi="Calibri"/>
                <w:b w:val="0"/>
                <w:i w:val="0"/>
                <w:color w:val="212121"/>
                <w:sz w:val="16"/>
              </w:rPr>
              <w:t>Recurrent or atypical bursitis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Diabetes and immunosuppression raise septic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 &amp; palpation of the bursa</w:t>
            </w:r>
          </w:p>
        </w:tc>
        <w:tc>
          <w:tcPr>
            <w:tcW w:type="dxa" w:w="979"/>
            <w:vAlign w:val="top"/>
          </w:tcPr>
          <w:p>
            <w:pPr>
              <w:spacing w:after="40" w:before="0" w:line="259" w:lineRule="auto"/>
            </w:pPr>
            <w:r>
              <w:rPr>
                <w:rFonts w:ascii="Calibri" w:hAnsi="Calibri"/>
                <w:b w:val="0"/>
                <w:i w:val="0"/>
                <w:color w:val="212121"/>
                <w:sz w:val="16"/>
              </w:rPr>
              <w:t>Fluctuant swelling, tenderness, warmth, erythema, range of motion</w:t>
            </w:r>
          </w:p>
        </w:tc>
        <w:tc>
          <w:tcPr>
            <w:tcW w:type="dxa" w:w="950"/>
            <w:vAlign w:val="top"/>
          </w:tcPr>
          <w:p>
            <w:pPr>
              <w:spacing w:after="40" w:before="0" w:line="259" w:lineRule="auto"/>
            </w:pPr>
            <w:r>
              <w:rPr>
                <w:rFonts w:ascii="Calibri" w:hAnsi="Calibri"/>
                <w:b w:val="0"/>
                <w:i w:val="0"/>
                <w:color w:val="212121"/>
                <w:sz w:val="16"/>
              </w:rPr>
              <w:t>No swelling or tenderness; full painless motion</w:t>
            </w:r>
          </w:p>
        </w:tc>
        <w:tc>
          <w:tcPr>
            <w:tcW w:type="dxa" w:w="950"/>
            <w:vAlign w:val="top"/>
          </w:tcPr>
          <w:p>
            <w:pPr>
              <w:spacing w:after="40" w:before="0" w:line="259" w:lineRule="auto"/>
            </w:pPr>
            <w:r>
              <w:rPr>
                <w:rFonts w:ascii="Calibri" w:hAnsi="Calibri"/>
                <w:b w:val="0"/>
                <w:i w:val="0"/>
                <w:color w:val="212121"/>
                <w:sz w:val="16"/>
              </w:rPr>
              <w:t>Fluctuant tender warm swelling with painful active motion</w:t>
            </w:r>
          </w:p>
        </w:tc>
        <w:tc>
          <w:tcPr>
            <w:tcW w:type="dxa" w:w="1036"/>
            <w:vAlign w:val="top"/>
          </w:tcPr>
          <w:p>
            <w:pPr>
              <w:spacing w:after="40" w:before="0" w:line="259" w:lineRule="auto"/>
            </w:pPr>
            <w:r>
              <w:rPr>
                <w:rFonts w:ascii="Calibri" w:hAnsi="Calibri"/>
                <w:b w:val="0"/>
                <w:i w:val="0"/>
                <w:color w:val="212121"/>
                <w:sz w:val="16"/>
              </w:rPr>
              <w:t>Confirms bursitis and its acuity; painful active with preserved passive motion is typical</w:t>
            </w:r>
          </w:p>
        </w:tc>
        <w:tc>
          <w:tcPr>
            <w:tcW w:type="dxa" w:w="1036"/>
            <w:vAlign w:val="top"/>
          </w:tcPr>
          <w:p>
            <w:pPr>
              <w:spacing w:after="40" w:before="0" w:line="259" w:lineRule="auto"/>
            </w:pPr>
            <w:r>
              <w:rPr>
                <w:rFonts w:ascii="Calibri" w:hAnsi="Calibri"/>
                <w:b w:val="0"/>
                <w:i w:val="0"/>
                <w:color w:val="212121"/>
                <w:sz w:val="16"/>
              </w:rPr>
              <w:t>All suspected bursitis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Compare with the opposite side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Septic-versus-aseptic assessment</w:t>
            </w:r>
          </w:p>
        </w:tc>
        <w:tc>
          <w:tcPr>
            <w:tcW w:type="dxa" w:w="979"/>
            <w:vAlign w:val="top"/>
          </w:tcPr>
          <w:p>
            <w:pPr>
              <w:spacing w:after="40" w:before="0" w:line="259" w:lineRule="auto"/>
            </w:pPr>
            <w:r>
              <w:rPr>
                <w:rFonts w:ascii="Calibri" w:hAnsi="Calibri"/>
                <w:b w:val="0"/>
                <w:i w:val="0"/>
                <w:color w:val="212121"/>
                <w:sz w:val="16"/>
              </w:rPr>
              <w:t>Erythema/cellulitis, marked warmth, fever, disproportionate tenderness</w:t>
            </w:r>
          </w:p>
        </w:tc>
        <w:tc>
          <w:tcPr>
            <w:tcW w:type="dxa" w:w="950"/>
            <w:vAlign w:val="top"/>
          </w:tcPr>
          <w:p>
            <w:pPr>
              <w:spacing w:after="40" w:before="0" w:line="259" w:lineRule="auto"/>
            </w:pPr>
            <w:r>
              <w:rPr>
                <w:rFonts w:ascii="Calibri" w:hAnsi="Calibri"/>
                <w:b w:val="0"/>
                <w:i w:val="0"/>
                <w:color w:val="212121"/>
                <w:sz w:val="16"/>
              </w:rPr>
              <w:t>No erythema, warmth or fever</w:t>
            </w:r>
          </w:p>
        </w:tc>
        <w:tc>
          <w:tcPr>
            <w:tcW w:type="dxa" w:w="950"/>
            <w:vAlign w:val="top"/>
          </w:tcPr>
          <w:p>
            <w:pPr>
              <w:spacing w:after="40" w:before="0" w:line="259" w:lineRule="auto"/>
            </w:pPr>
            <w:r>
              <w:rPr>
                <w:rFonts w:ascii="Calibri" w:hAnsi="Calibri"/>
                <w:b w:val="0"/>
                <w:i w:val="0"/>
                <w:color w:val="212121"/>
                <w:sz w:val="16"/>
              </w:rPr>
              <w:t>Cellulitis, ≥ 2.2°C warmth, fever, severe tenderness</w:t>
            </w:r>
          </w:p>
        </w:tc>
        <w:tc>
          <w:tcPr>
            <w:tcW w:type="dxa" w:w="1036"/>
            <w:vAlign w:val="top"/>
          </w:tcPr>
          <w:p>
            <w:pPr>
              <w:spacing w:after="40" w:before="0" w:line="259" w:lineRule="auto"/>
            </w:pPr>
            <w:r>
              <w:rPr>
                <w:rFonts w:ascii="Calibri" w:hAnsi="Calibri"/>
                <w:b w:val="0"/>
                <w:i w:val="0"/>
                <w:color w:val="212121"/>
                <w:sz w:val="16"/>
              </w:rPr>
              <w:t>Septic bursitis shows far higher rates of tenderness (88% vs 36%), erythema (83% vs 27%), warmth (84% vs 56%) and fever (38% vs 0%)</w:t>
            </w:r>
          </w:p>
        </w:tc>
        <w:tc>
          <w:tcPr>
            <w:tcW w:type="dxa" w:w="1036"/>
            <w:vAlign w:val="top"/>
          </w:tcPr>
          <w:p>
            <w:pPr>
              <w:spacing w:after="40" w:before="0" w:line="259" w:lineRule="auto"/>
            </w:pPr>
            <w:r>
              <w:rPr>
                <w:rFonts w:ascii="Calibri" w:hAnsi="Calibri"/>
                <w:b w:val="0"/>
                <w:i w:val="0"/>
                <w:color w:val="212121"/>
                <w:sz w:val="16"/>
              </w:rPr>
              <w:t>Acute superficial bursitis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Any such feature mandates aspiration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Site-specific special tests</w:t>
            </w:r>
          </w:p>
        </w:tc>
        <w:tc>
          <w:tcPr>
            <w:tcW w:type="dxa" w:w="979"/>
            <w:vAlign w:val="top"/>
          </w:tcPr>
          <w:p>
            <w:pPr>
              <w:spacing w:after="40" w:before="0" w:line="259" w:lineRule="auto"/>
            </w:pPr>
            <w:r>
              <w:rPr>
                <w:rFonts w:ascii="Calibri" w:hAnsi="Calibri"/>
                <w:b w:val="0"/>
                <w:i w:val="0"/>
                <w:color w:val="212121"/>
                <w:sz w:val="16"/>
              </w:rPr>
              <w:t>Resisted shoulder abduction; greater-trochanter tenderness; pes anserine tenderness</w:t>
            </w:r>
          </w:p>
        </w:tc>
        <w:tc>
          <w:tcPr>
            <w:tcW w:type="dxa" w:w="950"/>
            <w:vAlign w:val="top"/>
          </w:tcPr>
          <w:p>
            <w:pPr>
              <w:spacing w:after="40" w:before="0" w:line="259" w:lineRule="auto"/>
            </w:pPr>
            <w:r>
              <w:rPr>
                <w:rFonts w:ascii="Calibri" w:hAnsi="Calibri"/>
                <w:b w:val="0"/>
                <w:i w:val="0"/>
                <w:color w:val="212121"/>
                <w:sz w:val="16"/>
              </w:rPr>
              <w:t>No pain on provocation</w:t>
            </w:r>
          </w:p>
        </w:tc>
        <w:tc>
          <w:tcPr>
            <w:tcW w:type="dxa" w:w="950"/>
            <w:vAlign w:val="top"/>
          </w:tcPr>
          <w:p>
            <w:pPr>
              <w:spacing w:after="40" w:before="0" w:line="259" w:lineRule="auto"/>
            </w:pPr>
            <w:r>
              <w:rPr>
                <w:rFonts w:ascii="Calibri" w:hAnsi="Calibri"/>
                <w:b w:val="0"/>
                <w:i w:val="0"/>
                <w:color w:val="212121"/>
                <w:sz w:val="16"/>
              </w:rPr>
              <w:t>Pain on resisted abduction beyond 75–80° (subacromial); point tenderness over the greater trochanter (trochanteric) or medial tibia (pes anserine)</w:t>
            </w:r>
          </w:p>
        </w:tc>
        <w:tc>
          <w:tcPr>
            <w:tcW w:type="dxa" w:w="1036"/>
            <w:vAlign w:val="top"/>
          </w:tcPr>
          <w:p>
            <w:pPr>
              <w:spacing w:after="40" w:before="0" w:line="259" w:lineRule="auto"/>
            </w:pPr>
            <w:r>
              <w:rPr>
                <w:rFonts w:ascii="Calibri" w:hAnsi="Calibri"/>
                <w:b w:val="0"/>
                <w:i w:val="0"/>
                <w:color w:val="212121"/>
                <w:sz w:val="16"/>
              </w:rPr>
              <w:t>Localises the involved bursa and distinguishes it from joint or tendon pathology</w:t>
            </w:r>
          </w:p>
        </w:tc>
        <w:tc>
          <w:tcPr>
            <w:tcW w:type="dxa" w:w="1036"/>
            <w:vAlign w:val="top"/>
          </w:tcPr>
          <w:p>
            <w:pPr>
              <w:spacing w:after="40" w:before="0" w:line="259" w:lineRule="auto"/>
            </w:pPr>
            <w:r>
              <w:rPr>
                <w:rFonts w:ascii="Calibri" w:hAnsi="Calibri"/>
                <w:b w:val="0"/>
                <w:i w:val="0"/>
                <w:color w:val="212121"/>
                <w:sz w:val="16"/>
              </w:rPr>
              <w:t>Shoulder, hip and knee bursitis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Also screen for coexisting rotator-cuff or gluteal tendon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Localised swelling over the bursa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visible, often fluctuant lump over the elbow, kneecap, shoulder or hip corresponding to the distended bursa.</w:t>
            </w:r>
          </w:p>
        </w:tc>
      </w:tr>
      <w:tr>
        <w:trPr>
          <w:cantSplit/>
        </w:trPr>
        <w:tc>
          <w:tcPr>
            <w:tcW w:type="dxa" w:w="2304"/>
            <w:vAlign w:val="top"/>
          </w:tcPr>
          <w:p>
            <w:pPr>
              <w:spacing w:after="40" w:before="0" w:line="259" w:lineRule="auto"/>
            </w:pPr>
            <w:r>
              <w:rPr>
                <w:rFonts w:ascii="Calibri" w:hAnsi="Calibri"/>
                <w:b/>
                <w:i w:val="0"/>
                <w:color w:val="212121"/>
                <w:sz w:val="19"/>
              </w:rPr>
              <w:t>Pain over the bursa, worse with movement or pressure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sharp pain aggravated by using or leaning on the affected area.</w:t>
            </w:r>
          </w:p>
        </w:tc>
      </w:tr>
      <w:tr>
        <w:trPr>
          <w:cantSplit/>
        </w:trPr>
        <w:tc>
          <w:tcPr>
            <w:tcW w:type="dxa" w:w="2304"/>
            <w:vAlign w:val="top"/>
          </w:tcPr>
          <w:p>
            <w:pPr>
              <w:spacing w:after="40" w:before="0" w:line="259" w:lineRule="auto"/>
            </w:pPr>
            <w:r>
              <w:rPr>
                <w:rFonts w:ascii="Calibri" w:hAnsi="Calibri"/>
                <w:b/>
                <w:i w:val="0"/>
                <w:color w:val="212121"/>
                <w:sz w:val="19"/>
              </w:rPr>
              <w:t>Tenderness on palpation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bursa is tender to touch, sometimes exquisitely so in acute or septic disease.</w:t>
            </w:r>
          </w:p>
        </w:tc>
      </w:tr>
      <w:tr>
        <w:trPr>
          <w:cantSplit/>
        </w:trPr>
        <w:tc>
          <w:tcPr>
            <w:tcW w:type="dxa" w:w="2304"/>
            <w:vAlign w:val="top"/>
          </w:tcPr>
          <w:p>
            <w:pPr>
              <w:spacing w:after="40" w:before="0" w:line="259" w:lineRule="auto"/>
            </w:pPr>
            <w:r>
              <w:rPr>
                <w:rFonts w:ascii="Calibri" w:hAnsi="Calibri"/>
                <w:b/>
                <w:i w:val="0"/>
                <w:color w:val="212121"/>
                <w:sz w:val="19"/>
              </w:rPr>
              <w:t>Warmth and redness over the area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 heat and erythema, more pronounced in acute and septic bursitis.</w:t>
            </w:r>
          </w:p>
        </w:tc>
      </w:tr>
      <w:tr>
        <w:trPr>
          <w:cantSplit/>
        </w:trPr>
        <w:tc>
          <w:tcPr>
            <w:tcW w:type="dxa" w:w="2304"/>
            <w:vAlign w:val="top"/>
          </w:tcPr>
          <w:p>
            <w:pPr>
              <w:spacing w:after="40" w:before="0" w:line="259" w:lineRule="auto"/>
            </w:pPr>
            <w:r>
              <w:rPr>
                <w:rFonts w:ascii="Calibri" w:hAnsi="Calibri"/>
                <w:b/>
                <w:i w:val="0"/>
                <w:color w:val="212121"/>
                <w:sz w:val="19"/>
              </w:rPr>
              <w:t>Restricted, painful joint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range of the adjacent joint because movement compresses the inflamed bursa.</w:t>
            </w:r>
          </w:p>
        </w:tc>
      </w:tr>
      <w:tr>
        <w:trPr>
          <w:cantSplit/>
        </w:trPr>
        <w:tc>
          <w:tcPr>
            <w:tcW w:type="dxa" w:w="2304"/>
            <w:vAlign w:val="top"/>
          </w:tcPr>
          <w:p>
            <w:pPr>
              <w:spacing w:after="40" w:before="0" w:line="259" w:lineRule="auto"/>
            </w:pPr>
            <w:r>
              <w:rPr>
                <w:rFonts w:ascii="Calibri" w:hAnsi="Calibri"/>
                <w:b/>
                <w:i w:val="0"/>
                <w:color w:val="212121"/>
                <w:sz w:val="19"/>
              </w:rPr>
              <w:t>Stiffness of the neighbouring joint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sense of tightness and reluctance to move the joint fully.</w:t>
            </w:r>
          </w:p>
        </w:tc>
      </w:tr>
      <w:tr>
        <w:trPr>
          <w:cantSplit/>
        </w:trPr>
        <w:tc>
          <w:tcPr>
            <w:tcW w:type="dxa" w:w="2304"/>
            <w:vAlign w:val="top"/>
          </w:tcPr>
          <w:p>
            <w:pPr>
              <w:spacing w:after="40" w:before="0" w:line="259" w:lineRule="auto"/>
            </w:pPr>
            <w:r>
              <w:rPr>
                <w:rFonts w:ascii="Calibri" w:hAnsi="Calibri"/>
                <w:b/>
                <w:i w:val="0"/>
                <w:color w:val="212121"/>
                <w:sz w:val="19"/>
              </w:rPr>
              <w:t>Difficulty kneeling, leaning or reaching overhead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Task-specific limitation depending on the bursa involved (knee, elbow, shoulder).</w:t>
            </w:r>
          </w:p>
        </w:tc>
      </w:tr>
      <w:tr>
        <w:trPr>
          <w:cantSplit/>
        </w:trPr>
        <w:tc>
          <w:tcPr>
            <w:tcW w:type="dxa" w:w="2304"/>
            <w:vAlign w:val="top"/>
          </w:tcPr>
          <w:p>
            <w:pPr>
              <w:spacing w:after="40" w:before="0" w:line="259" w:lineRule="auto"/>
            </w:pPr>
            <w:r>
              <w:rPr>
                <w:rFonts w:ascii="Calibri" w:hAnsi="Calibri"/>
                <w:b/>
                <w:i w:val="0"/>
                <w:color w:val="212121"/>
                <w:sz w:val="19"/>
              </w:rPr>
              <w:t>Pain when lying on the affected side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Characteristic of trochanteric bursitis, disturbing sleep when lying on that hip.</w:t>
            </w:r>
          </w:p>
        </w:tc>
      </w:tr>
      <w:tr>
        <w:trPr>
          <w:cantSplit/>
        </w:trPr>
        <w:tc>
          <w:tcPr>
            <w:tcW w:type="dxa" w:w="2304"/>
            <w:vAlign w:val="top"/>
          </w:tcPr>
          <w:p>
            <w:pPr>
              <w:spacing w:after="40" w:before="0" w:line="259" w:lineRule="auto"/>
            </w:pPr>
            <w:r>
              <w:rPr>
                <w:rFonts w:ascii="Calibri" w:hAnsi="Calibri"/>
                <w:b/>
                <w:i w:val="0"/>
                <w:color w:val="212121"/>
                <w:sz w:val="19"/>
              </w:rPr>
              <w:t>Referred pain down the outer thigh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Trochanteric bursitis can radiate lateral thigh pain towards the knee.</w:t>
            </w:r>
          </w:p>
        </w:tc>
      </w:tr>
      <w:tr>
        <w:trPr>
          <w:cantSplit/>
        </w:trPr>
        <w:tc>
          <w:tcPr>
            <w:tcW w:type="dxa" w:w="2304"/>
            <w:vAlign w:val="top"/>
          </w:tcPr>
          <w:p>
            <w:pPr>
              <w:spacing w:after="40" w:before="0" w:line="259" w:lineRule="auto"/>
            </w:pPr>
            <w:r>
              <w:rPr>
                <w:rFonts w:ascii="Calibri" w:hAnsi="Calibri"/>
                <w:b/>
                <w:i w:val="0"/>
                <w:color w:val="212121"/>
                <w:sz w:val="19"/>
              </w:rPr>
              <w:t>Fever, chills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features suggesting septic bursitis and possible spread of infection.</w:t>
            </w:r>
          </w:p>
        </w:tc>
      </w:tr>
      <w:tr>
        <w:trPr>
          <w:cantSplit/>
        </w:trPr>
        <w:tc>
          <w:tcPr>
            <w:tcW w:type="dxa" w:w="2304"/>
            <w:vAlign w:val="top"/>
          </w:tcPr>
          <w:p>
            <w:pPr>
              <w:spacing w:after="40" w:before="0" w:line="259" w:lineRule="auto"/>
            </w:pPr>
            <w:r>
              <w:rPr>
                <w:rFonts w:ascii="Calibri" w:hAnsi="Calibri"/>
                <w:b/>
                <w:i w:val="0"/>
                <w:color w:val="212121"/>
                <w:sz w:val="19"/>
              </w:rPr>
              <w:t>Painless fluid-filled lump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olecranon or prepatellar bursitis may present as a large but relatively painless swelling.</w:t>
            </w:r>
          </w:p>
        </w:tc>
      </w:tr>
      <w:tr>
        <w:trPr>
          <w:cantSplit/>
        </w:trPr>
        <w:tc>
          <w:tcPr>
            <w:tcW w:type="dxa" w:w="2304"/>
            <w:vAlign w:val="top"/>
          </w:tcPr>
          <w:p>
            <w:pPr>
              <w:spacing w:after="40" w:before="0" w:line="259" w:lineRule="auto"/>
            </w:pPr>
            <w:r>
              <w:rPr>
                <w:rFonts w:ascii="Calibri" w:hAnsi="Calibri"/>
                <w:b/>
                <w:i w:val="0"/>
                <w:color w:val="212121"/>
                <w:sz w:val="19"/>
              </w:rPr>
              <w:t>Discharge or sinus from the bursa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chronically infected or ruptured superficial bursa may drain pus through the skin.</w:t>
            </w:r>
          </w:p>
        </w:tc>
      </w:tr>
      <w:tr>
        <w:trPr>
          <w:cantSplit/>
        </w:trPr>
        <w:tc>
          <w:tcPr>
            <w:tcW w:type="dxa" w:w="2304"/>
            <w:vAlign w:val="top"/>
          </w:tcPr>
          <w:p>
            <w:pPr>
              <w:spacing w:after="40" w:before="0" w:line="259" w:lineRule="auto"/>
            </w:pPr>
            <w:r>
              <w:rPr>
                <w:rFonts w:ascii="Calibri" w:hAnsi="Calibri"/>
                <w:b/>
                <w:i w:val="0"/>
                <w:color w:val="212121"/>
                <w:sz w:val="19"/>
              </w:rPr>
              <w:t>Features of systemic sepsis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High fever, rigors and unwellness from bacteraemia complicating untreated septic bursitis.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Localised fluctuant bursal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palpable, fluid-filled swelling over the bursa, well demarcated from the joint line.</w:t>
            </w:r>
          </w:p>
        </w:tc>
      </w:tr>
      <w:tr>
        <w:trPr>
          <w:cantSplit/>
        </w:trPr>
        <w:tc>
          <w:tcPr>
            <w:tcW w:type="dxa" w:w="3456"/>
            <w:vAlign w:val="top"/>
          </w:tcPr>
          <w:p>
            <w:pPr>
              <w:spacing w:after="40" w:before="0" w:line="259" w:lineRule="auto"/>
            </w:pPr>
            <w:r>
              <w:rPr>
                <w:rFonts w:ascii="Calibri" w:hAnsi="Calibri"/>
                <w:b/>
                <w:i w:val="0"/>
                <w:color w:val="212121"/>
                <w:sz w:val="19"/>
              </w:rPr>
              <w:t>Point tenderness over the bursa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Maximal tenderness localised precisely to the bursa rather than the joint.</w:t>
            </w:r>
          </w:p>
        </w:tc>
      </w:tr>
      <w:tr>
        <w:trPr>
          <w:cantSplit/>
        </w:trPr>
        <w:tc>
          <w:tcPr>
            <w:tcW w:type="dxa" w:w="3456"/>
            <w:vAlign w:val="top"/>
          </w:tcPr>
          <w:p>
            <w:pPr>
              <w:spacing w:after="40" w:before="0" w:line="259" w:lineRule="auto"/>
            </w:pPr>
            <w:r>
              <w:rPr>
                <w:rFonts w:ascii="Calibri" w:hAnsi="Calibri"/>
                <w:b/>
                <w:i w:val="0"/>
                <w:color w:val="212121"/>
                <w:sz w:val="19"/>
              </w:rPr>
              <w:t>Local warmth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skin temperature; a difference of ≥ 2.2°C from the opposite side is sensitive and specific for infection.</w:t>
            </w:r>
          </w:p>
        </w:tc>
      </w:tr>
      <w:tr>
        <w:trPr>
          <w:cantSplit/>
        </w:trPr>
        <w:tc>
          <w:tcPr>
            <w:tcW w:type="dxa" w:w="3456"/>
            <w:vAlign w:val="top"/>
          </w:tcPr>
          <w:p>
            <w:pPr>
              <w:spacing w:after="40" w:before="0" w:line="259" w:lineRule="auto"/>
            </w:pPr>
            <w:r>
              <w:rPr>
                <w:rFonts w:ascii="Calibri" w:hAnsi="Calibri"/>
                <w:b/>
                <w:i w:val="0"/>
                <w:color w:val="212121"/>
                <w:sz w:val="19"/>
              </w:rPr>
              <w:t>Painful active motion with preserved passive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Movement that loads the bursa hurts, while gentle passive movement is comparatively spared.</w:t>
            </w:r>
          </w:p>
        </w:tc>
      </w:tr>
      <w:tr>
        <w:trPr>
          <w:cantSplit/>
        </w:trPr>
        <w:tc>
          <w:tcPr>
            <w:tcW w:type="dxa" w:w="3456"/>
            <w:vAlign w:val="top"/>
          </w:tcPr>
          <w:p>
            <w:pPr>
              <w:spacing w:after="40" w:before="0" w:line="259" w:lineRule="auto"/>
            </w:pPr>
            <w:r>
              <w:rPr>
                <w:rFonts w:ascii="Calibri" w:hAnsi="Calibri"/>
                <w:b/>
                <w:i w:val="0"/>
                <w:color w:val="212121"/>
                <w:sz w:val="19"/>
              </w:rPr>
              <w:t>Reduced range of motion of the adjacent joint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Guarding and swelling limit full joint excursion.</w:t>
            </w:r>
          </w:p>
        </w:tc>
      </w:tr>
      <w:tr>
        <w:trPr>
          <w:cantSplit/>
        </w:trPr>
        <w:tc>
          <w:tcPr>
            <w:tcW w:type="dxa" w:w="3456"/>
            <w:vAlign w:val="top"/>
          </w:tcPr>
          <w:p>
            <w:pPr>
              <w:spacing w:after="40" w:before="0" w:line="259" w:lineRule="auto"/>
            </w:pPr>
            <w:r>
              <w:rPr>
                <w:rFonts w:ascii="Calibri" w:hAnsi="Calibri"/>
                <w:b/>
                <w:i w:val="0"/>
                <w:color w:val="212121"/>
                <w:sz w:val="19"/>
              </w:rPr>
              <w:t>Overlying erythema or cellulitis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hot skin over the bursa, strongly suggesting the septic form when accompanied by fever.</w:t>
            </w:r>
          </w:p>
        </w:tc>
      </w:tr>
      <w:tr>
        <w:trPr>
          <w:cantSplit/>
        </w:trPr>
        <w:tc>
          <w:tcPr>
            <w:tcW w:type="dxa" w:w="3456"/>
            <w:vAlign w:val="top"/>
          </w:tcPr>
          <w:p>
            <w:pPr>
              <w:spacing w:after="40" w:before="0" w:line="259" w:lineRule="auto"/>
            </w:pPr>
            <w:r>
              <w:rPr>
                <w:rFonts w:ascii="Calibri" w:hAnsi="Calibri"/>
                <w:b/>
                <w:i w:val="0"/>
                <w:color w:val="212121"/>
                <w:sz w:val="19"/>
              </w:rPr>
              <w:t>Pain on resisted shoulder abduction beyond 75–80°</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Elicited in subacromial bursitis, often with a painful arc and coexisting impingement.</w:t>
            </w:r>
          </w:p>
        </w:tc>
      </w:tr>
      <w:tr>
        <w:trPr>
          <w:cantSplit/>
        </w:trPr>
        <w:tc>
          <w:tcPr>
            <w:tcW w:type="dxa" w:w="3456"/>
            <w:vAlign w:val="top"/>
          </w:tcPr>
          <w:p>
            <w:pPr>
              <w:spacing w:after="40" w:before="0" w:line="259" w:lineRule="auto"/>
            </w:pPr>
            <w:r>
              <w:rPr>
                <w:rFonts w:ascii="Calibri" w:hAnsi="Calibri"/>
                <w:b/>
                <w:i w:val="0"/>
                <w:color w:val="212121"/>
                <w:sz w:val="19"/>
              </w:rPr>
              <w:t>Point tenderness over the greater trochanter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Reproducible lateral hip tenderness in trochanteric bursitis / greater trochanteric pain syndrome.</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Present in about 38% of septic versus 0% of aseptic olecranon bursitis.</w:t>
            </w:r>
          </w:p>
        </w:tc>
      </w:tr>
      <w:tr>
        <w:trPr>
          <w:cantSplit/>
        </w:trPr>
        <w:tc>
          <w:tcPr>
            <w:tcW w:type="dxa" w:w="3456"/>
            <w:vAlign w:val="top"/>
          </w:tcPr>
          <w:p>
            <w:pPr>
              <w:spacing w:after="40" w:before="0" w:line="259" w:lineRule="auto"/>
            </w:pPr>
            <w:r>
              <w:rPr>
                <w:rFonts w:ascii="Calibri" w:hAnsi="Calibri"/>
                <w:b/>
                <w:i w:val="0"/>
                <w:color w:val="212121"/>
                <w:sz w:val="19"/>
              </w:rPr>
              <w:t>Overlying skin breach, abrasion or sinus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wound over the bursa marks the likely portal of infection or a chronically discharging sinus.</w:t>
            </w:r>
          </w:p>
        </w:tc>
      </w:tr>
      <w:tr>
        <w:trPr>
          <w:cantSplit/>
        </w:trPr>
        <w:tc>
          <w:tcPr>
            <w:tcW w:type="dxa" w:w="3456"/>
            <w:vAlign w:val="top"/>
          </w:tcPr>
          <w:p>
            <w:pPr>
              <w:spacing w:after="40" w:before="0" w:line="259" w:lineRule="auto"/>
            </w:pPr>
            <w:r>
              <w:rPr>
                <w:rFonts w:ascii="Calibri" w:hAnsi="Calibri"/>
                <w:b/>
                <w:i w:val="0"/>
                <w:color w:val="212121"/>
                <w:sz w:val="19"/>
              </w:rPr>
              <w:t>Gouty tophi around the bursa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Chalky urate deposits near the olecranon or prepatellar bursa in longstanding gout.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chronic bursitis with a thickened, fibrosed bursal wall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bursal effusion and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Septic (infective)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Overlying cellulitis of the skin</w:t>
            </w:r>
          </w:p>
        </w:tc>
        <w:tc>
          <w:tcPr>
            <w:tcW w:type="dxa" w:w="2980"/>
            <w:vAlign w:val="top"/>
          </w:tcPr>
          <w:p>
            <w:pPr>
              <w:spacing w:after="40" w:before="0" w:line="259" w:lineRule="auto"/>
            </w:pPr>
            <w:r>
              <w:rPr>
                <w:rFonts w:ascii="Calibri" w:hAnsi="Calibri"/>
                <w:b w:val="0"/>
                <w:i w:val="0"/>
                <w:color w:val="212121"/>
                <w:sz w:val="19"/>
              </w:rPr>
              <w:t>Direct local consequences of ongoing bursal inflammation, pressure or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Bursal abscess formation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Spread to septic arthritis or osteomyelitis of the adjacent joint/bone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Bacteraemia and systemic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Adhesive capsulitis (frozen shoulder) from immobilisation of subacromial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 wasting and deconditioning around the affected joint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sleep disturbance and functional limitation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Iatrogenic septic bursitis, skin atrophy or sinus after corticosteroid injection of a superficial bursa</w:t>
            </w:r>
          </w:p>
        </w:tc>
        <w:tc>
          <w:tcPr>
            <w:tcW w:type="dxa" w:w="2980"/>
            <w:vAlign w:val="top"/>
          </w:tcPr>
          <w:p>
            <w:pPr>
              <w:spacing w:after="40" w:before="0" w:line="259" w:lineRule="auto"/>
            </w:pPr>
            <w:r>
              <w:rPr>
                <w:rFonts w:ascii="Calibri" w:hAnsi="Calibri"/>
                <w:b w:val="0"/>
                <w:i w:val="0"/>
                <w:color w:val="212121"/>
                <w:sz w:val="19"/>
              </w:rPr>
              <w:t>Consequences of spreading infection, prolonged inflammation, immobilisation or treatment of the primary bursitis.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discharging sinus over the bursa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loss of joint function and work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Need for surgical bursectomy in recalcitrant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sepsis and, rarely, death from an unrecognised septic bursa or joint</w:t>
            </w:r>
          </w:p>
        </w:tc>
        <w:tc>
          <w:tcPr>
            <w:tcW w:type="dxa" w:w="2980"/>
            <w:vAlign w:val="top"/>
          </w:tcPr>
          <w:p>
            <w:pPr>
              <w:spacing w:after="40" w:before="0" w:line="259" w:lineRule="auto"/>
            </w:pPr>
            <w:r>
              <w:rPr>
                <w:rFonts w:ascii="Calibri" w:hAnsi="Calibri"/>
                <w:b w:val="0"/>
                <w:i w:val="0"/>
                <w:color w:val="212121"/>
                <w:sz w:val="19"/>
              </w:rPr>
              <w:t>Irreversible or life-threatening outcomes of longstanding, infected or inadequately treated bursitis.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Gout / hyperuricaemia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Monosodium-urate crystal deposition is a leading non-infective cause of olecranon and prepatellar bursitis and can coexist with, or mimic, septic bursitis.</w:t>
            </w:r>
          </w:p>
        </w:tc>
      </w:tr>
      <w:tr>
        <w:trPr>
          <w:cantSplit/>
        </w:trPr>
        <w:tc>
          <w:tcPr>
            <w:tcW w:type="dxa" w:w="2232"/>
            <w:vAlign w:val="top"/>
          </w:tcPr>
          <w:p>
            <w:pPr>
              <w:spacing w:after="40" w:before="0" w:line="259" w:lineRule="auto"/>
            </w:pPr>
            <w:r>
              <w:rPr>
                <w:rFonts w:ascii="Calibri" w:hAnsi="Calibri"/>
                <w:b/>
                <w:i w:val="0"/>
                <w:color w:val="212121"/>
                <w:sz w:val="19"/>
              </w:rPr>
              <w:t>Rheumatoid arthritis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synovial inflammation causes recurrent bursitis, and rheumatoid nodules commonly overlie the olecranon bursa and may become infected.</w:t>
            </w:r>
          </w:p>
        </w:tc>
      </w:tr>
      <w:tr>
        <w:trPr>
          <w:cantSplit/>
        </w:trPr>
        <w:tc>
          <w:tcPr>
            <w:tcW w:type="dxa" w:w="2232"/>
            <w:vAlign w:val="top"/>
          </w:tcPr>
          <w:p>
            <w:pPr>
              <w:spacing w:after="40" w:before="0" w:line="259" w:lineRule="auto"/>
            </w:pPr>
            <w:r>
              <w:rPr>
                <w:rFonts w:ascii="Calibri" w:hAnsi="Calibri"/>
                <w:b/>
                <w:i w:val="0"/>
                <w:color w:val="212121"/>
                <w:sz w:val="19"/>
              </w:rPr>
              <w:t>Osteoarthritis (knee/hip)</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Altered joint mechanics and gait strongly associate osteoarthritis with trochanteric and pes anserine bursitis and predict more persistent symptoms.</w:t>
            </w:r>
          </w:p>
          <w:p>
            <w:pPr>
              <w:spacing w:after="40" w:before="0" w:line="259" w:lineRule="auto"/>
            </w:pPr>
            <w:r>
              <w:rPr>
                <w:rFonts w:ascii="Calibri" w:hAnsi="Calibri"/>
                <w:b/>
                <w:i w:val="0"/>
                <w:color w:val="212121"/>
                <w:sz w:val="19"/>
              </w:rPr>
              <w:t>~4.8× persistent GTPS symptoms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microcirculation and wound healing markedly raise the risk of septic bursitis after minor skin breaches and complicate its treatment.</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Excess weight increases mechanical load across the hip and knee, raising trochanteric and pes anserine bursitis risk; weight loss improves symptoms.</w:t>
            </w:r>
          </w:p>
          <w:p>
            <w:pPr>
              <w:spacing w:after="40" w:before="0" w:line="259" w:lineRule="auto"/>
            </w:pPr>
            <w:r>
              <w:rPr>
                <w:rFonts w:ascii="Calibri" w:hAnsi="Calibri"/>
                <w:b/>
                <w:i w:val="0"/>
                <w:color w:val="212121"/>
                <w:sz w:val="19"/>
              </w:rPr>
              <w:t>2.8× higher GTPS incidence</w:t>
            </w:r>
          </w:p>
        </w:tc>
      </w:tr>
      <w:tr>
        <w:trPr>
          <w:cantSplit/>
        </w:trPr>
        <w:tc>
          <w:tcPr>
            <w:tcW w:type="dxa" w:w="2232"/>
            <w:vAlign w:val="top"/>
          </w:tcPr>
          <w:p>
            <w:pPr>
              <w:spacing w:after="40" w:before="0" w:line="259" w:lineRule="auto"/>
            </w:pPr>
            <w:r>
              <w:rPr>
                <w:rFonts w:ascii="Calibri" w:hAnsi="Calibri"/>
                <w:b/>
                <w:i w:val="0"/>
                <w:color w:val="212121"/>
                <w:sz w:val="19"/>
              </w:rPr>
              <w:t>Septic arthritis / osteomyelitis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Untreated septic bursitis can extend into the adjacent joint or bone, a limb-threatening complication requiring urgent treatment.</w:t>
            </w:r>
          </w:p>
        </w:tc>
      </w:tr>
      <w:tr>
        <w:trPr>
          <w:cantSplit/>
        </w:trPr>
        <w:tc>
          <w:tcPr>
            <w:tcW w:type="dxa" w:w="2232"/>
            <w:vAlign w:val="top"/>
          </w:tcPr>
          <w:p>
            <w:pPr>
              <w:spacing w:after="40" w:before="0" w:line="259" w:lineRule="auto"/>
            </w:pPr>
            <w:r>
              <w:rPr>
                <w:rFonts w:ascii="Calibri" w:hAnsi="Calibri"/>
                <w:b/>
                <w:i w:val="0"/>
                <w:color w:val="212121"/>
                <w:sz w:val="19"/>
              </w:rPr>
              <w:t>Cellulitis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Overlying skin infection frequently accompanies and predisposes to septic bursitis, and the two must be distinguished by their warmth pattern and aspiration.</w:t>
            </w:r>
          </w:p>
        </w:tc>
      </w:tr>
      <w:tr>
        <w:trPr>
          <w:cantSplit/>
        </w:trPr>
        <w:tc>
          <w:tcPr>
            <w:tcW w:type="dxa" w:w="2232"/>
            <w:vAlign w:val="top"/>
          </w:tcPr>
          <w:p>
            <w:pPr>
              <w:spacing w:after="40" w:before="0" w:line="259" w:lineRule="auto"/>
            </w:pPr>
            <w:r>
              <w:rPr>
                <w:rFonts w:ascii="Calibri" w:hAnsi="Calibri"/>
                <w:b/>
                <w:i w:val="0"/>
                <w:color w:val="212121"/>
                <w:sz w:val="19"/>
              </w:rPr>
              <w:t>Rotator-cuff tendinopathy / tear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Subacromial bursitis coexists with impingement and rotator-cuff disease, and the two must be evaluated together as tendon tear may accompany the bursitis.</w:t>
            </w:r>
          </w:p>
        </w:tc>
      </w:tr>
      <w:tr>
        <w:trPr>
          <w:cantSplit/>
        </w:trPr>
        <w:tc>
          <w:tcPr>
            <w:tcW w:type="dxa" w:w="2232"/>
            <w:vAlign w:val="top"/>
          </w:tcPr>
          <w:p>
            <w:pPr>
              <w:spacing w:after="40" w:before="0" w:line="259" w:lineRule="auto"/>
            </w:pPr>
            <w:r>
              <w:rPr>
                <w:rFonts w:ascii="Calibri" w:hAnsi="Calibri"/>
                <w:b/>
                <w:i w:val="0"/>
                <w:color w:val="212121"/>
                <w:sz w:val="19"/>
              </w:rPr>
              <w:t>Pseudogout (CPPD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Calcium pyrophosphate crystals can precipitate acute crystal bursitis, particularly at the olecranon and prepatellar sites.</w:t>
            </w:r>
          </w:p>
        </w:tc>
      </w:tr>
      <w:tr>
        <w:trPr>
          <w:cantSplit/>
        </w:trPr>
        <w:tc>
          <w:tcPr>
            <w:tcW w:type="dxa" w:w="2232"/>
            <w:vAlign w:val="top"/>
          </w:tcPr>
          <w:p>
            <w:pPr>
              <w:spacing w:after="40" w:before="0" w:line="259" w:lineRule="auto"/>
            </w:pPr>
            <w:r>
              <w:rPr>
                <w:rFonts w:ascii="Calibri" w:hAnsi="Calibri"/>
                <w:b/>
                <w:i w:val="0"/>
                <w:color w:val="212121"/>
                <w:sz w:val="19"/>
              </w:rPr>
              <w:t>Low back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back pain is strongly associated with greater trochanteric pain syndrome, sharing biomechanical and gait mechanisms.</w:t>
            </w:r>
          </w:p>
          <w:p>
            <w:pPr>
              <w:spacing w:after="40" w:before="0" w:line="259" w:lineRule="auto"/>
            </w:pPr>
            <w:r>
              <w:rPr>
                <w:rFonts w:ascii="Calibri" w:hAnsi="Calibri"/>
                <w:b/>
                <w:i w:val="0"/>
                <w:color w:val="212121"/>
                <w:sz w:val="19"/>
              </w:rPr>
              <w:t>OR ~2.79 with GTPS</w:t>
            </w:r>
          </w:p>
        </w:tc>
      </w:tr>
      <w:tr>
        <w:trPr>
          <w:cantSplit/>
        </w:trPr>
        <w:tc>
          <w:tcPr>
            <w:tcW w:type="dxa" w:w="2232"/>
            <w:vAlign w:val="top"/>
          </w:tcPr>
          <w:p>
            <w:pPr>
              <w:spacing w:after="40" w:before="0" w:line="259" w:lineRule="auto"/>
            </w:pPr>
            <w:r>
              <w:rPr>
                <w:rFonts w:ascii="Calibri" w:hAnsi="Calibri"/>
                <w:b/>
                <w:i w:val="0"/>
                <w:color w:val="212121"/>
                <w:sz w:val="19"/>
              </w:rPr>
              <w:t>Iliotibial band syndrome / gluteal tendinopathy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Iliotibial-band tightness and gluteal tendinopathy accompany trochanteric bursitis within the greater trochanteric pain syndrome spectrum.</w:t>
            </w:r>
          </w:p>
          <w:p>
            <w:pPr>
              <w:spacing w:after="40" w:before="0" w:line="259" w:lineRule="auto"/>
            </w:pPr>
            <w:r>
              <w:rPr>
                <w:rFonts w:ascii="Calibri" w:hAnsi="Calibri"/>
                <w:b/>
                <w:i w:val="0"/>
                <w:color w:val="212121"/>
                <w:sz w:val="19"/>
              </w:rPr>
              <w:t>ITB tenderness OR ~1.72</w:t>
            </w:r>
          </w:p>
        </w:tc>
      </w:tr>
      <w:tr>
        <w:trPr>
          <w:cantSplit/>
        </w:trPr>
        <w:tc>
          <w:tcPr>
            <w:tcW w:type="dxa" w:w="2232"/>
            <w:vAlign w:val="top"/>
          </w:tcPr>
          <w:p>
            <w:pPr>
              <w:spacing w:after="40" w:before="0" w:line="259" w:lineRule="auto"/>
            </w:pPr>
            <w:r>
              <w:rPr>
                <w:rFonts w:ascii="Calibri" w:hAnsi="Calibri"/>
                <w:b/>
                <w:i w:val="0"/>
                <w:color w:val="212121"/>
                <w:sz w:val="19"/>
              </w:rPr>
              <w:t>Chronic kidney disease on haemodialysis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Uraemia and long-term dialysis are recognised associations of olecranon bursitis, and dialysis access adds infection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early signs of bursitis — a localised, tender, warm swelling over the elbow, kneecap, shoulder or hip that hurts with movement — and rest the area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protective padding: wear knee pads for kneeling work and avoid resting bare elbows on hard surfaces for long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up an ergonomic work station and take regular breaks to change position during repetitive overhead, kneeling or desk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skin over the elbows and knees intact and clean, and promptly wash and dress any cut or abrasion to prevent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a red, hot, very painful bursa, or any fever — these suggest septic bursitis needing aspiration and antibiotics.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gout, rheumatoid arthritis or diabetes, keep it well controlled, as these predispose to crystal and septic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attempt to inject or drain a bursa yourself; corticosteroid injection of superficial bursae can introduce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Kneeling and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Desk /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gout, RA or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runners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recurrent bursitis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flare, rest and modify activity to unload the bursa, and apply ice, compression and elevation to reduce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the specific provoking activity (kneeling, elbow-leaning, overhead work or running) until the pain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to graded stretching and strengthening — rotator-cuff work for subacromial, hip-abductor and iliotibial-band programmes for trochanteric, and quadriceps strengthening for pes anserine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to full activity gradually rather than abruptly, to avoid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 with a physiotherapist for an individualised rehabilitation and joint-protection programme.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Overhead and kneeling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Runners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Post-flare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to reduce mechanical load on the hip and knee bursae, since higher BMI raises trochanteric bursitis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training or occupational load gradually (by roughly no more than 10% per week) and warm up before repetitive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the muscles around the shoulder, hip and knee to share load and protect the bursae.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Alternate kneeling with standing and vary posture regularly to avoid sustained pressure on any one bursa.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Runners and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Kneeling and overhead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 returning to activity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reduction if overweight, to offload the hip and knee bursae and ease iliotibial-band friction.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lower-purine diet — limit red and organ meats, shellfish and alcohol — to reduce gout attacks that cause crystal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support renal urate excretion.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rich in vegetables, whole grains and pulses, and ensure adequate protein, calcium and vitamin D for muscle and bone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gout or hyperuricaemia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recurrent crystal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trochanteric bursitis, avoid lying on the affected hip and place a pillow between the knees when sleeping on the side.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cushioned mattress or topper to reduce pressure on inflamed hip and shoulder bursae.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evening pain with prescribed analgesia so discomfort does not disrupt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a calm, screen-free wind-down routine, as poor sleep worsens pain perception.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trochanteric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 with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bidi use, as smoking is an independent risk factor for olecranon bursitis and impairs wound healing and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behavioural counselling with nicotine replacement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impairs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cessation with weight and metabolic control to lower overall musculoskeletal and infection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or septic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raises serum urate and can trigger gout attacks that cause crystal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heavy alcohol use impairs immunity and self-care, increasing the risk of septic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a common precipitant of acute gout.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within safe limits, particularly if you have gout, diabetes or liver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gout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Immunosuppressed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frustration, sleep loss and low mood that can accompany chronic or recurrent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pacing and pain-coping strategies to stay functional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relaxation, mindfulness or yoga-based breathing to help manage persistent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professional support if pain, disability or sleep disturbance are causing significant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bursitis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sleep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Workers with activity-limiting pain</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70291/" TargetMode="External"/><Relationship Id="rId10" Type="http://schemas.openxmlformats.org/officeDocument/2006/relationships/hyperlink" Target="https://journals.plos.org/plosone/article?id=10.1371/journal.pone.0299415" TargetMode="External"/><Relationship Id="rId11" Type="http://schemas.openxmlformats.org/officeDocument/2006/relationships/hyperlink" Target="https://www.ncbi.nlm.nih.gov/books/NBK470331/" TargetMode="External"/><Relationship Id="rId12" Type="http://schemas.openxmlformats.org/officeDocument/2006/relationships/hyperlink" Target="https://pubmed.ncbi.nlm.nih.gov/17678660/" TargetMode="External"/><Relationship Id="rId13" Type="http://schemas.openxmlformats.org/officeDocument/2006/relationships/hyperlink" Target="https://academic.oup.com/joh/article/67/1/uiae077/7926635" TargetMode="External"/><Relationship Id="rId14" Type="http://schemas.openxmlformats.org/officeDocument/2006/relationships/hyperlink" Target="https://www.ncbi.nlm.nih.gov/books/NBK557508/" TargetMode="External"/><Relationship Id="rId15" Type="http://schemas.openxmlformats.org/officeDocument/2006/relationships/hyperlink" Target="https://www.ncbi.nlm.nih.gov/books/NBK513340/" TargetMode="External"/><Relationship Id="rId16" Type="http://schemas.openxmlformats.org/officeDocument/2006/relationships/hyperlink" Target="https://www.ncbi.nlm.nih.gov/books/NBK5574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