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Septic Arthritis</w:t>
      </w:r>
    </w:p>
    <w:p>
      <w:pPr>
        <w:spacing w:before="0" w:after="160"/>
      </w:pPr>
      <w:r>
        <w:rPr>
          <w:rFonts w:ascii="Calibri" w:hAnsi="Calibri"/>
          <w:b/>
          <w:i w:val="0"/>
          <w:color w:val="212121"/>
          <w:sz w:val="22"/>
        </w:rPr>
        <w:t xml:space="preserve">AKA </w:t>
      </w:r>
      <w:r>
        <w:rPr>
          <w:rFonts w:ascii="Calibri" w:hAnsi="Calibri"/>
          <w:b w:val="0"/>
          <w:i w:val="0"/>
          <w:color w:val="212121"/>
          <w:sz w:val="22"/>
        </w:rPr>
        <w:t>i.e., Infectious arthritis, Bacterial arthritis, Pyogenic arthritis, Suppurative arthritis, Joint infection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Septic arthritis is an infection within a joint space, usually bacterial, in which micro-organisms invade the synovium and synovial fluid and provoke an acute purulent (pus-forming) inflammatory response. It is an orthopaedic and rheumatological emergency because enzymatic and inflammatory destruction of articular cartilage can begin within days and cause irreversible joint damage, disability or death if the joint is not drained and treated promptly. Most cases are an acute monoarthritis of a single large joint (most often the knee) from haematogenous seeding, with Staphylococcus aureus the predominant pathogen; less commonly it is gonococcal, mycobacterial (tuberculous, an important cause in India), fungal, or prosthetic-joint associated.</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The reported annual incidence of septic arthritis in the general population is about 2 to 6 cases per 100,000, rising sharply in people with rheumatoid arthritis, diabetes or prosthetic joints. Indian hospital series confirm a marked male predominance and diabetes mellitus as the leading comorbidity. In a study of 70 adults with septic arthritis at an Indian tertiary centre (2006-2017), 83% were male, the knee was involved in 71%, Staphylococcus aureus accounted for 42.85% of isolates with an unusually high streptococcal share (30%), one-third of isolates were multi-resistant, and 70% had significant residual disability at six months (mortality 4.25%). In India, osteoarticular tuberculosis remains an important cause of chronic, indolent joint infection that must be distinguished from pyogenic septic arthritis. Neonatal septic arthritis in Indian units is dominated by gram-negative organisms (e.g., Klebsiella) with the hip most commonly affected (about 72%).</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Septic arthritis is a clinical emergency diagnosed by combining a compatible presentation (an acute hot, swollen, painful joint with restricted movement) with synovial fluid analysis and culture; joint aspiration before antibiotics is the cornerstone: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urgent arthrocentesis (joint aspiration) performed before starting antibiotics, with synovial fluid sent for Gram stain, culture and sensitivity, cell count with differential, and crystal analysis;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synovial fluid white cell count typically &gt; 50,000 cells/mm3 (often &gt; 100,000) with &gt; 90% polymorphonuclear neutrophils strongly suggests bacterial infection (lower counts do not exclude it, especially in the immunocompromised or in prosthetic joints);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positive synovial fluid Gram stain or culture confirms the diagnosis and guides antibiotic choice, though Gram stain sensitivity is modest (about 50%);</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blood cultures (positive in a substantial minority) plus C-reactive protein and ESR, which are usually markedly raised and used to track treatment response;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plain radiographs as a baseline (may show effusion, or later joint-space loss and osteomyelitis) with ultrasound to confirm effusion and guide aspiration, and MRI where deep joints (hip, sacroiliac, spine) or associated osteomyelitis are suspected;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targeted testing by context: Neisseria gonorrhoeae NAAT and cultures (urogenital, rectal, pharyngeal) in young sexually active adults, and synovial biopsy with AFB smear, mycobacterial culture and NAAT (e.g., GeneXpert MTB/RIF) where tuberculous arthritis is suspected in India.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Septic arthritis is classified by causative organism, host and joint type, and clinical tempo:</w:t>
      </w:r>
    </w:p>
    <w:p>
      <w:pPr>
        <w:spacing w:before="0" w:after="80"/>
      </w:pPr>
      <w:r>
        <w:rPr>
          <w:rFonts w:ascii="Calibri" w:hAnsi="Calibri"/>
          <w:b w:val="0"/>
          <w:i w:val="0"/>
          <w:color w:val="212121"/>
          <w:sz w:val="21"/>
        </w:rPr>
        <w:t>(1) Non-gonococcal (pyogenic) bacterial arthritis - the commonest and most destructive form, usually an acute monoarthritis of a large joint; Staphylococcus aureus predominates, followed by streptococci and, particularly in the elderly, immunocompromised and neonates, gram-negative bacilli;</w:t>
      </w:r>
    </w:p>
    <w:p>
      <w:pPr>
        <w:spacing w:before="0" w:after="80"/>
      </w:pPr>
      <w:r>
        <w:rPr>
          <w:rFonts w:ascii="Calibri" w:hAnsi="Calibri"/>
          <w:b w:val="0"/>
          <w:i w:val="0"/>
          <w:color w:val="212121"/>
          <w:sz w:val="21"/>
        </w:rPr>
        <w:t>(2) Gonococcal arthritis (disseminated gonococcal infection) - in young, sexually active adults, presenting either as a purulent monoarthritis or as the arthritis-dermatitis-tenosynovitis triad (migratory polyarthralgia, skin pustules, tenosynovitis), often with low synovial culture yields;</w:t>
      </w:r>
    </w:p>
    <w:p>
      <w:pPr>
        <w:spacing w:before="0" w:after="80"/>
      </w:pPr>
      <w:r>
        <w:rPr>
          <w:rFonts w:ascii="Calibri" w:hAnsi="Calibri"/>
          <w:b w:val="0"/>
          <w:i w:val="0"/>
          <w:color w:val="212121"/>
          <w:sz w:val="21"/>
        </w:rPr>
        <w:t>(3) Mycobacterial and fungal (granulomatous) arthritis - a chronic, indolent monoarthritis; tuberculous arthritis is an important cause in India (commonly hip or knee, with the spine affected as Pott's disease), alongside brucellar and fungal joint infection;</w:t>
      </w:r>
    </w:p>
    <w:p>
      <w:pPr>
        <w:spacing w:before="0" w:after="80"/>
      </w:pPr>
      <w:r>
        <w:rPr>
          <w:rFonts w:ascii="Calibri" w:hAnsi="Calibri"/>
          <w:b w:val="0"/>
          <w:i w:val="0"/>
          <w:color w:val="212121"/>
          <w:sz w:val="21"/>
        </w:rPr>
        <w:t>(4) Prosthetic joint infection (PJI) - infection of a replaced joint, either early (perioperative) or late (haematogenous), frequently involving coagulase-negative staphylococci and biofilm, and needing combined surgical and prolonged antimicrobial therapy;</w:t>
      </w:r>
    </w:p>
    <w:p>
      <w:pPr>
        <w:spacing w:before="0" w:after="80"/>
      </w:pPr>
      <w:r>
        <w:rPr>
          <w:rFonts w:ascii="Calibri" w:hAnsi="Calibri"/>
          <w:b w:val="0"/>
          <w:i w:val="0"/>
          <w:color w:val="212121"/>
          <w:sz w:val="21"/>
        </w:rPr>
        <w:t>(5) Special hosts - neonatal and infantile septic arthritis (often gram-negative, with a hip predilection and frequent coexisting osteomyelitis), and arthritis in sickle-cell disease (Salmonella and S. aureus) or in people who inject drugs (axial joints, Pseudomonas).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Haematogenous seeding: The commonest route - bacteria reach the highly vascular synovium via the bloodstream from a distant focus (skin, respiratory, urinary or dental), the synovium lacking a protective basement membrane.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Staphylococcus aureus and streptococci: S. aureus is the leading pathogen, binding cartilage and bone via surface adhesins; streptococci are next and carry a notably high share in Indian adult series.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Direct inoculation: Penetrating trauma, animal or human bites, intra-articular injections, arthroscopy or open joint surgery introduce organisms directly into the joint.</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Contiguous spread: Extension from adjacent osteomyelitis, cellulitis, bursitis or a soft-tissue abscess, especially in neonates where trans-physeal vessels connect metaphysis and joint.</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Host immune compromise: Diabetes mellitus, rheumatoid arthritis, chronic kidney or liver disease, HIV, malignancy and corticosteroid, immunosuppressant or biologic (anti-TNF) therapy impair bacterial clearance.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Abnormal or prosthetic joint architecture: Pre-existing joint damage (rheumatoid arthritis, osteoarthritis, crystal disease) and prosthetic material provide adherent surfaces and biofilm niches for infection.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Gonococcal and tuberculous infection: Neisseria gonorrhoeae (disseminated gonococcal infection in the young) and Mycobacterium tuberculosis (an important indolent cause in India) are distinct etiologies with different courses.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Working-age adults</w:t>
            </w:r>
          </w:p>
        </w:tc>
        <w:tc>
          <w:tcPr>
            <w:tcW w:type="dxa" w:w="4276"/>
            <w:vAlign w:val="top"/>
          </w:tcPr>
          <w:p>
            <w:pPr>
              <w:spacing w:after="60" w:line="259" w:lineRule="auto"/>
            </w:pPr>
            <w:r>
              <w:rPr>
                <w:rFonts w:ascii="Calibri" w:hAnsi="Calibri"/>
                <w:b w:val="0"/>
                <w:i w:val="0"/>
                <w:color w:val="212121"/>
                <w:sz w:val="19"/>
              </w:rPr>
              <w:t>Adults form the bulk of pyogenic septic arthritis, typically as an acute monoarthritis of a large joint after haematogenous seeding from a skin, urinary or dental focus, often on a background of diabetes or prior joint disease.</w:t>
            </w:r>
          </w:p>
          <w:p>
            <w:pPr>
              <w:spacing w:after="40" w:before="60" w:line="259" w:lineRule="auto"/>
            </w:pPr>
            <w:r>
              <w:rPr>
                <w:rFonts w:ascii="Calibri" w:hAnsi="Calibri"/>
                <w:b w:val="0"/>
                <w:i w:val="0"/>
                <w:color w:val="212121"/>
                <w:sz w:val="19"/>
              </w:rPr>
              <w:t>In an Indian series of 70 adults with septic arthritis, the knee was involved in 71% and fever was present in about 75% of cases.</w:t>
            </w:r>
          </w:p>
          <w:p>
            <w:pPr>
              <w:spacing w:after="40" w:line="252" w:lineRule="auto"/>
            </w:pPr>
            <w:hyperlink r:id="rId9">
              <w:r>
                <w:rPr>
                  <w:rFonts w:ascii="Calibri" w:hAnsi="Calibri" w:cs="Calibri"/>
                  <w:sz w:val="18"/>
                  <w:color w:val="1155CC"/>
                  <w:u w:val="single"/>
                </w:rPr>
                <w:t xml:space="preserve">pubmed.ncbi.nlm.nih.gov/31424007</w:t>
              </w:r>
            </w:hyperlink>
          </w:p>
          <w:p>
            <w:pPr>
              <w:spacing w:before="60" w:after="40"/>
            </w:pPr>
            <w:r>
              <w:rPr>
                <w:rFonts w:ascii="Calibri" w:hAnsi="Calibri"/>
                <w:b w:val="0"/>
                <w:i w:val="0"/>
                <w:color w:val="5A5A5A"/>
                <w:sz w:val="18"/>
              </w:rPr>
              <w:t>#monoarthritis  #kneejoint  #Staphaureus  #hematogenous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(over 80)</w:t>
            </w:r>
          </w:p>
        </w:tc>
        <w:tc>
          <w:tcPr>
            <w:tcW w:type="dxa" w:w="4276"/>
            <w:vAlign w:val="top"/>
          </w:tcPr>
          <w:p>
            <w:pPr>
              <w:spacing w:after="60" w:line="259" w:lineRule="auto"/>
            </w:pPr>
            <w:r>
              <w:rPr>
                <w:rFonts w:ascii="Calibri" w:hAnsi="Calibri"/>
                <w:b w:val="0"/>
                <w:i w:val="0"/>
                <w:color w:val="212121"/>
                <w:sz w:val="19"/>
              </w:rPr>
              <w:t>Advanced age raises risk through immunosenescence, multiple comorbidities, degenerative and prosthetic joints, and skin ulcers that act as portals of entry; presentation is often blunted with less fever.</w:t>
            </w:r>
          </w:p>
          <w:p>
            <w:pPr>
              <w:spacing w:after="40" w:before="60" w:line="259" w:lineRule="auto"/>
            </w:pPr>
            <w:r>
              <w:rPr>
                <w:rFonts w:ascii="Calibri" w:hAnsi="Calibri"/>
                <w:b w:val="0"/>
                <w:i w:val="0"/>
                <w:color w:val="212121"/>
                <w:sz w:val="19"/>
              </w:rPr>
              <w:t>Age older than 80 years is a recognised risk factor for septic arthritis.</w:t>
            </w:r>
          </w:p>
          <w:p>
            <w:pPr>
              <w:spacing w:after="40" w:line="252" w:lineRule="auto"/>
            </w:pPr>
            <w:hyperlink r:id="rId10">
              <w:r>
                <w:rPr>
                  <w:rFonts w:ascii="Calibri" w:hAnsi="Calibri" w:cs="Calibri"/>
                  <w:sz w:val="18"/>
                  <w:color w:val="1155CC"/>
                  <w:u w:val="single"/>
                </w:rPr>
                <w:t xml:space="preserve">ncbi.nlm.nih.gov - StatPearls, Septic Arthritis</w:t>
              </w:r>
            </w:hyperlink>
          </w:p>
          <w:p>
            <w:pPr>
              <w:spacing w:before="60" w:after="40"/>
            </w:pPr>
            <w:r>
              <w:rPr>
                <w:rFonts w:ascii="Calibri" w:hAnsi="Calibri"/>
                <w:b w:val="0"/>
                <w:i w:val="0"/>
                <w:color w:val="5A5A5A"/>
                <w:sz w:val="18"/>
              </w:rPr>
              <w:t>#elderly  #immunosenescence  #comorbidity  #prostheticjoint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Neonates and infants</w:t>
            </w:r>
          </w:p>
        </w:tc>
        <w:tc>
          <w:tcPr>
            <w:tcW w:type="dxa" w:w="4276"/>
            <w:vAlign w:val="top"/>
          </w:tcPr>
          <w:p>
            <w:pPr>
              <w:spacing w:after="60" w:line="259" w:lineRule="auto"/>
            </w:pPr>
            <w:r>
              <w:rPr>
                <w:rFonts w:ascii="Calibri" w:hAnsi="Calibri"/>
                <w:b w:val="0"/>
                <w:i w:val="0"/>
                <w:color w:val="212121"/>
                <w:sz w:val="19"/>
              </w:rPr>
              <w:t>Neonatal septic arthritis is often haematogenous or spreads from adjacent osteomyelitis, with a strong hip predilection and gram-negative organisms; it can rapidly destroy the growth plate and femoral head.</w:t>
            </w:r>
          </w:p>
          <w:p>
            <w:pPr>
              <w:spacing w:after="40" w:before="60" w:line="259" w:lineRule="auto"/>
            </w:pPr>
            <w:r>
              <w:rPr>
                <w:rFonts w:ascii="Calibri" w:hAnsi="Calibri"/>
                <w:b w:val="0"/>
                <w:i w:val="0"/>
                <w:color w:val="212121"/>
                <w:sz w:val="19"/>
              </w:rPr>
              <w:t>In an Indian neonatal series of 29 babies, the hip was involved in 21 of 29 (about 72%), Klebsiella pneumoniae was the commonest isolate, and prematurity and anaemia were important risk factors.</w:t>
            </w:r>
          </w:p>
          <w:p>
            <w:pPr>
              <w:spacing w:after="40" w:line="252" w:lineRule="auto"/>
            </w:pPr>
            <w:hyperlink r:id="rId11">
              <w:r>
                <w:rPr>
                  <w:rFonts w:ascii="Calibri" w:hAnsi="Calibri" w:cs="Calibri"/>
                  <w:sz w:val="18"/>
                  <w:color w:val="1155CC"/>
                  <w:u w:val="single"/>
                </w:rPr>
                <w:t xml:space="preserve">pubmed.ncbi.nlm.nih.gov/27154290</w:t>
              </w:r>
            </w:hyperlink>
          </w:p>
          <w:p>
            <w:pPr>
              <w:spacing w:before="60" w:after="40"/>
            </w:pPr>
            <w:r>
              <w:rPr>
                <w:rFonts w:ascii="Calibri" w:hAnsi="Calibri"/>
                <w:b w:val="0"/>
                <w:i w:val="0"/>
                <w:color w:val="5A5A5A"/>
                <w:sz w:val="18"/>
              </w:rPr>
              <w:t>#neonatal  #hipjoint  #Klebsiella  #prematurity  #growthplate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predominate in most series, reflecting greater exposure to trauma, occupational skin injury, injection-drug use and, in the young, disseminated gonococcal infection.</w:t>
            </w:r>
          </w:p>
          <w:p>
            <w:pPr>
              <w:spacing w:after="40" w:before="60" w:line="259" w:lineRule="auto"/>
            </w:pPr>
            <w:r>
              <w:rPr>
                <w:rFonts w:ascii="Calibri" w:hAnsi="Calibri"/>
                <w:b w:val="0"/>
                <w:i w:val="0"/>
                <w:color w:val="212121"/>
                <w:sz w:val="19"/>
              </w:rPr>
              <w:t>83% of adults in an Indian septic-arthritis series were male.</w:t>
            </w:r>
          </w:p>
          <w:p>
            <w:pPr>
              <w:spacing w:after="40" w:line="252" w:lineRule="auto"/>
            </w:pPr>
            <w:hyperlink r:id="rId9">
              <w:r>
                <w:rPr>
                  <w:rFonts w:ascii="Calibri" w:hAnsi="Calibri" w:cs="Calibri"/>
                  <w:sz w:val="18"/>
                  <w:color w:val="1155CC"/>
                  <w:u w:val="single"/>
                </w:rPr>
                <w:t xml:space="preserve">pubmed.ncbi.nlm.nih.gov/31424007</w:t>
              </w:r>
            </w:hyperlink>
          </w:p>
          <w:p>
            <w:pPr>
              <w:spacing w:before="60" w:after="40"/>
            </w:pPr>
            <w:r>
              <w:rPr>
                <w:rFonts w:ascii="Calibri" w:hAnsi="Calibri"/>
                <w:b w:val="0"/>
                <w:i w:val="0"/>
                <w:color w:val="5A5A5A"/>
                <w:sz w:val="18"/>
              </w:rPr>
              <w:t>#male  #trauma  #occupational  #gonococcal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and overcrowded households</w:t>
            </w:r>
          </w:p>
        </w:tc>
        <w:tc>
          <w:tcPr>
            <w:tcW w:type="dxa" w:w="4276"/>
            <w:vAlign w:val="top"/>
          </w:tcPr>
          <w:p>
            <w:pPr>
              <w:spacing w:after="60" w:line="259" w:lineRule="auto"/>
            </w:pPr>
            <w:r>
              <w:rPr>
                <w:rFonts w:ascii="Calibri" w:hAnsi="Calibri"/>
                <w:b w:val="0"/>
                <w:i w:val="0"/>
                <w:color w:val="212121"/>
                <w:sz w:val="19"/>
              </w:rPr>
              <w:t>Poverty and overcrowding increase exposure to untreated skin infections, injuries and tuberculosis, and are linked with late presentation, which worsens joint destruction and outcomes.</w:t>
            </w:r>
          </w:p>
          <w:p>
            <w:pPr>
              <w:spacing w:before="60" w:after="40"/>
            </w:pPr>
            <w:r>
              <w:rPr>
                <w:rFonts w:ascii="Calibri" w:hAnsi="Calibri"/>
                <w:b w:val="0"/>
                <w:i w:val="0"/>
                <w:color w:val="5A5A5A"/>
                <w:sz w:val="18"/>
              </w:rPr>
              <w:t>#socioeconomic  #latepresentation  #TBburden  #accesstocare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India and other TB-endemic areas</w:t>
            </w:r>
          </w:p>
        </w:tc>
        <w:tc>
          <w:tcPr>
            <w:tcW w:type="dxa" w:w="4276"/>
            <w:vAlign w:val="top"/>
          </w:tcPr>
          <w:p>
            <w:pPr>
              <w:spacing w:after="60" w:line="259" w:lineRule="auto"/>
            </w:pPr>
            <w:r>
              <w:rPr>
                <w:rFonts w:ascii="Calibri" w:hAnsi="Calibri"/>
                <w:b w:val="0"/>
                <w:i w:val="0"/>
                <w:color w:val="212121"/>
                <w:sz w:val="19"/>
              </w:rPr>
              <w:t>India's high tuberculosis burden makes osteoarticular (tuberculous) arthritis an important, often chronic and indolent cause of joint infection that must be distinguished from acute pyogenic septic arthritis.</w:t>
            </w:r>
          </w:p>
          <w:p>
            <w:pPr>
              <w:spacing w:after="40" w:before="60" w:line="259" w:lineRule="auto"/>
            </w:pPr>
            <w:r>
              <w:rPr>
                <w:rFonts w:ascii="Calibri" w:hAnsi="Calibri"/>
                <w:b w:val="0"/>
                <w:i w:val="0"/>
                <w:color w:val="212121"/>
                <w:sz w:val="19"/>
              </w:rPr>
              <w:t>Osteoarticular tuberculosis produces chronic monoarticular joint infection (commonly hip, knee or spine) and is well documented in Indian orthopaedic practice.</w:t>
            </w:r>
          </w:p>
          <w:p>
            <w:pPr>
              <w:spacing w:after="40" w:line="252" w:lineRule="auto"/>
            </w:pPr>
            <w:hyperlink r:id="rId12">
              <w:r>
                <w:rPr>
                  <w:rFonts w:ascii="Calibri" w:hAnsi="Calibri" w:cs="Calibri"/>
                  <w:sz w:val="18"/>
                  <w:color w:val="1155CC"/>
                  <w:u w:val="single"/>
                </w:rPr>
                <w:t xml:space="preserve">pubmed.ncbi.nlm.nih.gov/11964639</w:t>
              </w:r>
            </w:hyperlink>
          </w:p>
          <w:p>
            <w:pPr>
              <w:spacing w:before="60" w:after="40"/>
            </w:pPr>
            <w:r>
              <w:rPr>
                <w:rFonts w:ascii="Calibri" w:hAnsi="Calibri"/>
                <w:b w:val="0"/>
                <w:i w:val="0"/>
                <w:color w:val="5A5A5A"/>
                <w:sz w:val="18"/>
              </w:rPr>
              <w:t>#tuberculosis  #osteoarticularTB  #India  #chronicarthritis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Rural / animal and soil contact</w:t>
            </w:r>
          </w:p>
        </w:tc>
        <w:tc>
          <w:tcPr>
            <w:tcW w:type="dxa" w:w="2160"/>
            <w:vAlign w:val="top"/>
          </w:tcPr>
          <w:p>
            <w:pPr>
              <w:spacing w:after="40" w:before="0" w:line="259" w:lineRule="auto"/>
            </w:pPr>
            <w:r>
              <w:rPr>
                <w:rFonts w:ascii="Calibri" w:hAnsi="Calibri"/>
                <w:b w:val="0"/>
                <w:i w:val="0"/>
                <w:color w:val="212121"/>
                <w:sz w:val="19"/>
              </w:rPr>
              <w:t>Farmers, herders, abattoir and barefoot workers</w:t>
            </w:r>
          </w:p>
        </w:tc>
        <w:tc>
          <w:tcPr>
            <w:tcW w:type="dxa" w:w="4276"/>
            <w:vAlign w:val="top"/>
          </w:tcPr>
          <w:p>
            <w:pPr>
              <w:spacing w:after="60" w:line="259" w:lineRule="auto"/>
            </w:pPr>
            <w:r>
              <w:rPr>
                <w:rFonts w:ascii="Calibri" w:hAnsi="Calibri"/>
                <w:b w:val="0"/>
                <w:i w:val="0"/>
                <w:color w:val="212121"/>
                <w:sz w:val="19"/>
              </w:rPr>
              <w:t>Agricultural and animal contact and barefoot injury raise exposure to brucellosis, gram-negative and environmental organisms and to penetrating wounds that inoculate joints directly.</w:t>
            </w:r>
          </w:p>
          <w:p>
            <w:pPr>
              <w:spacing w:before="60" w:after="40"/>
            </w:pPr>
            <w:r>
              <w:rPr>
                <w:rFonts w:ascii="Calibri" w:hAnsi="Calibri"/>
                <w:b w:val="0"/>
                <w:i w:val="0"/>
                <w:color w:val="5A5A5A"/>
                <w:sz w:val="18"/>
              </w:rPr>
              <w:t>#rural  #brucellosis  #barefootinjury  #gramnegative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Injection drug use</w:t>
            </w:r>
          </w:p>
        </w:tc>
        <w:tc>
          <w:tcPr>
            <w:tcW w:type="dxa" w:w="2160"/>
            <w:vAlign w:val="top"/>
          </w:tcPr>
          <w:p>
            <w:pPr>
              <w:spacing w:after="40" w:before="0" w:line="259" w:lineRule="auto"/>
            </w:pPr>
            <w:r>
              <w:rPr>
                <w:rFonts w:ascii="Calibri" w:hAnsi="Calibri"/>
                <w:b w:val="0"/>
                <w:i w:val="0"/>
                <w:color w:val="212121"/>
                <w:sz w:val="19"/>
              </w:rPr>
              <w:t>People who inject drugs</w:t>
            </w:r>
          </w:p>
        </w:tc>
        <w:tc>
          <w:tcPr>
            <w:tcW w:type="dxa" w:w="4276"/>
            <w:vAlign w:val="top"/>
          </w:tcPr>
          <w:p>
            <w:pPr>
              <w:spacing w:after="60" w:line="259" w:lineRule="auto"/>
            </w:pPr>
            <w:r>
              <w:rPr>
                <w:rFonts w:ascii="Calibri" w:hAnsi="Calibri"/>
                <w:b w:val="0"/>
                <w:i w:val="0"/>
                <w:color w:val="212121"/>
                <w:sz w:val="19"/>
              </w:rPr>
              <w:t>Non-sterile injection seeds the bloodstream and characteristically infects axial joints (sternoclavicular, sacroiliac, symphysis pubis), often with Staphylococcus aureus or Pseudomonas.</w:t>
            </w:r>
          </w:p>
          <w:p>
            <w:pPr>
              <w:spacing w:after="40" w:before="60" w:line="259" w:lineRule="auto"/>
            </w:pPr>
            <w:r>
              <w:rPr>
                <w:rFonts w:ascii="Calibri" w:hAnsi="Calibri"/>
                <w:b w:val="0"/>
                <w:i w:val="0"/>
                <w:color w:val="212121"/>
                <w:sz w:val="19"/>
              </w:rPr>
              <w:t>Intravenous drug use is a recognised risk group for septic arthritis.</w:t>
            </w:r>
          </w:p>
          <w:p>
            <w:pPr>
              <w:spacing w:after="40" w:line="252" w:lineRule="auto"/>
            </w:pPr>
            <w:hyperlink r:id="rId13">
              <w:r>
                <w:rPr>
                  <w:rFonts w:ascii="Calibri" w:hAnsi="Calibri" w:cs="Calibri"/>
                  <w:sz w:val="18"/>
                  <w:color w:val="1155CC"/>
                  <w:u w:val="single"/>
                </w:rPr>
                <w:t xml:space="preserve">nhs.uk - septic arthritis</w:t>
              </w:r>
            </w:hyperlink>
          </w:p>
          <w:p>
            <w:pPr>
              <w:spacing w:before="60" w:after="40"/>
            </w:pPr>
            <w:r>
              <w:rPr>
                <w:rFonts w:ascii="Calibri" w:hAnsi="Calibri"/>
                <w:b w:val="0"/>
                <w:i w:val="0"/>
                <w:color w:val="5A5A5A"/>
                <w:sz w:val="18"/>
              </w:rPr>
              <w:t>#IVDU  #sternoclavicular  #Pseudomonas  #bacteraemia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High-risk sexual behaviour</w:t>
            </w:r>
          </w:p>
        </w:tc>
        <w:tc>
          <w:tcPr>
            <w:tcW w:type="dxa" w:w="2160"/>
            <w:vAlign w:val="top"/>
          </w:tcPr>
          <w:p>
            <w:pPr>
              <w:spacing w:after="40" w:before="0" w:line="259" w:lineRule="auto"/>
            </w:pPr>
            <w:r>
              <w:rPr>
                <w:rFonts w:ascii="Calibri" w:hAnsi="Calibri"/>
                <w:b w:val="0"/>
                <w:i w:val="0"/>
                <w:color w:val="212121"/>
                <w:sz w:val="19"/>
              </w:rPr>
              <w:t>Young, sexually active adults</w:t>
            </w:r>
          </w:p>
        </w:tc>
        <w:tc>
          <w:tcPr>
            <w:tcW w:type="dxa" w:w="4276"/>
            <w:vAlign w:val="top"/>
          </w:tcPr>
          <w:p>
            <w:pPr>
              <w:spacing w:after="60" w:line="259" w:lineRule="auto"/>
            </w:pPr>
            <w:r>
              <w:rPr>
                <w:rFonts w:ascii="Calibri" w:hAnsi="Calibri"/>
                <w:b w:val="0"/>
                <w:i w:val="0"/>
                <w:color w:val="212121"/>
                <w:sz w:val="19"/>
              </w:rPr>
              <w:t>Untreated gonorrhoea can disseminate to cause gonococcal arthritis, typically with migratory polyarthralgia, tenosynovitis and skin pustules in an otherwise healthy young adult.</w:t>
            </w:r>
          </w:p>
          <w:p>
            <w:pPr>
              <w:spacing w:after="40" w:before="60" w:line="259" w:lineRule="auto"/>
            </w:pPr>
            <w:r>
              <w:rPr>
                <w:rFonts w:ascii="Calibri" w:hAnsi="Calibri"/>
                <w:b w:val="0"/>
                <w:i w:val="0"/>
                <w:color w:val="212121"/>
                <w:sz w:val="19"/>
              </w:rPr>
              <w:t>Neisseria gonorrhoeae is a common cause of nontraumatic acute arthritis in young sexually active patients.</w:t>
            </w:r>
          </w:p>
          <w:p>
            <w:pPr>
              <w:spacing w:after="40" w:line="252" w:lineRule="auto"/>
            </w:pPr>
            <w:hyperlink r:id="rId10">
              <w:r>
                <w:rPr>
                  <w:rFonts w:ascii="Calibri" w:hAnsi="Calibri" w:cs="Calibri"/>
                  <w:sz w:val="18"/>
                  <w:color w:val="1155CC"/>
                  <w:u w:val="single"/>
                </w:rPr>
                <w:t xml:space="preserve">ncbi.nlm.nih.gov - StatPearls, Septic Arthritis</w:t>
              </w:r>
            </w:hyperlink>
          </w:p>
          <w:p>
            <w:pPr>
              <w:spacing w:before="60" w:after="40"/>
            </w:pPr>
            <w:r>
              <w:rPr>
                <w:rFonts w:ascii="Calibri" w:hAnsi="Calibri"/>
                <w:b w:val="0"/>
                <w:i w:val="0"/>
                <w:color w:val="5A5A5A"/>
                <w:sz w:val="18"/>
              </w:rPr>
              <w:t>#gonococcal  #DGI  #tenosynovitis  #youngadults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Adult smokers and joint-replacement candidates</w:t>
            </w:r>
          </w:p>
        </w:tc>
        <w:tc>
          <w:tcPr>
            <w:tcW w:type="dxa" w:w="4276"/>
            <w:vAlign w:val="top"/>
          </w:tcPr>
          <w:p>
            <w:pPr>
              <w:spacing w:after="60" w:line="259" w:lineRule="auto"/>
            </w:pPr>
            <w:r>
              <w:rPr>
                <w:rFonts w:ascii="Calibri" w:hAnsi="Calibri"/>
                <w:b w:val="0"/>
                <w:i w:val="0"/>
                <w:color w:val="212121"/>
                <w:sz w:val="19"/>
              </w:rPr>
              <w:t>Smoking impairs immunity, microvascular perfusion and wound healing, increasing surgical-site and prosthetic-joint infection risk after joint surgery.</w:t>
            </w:r>
          </w:p>
          <w:p>
            <w:pPr>
              <w:spacing w:before="60" w:after="40"/>
            </w:pPr>
            <w:r>
              <w:rPr>
                <w:rFonts w:ascii="Calibri" w:hAnsi="Calibri"/>
                <w:b w:val="0"/>
                <w:i w:val="0"/>
                <w:color w:val="5A5A5A"/>
                <w:sz w:val="18"/>
              </w:rPr>
              <w:t>#smoking  #woundhealing  #PJI  #surgicalrisk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Chronic heavy alcohol use impairs immune defence and is associated with liver disease, raising the risk of bacteraemia and joint infection.</w:t>
            </w:r>
          </w:p>
          <w:p>
            <w:pPr>
              <w:spacing w:before="60" w:after="40"/>
            </w:pPr>
            <w:r>
              <w:rPr>
                <w:rFonts w:ascii="Calibri" w:hAnsi="Calibri"/>
                <w:b w:val="0"/>
                <w:i w:val="0"/>
                <w:color w:val="5A5A5A"/>
                <w:sz w:val="18"/>
              </w:rPr>
              <w:t>#alcohol  #immunosuppression  #bacteraemia  #liverdisease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Malnutrition / low protein</w:t>
            </w:r>
          </w:p>
        </w:tc>
        <w:tc>
          <w:tcPr>
            <w:tcW w:type="dxa" w:w="2160"/>
            <w:vAlign w:val="top"/>
          </w:tcPr>
          <w:p>
            <w:pPr>
              <w:spacing w:after="40" w:before="0" w:line="259" w:lineRule="auto"/>
            </w:pPr>
            <w:r>
              <w:rPr>
                <w:rFonts w:ascii="Calibri" w:hAnsi="Calibri"/>
                <w:b w:val="0"/>
                <w:i w:val="0"/>
                <w:color w:val="212121"/>
                <w:sz w:val="19"/>
              </w:rPr>
              <w:t>Undernourished and hypoalbuminaemic patients</w:t>
            </w:r>
          </w:p>
        </w:tc>
        <w:tc>
          <w:tcPr>
            <w:tcW w:type="dxa" w:w="4276"/>
            <w:vAlign w:val="top"/>
          </w:tcPr>
          <w:p>
            <w:pPr>
              <w:spacing w:after="60" w:line="259" w:lineRule="auto"/>
            </w:pPr>
            <w:r>
              <w:rPr>
                <w:rFonts w:ascii="Calibri" w:hAnsi="Calibri"/>
                <w:b w:val="0"/>
                <w:i w:val="0"/>
                <w:color w:val="212121"/>
                <w:sz w:val="19"/>
              </w:rPr>
              <w:t>Protein-energy malnutrition and hypoalbuminaemia impair neutrophil function and wound healing, increasing susceptibility to infection and worsening recovery - a relevant concern in parts of India.</w:t>
            </w:r>
          </w:p>
          <w:p>
            <w:pPr>
              <w:spacing w:before="60" w:after="40"/>
            </w:pPr>
            <w:r>
              <w:rPr>
                <w:rFonts w:ascii="Calibri" w:hAnsi="Calibri"/>
                <w:b w:val="0"/>
                <w:i w:val="0"/>
                <w:color w:val="5A5A5A"/>
                <w:sz w:val="18"/>
              </w:rPr>
              <w:t>#malnutrition  #hypoalbuminaemia  #immunity  #poorhealing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w:t>
            </w:r>
          </w:p>
        </w:tc>
        <w:tc>
          <w:tcPr>
            <w:tcW w:type="dxa" w:w="2160"/>
            <w:vAlign w:val="top"/>
          </w:tcPr>
          <w:p>
            <w:pPr>
              <w:spacing w:after="40" w:before="0" w:line="259" w:lineRule="auto"/>
            </w:pPr>
            <w:r>
              <w:rPr>
                <w:rFonts w:ascii="Calibri" w:hAnsi="Calibri"/>
                <w:b w:val="0"/>
                <w:i w:val="0"/>
                <w:color w:val="212121"/>
                <w:sz w:val="19"/>
              </w:rPr>
              <w:t>Obese adults</w:t>
            </w:r>
          </w:p>
        </w:tc>
        <w:tc>
          <w:tcPr>
            <w:tcW w:type="dxa" w:w="4276"/>
            <w:vAlign w:val="top"/>
          </w:tcPr>
          <w:p>
            <w:pPr>
              <w:spacing w:after="60" w:line="259" w:lineRule="auto"/>
            </w:pPr>
            <w:r>
              <w:rPr>
                <w:rFonts w:ascii="Calibri" w:hAnsi="Calibri"/>
                <w:b w:val="0"/>
                <w:i w:val="0"/>
                <w:color w:val="212121"/>
                <w:sz w:val="19"/>
              </w:rPr>
              <w:t>Obesity clusters with diabetes and raises the risk of prosthetic-joint infection and surgical complications, while impairing wound healing after joint procedures.</w:t>
            </w:r>
          </w:p>
          <w:p>
            <w:pPr>
              <w:spacing w:before="60" w:after="40"/>
            </w:pPr>
            <w:r>
              <w:rPr>
                <w:rFonts w:ascii="Calibri" w:hAnsi="Calibri"/>
                <w:b w:val="0"/>
                <w:i w:val="0"/>
                <w:color w:val="5A5A5A"/>
                <w:sz w:val="18"/>
              </w:rPr>
              <w:t>#obesity  #PJI  #diabeteslink  #surgicalcomplication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Sickle cell disease</w:t>
            </w:r>
          </w:p>
        </w:tc>
        <w:tc>
          <w:tcPr>
            <w:tcW w:type="dxa" w:w="2160"/>
            <w:vAlign w:val="top"/>
          </w:tcPr>
          <w:p>
            <w:pPr>
              <w:spacing w:after="40" w:before="0" w:line="259" w:lineRule="auto"/>
            </w:pPr>
            <w:r>
              <w:rPr>
                <w:rFonts w:ascii="Calibri" w:hAnsi="Calibri"/>
                <w:b w:val="0"/>
                <w:i w:val="0"/>
                <w:color w:val="212121"/>
                <w:sz w:val="19"/>
              </w:rPr>
              <w:t>Sickle-cell and haemoglobinopathy patients</w:t>
            </w:r>
          </w:p>
        </w:tc>
        <w:tc>
          <w:tcPr>
            <w:tcW w:type="dxa" w:w="4276"/>
            <w:vAlign w:val="top"/>
          </w:tcPr>
          <w:p>
            <w:pPr>
              <w:spacing w:after="60" w:line="259" w:lineRule="auto"/>
            </w:pPr>
            <w:r>
              <w:rPr>
                <w:rFonts w:ascii="Calibri" w:hAnsi="Calibri"/>
                <w:b w:val="0"/>
                <w:i w:val="0"/>
                <w:color w:val="212121"/>
                <w:sz w:val="19"/>
              </w:rPr>
              <w:t>Bone infarction, functional asplenia and impaired opsonisation predispose to Salmonella and Staphylococcus osteoarticular infection; sickle-cell disease is concentrated in central and tribal India.</w:t>
            </w:r>
          </w:p>
          <w:p>
            <w:pPr>
              <w:spacing w:after="40" w:before="60" w:line="259" w:lineRule="auto"/>
            </w:pPr>
            <w:r>
              <w:rPr>
                <w:rFonts w:ascii="Calibri" w:hAnsi="Calibri"/>
                <w:b w:val="0"/>
                <w:i w:val="0"/>
                <w:color w:val="212121"/>
                <w:sz w:val="19"/>
              </w:rPr>
              <w:t>Sickle cell disease is a recognised predisposing condition for septic arthritis in children.</w:t>
            </w:r>
          </w:p>
          <w:p>
            <w:pPr>
              <w:spacing w:after="40" w:line="252" w:lineRule="auto"/>
            </w:pPr>
            <w:hyperlink r:id="rId10">
              <w:r>
                <w:rPr>
                  <w:rFonts w:ascii="Calibri" w:hAnsi="Calibri" w:cs="Calibri"/>
                  <w:sz w:val="18"/>
                  <w:color w:val="1155CC"/>
                  <w:u w:val="single"/>
                </w:rPr>
                <w:t xml:space="preserve">ncbi.nlm.nih.gov - StatPearls, Septic Arthritis</w:t>
              </w:r>
            </w:hyperlink>
          </w:p>
          <w:p>
            <w:pPr>
              <w:spacing w:before="60" w:after="40"/>
            </w:pPr>
            <w:r>
              <w:rPr>
                <w:rFonts w:ascii="Calibri" w:hAnsi="Calibri"/>
                <w:b w:val="0"/>
                <w:i w:val="0"/>
                <w:color w:val="5A5A5A"/>
                <w:sz w:val="18"/>
              </w:rPr>
              <w:t>#sicklecell  #Salmonella  #asplenia  #tribalIndia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Haemophilia / bleeding disorder</w:t>
            </w:r>
          </w:p>
        </w:tc>
        <w:tc>
          <w:tcPr>
            <w:tcW w:type="dxa" w:w="2160"/>
            <w:vAlign w:val="top"/>
          </w:tcPr>
          <w:p>
            <w:pPr>
              <w:spacing w:after="40" w:before="0" w:line="259" w:lineRule="auto"/>
            </w:pPr>
            <w:r>
              <w:rPr>
                <w:rFonts w:ascii="Calibri" w:hAnsi="Calibri"/>
                <w:b w:val="0"/>
                <w:i w:val="0"/>
                <w:color w:val="212121"/>
                <w:sz w:val="19"/>
              </w:rPr>
              <w:t>People with haemophilia</w:t>
            </w:r>
          </w:p>
        </w:tc>
        <w:tc>
          <w:tcPr>
            <w:tcW w:type="dxa" w:w="4276"/>
            <w:vAlign w:val="top"/>
          </w:tcPr>
          <w:p>
            <w:pPr>
              <w:spacing w:after="60" w:line="259" w:lineRule="auto"/>
            </w:pPr>
            <w:r>
              <w:rPr>
                <w:rFonts w:ascii="Calibri" w:hAnsi="Calibri"/>
                <w:b w:val="0"/>
                <w:i w:val="0"/>
                <w:color w:val="212121"/>
                <w:sz w:val="19"/>
              </w:rPr>
              <w:t>Recurrent haemarthrosis and repeated joint bleeds create a damaged, blood-filled joint that is more vulnerable to infection.</w:t>
            </w:r>
          </w:p>
          <w:p>
            <w:pPr>
              <w:spacing w:after="40" w:before="60" w:line="259" w:lineRule="auto"/>
            </w:pPr>
            <w:r>
              <w:rPr>
                <w:rFonts w:ascii="Calibri" w:hAnsi="Calibri"/>
                <w:b w:val="0"/>
                <w:i w:val="0"/>
                <w:color w:val="212121"/>
                <w:sz w:val="19"/>
              </w:rPr>
              <w:t>Haemophilia is listed among the risk factors for septic arthritis.</w:t>
            </w:r>
          </w:p>
          <w:p>
            <w:pPr>
              <w:spacing w:after="40" w:line="252" w:lineRule="auto"/>
            </w:pPr>
            <w:hyperlink r:id="rId10">
              <w:r>
                <w:rPr>
                  <w:rFonts w:ascii="Calibri" w:hAnsi="Calibri" w:cs="Calibri"/>
                  <w:sz w:val="18"/>
                  <w:color w:val="1155CC"/>
                  <w:u w:val="single"/>
                </w:rPr>
                <w:t xml:space="preserve">ncbi.nlm.nih.gov - StatPearls, Septic Arthritis</w:t>
              </w:r>
            </w:hyperlink>
          </w:p>
          <w:p>
            <w:pPr>
              <w:spacing w:before="60" w:after="40"/>
            </w:pPr>
            <w:r>
              <w:rPr>
                <w:rFonts w:ascii="Calibri" w:hAnsi="Calibri"/>
                <w:b w:val="0"/>
                <w:i w:val="0"/>
                <w:color w:val="5A5A5A"/>
                <w:sz w:val="18"/>
              </w:rPr>
              <w:t>#haemophilia  #haemarthrosis  #jointdamage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Rheumatoid arthritis</w:t>
            </w:r>
          </w:p>
        </w:tc>
        <w:tc>
          <w:tcPr>
            <w:tcW w:type="dxa" w:w="2160"/>
            <w:vAlign w:val="top"/>
          </w:tcPr>
          <w:p>
            <w:pPr>
              <w:spacing w:after="40" w:before="0" w:line="259" w:lineRule="auto"/>
            </w:pPr>
            <w:r>
              <w:rPr>
                <w:rFonts w:ascii="Calibri" w:hAnsi="Calibri"/>
                <w:b w:val="0"/>
                <w:i w:val="0"/>
                <w:color w:val="212121"/>
                <w:sz w:val="19"/>
              </w:rPr>
              <w:t>Patients with rheumatoid arthritis</w:t>
            </w:r>
          </w:p>
        </w:tc>
        <w:tc>
          <w:tcPr>
            <w:tcW w:type="dxa" w:w="4276"/>
            <w:vAlign w:val="top"/>
          </w:tcPr>
          <w:p>
            <w:pPr>
              <w:spacing w:after="60" w:line="259" w:lineRule="auto"/>
            </w:pPr>
            <w:r>
              <w:rPr>
                <w:rFonts w:ascii="Calibri" w:hAnsi="Calibri"/>
                <w:b w:val="0"/>
                <w:i w:val="0"/>
                <w:color w:val="212121"/>
                <w:sz w:val="19"/>
              </w:rPr>
              <w:t>Chronically damaged joints, disease-modifying, corticosteroid and biologic (anti-TNF) therapy, and a blunted inflammatory response make rheumatoid arthritis the classic predisposing condition, with a higher chance of polyarticular and culture-negative disease.</w:t>
            </w:r>
          </w:p>
          <w:p>
            <w:pPr>
              <w:spacing w:after="40" w:before="60" w:line="259" w:lineRule="auto"/>
            </w:pPr>
            <w:r>
              <w:rPr>
                <w:rFonts w:ascii="Calibri" w:hAnsi="Calibri"/>
                <w:b w:val="0"/>
                <w:i w:val="0"/>
                <w:color w:val="212121"/>
                <w:sz w:val="19"/>
              </w:rPr>
              <w:t>About 20% of septic-arthritis cases are oligoarticular, especially with severe sepsis, immune compromise or rheumatoid arthritis.</w:t>
            </w:r>
          </w:p>
          <w:p>
            <w:pPr>
              <w:spacing w:after="40" w:line="252" w:lineRule="auto"/>
            </w:pPr>
            <w:hyperlink r:id="rId10">
              <w:r>
                <w:rPr>
                  <w:rFonts w:ascii="Calibri" w:hAnsi="Calibri" w:cs="Calibri"/>
                  <w:sz w:val="18"/>
                  <w:color w:val="1155CC"/>
                  <w:u w:val="single"/>
                </w:rPr>
                <w:t xml:space="preserve">ncbi.nlm.nih.gov - StatPearls, Septic Arthritis</w:t>
              </w:r>
            </w:hyperlink>
          </w:p>
          <w:p>
            <w:pPr>
              <w:spacing w:before="60" w:after="40"/>
            </w:pPr>
            <w:r>
              <w:rPr>
                <w:rFonts w:ascii="Calibri" w:hAnsi="Calibri"/>
                <w:b w:val="0"/>
                <w:i w:val="0"/>
                <w:color w:val="5A5A5A"/>
                <w:sz w:val="18"/>
              </w:rPr>
              <w:t>#rheumatoidarthritis  #biologics  #polyarticular  #immunosuppression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Adults with diabetes</w:t>
            </w:r>
          </w:p>
        </w:tc>
        <w:tc>
          <w:tcPr>
            <w:tcW w:type="dxa" w:w="4276"/>
            <w:vAlign w:val="top"/>
          </w:tcPr>
          <w:p>
            <w:pPr>
              <w:spacing w:after="60" w:line="259" w:lineRule="auto"/>
            </w:pPr>
            <w:r>
              <w:rPr>
                <w:rFonts w:ascii="Calibri" w:hAnsi="Calibri"/>
                <w:b w:val="0"/>
                <w:i w:val="0"/>
                <w:color w:val="212121"/>
                <w:sz w:val="19"/>
              </w:rPr>
              <w:t>Hyperglycaemia impairs neutrophil function and microvascular perfusion and causes foot ulcers and skin sepsis that seed joints, making diabetes the leading comorbidity in Indian septic-arthritis series.</w:t>
            </w:r>
          </w:p>
          <w:p>
            <w:pPr>
              <w:spacing w:after="40" w:before="60" w:line="259" w:lineRule="auto"/>
            </w:pPr>
            <w:r>
              <w:rPr>
                <w:rFonts w:ascii="Calibri" w:hAnsi="Calibri"/>
                <w:b w:val="0"/>
                <w:i w:val="0"/>
                <w:color w:val="212121"/>
                <w:sz w:val="19"/>
              </w:rPr>
              <w:t>Diabetes mellitus was the most common comorbidity among adults with septic arthritis in an Indian study.</w:t>
            </w:r>
          </w:p>
          <w:p>
            <w:pPr>
              <w:spacing w:after="40" w:line="252" w:lineRule="auto"/>
            </w:pPr>
            <w:hyperlink r:id="rId9">
              <w:r>
                <w:rPr>
                  <w:rFonts w:ascii="Calibri" w:hAnsi="Calibri" w:cs="Calibri"/>
                  <w:sz w:val="18"/>
                  <w:color w:val="1155CC"/>
                  <w:u w:val="single"/>
                </w:rPr>
                <w:t xml:space="preserve">pubmed.ncbi.nlm.nih.gov/31424007</w:t>
              </w:r>
            </w:hyperlink>
          </w:p>
          <w:p>
            <w:pPr>
              <w:spacing w:before="60" w:after="40"/>
            </w:pPr>
            <w:r>
              <w:rPr>
                <w:rFonts w:ascii="Calibri" w:hAnsi="Calibri"/>
                <w:b w:val="0"/>
                <w:i w:val="0"/>
                <w:color w:val="5A5A5A"/>
                <w:sz w:val="18"/>
              </w:rPr>
              <w:t>#diabetes  #neutrophildysfunction  #footulcer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Prosthetic joint / prior joint surgery</w:t>
            </w:r>
          </w:p>
        </w:tc>
        <w:tc>
          <w:tcPr>
            <w:tcW w:type="dxa" w:w="2160"/>
            <w:vAlign w:val="top"/>
          </w:tcPr>
          <w:p>
            <w:pPr>
              <w:spacing w:after="40" w:before="0" w:line="259" w:lineRule="auto"/>
            </w:pPr>
            <w:r>
              <w:rPr>
                <w:rFonts w:ascii="Calibri" w:hAnsi="Calibri"/>
                <w:b w:val="0"/>
                <w:i w:val="0"/>
                <w:color w:val="212121"/>
                <w:sz w:val="19"/>
              </w:rPr>
              <w:t>Joint-replacement recipients</w:t>
            </w:r>
          </w:p>
        </w:tc>
        <w:tc>
          <w:tcPr>
            <w:tcW w:type="dxa" w:w="4276"/>
            <w:vAlign w:val="top"/>
          </w:tcPr>
          <w:p>
            <w:pPr>
              <w:spacing w:after="60" w:line="259" w:lineRule="auto"/>
            </w:pPr>
            <w:r>
              <w:rPr>
                <w:rFonts w:ascii="Calibri" w:hAnsi="Calibri"/>
                <w:b w:val="0"/>
                <w:i w:val="0"/>
                <w:color w:val="212121"/>
                <w:sz w:val="19"/>
              </w:rPr>
              <w:t>Prosthetic material supports biofilm formation, so infection may present early after surgery or late by haematogenous seeding, and typically needs combined surgical and prolonged antimicrobial treatment.</w:t>
            </w:r>
          </w:p>
          <w:p>
            <w:pPr>
              <w:spacing w:after="40" w:before="60" w:line="259" w:lineRule="auto"/>
            </w:pPr>
            <w:r>
              <w:rPr>
                <w:rFonts w:ascii="Calibri" w:hAnsi="Calibri"/>
                <w:b w:val="0"/>
                <w:i w:val="0"/>
                <w:color w:val="212121"/>
                <w:sz w:val="19"/>
              </w:rPr>
              <w:t>Joint prosthesis and recent joint surgery are established risk factors for septic arthritis.</w:t>
            </w:r>
          </w:p>
          <w:p>
            <w:pPr>
              <w:spacing w:after="40" w:line="252" w:lineRule="auto"/>
            </w:pPr>
            <w:hyperlink r:id="rId10">
              <w:r>
                <w:rPr>
                  <w:rFonts w:ascii="Calibri" w:hAnsi="Calibri" w:cs="Calibri"/>
                  <w:sz w:val="18"/>
                  <w:color w:val="1155CC"/>
                  <w:u w:val="single"/>
                </w:rPr>
                <w:t xml:space="preserve">ncbi.nlm.nih.gov - StatPearls, Septic Arthritis</w:t>
              </w:r>
            </w:hyperlink>
          </w:p>
          <w:p>
            <w:pPr>
              <w:spacing w:before="60" w:after="40"/>
            </w:pPr>
            <w:r>
              <w:rPr>
                <w:rFonts w:ascii="Calibri" w:hAnsi="Calibri"/>
                <w:b w:val="0"/>
                <w:i w:val="0"/>
                <w:color w:val="5A5A5A"/>
                <w:sz w:val="18"/>
              </w:rPr>
              <w:t>#prostheticjoint  #biofilm  #PJI  #revisionsurgery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 immunosuppression</w:t>
            </w:r>
          </w:p>
        </w:tc>
        <w:tc>
          <w:tcPr>
            <w:tcW w:type="dxa" w:w="2160"/>
            <w:vAlign w:val="top"/>
          </w:tcPr>
          <w:p>
            <w:pPr>
              <w:spacing w:after="40" w:before="0" w:line="259" w:lineRule="auto"/>
            </w:pPr>
            <w:r>
              <w:rPr>
                <w:rFonts w:ascii="Calibri" w:hAnsi="Calibri"/>
                <w:b w:val="0"/>
                <w:i w:val="0"/>
                <w:color w:val="212121"/>
                <w:sz w:val="19"/>
              </w:rPr>
              <w:t>Immunocompromised adults</w:t>
            </w:r>
          </w:p>
        </w:tc>
        <w:tc>
          <w:tcPr>
            <w:tcW w:type="dxa" w:w="4276"/>
            <w:vAlign w:val="top"/>
          </w:tcPr>
          <w:p>
            <w:pPr>
              <w:spacing w:after="60" w:line="259" w:lineRule="auto"/>
            </w:pPr>
            <w:r>
              <w:rPr>
                <w:rFonts w:ascii="Calibri" w:hAnsi="Calibri"/>
                <w:b w:val="0"/>
                <w:i w:val="0"/>
                <w:color w:val="212121"/>
                <w:sz w:val="19"/>
              </w:rPr>
              <w:t>HIV, malignancy, chemotherapy and immunosuppressant therapy reduce microbial clearance, raising the risk of septic arthritis and of unusual or opportunistic organisms.</w:t>
            </w:r>
          </w:p>
          <w:p>
            <w:pPr>
              <w:spacing w:after="40" w:before="60" w:line="259" w:lineRule="auto"/>
            </w:pPr>
            <w:r>
              <w:rPr>
                <w:rFonts w:ascii="Calibri" w:hAnsi="Calibri"/>
                <w:b w:val="0"/>
                <w:i w:val="0"/>
                <w:color w:val="212121"/>
                <w:sz w:val="19"/>
              </w:rPr>
              <w:t>HIV infection is listed among the adult risk factors for septic arthritis.</w:t>
            </w:r>
          </w:p>
          <w:p>
            <w:pPr>
              <w:spacing w:after="40" w:line="252" w:lineRule="auto"/>
            </w:pPr>
            <w:hyperlink r:id="rId10">
              <w:r>
                <w:rPr>
                  <w:rFonts w:ascii="Calibri" w:hAnsi="Calibri" w:cs="Calibri"/>
                  <w:sz w:val="18"/>
                  <w:color w:val="1155CC"/>
                  <w:u w:val="single"/>
                </w:rPr>
                <w:t xml:space="preserve">ncbi.nlm.nih.gov - StatPearls, Septic Arthritis</w:t>
              </w:r>
            </w:hyperlink>
          </w:p>
          <w:p>
            <w:pPr>
              <w:spacing w:before="60" w:after="40"/>
            </w:pPr>
            <w:r>
              <w:rPr>
                <w:rFonts w:ascii="Calibri" w:hAnsi="Calibri"/>
                <w:b w:val="0"/>
                <w:i w:val="0"/>
                <w:color w:val="5A5A5A"/>
                <w:sz w:val="18"/>
              </w:rPr>
              <w:t>#HIV  #immunocompromise  #opportunistic  #atypicalorganisms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Activity itself neither causes nor prevents joint infection, but prolonged immobility after infection promotes stiffness and ankylosis, and early guided rehabilitation improves recovery of joint function.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Poorly controlled diabetes and protein-energy malnutrition impair neutrophil function and wound healing and raise infection risk; good glycaemic control and adequate nutrition support host defence, relevant given diabetes is the leading comorbidity in Indian series.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sleep deprivation modestly impairs immune function; there is no direct causal link to septic arthritis, though rest supports recovery.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impairs immunity, microvascular perfusion and wound healing, increasing surgical-site and prosthetic-joint infection risk after joint surgery.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heavy alcohol use impairs immune defence and is associated with liver disease and a higher risk of bacteraemia and joint infection.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Mainly an indirect influence, through injection-drug use, self-neglect and poor diabetes control; disabling residual joint damage in turn causes anxiety and depression.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direct role, but clean water and sanitation reduce the skin and systemic infections that can seed joints haematogenously.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Skin and wound hygiene, prompt treatment of cellulitis and ulcers, and strict aseptic technique for injections, aspiration and surgery directly reduce inoculation and seeding of joints.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Intra-articular injection, joint surgery, penetrating trauma, bacteraemia from a distant infection, and immunosuppressant or biologic therapy can precipitate joint infection.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Aseptic technique for injection/aspiration/surgery</w:t>
            </w:r>
          </w:p>
        </w:tc>
        <w:tc>
          <w:tcPr>
            <w:tcW w:type="dxa" w:w="1655"/>
            <w:vAlign w:val="top"/>
          </w:tcPr>
          <w:p>
            <w:pPr>
              <w:spacing w:after="40" w:before="0" w:line="259" w:lineRule="auto"/>
            </w:pPr>
            <w:r>
              <w:rPr>
                <w:rFonts w:ascii="Calibri" w:hAnsi="Calibri"/>
                <w:b w:val="0"/>
                <w:i w:val="0"/>
                <w:color w:val="212121"/>
                <w:sz w:val="19"/>
              </w:rPr>
              <w:t>Any joint procedure</w:t>
            </w:r>
          </w:p>
        </w:tc>
        <w:tc>
          <w:tcPr>
            <w:tcW w:type="dxa" w:w="1512"/>
            <w:vAlign w:val="top"/>
          </w:tcPr>
          <w:p>
            <w:pPr>
              <w:spacing w:after="40" w:before="0" w:line="259" w:lineRule="auto"/>
            </w:pPr>
            <w:r>
              <w:rPr>
                <w:rFonts w:ascii="Calibri" w:hAnsi="Calibri"/>
                <w:b w:val="0"/>
                <w:i w:val="0"/>
                <w:color w:val="212121"/>
                <w:sz w:val="19"/>
              </w:rPr>
              <w:t>Strict sterile technique</w:t>
            </w:r>
          </w:p>
        </w:tc>
        <w:tc>
          <w:tcPr>
            <w:tcW w:type="dxa" w:w="1512"/>
            <w:vAlign w:val="top"/>
          </w:tcPr>
          <w:p>
            <w:pPr>
              <w:spacing w:after="40" w:before="0" w:line="259" w:lineRule="auto"/>
            </w:pPr>
            <w:r>
              <w:rPr>
                <w:rFonts w:ascii="Calibri" w:hAnsi="Calibri"/>
                <w:b w:val="0"/>
                <w:i w:val="0"/>
                <w:color w:val="212121"/>
                <w:sz w:val="19"/>
              </w:rPr>
              <w:t>Non-sterile intra-articular injection or wound</w:t>
            </w:r>
          </w:p>
        </w:tc>
        <w:tc>
          <w:tcPr>
            <w:tcW w:type="dxa" w:w="1468"/>
            <w:vAlign w:val="top"/>
          </w:tcPr>
          <w:p>
            <w:pPr>
              <w:spacing w:after="60" w:line="259" w:lineRule="auto"/>
            </w:pPr>
            <w:r>
              <w:rPr>
                <w:rFonts w:ascii="Calibri" w:hAnsi="Calibri"/>
                <w:b w:val="0"/>
                <w:i w:val="0"/>
                <w:color w:val="212121"/>
                <w:sz w:val="19"/>
              </w:rPr>
              <w:t>Prior intra-articular injection and skin sepsis are portals of entry</w:t>
            </w:r>
          </w:p>
          <w:p>
            <w:pPr>
              <w:spacing w:after="40" w:line="252" w:lineRule="auto"/>
            </w:pPr>
            <w:hyperlink r:id="rId10">
              <w:r>
                <w:rPr>
                  <w:rFonts w:ascii="Calibri" w:hAnsi="Calibri" w:cs="Calibri"/>
                  <w:sz w:val="18"/>
                  <w:color w:val="1155CC"/>
                  <w:u w:val="single"/>
                </w:rPr>
                <w:t xml:space="preserve">https://www.ncbi.nlm.nih.gov/books/NBK538176/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Skin and wound integrity</w:t>
            </w:r>
          </w:p>
        </w:tc>
        <w:tc>
          <w:tcPr>
            <w:tcW w:type="dxa" w:w="1655"/>
            <w:vAlign w:val="top"/>
          </w:tcPr>
          <w:p>
            <w:pPr>
              <w:spacing w:after="40" w:before="0" w:line="259" w:lineRule="auto"/>
            </w:pPr>
            <w:r>
              <w:rPr>
                <w:rFonts w:ascii="Calibri" w:hAnsi="Calibri"/>
                <w:b w:val="0"/>
                <w:i w:val="0"/>
                <w:color w:val="212121"/>
                <w:sz w:val="19"/>
              </w:rPr>
              <w:t>Diabetics, elderly, ulcer patients</w:t>
            </w:r>
          </w:p>
        </w:tc>
        <w:tc>
          <w:tcPr>
            <w:tcW w:type="dxa" w:w="1512"/>
            <w:vAlign w:val="top"/>
          </w:tcPr>
          <w:p>
            <w:pPr>
              <w:spacing w:after="40" w:before="0" w:line="259" w:lineRule="auto"/>
            </w:pPr>
            <w:r>
              <w:rPr>
                <w:rFonts w:ascii="Calibri" w:hAnsi="Calibri"/>
                <w:b w:val="0"/>
                <w:i w:val="0"/>
                <w:color w:val="212121"/>
                <w:sz w:val="19"/>
              </w:rPr>
              <w:t>Intact skin, no ulcers</w:t>
            </w:r>
          </w:p>
        </w:tc>
        <w:tc>
          <w:tcPr>
            <w:tcW w:type="dxa" w:w="1512"/>
            <w:vAlign w:val="top"/>
          </w:tcPr>
          <w:p>
            <w:pPr>
              <w:spacing w:after="40" w:before="0" w:line="259" w:lineRule="auto"/>
            </w:pPr>
            <w:r>
              <w:rPr>
                <w:rFonts w:ascii="Calibri" w:hAnsi="Calibri"/>
                <w:b w:val="0"/>
                <w:i w:val="0"/>
                <w:color w:val="212121"/>
                <w:sz w:val="19"/>
              </w:rPr>
              <w:t>Open wounds, cellulitis or foot ulcers</w:t>
            </w:r>
          </w:p>
        </w:tc>
        <w:tc>
          <w:tcPr>
            <w:tcW w:type="dxa" w:w="1468"/>
            <w:vAlign w:val="top"/>
          </w:tcPr>
          <w:p>
            <w:pPr>
              <w:spacing w:after="40" w:before="0" w:line="259" w:lineRule="auto"/>
            </w:pPr>
            <w:r>
              <w:rPr>
                <w:rFonts w:ascii="Calibri" w:hAnsi="Calibri"/>
                <w:b w:val="0"/>
                <w:i w:val="0"/>
                <w:color w:val="212121"/>
                <w:sz w:val="19"/>
              </w:rPr>
              <w:t>Cutaneous ulcers and skin infection are common sources of seeding</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Glycaemic control (HbA1c)</w:t>
            </w:r>
          </w:p>
        </w:tc>
        <w:tc>
          <w:tcPr>
            <w:tcW w:type="dxa" w:w="1655"/>
            <w:vAlign w:val="top"/>
          </w:tcPr>
          <w:p>
            <w:pPr>
              <w:spacing w:after="40" w:before="0" w:line="259" w:lineRule="auto"/>
            </w:pPr>
            <w:r>
              <w:rPr>
                <w:rFonts w:ascii="Calibri" w:hAnsi="Calibri"/>
                <w:b w:val="0"/>
                <w:i w:val="0"/>
                <w:color w:val="212121"/>
                <w:sz w:val="19"/>
              </w:rPr>
              <w:t>Diabetic adults</w:t>
            </w:r>
          </w:p>
        </w:tc>
        <w:tc>
          <w:tcPr>
            <w:tcW w:type="dxa" w:w="1512"/>
            <w:vAlign w:val="top"/>
          </w:tcPr>
          <w:p>
            <w:pPr>
              <w:spacing w:after="40" w:before="0" w:line="259" w:lineRule="auto"/>
            </w:pPr>
            <w:r>
              <w:rPr>
                <w:rFonts w:ascii="Calibri" w:hAnsi="Calibri"/>
                <w:b w:val="0"/>
                <w:i w:val="0"/>
                <w:color w:val="212121"/>
                <w:sz w:val="19"/>
              </w:rPr>
              <w:t>&lt; 7%</w:t>
            </w:r>
          </w:p>
        </w:tc>
        <w:tc>
          <w:tcPr>
            <w:tcW w:type="dxa" w:w="1512"/>
            <w:vAlign w:val="top"/>
          </w:tcPr>
          <w:p>
            <w:pPr>
              <w:spacing w:after="40" w:before="0" w:line="259" w:lineRule="auto"/>
            </w:pPr>
            <w:r>
              <w:rPr>
                <w:rFonts w:ascii="Calibri" w:hAnsi="Calibri"/>
                <w:b w:val="0"/>
                <w:i w:val="0"/>
                <w:color w:val="212121"/>
                <w:sz w:val="19"/>
              </w:rPr>
              <w:t>&gt; 8%</w:t>
            </w:r>
          </w:p>
        </w:tc>
        <w:tc>
          <w:tcPr>
            <w:tcW w:type="dxa" w:w="1468"/>
            <w:vAlign w:val="top"/>
          </w:tcPr>
          <w:p>
            <w:pPr>
              <w:spacing w:after="60" w:line="259" w:lineRule="auto"/>
            </w:pPr>
            <w:r>
              <w:rPr>
                <w:rFonts w:ascii="Calibri" w:hAnsi="Calibri"/>
                <w:b w:val="0"/>
                <w:i w:val="0"/>
                <w:color w:val="212121"/>
                <w:sz w:val="19"/>
              </w:rPr>
              <w:t>Poor control impairs neutrophil function; diabetes is the top comorbidity</w:t>
            </w:r>
          </w:p>
          <w:p>
            <w:pPr>
              <w:spacing w:after="40" w:line="252" w:lineRule="auto"/>
            </w:pPr>
            <w:hyperlink r:id="rId9">
              <w:r>
                <w:rPr>
                  <w:rFonts w:ascii="Calibri" w:hAnsi="Calibri" w:cs="Calibri"/>
                  <w:sz w:val="18"/>
                  <w:color w:val="1155CC"/>
                  <w:u w:val="single"/>
                </w:rPr>
                <w:t xml:space="preserve">https://pubmed.ncbi.nlm.nih.gov/31424007/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albumin (nutrition)</w:t>
            </w:r>
          </w:p>
        </w:tc>
        <w:tc>
          <w:tcPr>
            <w:tcW w:type="dxa" w:w="1655"/>
            <w:vAlign w:val="top"/>
          </w:tcPr>
          <w:p>
            <w:pPr>
              <w:spacing w:after="40" w:before="0" w:line="259" w:lineRule="auto"/>
            </w:pPr>
            <w:r>
              <w:rPr>
                <w:rFonts w:ascii="Calibri" w:hAnsi="Calibri"/>
                <w:b w:val="0"/>
                <w:i w:val="0"/>
                <w:color w:val="212121"/>
                <w:sz w:val="19"/>
              </w:rPr>
              <w:t>Elderly, malnourished, surgical patients</w:t>
            </w:r>
          </w:p>
        </w:tc>
        <w:tc>
          <w:tcPr>
            <w:tcW w:type="dxa" w:w="1512"/>
            <w:vAlign w:val="top"/>
          </w:tcPr>
          <w:p>
            <w:pPr>
              <w:spacing w:after="40" w:before="0" w:line="259" w:lineRule="auto"/>
            </w:pPr>
            <w:r>
              <w:rPr>
                <w:rFonts w:ascii="Calibri" w:hAnsi="Calibri"/>
                <w:b w:val="0"/>
                <w:i w:val="0"/>
                <w:color w:val="212121"/>
                <w:sz w:val="19"/>
              </w:rPr>
              <w:t>&gt;= 3.5 g/dL</w:t>
            </w:r>
          </w:p>
        </w:tc>
        <w:tc>
          <w:tcPr>
            <w:tcW w:type="dxa" w:w="1512"/>
            <w:vAlign w:val="top"/>
          </w:tcPr>
          <w:p>
            <w:pPr>
              <w:spacing w:after="40" w:before="0" w:line="259" w:lineRule="auto"/>
            </w:pPr>
            <w:r>
              <w:rPr>
                <w:rFonts w:ascii="Calibri" w:hAnsi="Calibri"/>
                <w:b w:val="0"/>
                <w:i w:val="0"/>
                <w:color w:val="212121"/>
                <w:sz w:val="19"/>
              </w:rPr>
              <w:t>&lt; 3.0 g/dL</w:t>
            </w:r>
          </w:p>
        </w:tc>
        <w:tc>
          <w:tcPr>
            <w:tcW w:type="dxa" w:w="1468"/>
            <w:vAlign w:val="top"/>
          </w:tcPr>
          <w:p>
            <w:pPr>
              <w:spacing w:after="40" w:before="0" w:line="259" w:lineRule="auto"/>
            </w:pPr>
            <w:r>
              <w:rPr>
                <w:rFonts w:ascii="Calibri" w:hAnsi="Calibri"/>
                <w:b w:val="0"/>
                <w:i w:val="0"/>
                <w:color w:val="212121"/>
                <w:sz w:val="19"/>
              </w:rPr>
              <w:t>Hypoalbuminaemia signals malnutrition and worse healing</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C-reactive protein (monitoring)</w:t>
            </w:r>
          </w:p>
        </w:tc>
        <w:tc>
          <w:tcPr>
            <w:tcW w:type="dxa" w:w="1655"/>
            <w:vAlign w:val="top"/>
          </w:tcPr>
          <w:p>
            <w:pPr>
              <w:spacing w:after="40" w:before="0" w:line="259" w:lineRule="auto"/>
            </w:pPr>
            <w:r>
              <w:rPr>
                <w:rFonts w:ascii="Calibri" w:hAnsi="Calibri"/>
                <w:b w:val="0"/>
                <w:i w:val="0"/>
                <w:color w:val="212121"/>
                <w:sz w:val="19"/>
              </w:rPr>
              <w:t>Patients with suspected joint infection</w:t>
            </w:r>
          </w:p>
        </w:tc>
        <w:tc>
          <w:tcPr>
            <w:tcW w:type="dxa" w:w="1512"/>
            <w:vAlign w:val="top"/>
          </w:tcPr>
          <w:p>
            <w:pPr>
              <w:spacing w:after="40" w:before="0" w:line="259" w:lineRule="auto"/>
            </w:pPr>
            <w:r>
              <w:rPr>
                <w:rFonts w:ascii="Calibri" w:hAnsi="Calibri"/>
                <w:b w:val="0"/>
                <w:i w:val="0"/>
                <w:color w:val="212121"/>
                <w:sz w:val="19"/>
              </w:rPr>
              <w:t>&lt; 10 mg/L</w:t>
            </w:r>
          </w:p>
        </w:tc>
        <w:tc>
          <w:tcPr>
            <w:tcW w:type="dxa" w:w="1512"/>
            <w:vAlign w:val="top"/>
          </w:tcPr>
          <w:p>
            <w:pPr>
              <w:spacing w:after="40" w:before="0" w:line="259" w:lineRule="auto"/>
            </w:pPr>
            <w:r>
              <w:rPr>
                <w:rFonts w:ascii="Calibri" w:hAnsi="Calibri"/>
                <w:b w:val="0"/>
                <w:i w:val="0"/>
                <w:color w:val="212121"/>
                <w:sz w:val="19"/>
              </w:rPr>
              <w:t>Markedly raised (often &gt; 75 mg/L)</w:t>
            </w:r>
          </w:p>
        </w:tc>
        <w:tc>
          <w:tcPr>
            <w:tcW w:type="dxa" w:w="1468"/>
            <w:vAlign w:val="top"/>
          </w:tcPr>
          <w:p>
            <w:pPr>
              <w:spacing w:after="60" w:line="259" w:lineRule="auto"/>
            </w:pPr>
            <w:r>
              <w:rPr>
                <w:rFonts w:ascii="Calibri" w:hAnsi="Calibri"/>
                <w:b w:val="0"/>
                <w:i w:val="0"/>
                <w:color w:val="212121"/>
                <w:sz w:val="19"/>
              </w:rPr>
              <w:t>Nonspecific but tracks response; high in Indian series</w:t>
            </w:r>
          </w:p>
          <w:p>
            <w:pPr>
              <w:spacing w:after="40" w:line="252" w:lineRule="auto"/>
            </w:pPr>
            <w:hyperlink r:id="rId9">
              <w:r>
                <w:rPr>
                  <w:rFonts w:ascii="Calibri" w:hAnsi="Calibri" w:cs="Calibri"/>
                  <w:sz w:val="18"/>
                  <w:color w:val="1155CC"/>
                  <w:u w:val="single"/>
                </w:rPr>
                <w:t xml:space="preserve">https://pubmed.ncbi.nlm.nih.gov/31424007/</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Synovial fluid WBC count</w:t>
            </w:r>
          </w:p>
        </w:tc>
        <w:tc>
          <w:tcPr>
            <w:tcW w:type="dxa" w:w="1655"/>
            <w:vAlign w:val="top"/>
          </w:tcPr>
          <w:p>
            <w:pPr>
              <w:spacing w:after="40" w:before="0" w:line="259" w:lineRule="auto"/>
            </w:pPr>
            <w:r>
              <w:rPr>
                <w:rFonts w:ascii="Calibri" w:hAnsi="Calibri"/>
                <w:b w:val="0"/>
                <w:i w:val="0"/>
                <w:color w:val="212121"/>
                <w:sz w:val="19"/>
              </w:rPr>
              <w:t>Aspirated hot joint</w:t>
            </w:r>
          </w:p>
        </w:tc>
        <w:tc>
          <w:tcPr>
            <w:tcW w:type="dxa" w:w="1512"/>
            <w:vAlign w:val="top"/>
          </w:tcPr>
          <w:p>
            <w:pPr>
              <w:spacing w:after="40" w:before="0" w:line="259" w:lineRule="auto"/>
            </w:pPr>
            <w:r>
              <w:rPr>
                <w:rFonts w:ascii="Calibri" w:hAnsi="Calibri"/>
                <w:b w:val="0"/>
                <w:i w:val="0"/>
                <w:color w:val="212121"/>
                <w:sz w:val="19"/>
              </w:rPr>
              <w:t>&lt; 200 cells/mm3 (normal)</w:t>
            </w:r>
          </w:p>
        </w:tc>
        <w:tc>
          <w:tcPr>
            <w:tcW w:type="dxa" w:w="1512"/>
            <w:vAlign w:val="top"/>
          </w:tcPr>
          <w:p>
            <w:pPr>
              <w:spacing w:after="40" w:before="0" w:line="259" w:lineRule="auto"/>
            </w:pPr>
            <w:r>
              <w:rPr>
                <w:rFonts w:ascii="Calibri" w:hAnsi="Calibri"/>
                <w:b w:val="0"/>
                <w:i w:val="0"/>
                <w:color w:val="212121"/>
                <w:sz w:val="19"/>
              </w:rPr>
              <w:t>&gt; 50,000 cells/mm3 with &gt; 90% neutrophils</w:t>
            </w:r>
          </w:p>
        </w:tc>
        <w:tc>
          <w:tcPr>
            <w:tcW w:type="dxa" w:w="1468"/>
            <w:vAlign w:val="top"/>
          </w:tcPr>
          <w:p>
            <w:pPr>
              <w:spacing w:after="60" w:line="259" w:lineRule="auto"/>
            </w:pPr>
            <w:r>
              <w:rPr>
                <w:rFonts w:ascii="Calibri" w:hAnsi="Calibri"/>
                <w:b w:val="0"/>
                <w:i w:val="0"/>
                <w:color w:val="212121"/>
                <w:sz w:val="19"/>
              </w:rPr>
              <w:t>Strongly suggests bacterial infection; lower counts do not exclude it</w:t>
            </w:r>
          </w:p>
          <w:p>
            <w:pPr>
              <w:spacing w:after="40" w:line="252" w:lineRule="auto"/>
            </w:pPr>
            <w:hyperlink r:id="rId10">
              <w:r>
                <w:rPr>
                  <w:rFonts w:ascii="Calibri" w:hAnsi="Calibri" w:cs="Calibri"/>
                  <w:sz w:val="18"/>
                  <w:color w:val="1155CC"/>
                  <w:u w:val="single"/>
                </w:rPr>
                <w:t xml:space="preserve">https://www.ncbi.nlm.nih.gov/books/NBK538176/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Immunosuppression (steroid / biologic use)</w:t>
            </w:r>
          </w:p>
        </w:tc>
        <w:tc>
          <w:tcPr>
            <w:tcW w:type="dxa" w:w="1655"/>
            <w:vAlign w:val="top"/>
          </w:tcPr>
          <w:p>
            <w:pPr>
              <w:spacing w:after="40" w:before="0" w:line="259" w:lineRule="auto"/>
            </w:pPr>
            <w:r>
              <w:rPr>
                <w:rFonts w:ascii="Calibri" w:hAnsi="Calibri"/>
                <w:b w:val="0"/>
                <w:i w:val="0"/>
                <w:color w:val="212121"/>
                <w:sz w:val="19"/>
              </w:rPr>
              <w:t>RA, transplant, autoimmune patients</w:t>
            </w:r>
          </w:p>
        </w:tc>
        <w:tc>
          <w:tcPr>
            <w:tcW w:type="dxa" w:w="1512"/>
            <w:vAlign w:val="top"/>
          </w:tcPr>
          <w:p>
            <w:pPr>
              <w:spacing w:after="40" w:before="0" w:line="259" w:lineRule="auto"/>
            </w:pPr>
            <w:r>
              <w:rPr>
                <w:rFonts w:ascii="Calibri" w:hAnsi="Calibri"/>
                <w:b w:val="0"/>
                <w:i w:val="0"/>
                <w:color w:val="212121"/>
                <w:sz w:val="19"/>
              </w:rPr>
              <w:t>None or lowest effective dose</w:t>
            </w:r>
          </w:p>
        </w:tc>
        <w:tc>
          <w:tcPr>
            <w:tcW w:type="dxa" w:w="1512"/>
            <w:vAlign w:val="top"/>
          </w:tcPr>
          <w:p>
            <w:pPr>
              <w:spacing w:after="40" w:before="0" w:line="259" w:lineRule="auto"/>
            </w:pPr>
            <w:r>
              <w:rPr>
                <w:rFonts w:ascii="Calibri" w:hAnsi="Calibri"/>
                <w:b w:val="0"/>
                <w:i w:val="0"/>
                <w:color w:val="212121"/>
                <w:sz w:val="19"/>
              </w:rPr>
              <w:t>Corticosteroids or anti-TNF / biologic therapy</w:t>
            </w:r>
          </w:p>
        </w:tc>
        <w:tc>
          <w:tcPr>
            <w:tcW w:type="dxa" w:w="1468"/>
            <w:vAlign w:val="top"/>
          </w:tcPr>
          <w:p>
            <w:pPr>
              <w:spacing w:after="40" w:before="0" w:line="259" w:lineRule="auto"/>
            </w:pPr>
            <w:r>
              <w:rPr>
                <w:rFonts w:ascii="Calibri" w:hAnsi="Calibri"/>
                <w:b w:val="0"/>
                <w:i w:val="0"/>
                <w:color w:val="212121"/>
                <w:sz w:val="19"/>
              </w:rPr>
              <w:t>Raises risk and can mask cardinal inflammatory signs</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18.5-24.9 kg/m2</w:t>
            </w:r>
          </w:p>
        </w:tc>
        <w:tc>
          <w:tcPr>
            <w:tcW w:type="dxa" w:w="1512"/>
            <w:vAlign w:val="top"/>
          </w:tcPr>
          <w:p>
            <w:pPr>
              <w:spacing w:after="40" w:before="0" w:line="259" w:lineRule="auto"/>
            </w:pPr>
            <w:r>
              <w:rPr>
                <w:rFonts w:ascii="Calibri" w:hAnsi="Calibri"/>
                <w:b w:val="0"/>
                <w:i w:val="0"/>
                <w:color w:val="212121"/>
                <w:sz w:val="19"/>
              </w:rPr>
              <w:t>&lt; 18.5 (malnutrition) or &gt;= 30 (obesity, PJI risk)</w:t>
            </w:r>
          </w:p>
        </w:tc>
        <w:tc>
          <w:tcPr>
            <w:tcW w:type="dxa" w:w="1468"/>
            <w:vAlign w:val="top"/>
          </w:tcPr>
          <w:p>
            <w:pPr>
              <w:spacing w:after="40" w:before="0" w:line="259" w:lineRule="auto"/>
            </w:pPr>
            <w:r>
              <w:rPr>
                <w:rFonts w:ascii="Calibri" w:hAnsi="Calibri"/>
                <w:b w:val="0"/>
                <w:i w:val="0"/>
                <w:color w:val="212121"/>
                <w:sz w:val="19"/>
              </w:rPr>
              <w:t>Both extremes affect infection and surgical risk</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surgical candidates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40" w:before="0" w:line="259" w:lineRule="auto"/>
            </w:pPr>
            <w:r>
              <w:rPr>
                <w:rFonts w:ascii="Calibri" w:hAnsi="Calibri"/>
                <w:b w:val="0"/>
                <w:i w:val="0"/>
                <w:color w:val="212121"/>
                <w:sz w:val="19"/>
              </w:rPr>
              <w:t>Impairs healing and raises prosthetic-joint infection risk</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7 (F) / &lt;= 14 (M) drinks/week</w:t>
            </w:r>
          </w:p>
        </w:tc>
        <w:tc>
          <w:tcPr>
            <w:tcW w:type="dxa" w:w="1512"/>
            <w:vAlign w:val="top"/>
          </w:tcPr>
          <w:p>
            <w:pPr>
              <w:spacing w:after="40" w:before="0" w:line="259" w:lineRule="auto"/>
            </w:pPr>
            <w:r>
              <w:rPr>
                <w:rFonts w:ascii="Calibri" w:hAnsi="Calibri"/>
                <w:b w:val="0"/>
                <w:i w:val="0"/>
                <w:color w:val="212121"/>
                <w:sz w:val="19"/>
              </w:rPr>
              <w:t>Heavy or binge drinking</w:t>
            </w:r>
          </w:p>
        </w:tc>
        <w:tc>
          <w:tcPr>
            <w:tcW w:type="dxa" w:w="1468"/>
            <w:vAlign w:val="top"/>
          </w:tcPr>
          <w:p>
            <w:pPr>
              <w:spacing w:after="40" w:before="0" w:line="259" w:lineRule="auto"/>
            </w:pPr>
            <w:r>
              <w:rPr>
                <w:rFonts w:ascii="Calibri" w:hAnsi="Calibri"/>
                <w:b w:val="0"/>
                <w:i w:val="0"/>
                <w:color w:val="212121"/>
                <w:sz w:val="19"/>
              </w:rPr>
              <w:t>Impairs immunity and predisposes to bacteraemia</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Synovial fluid Gram stain and culture</w:t>
            </w:r>
          </w:p>
        </w:tc>
        <w:tc>
          <w:tcPr>
            <w:tcW w:type="dxa" w:w="892"/>
            <w:vAlign w:val="top"/>
          </w:tcPr>
          <w:p>
            <w:pPr>
              <w:spacing w:after="40" w:before="0" w:line="259" w:lineRule="auto"/>
            </w:pPr>
            <w:r>
              <w:rPr>
                <w:rFonts w:ascii="Calibri" w:hAnsi="Calibri"/>
                <w:b w:val="0"/>
                <w:i w:val="0"/>
                <w:color w:val="212121"/>
                <w:sz w:val="16"/>
              </w:rPr>
              <w:t>Joint aspiration (arthrocentesis)</w:t>
            </w:r>
          </w:p>
        </w:tc>
        <w:tc>
          <w:tcPr>
            <w:tcW w:type="dxa" w:w="950"/>
            <w:vAlign w:val="top"/>
          </w:tcPr>
          <w:p>
            <w:pPr>
              <w:spacing w:after="40" w:before="0" w:line="259" w:lineRule="auto"/>
            </w:pPr>
            <w:r>
              <w:rPr>
                <w:rFonts w:ascii="Calibri" w:hAnsi="Calibri"/>
                <w:b w:val="0"/>
                <w:i w:val="0"/>
                <w:color w:val="212121"/>
                <w:sz w:val="16"/>
              </w:rPr>
              <w:t>Sterile, no organisms</w:t>
            </w:r>
          </w:p>
        </w:tc>
        <w:tc>
          <w:tcPr>
            <w:tcW w:type="dxa" w:w="950"/>
            <w:vAlign w:val="top"/>
          </w:tcPr>
          <w:p>
            <w:pPr>
              <w:spacing w:after="40" w:before="0" w:line="259" w:lineRule="auto"/>
            </w:pPr>
            <w:r>
              <w:rPr>
                <w:rFonts w:ascii="Calibri" w:hAnsi="Calibri"/>
                <w:b w:val="0"/>
                <w:i w:val="0"/>
                <w:color w:val="212121"/>
                <w:sz w:val="16"/>
              </w:rPr>
              <w:t>Organisms on Gram stain or positive culture</w:t>
            </w:r>
          </w:p>
        </w:tc>
        <w:tc>
          <w:tcPr>
            <w:tcW w:type="dxa" w:w="1036"/>
            <w:vAlign w:val="top"/>
          </w:tcPr>
          <w:p>
            <w:pPr>
              <w:spacing w:after="40" w:before="0" w:line="259" w:lineRule="auto"/>
            </w:pPr>
            <w:r>
              <w:rPr>
                <w:rFonts w:ascii="Calibri" w:hAnsi="Calibri"/>
                <w:b w:val="0"/>
                <w:i w:val="0"/>
                <w:color w:val="212121"/>
                <w:sz w:val="16"/>
              </w:rPr>
              <w:t>Confirms diagnosis and guides targeted antibiotics</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Aspirate before antibiotics; Gram stain about 50% sensitive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Synovial fluid analysis</w:t>
            </w:r>
          </w:p>
        </w:tc>
        <w:tc>
          <w:tcPr>
            <w:tcW w:type="dxa" w:w="1036"/>
            <w:vAlign w:val="top"/>
          </w:tcPr>
          <w:p>
            <w:pPr>
              <w:spacing w:after="40" w:before="0" w:line="259" w:lineRule="auto"/>
            </w:pPr>
            <w:r>
              <w:rPr>
                <w:rFonts w:ascii="Calibri" w:hAnsi="Calibri"/>
                <w:b w:val="0"/>
                <w:i w:val="0"/>
                <w:color w:val="212121"/>
                <w:sz w:val="16"/>
              </w:rPr>
              <w:t>Cell count and differential</w:t>
            </w:r>
          </w:p>
        </w:tc>
        <w:tc>
          <w:tcPr>
            <w:tcW w:type="dxa" w:w="892"/>
            <w:vAlign w:val="top"/>
          </w:tcPr>
          <w:p>
            <w:pPr>
              <w:spacing w:after="40" w:before="0" w:line="259" w:lineRule="auto"/>
            </w:pPr>
            <w:r>
              <w:rPr>
                <w:rFonts w:ascii="Calibri" w:hAnsi="Calibri"/>
                <w:b w:val="0"/>
                <w:i w:val="0"/>
                <w:color w:val="212121"/>
                <w:sz w:val="16"/>
              </w:rPr>
              <w:t>Joint aspiration</w:t>
            </w:r>
          </w:p>
        </w:tc>
        <w:tc>
          <w:tcPr>
            <w:tcW w:type="dxa" w:w="950"/>
            <w:vAlign w:val="top"/>
          </w:tcPr>
          <w:p>
            <w:pPr>
              <w:spacing w:after="40" w:before="0" w:line="259" w:lineRule="auto"/>
            </w:pPr>
            <w:r>
              <w:rPr>
                <w:rFonts w:ascii="Calibri" w:hAnsi="Calibri"/>
                <w:b w:val="0"/>
                <w:i w:val="0"/>
                <w:color w:val="212121"/>
                <w:sz w:val="16"/>
              </w:rPr>
              <w:t>&lt; 200 cells/mm3</w:t>
            </w:r>
          </w:p>
        </w:tc>
        <w:tc>
          <w:tcPr>
            <w:tcW w:type="dxa" w:w="950"/>
            <w:vAlign w:val="top"/>
          </w:tcPr>
          <w:p>
            <w:pPr>
              <w:spacing w:after="40" w:before="0" w:line="259" w:lineRule="auto"/>
            </w:pPr>
            <w:r>
              <w:rPr>
                <w:rFonts w:ascii="Calibri" w:hAnsi="Calibri"/>
                <w:b w:val="0"/>
                <w:i w:val="0"/>
                <w:color w:val="212121"/>
                <w:sz w:val="16"/>
              </w:rPr>
              <w:t>&gt; 50,000 cells/mm3 with &gt; 90% neutrophils</w:t>
            </w:r>
          </w:p>
        </w:tc>
        <w:tc>
          <w:tcPr>
            <w:tcW w:type="dxa" w:w="1036"/>
            <w:vAlign w:val="top"/>
          </w:tcPr>
          <w:p>
            <w:pPr>
              <w:spacing w:after="40" w:before="0" w:line="259" w:lineRule="auto"/>
            </w:pPr>
            <w:r>
              <w:rPr>
                <w:rFonts w:ascii="Calibri" w:hAnsi="Calibri"/>
                <w:b w:val="0"/>
                <w:i w:val="0"/>
                <w:color w:val="212121"/>
                <w:sz w:val="16"/>
              </w:rPr>
              <w:t>High neutrophilic count strongly suggests bacterial infection</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Coexisting crystals do not exclude 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C-reactive protein and ESR</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CRP &lt; 10 mg/L</w:t>
            </w:r>
          </w:p>
        </w:tc>
        <w:tc>
          <w:tcPr>
            <w:tcW w:type="dxa" w:w="950"/>
            <w:vAlign w:val="top"/>
          </w:tcPr>
          <w:p>
            <w:pPr>
              <w:spacing w:after="40" w:before="0" w:line="259" w:lineRule="auto"/>
            </w:pPr>
            <w:r>
              <w:rPr>
                <w:rFonts w:ascii="Calibri" w:hAnsi="Calibri"/>
                <w:b w:val="0"/>
                <w:i w:val="0"/>
                <w:color w:val="212121"/>
                <w:sz w:val="16"/>
              </w:rPr>
              <w:t>Markedly raised (CRP often &gt; 75 mg/L)</w:t>
            </w:r>
          </w:p>
        </w:tc>
        <w:tc>
          <w:tcPr>
            <w:tcW w:type="dxa" w:w="1036"/>
            <w:vAlign w:val="top"/>
          </w:tcPr>
          <w:p>
            <w:pPr>
              <w:spacing w:after="40" w:before="0" w:line="259" w:lineRule="auto"/>
            </w:pPr>
            <w:r>
              <w:rPr>
                <w:rFonts w:ascii="Calibri" w:hAnsi="Calibri"/>
                <w:b w:val="0"/>
                <w:i w:val="0"/>
                <w:color w:val="212121"/>
                <w:sz w:val="16"/>
              </w:rPr>
              <w:t>Supports infection and monitors treatment response</w:t>
            </w:r>
          </w:p>
        </w:tc>
        <w:tc>
          <w:tcPr>
            <w:tcW w:type="dxa" w:w="1036"/>
            <w:vAlign w:val="top"/>
          </w:tcPr>
          <w:p>
            <w:pPr>
              <w:spacing w:after="40" w:before="0" w:line="259" w:lineRule="auto"/>
            </w:pPr>
            <w:r>
              <w:rPr>
                <w:rFonts w:ascii="Calibri" w:hAnsi="Calibri"/>
                <w:b w:val="0"/>
                <w:i w:val="0"/>
                <w:color w:val="212121"/>
                <w:sz w:val="16"/>
              </w:rPr>
              <w:t>Adults and children with hot joint</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 / monitoring</w:t>
            </w:r>
          </w:p>
        </w:tc>
        <w:tc>
          <w:tcPr>
            <w:tcW w:type="dxa" w:w="720"/>
            <w:vAlign w:val="top"/>
          </w:tcPr>
          <w:p>
            <w:pPr>
              <w:spacing w:after="40" w:before="0" w:line="259" w:lineRule="auto"/>
            </w:pPr>
            <w:r>
              <w:rPr>
                <w:rFonts w:ascii="Calibri" w:hAnsi="Calibri"/>
                <w:b w:val="0"/>
                <w:i w:val="0"/>
                <w:color w:val="212121"/>
                <w:sz w:val="16"/>
              </w:rPr>
              <w:t>Nonspecific; also raised in inflammatory arthritis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Blood cultures</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Positive (often Staphylococcus aureus)</w:t>
            </w:r>
          </w:p>
        </w:tc>
        <w:tc>
          <w:tcPr>
            <w:tcW w:type="dxa" w:w="1036"/>
            <w:vAlign w:val="top"/>
          </w:tcPr>
          <w:p>
            <w:pPr>
              <w:spacing w:after="40" w:before="0" w:line="259" w:lineRule="auto"/>
            </w:pPr>
            <w:r>
              <w:rPr>
                <w:rFonts w:ascii="Calibri" w:hAnsi="Calibri"/>
                <w:b w:val="0"/>
                <w:i w:val="0"/>
                <w:color w:val="212121"/>
                <w:sz w:val="16"/>
              </w:rPr>
              <w:t>Identifies bacteraemia and haematogenous source</w:t>
            </w:r>
          </w:p>
        </w:tc>
        <w:tc>
          <w:tcPr>
            <w:tcW w:type="dxa" w:w="1036"/>
            <w:vAlign w:val="top"/>
          </w:tcPr>
          <w:p>
            <w:pPr>
              <w:spacing w:after="40" w:before="0" w:line="259" w:lineRule="auto"/>
            </w:pPr>
            <w:r>
              <w:rPr>
                <w:rFonts w:ascii="Calibri" w:hAnsi="Calibri"/>
                <w:b w:val="0"/>
                <w:i w:val="0"/>
                <w:color w:val="212121"/>
                <w:sz w:val="16"/>
              </w:rPr>
              <w:t>Febrile / septic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Draw before starting antibiotics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Hematology</w:t>
            </w:r>
          </w:p>
        </w:tc>
        <w:tc>
          <w:tcPr>
            <w:tcW w:type="dxa" w:w="1036"/>
            <w:vAlign w:val="top"/>
          </w:tcPr>
          <w:p>
            <w:pPr>
              <w:spacing w:after="40" w:before="0" w:line="259" w:lineRule="auto"/>
            </w:pPr>
            <w:r>
              <w:rPr>
                <w:rFonts w:ascii="Calibri" w:hAnsi="Calibri"/>
                <w:b w:val="0"/>
                <w:i w:val="0"/>
                <w:color w:val="212121"/>
                <w:sz w:val="16"/>
              </w:rPr>
              <w:t>Complete blood count (WBC)</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4,000-11,000 cells/mm3</w:t>
            </w:r>
          </w:p>
        </w:tc>
        <w:tc>
          <w:tcPr>
            <w:tcW w:type="dxa" w:w="950"/>
            <w:vAlign w:val="top"/>
          </w:tcPr>
          <w:p>
            <w:pPr>
              <w:spacing w:after="40" w:before="0" w:line="259" w:lineRule="auto"/>
            </w:pPr>
            <w:r>
              <w:rPr>
                <w:rFonts w:ascii="Calibri" w:hAnsi="Calibri"/>
                <w:b w:val="0"/>
                <w:i w:val="0"/>
                <w:color w:val="212121"/>
                <w:sz w:val="16"/>
              </w:rPr>
              <w:t>Leukocytosis (but may be near-normal)</w:t>
            </w:r>
          </w:p>
        </w:tc>
        <w:tc>
          <w:tcPr>
            <w:tcW w:type="dxa" w:w="1036"/>
            <w:vAlign w:val="top"/>
          </w:tcPr>
          <w:p>
            <w:pPr>
              <w:spacing w:after="40" w:before="0" w:line="259" w:lineRule="auto"/>
            </w:pPr>
            <w:r>
              <w:rPr>
                <w:rFonts w:ascii="Calibri" w:hAnsi="Calibri"/>
                <w:b w:val="0"/>
                <w:i w:val="0"/>
                <w:color w:val="212121"/>
                <w:sz w:val="16"/>
              </w:rPr>
              <w:t>Nonspecific; a normal count does not exclude infection</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Mean WBC was only about 13,561/mm3 in an Indian adult series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Ultrasound of the joint</w:t>
            </w:r>
          </w:p>
        </w:tc>
        <w:tc>
          <w:tcPr>
            <w:tcW w:type="dxa" w:w="892"/>
            <w:vAlign w:val="top"/>
          </w:tcPr>
          <w:p>
            <w:pPr>
              <w:spacing w:after="40" w:before="0" w:line="259" w:lineRule="auto"/>
            </w:pPr>
            <w:r>
              <w:rPr>
                <w:rFonts w:ascii="Calibri" w:hAnsi="Calibri"/>
                <w:b w:val="0"/>
                <w:i w:val="0"/>
                <w:color w:val="212121"/>
                <w:sz w:val="16"/>
              </w:rPr>
              <w:t>Imaging</w:t>
            </w:r>
          </w:p>
        </w:tc>
        <w:tc>
          <w:tcPr>
            <w:tcW w:type="dxa" w:w="950"/>
            <w:vAlign w:val="top"/>
          </w:tcPr>
          <w:p>
            <w:pPr>
              <w:spacing w:after="40" w:before="0" w:line="259" w:lineRule="auto"/>
            </w:pPr>
            <w:r>
              <w:rPr>
                <w:rFonts w:ascii="Calibri" w:hAnsi="Calibri"/>
                <w:b w:val="0"/>
                <w:i w:val="0"/>
                <w:color w:val="212121"/>
                <w:sz w:val="16"/>
              </w:rPr>
              <w:t>No effusion</w:t>
            </w:r>
          </w:p>
        </w:tc>
        <w:tc>
          <w:tcPr>
            <w:tcW w:type="dxa" w:w="950"/>
            <w:vAlign w:val="top"/>
          </w:tcPr>
          <w:p>
            <w:pPr>
              <w:spacing w:after="40" w:before="0" w:line="259" w:lineRule="auto"/>
            </w:pPr>
            <w:r>
              <w:rPr>
                <w:rFonts w:ascii="Calibri" w:hAnsi="Calibri"/>
                <w:b w:val="0"/>
                <w:i w:val="0"/>
                <w:color w:val="212121"/>
                <w:sz w:val="16"/>
              </w:rPr>
              <w:t>Effusion or collection</w:t>
            </w:r>
          </w:p>
        </w:tc>
        <w:tc>
          <w:tcPr>
            <w:tcW w:type="dxa" w:w="1036"/>
            <w:vAlign w:val="top"/>
          </w:tcPr>
          <w:p>
            <w:pPr>
              <w:spacing w:after="40" w:before="0" w:line="259" w:lineRule="auto"/>
            </w:pPr>
            <w:r>
              <w:rPr>
                <w:rFonts w:ascii="Calibri" w:hAnsi="Calibri"/>
                <w:b w:val="0"/>
                <w:i w:val="0"/>
                <w:color w:val="212121"/>
                <w:sz w:val="16"/>
              </w:rPr>
              <w:t>Confirms effusion and guides aspiration, especially of the hip</w:t>
            </w:r>
          </w:p>
        </w:tc>
        <w:tc>
          <w:tcPr>
            <w:tcW w:type="dxa" w:w="1036"/>
            <w:vAlign w:val="top"/>
          </w:tcPr>
          <w:p>
            <w:pPr>
              <w:spacing w:after="40" w:before="0" w:line="259" w:lineRule="auto"/>
            </w:pPr>
            <w:r>
              <w:rPr>
                <w:rFonts w:ascii="Calibri" w:hAnsi="Calibri"/>
                <w:b w:val="0"/>
                <w:i w:val="0"/>
                <w:color w:val="212121"/>
                <w:sz w:val="16"/>
              </w:rPr>
              <w:t>Deep joints, children, neonates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Radiation-free and bedside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MRI of the joint</w:t>
            </w:r>
          </w:p>
        </w:tc>
        <w:tc>
          <w:tcPr>
            <w:tcW w:type="dxa" w:w="892"/>
            <w:vAlign w:val="top"/>
          </w:tcPr>
          <w:p>
            <w:pPr>
              <w:spacing w:after="40" w:before="0" w:line="259" w:lineRule="auto"/>
            </w:pPr>
            <w:r>
              <w:rPr>
                <w:rFonts w:ascii="Calibri" w:hAnsi="Calibri"/>
                <w:b w:val="0"/>
                <w:i w:val="0"/>
                <w:color w:val="212121"/>
                <w:sz w:val="16"/>
              </w:rPr>
              <w:t>Imaging</w:t>
            </w:r>
          </w:p>
        </w:tc>
        <w:tc>
          <w:tcPr>
            <w:tcW w:type="dxa" w:w="950"/>
            <w:vAlign w:val="top"/>
          </w:tcPr>
          <w:p>
            <w:pPr>
              <w:spacing w:after="40" w:before="0" w:line="259" w:lineRule="auto"/>
            </w:pPr>
            <w:r>
              <w:rPr>
                <w:rFonts w:ascii="Calibri" w:hAnsi="Calibri"/>
                <w:b w:val="0"/>
                <w:i w:val="0"/>
                <w:color w:val="212121"/>
                <w:sz w:val="16"/>
              </w:rPr>
              <w:t>No marrow oedema or collection</w:t>
            </w:r>
          </w:p>
        </w:tc>
        <w:tc>
          <w:tcPr>
            <w:tcW w:type="dxa" w:w="950"/>
            <w:vAlign w:val="top"/>
          </w:tcPr>
          <w:p>
            <w:pPr>
              <w:spacing w:after="40" w:before="0" w:line="259" w:lineRule="auto"/>
            </w:pPr>
            <w:r>
              <w:rPr>
                <w:rFonts w:ascii="Calibri" w:hAnsi="Calibri"/>
                <w:b w:val="0"/>
                <w:i w:val="0"/>
                <w:color w:val="212121"/>
                <w:sz w:val="16"/>
              </w:rPr>
              <w:t>Effusion, synovitis, osteomyelitis, abscess</w:t>
            </w:r>
          </w:p>
        </w:tc>
        <w:tc>
          <w:tcPr>
            <w:tcW w:type="dxa" w:w="1036"/>
            <w:vAlign w:val="top"/>
          </w:tcPr>
          <w:p>
            <w:pPr>
              <w:spacing w:after="40" w:before="0" w:line="259" w:lineRule="auto"/>
            </w:pPr>
            <w:r>
              <w:rPr>
                <w:rFonts w:ascii="Calibri" w:hAnsi="Calibri"/>
                <w:b w:val="0"/>
                <w:i w:val="0"/>
                <w:color w:val="212121"/>
                <w:sz w:val="16"/>
              </w:rPr>
              <w:t>Detects deep infection and coexisting osteomyelitis</w:t>
            </w:r>
          </w:p>
        </w:tc>
        <w:tc>
          <w:tcPr>
            <w:tcW w:type="dxa" w:w="1036"/>
            <w:vAlign w:val="top"/>
          </w:tcPr>
          <w:p>
            <w:pPr>
              <w:spacing w:after="40" w:before="0" w:line="259" w:lineRule="auto"/>
            </w:pPr>
            <w:r>
              <w:rPr>
                <w:rFonts w:ascii="Calibri" w:hAnsi="Calibri"/>
                <w:b w:val="0"/>
                <w:i w:val="0"/>
                <w:color w:val="212121"/>
                <w:sz w:val="16"/>
              </w:rPr>
              <w:t>Hip, sacroiliac, spine, suspected TB</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Best test for axial joints and osteoarticular tuberculosis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Gonococcal NAAT and mycobacterial tests</w:t>
            </w:r>
          </w:p>
        </w:tc>
        <w:tc>
          <w:tcPr>
            <w:tcW w:type="dxa" w:w="892"/>
            <w:vAlign w:val="top"/>
          </w:tcPr>
          <w:p>
            <w:pPr>
              <w:spacing w:after="40" w:before="0" w:line="259" w:lineRule="auto"/>
            </w:pPr>
            <w:r>
              <w:rPr>
                <w:rFonts w:ascii="Calibri" w:hAnsi="Calibri"/>
                <w:b w:val="0"/>
                <w:i w:val="0"/>
                <w:color w:val="212121"/>
                <w:sz w:val="16"/>
              </w:rPr>
              <w:t>Targeted tests</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N. gonorrhoeae detected, or AFB / GeneXpert MTB positive</w:t>
            </w:r>
          </w:p>
        </w:tc>
        <w:tc>
          <w:tcPr>
            <w:tcW w:type="dxa" w:w="1036"/>
            <w:vAlign w:val="top"/>
          </w:tcPr>
          <w:p>
            <w:pPr>
              <w:spacing w:after="40" w:before="0" w:line="259" w:lineRule="auto"/>
            </w:pPr>
            <w:r>
              <w:rPr>
                <w:rFonts w:ascii="Calibri" w:hAnsi="Calibri"/>
                <w:b w:val="0"/>
                <w:i w:val="0"/>
                <w:color w:val="212121"/>
                <w:sz w:val="16"/>
              </w:rPr>
              <w:t>Identifies gonococcal or tuberculous arthritis</w:t>
            </w:r>
          </w:p>
        </w:tc>
        <w:tc>
          <w:tcPr>
            <w:tcW w:type="dxa" w:w="1036"/>
            <w:vAlign w:val="top"/>
          </w:tcPr>
          <w:p>
            <w:pPr>
              <w:spacing w:after="40" w:before="0" w:line="259" w:lineRule="auto"/>
            </w:pPr>
            <w:r>
              <w:rPr>
                <w:rFonts w:ascii="Calibri" w:hAnsi="Calibri"/>
                <w:b w:val="0"/>
                <w:i w:val="0"/>
                <w:color w:val="212121"/>
                <w:sz w:val="16"/>
              </w:rPr>
              <w:t>Young sexually active adults; chronic monoarthritis in India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Synovial biopsy improves TB yield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Acute joint pain, swelling and fever</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Rapid-onset hot swollen painful joint</w:t>
            </w:r>
          </w:p>
        </w:tc>
        <w:tc>
          <w:tcPr>
            <w:tcW w:type="dxa" w:w="1036"/>
            <w:vAlign w:val="top"/>
          </w:tcPr>
          <w:p>
            <w:pPr>
              <w:spacing w:after="40" w:before="0" w:line="259" w:lineRule="auto"/>
            </w:pPr>
            <w:r>
              <w:rPr>
                <w:rFonts w:ascii="Calibri" w:hAnsi="Calibri"/>
                <w:b w:val="0"/>
                <w:i w:val="0"/>
                <w:color w:val="212121"/>
                <w:sz w:val="16"/>
              </w:rPr>
              <w:t>Cardinal presentation of septic arthritis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Evolves over hours to a few days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 / Palpation</w:t>
            </w:r>
          </w:p>
        </w:tc>
        <w:tc>
          <w:tcPr>
            <w:tcW w:type="dxa" w:w="950"/>
            <w:vAlign w:val="top"/>
          </w:tcPr>
          <w:p>
            <w:pPr>
              <w:spacing w:after="40" w:before="0" w:line="259" w:lineRule="auto"/>
            </w:pPr>
            <w:r>
              <w:rPr>
                <w:rFonts w:ascii="Calibri" w:hAnsi="Calibri"/>
                <w:b w:val="0"/>
                <w:i w:val="0"/>
                <w:color w:val="212121"/>
                <w:sz w:val="16"/>
              </w:rPr>
              <w:t>Joint examination</w:t>
            </w:r>
          </w:p>
        </w:tc>
        <w:tc>
          <w:tcPr>
            <w:tcW w:type="dxa" w:w="979"/>
            <w:vAlign w:val="top"/>
          </w:tcPr>
          <w:p>
            <w:pPr>
              <w:spacing w:after="40" w:before="0" w:line="259" w:lineRule="auto"/>
            </w:pPr>
            <w:r>
              <w:rPr>
                <w:rFonts w:ascii="Calibri" w:hAnsi="Calibri"/>
                <w:b w:val="0"/>
                <w:i w:val="0"/>
                <w:color w:val="212121"/>
                <w:sz w:val="16"/>
              </w:rPr>
              <w:t>Warmth, effusion, tenderness, erythema</w:t>
            </w:r>
          </w:p>
        </w:tc>
        <w:tc>
          <w:tcPr>
            <w:tcW w:type="dxa" w:w="950"/>
            <w:vAlign w:val="top"/>
          </w:tcPr>
          <w:p>
            <w:pPr>
              <w:spacing w:after="40" w:before="0" w:line="259" w:lineRule="auto"/>
            </w:pPr>
            <w:r>
              <w:rPr>
                <w:rFonts w:ascii="Calibri" w:hAnsi="Calibri"/>
                <w:b w:val="0"/>
                <w:i w:val="0"/>
                <w:color w:val="212121"/>
                <w:sz w:val="16"/>
              </w:rPr>
              <w:t>Cool, non-swollen joint</w:t>
            </w:r>
          </w:p>
        </w:tc>
        <w:tc>
          <w:tcPr>
            <w:tcW w:type="dxa" w:w="950"/>
            <w:vAlign w:val="top"/>
          </w:tcPr>
          <w:p>
            <w:pPr>
              <w:spacing w:after="40" w:before="0" w:line="259" w:lineRule="auto"/>
            </w:pPr>
            <w:r>
              <w:rPr>
                <w:rFonts w:ascii="Calibri" w:hAnsi="Calibri"/>
                <w:b w:val="0"/>
                <w:i w:val="0"/>
                <w:color w:val="212121"/>
                <w:sz w:val="16"/>
              </w:rPr>
              <w:t>Hot, swollen, tender joint with effusion</w:t>
            </w:r>
          </w:p>
        </w:tc>
        <w:tc>
          <w:tcPr>
            <w:tcW w:type="dxa" w:w="1036"/>
            <w:vAlign w:val="top"/>
          </w:tcPr>
          <w:p>
            <w:pPr>
              <w:spacing w:after="40" w:before="0" w:line="259" w:lineRule="auto"/>
            </w:pPr>
            <w:r>
              <w:rPr>
                <w:rFonts w:ascii="Calibri" w:hAnsi="Calibri"/>
                <w:b w:val="0"/>
                <w:i w:val="0"/>
                <w:color w:val="212121"/>
                <w:sz w:val="16"/>
              </w:rPr>
              <w:t>Local signs of intra-articular infection</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Compare with the contralateral joint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Provocation</w:t>
            </w:r>
          </w:p>
        </w:tc>
        <w:tc>
          <w:tcPr>
            <w:tcW w:type="dxa" w:w="950"/>
            <w:vAlign w:val="top"/>
          </w:tcPr>
          <w:p>
            <w:pPr>
              <w:spacing w:after="40" w:before="0" w:line="259" w:lineRule="auto"/>
            </w:pPr>
            <w:r>
              <w:rPr>
                <w:rFonts w:ascii="Calibri" w:hAnsi="Calibri"/>
                <w:b w:val="0"/>
                <w:i w:val="0"/>
                <w:color w:val="212121"/>
                <w:sz w:val="16"/>
              </w:rPr>
              <w:t>Range-of-motion testing</w:t>
            </w:r>
          </w:p>
        </w:tc>
        <w:tc>
          <w:tcPr>
            <w:tcW w:type="dxa" w:w="979"/>
            <w:vAlign w:val="top"/>
          </w:tcPr>
          <w:p>
            <w:pPr>
              <w:spacing w:after="40" w:before="0" w:line="259" w:lineRule="auto"/>
            </w:pPr>
            <w:r>
              <w:rPr>
                <w:rFonts w:ascii="Calibri" w:hAnsi="Calibri"/>
                <w:b w:val="0"/>
                <w:i w:val="0"/>
                <w:color w:val="212121"/>
                <w:sz w:val="16"/>
              </w:rPr>
              <w:t>Pain on active and passive movement</w:t>
            </w:r>
          </w:p>
        </w:tc>
        <w:tc>
          <w:tcPr>
            <w:tcW w:type="dxa" w:w="950"/>
            <w:vAlign w:val="top"/>
          </w:tcPr>
          <w:p>
            <w:pPr>
              <w:spacing w:after="40" w:before="0" w:line="259" w:lineRule="auto"/>
            </w:pPr>
            <w:r>
              <w:rPr>
                <w:rFonts w:ascii="Calibri" w:hAnsi="Calibri"/>
                <w:b w:val="0"/>
                <w:i w:val="0"/>
                <w:color w:val="212121"/>
                <w:sz w:val="16"/>
              </w:rPr>
              <w:t>Full, painless movement</w:t>
            </w:r>
          </w:p>
        </w:tc>
        <w:tc>
          <w:tcPr>
            <w:tcW w:type="dxa" w:w="950"/>
            <w:vAlign w:val="top"/>
          </w:tcPr>
          <w:p>
            <w:pPr>
              <w:spacing w:after="40" w:before="0" w:line="259" w:lineRule="auto"/>
            </w:pPr>
            <w:r>
              <w:rPr>
                <w:rFonts w:ascii="Calibri" w:hAnsi="Calibri"/>
                <w:b w:val="0"/>
                <w:i w:val="0"/>
                <w:color w:val="212121"/>
                <w:sz w:val="16"/>
              </w:rPr>
              <w:t>Severe pain and marked restriction; refusal to bear weight</w:t>
            </w:r>
          </w:p>
        </w:tc>
        <w:tc>
          <w:tcPr>
            <w:tcW w:type="dxa" w:w="1036"/>
            <w:vAlign w:val="top"/>
          </w:tcPr>
          <w:p>
            <w:pPr>
              <w:spacing w:after="40" w:before="0" w:line="259" w:lineRule="auto"/>
            </w:pPr>
            <w:r>
              <w:rPr>
                <w:rFonts w:ascii="Calibri" w:hAnsi="Calibri"/>
                <w:b w:val="0"/>
                <w:i w:val="0"/>
                <w:color w:val="212121"/>
                <w:sz w:val="16"/>
              </w:rPr>
              <w:t>Even small movements are very painful in infection</w:t>
            </w:r>
          </w:p>
        </w:tc>
        <w:tc>
          <w:tcPr>
            <w:tcW w:type="dxa" w:w="1036"/>
            <w:vAlign w:val="top"/>
          </w:tcPr>
          <w:p>
            <w:pPr>
              <w:spacing w:after="40" w:before="0" w:line="259" w:lineRule="auto"/>
            </w:pPr>
            <w:r>
              <w:rPr>
                <w:rFonts w:ascii="Calibri" w:hAnsi="Calibri"/>
                <w:b w:val="0"/>
                <w:i w:val="0"/>
                <w:color w:val="212121"/>
                <w:sz w:val="16"/>
              </w:rPr>
              <w:t>Adults and children</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Joint often held in position of maximum comfort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Risk-factor history</w:t>
            </w:r>
          </w:p>
        </w:tc>
        <w:tc>
          <w:tcPr>
            <w:tcW w:type="dxa" w:w="979"/>
            <w:vAlign w:val="top"/>
          </w:tcPr>
          <w:p>
            <w:pPr>
              <w:spacing w:after="40" w:before="0" w:line="259" w:lineRule="auto"/>
            </w:pPr>
            <w:r>
              <w:rPr>
                <w:rFonts w:ascii="Calibri" w:hAnsi="Calibri"/>
                <w:b w:val="0"/>
                <w:i w:val="0"/>
                <w:color w:val="212121"/>
                <w:sz w:val="16"/>
              </w:rPr>
              <w:t>Diabetes, RA, prosthesis, injection, IVDU, sexual and TB history</w:t>
            </w:r>
          </w:p>
        </w:tc>
        <w:tc>
          <w:tcPr>
            <w:tcW w:type="dxa" w:w="950"/>
            <w:vAlign w:val="top"/>
          </w:tcPr>
          <w:p>
            <w:pPr>
              <w:spacing w:after="40" w:before="0" w:line="259" w:lineRule="auto"/>
            </w:pPr>
            <w:r>
              <w:rPr>
                <w:rFonts w:ascii="Calibri" w:hAnsi="Calibri"/>
                <w:b w:val="0"/>
                <w:i w:val="0"/>
                <w:color w:val="212121"/>
                <w:sz w:val="16"/>
              </w:rPr>
              <w:t>No risk factors</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Stratifies risk and predicts likely organism</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Directs empirical therapy and special tests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Systemic / sepsis assessment</w:t>
            </w:r>
          </w:p>
        </w:tc>
        <w:tc>
          <w:tcPr>
            <w:tcW w:type="dxa" w:w="979"/>
            <w:vAlign w:val="top"/>
          </w:tcPr>
          <w:p>
            <w:pPr>
              <w:spacing w:after="40" w:before="0" w:line="259" w:lineRule="auto"/>
            </w:pPr>
            <w:r>
              <w:rPr>
                <w:rFonts w:ascii="Calibri" w:hAnsi="Calibri"/>
                <w:b w:val="0"/>
                <w:i w:val="0"/>
                <w:color w:val="212121"/>
                <w:sz w:val="16"/>
              </w:rPr>
              <w:t>Fever, tachycardia, hypotension</w:t>
            </w:r>
          </w:p>
        </w:tc>
        <w:tc>
          <w:tcPr>
            <w:tcW w:type="dxa" w:w="950"/>
            <w:vAlign w:val="top"/>
          </w:tcPr>
          <w:p>
            <w:pPr>
              <w:spacing w:after="40" w:before="0" w:line="259" w:lineRule="auto"/>
            </w:pPr>
            <w:r>
              <w:rPr>
                <w:rFonts w:ascii="Calibri" w:hAnsi="Calibri"/>
                <w:b w:val="0"/>
                <w:i w:val="0"/>
                <w:color w:val="212121"/>
                <w:sz w:val="16"/>
              </w:rPr>
              <w:t>Haemodynamically stable</w:t>
            </w:r>
          </w:p>
        </w:tc>
        <w:tc>
          <w:tcPr>
            <w:tcW w:type="dxa" w:w="950"/>
            <w:vAlign w:val="top"/>
          </w:tcPr>
          <w:p>
            <w:pPr>
              <w:spacing w:after="40" w:before="0" w:line="259" w:lineRule="auto"/>
            </w:pPr>
            <w:r>
              <w:rPr>
                <w:rFonts w:ascii="Calibri" w:hAnsi="Calibri"/>
                <w:b w:val="0"/>
                <w:i w:val="0"/>
                <w:color w:val="212121"/>
                <w:sz w:val="16"/>
              </w:rPr>
              <w:t>SIRS or septic shock</w:t>
            </w:r>
          </w:p>
        </w:tc>
        <w:tc>
          <w:tcPr>
            <w:tcW w:type="dxa" w:w="1036"/>
            <w:vAlign w:val="top"/>
          </w:tcPr>
          <w:p>
            <w:pPr>
              <w:spacing w:after="40" w:before="0" w:line="259" w:lineRule="auto"/>
            </w:pPr>
            <w:r>
              <w:rPr>
                <w:rFonts w:ascii="Calibri" w:hAnsi="Calibri"/>
                <w:b w:val="0"/>
                <w:i w:val="0"/>
                <w:color w:val="212121"/>
                <w:sz w:val="16"/>
              </w:rPr>
              <w:t>Indicates systemic spread and severity</w:t>
            </w:r>
          </w:p>
        </w:tc>
        <w:tc>
          <w:tcPr>
            <w:tcW w:type="dxa" w:w="1036"/>
            <w:vAlign w:val="top"/>
          </w:tcPr>
          <w:p>
            <w:pPr>
              <w:spacing w:after="40" w:before="0" w:line="259" w:lineRule="auto"/>
            </w:pPr>
            <w:r>
              <w:rPr>
                <w:rFonts w:ascii="Calibri" w:hAnsi="Calibri"/>
                <w:b w:val="0"/>
                <w:i w:val="0"/>
                <w:color w:val="212121"/>
                <w:sz w:val="16"/>
              </w:rPr>
              <w:t>Elderly, immunocompromised, neonates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 flag</w:t>
            </w:r>
          </w:p>
        </w:tc>
        <w:tc>
          <w:tcPr>
            <w:tcW w:type="dxa" w:w="720"/>
            <w:vAlign w:val="top"/>
          </w:tcPr>
          <w:p>
            <w:pPr>
              <w:spacing w:after="40" w:before="0" w:line="259" w:lineRule="auto"/>
            </w:pPr>
            <w:r>
              <w:rPr>
                <w:rFonts w:ascii="Calibri" w:hAnsi="Calibri"/>
                <w:b w:val="0"/>
                <w:i w:val="0"/>
                <w:color w:val="212121"/>
                <w:sz w:val="16"/>
              </w:rPr>
              <w:t>Prompts urgent resuscitation and drainage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Skin and extra-articular signs</w:t>
            </w:r>
          </w:p>
        </w:tc>
        <w:tc>
          <w:tcPr>
            <w:tcW w:type="dxa" w:w="979"/>
            <w:vAlign w:val="top"/>
          </w:tcPr>
          <w:p>
            <w:pPr>
              <w:spacing w:after="40" w:before="0" w:line="259" w:lineRule="auto"/>
            </w:pPr>
            <w:r>
              <w:rPr>
                <w:rFonts w:ascii="Calibri" w:hAnsi="Calibri"/>
                <w:b w:val="0"/>
                <w:i w:val="0"/>
                <w:color w:val="212121"/>
                <w:sz w:val="16"/>
              </w:rPr>
              <w:t>Pustular or haemorrhagic lesions, tenosynovitis, sinus, ulcer</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Skin pustules and tenosynovitis suggest gonococcal disease; a sinus suggests chronic TB</w:t>
            </w:r>
          </w:p>
        </w:tc>
        <w:tc>
          <w:tcPr>
            <w:tcW w:type="dxa" w:w="1036"/>
            <w:vAlign w:val="top"/>
          </w:tcPr>
          <w:p>
            <w:pPr>
              <w:spacing w:after="40" w:before="0" w:line="259" w:lineRule="auto"/>
            </w:pPr>
            <w:r>
              <w:rPr>
                <w:rFonts w:ascii="Calibri" w:hAnsi="Calibri"/>
                <w:b w:val="0"/>
                <w:i w:val="0"/>
                <w:color w:val="212121"/>
                <w:sz w:val="16"/>
              </w:rPr>
              <w:t>Young adults (gonococcal); chronic cases (TB)</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Guides targeted testing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Neonatal / infant assessment</w:t>
            </w:r>
          </w:p>
        </w:tc>
        <w:tc>
          <w:tcPr>
            <w:tcW w:type="dxa" w:w="979"/>
            <w:vAlign w:val="top"/>
          </w:tcPr>
          <w:p>
            <w:pPr>
              <w:spacing w:after="40" w:before="0" w:line="259" w:lineRule="auto"/>
            </w:pPr>
            <w:r>
              <w:rPr>
                <w:rFonts w:ascii="Calibri" w:hAnsi="Calibri"/>
                <w:b w:val="0"/>
                <w:i w:val="0"/>
                <w:color w:val="212121"/>
                <w:sz w:val="16"/>
              </w:rPr>
              <w:t>Pseudoparalysis, irritability, refusal to move limb, poor feeding</w:t>
            </w:r>
          </w:p>
        </w:tc>
        <w:tc>
          <w:tcPr>
            <w:tcW w:type="dxa" w:w="950"/>
            <w:vAlign w:val="top"/>
          </w:tcPr>
          <w:p>
            <w:pPr>
              <w:spacing w:after="40" w:before="0" w:line="259" w:lineRule="auto"/>
            </w:pPr>
            <w:r>
              <w:rPr>
                <w:rFonts w:ascii="Calibri" w:hAnsi="Calibri"/>
                <w:b w:val="0"/>
                <w:i w:val="0"/>
                <w:color w:val="212121"/>
                <w:sz w:val="16"/>
              </w:rPr>
              <w:t>Moves limbs normally</w:t>
            </w:r>
          </w:p>
        </w:tc>
        <w:tc>
          <w:tcPr>
            <w:tcW w:type="dxa" w:w="950"/>
            <w:vAlign w:val="top"/>
          </w:tcPr>
          <w:p>
            <w:pPr>
              <w:spacing w:after="40" w:before="0" w:line="259" w:lineRule="auto"/>
            </w:pPr>
            <w:r>
              <w:rPr>
                <w:rFonts w:ascii="Calibri" w:hAnsi="Calibri"/>
                <w:b w:val="0"/>
                <w:i w:val="0"/>
                <w:color w:val="212121"/>
                <w:sz w:val="16"/>
              </w:rPr>
              <w:t>Pseudoparalysis and distress on handling</w:t>
            </w:r>
          </w:p>
        </w:tc>
        <w:tc>
          <w:tcPr>
            <w:tcW w:type="dxa" w:w="1036"/>
            <w:vAlign w:val="top"/>
          </w:tcPr>
          <w:p>
            <w:pPr>
              <w:spacing w:after="40" w:before="0" w:line="259" w:lineRule="auto"/>
            </w:pPr>
            <w:r>
              <w:rPr>
                <w:rFonts w:ascii="Calibri" w:hAnsi="Calibri"/>
                <w:b w:val="0"/>
                <w:i w:val="0"/>
                <w:color w:val="212121"/>
                <w:sz w:val="16"/>
              </w:rPr>
              <w:t>Neonatal septic arthritis is subtle and hip disease is easily missed</w:t>
            </w:r>
          </w:p>
        </w:tc>
        <w:tc>
          <w:tcPr>
            <w:tcW w:type="dxa" w:w="1036"/>
            <w:vAlign w:val="top"/>
          </w:tcPr>
          <w:p>
            <w:pPr>
              <w:spacing w:after="40" w:before="0" w:line="259" w:lineRule="auto"/>
            </w:pPr>
            <w:r>
              <w:rPr>
                <w:rFonts w:ascii="Calibri" w:hAnsi="Calibri"/>
                <w:b w:val="0"/>
                <w:i w:val="0"/>
                <w:color w:val="212121"/>
                <w:sz w:val="16"/>
              </w:rPr>
              <w:t>Neonates and infants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Low threshold for hip ultrasound and aspiration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Acute severe joint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Rapid-onset pain in a single joint that worsens sharply with any movement.</w:t>
            </w:r>
          </w:p>
        </w:tc>
      </w:tr>
      <w:tr>
        <w:trPr>
          <w:cantSplit/>
        </w:trPr>
        <w:tc>
          <w:tcPr>
            <w:tcW w:type="dxa" w:w="2304"/>
            <w:vAlign w:val="top"/>
          </w:tcPr>
          <w:p>
            <w:pPr>
              <w:spacing w:after="40" w:before="0" w:line="259" w:lineRule="auto"/>
            </w:pPr>
            <w:r>
              <w:rPr>
                <w:rFonts w:ascii="Calibri" w:hAnsi="Calibri"/>
                <w:b/>
                <w:i w:val="0"/>
                <w:color w:val="212121"/>
                <w:sz w:val="19"/>
              </w:rPr>
              <w:t>Joint swelling / effusion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Tense swelling of the affected joint from purulent synovial fluid.</w:t>
            </w:r>
          </w:p>
        </w:tc>
      </w:tr>
      <w:tr>
        <w:trPr>
          <w:cantSplit/>
        </w:trPr>
        <w:tc>
          <w:tcPr>
            <w:tcW w:type="dxa" w:w="2304"/>
            <w:vAlign w:val="top"/>
          </w:tcPr>
          <w:p>
            <w:pPr>
              <w:spacing w:after="40" w:before="0" w:line="259" w:lineRule="auto"/>
            </w:pPr>
            <w:r>
              <w:rPr>
                <w:rFonts w:ascii="Calibri" w:hAnsi="Calibri"/>
                <w:b/>
                <w:i w:val="0"/>
                <w:color w:val="212121"/>
                <w:sz w:val="19"/>
              </w:rPr>
              <w:t>Warmth and redness over the joint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Overlying heat and erythema reflect intense intra-articular inflammation.</w:t>
            </w:r>
          </w:p>
        </w:tc>
      </w:tr>
      <w:tr>
        <w:trPr>
          <w:cantSplit/>
        </w:trPr>
        <w:tc>
          <w:tcPr>
            <w:tcW w:type="dxa" w:w="2304"/>
            <w:vAlign w:val="top"/>
          </w:tcPr>
          <w:p>
            <w:pPr>
              <w:spacing w:after="40" w:before="0" w:line="259" w:lineRule="auto"/>
            </w:pPr>
            <w:r>
              <w:rPr>
                <w:rFonts w:ascii="Calibri" w:hAnsi="Calibri"/>
                <w:b/>
                <w:i w:val="0"/>
                <w:color w:val="212121"/>
                <w:sz w:val="19"/>
              </w:rPr>
              <w:t>Fever and chills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Systemic response to infection; present in about three-quarters of adults in Indian series.</w:t>
            </w:r>
          </w:p>
        </w:tc>
      </w:tr>
      <w:tr>
        <w:trPr>
          <w:cantSplit/>
        </w:trPr>
        <w:tc>
          <w:tcPr>
            <w:tcW w:type="dxa" w:w="2304"/>
            <w:vAlign w:val="top"/>
          </w:tcPr>
          <w:p>
            <w:pPr>
              <w:spacing w:after="40" w:before="0" w:line="259" w:lineRule="auto"/>
            </w:pPr>
            <w:r>
              <w:rPr>
                <w:rFonts w:ascii="Calibri" w:hAnsi="Calibri"/>
                <w:b/>
                <w:i w:val="0"/>
                <w:color w:val="212121"/>
                <w:sz w:val="19"/>
              </w:rPr>
              <w:t>Markedly restricted joint movement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joint becomes almost unusable because even small movements are very painful.</w:t>
            </w:r>
          </w:p>
        </w:tc>
      </w:tr>
      <w:tr>
        <w:trPr>
          <w:cantSplit/>
        </w:trPr>
        <w:tc>
          <w:tcPr>
            <w:tcW w:type="dxa" w:w="2304"/>
            <w:vAlign w:val="top"/>
          </w:tcPr>
          <w:p>
            <w:pPr>
              <w:spacing w:after="40" w:before="0" w:line="259" w:lineRule="auto"/>
            </w:pPr>
            <w:r>
              <w:rPr>
                <w:rFonts w:ascii="Calibri" w:hAnsi="Calibri"/>
                <w:b/>
                <w:i w:val="0"/>
                <w:color w:val="212121"/>
                <w:sz w:val="19"/>
              </w:rPr>
              <w:t>Refusal to bear weight or move the limb</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Especially in children and neonates, who may simply stop using the limb (pseudoparalysis).</w:t>
            </w:r>
          </w:p>
        </w:tc>
      </w:tr>
      <w:tr>
        <w:trPr>
          <w:cantSplit/>
        </w:trPr>
        <w:tc>
          <w:tcPr>
            <w:tcW w:type="dxa" w:w="2304"/>
            <w:vAlign w:val="top"/>
          </w:tcPr>
          <w:p>
            <w:pPr>
              <w:spacing w:after="40" w:before="0" w:line="259" w:lineRule="auto"/>
            </w:pPr>
            <w:r>
              <w:rPr>
                <w:rFonts w:ascii="Calibri" w:hAnsi="Calibri"/>
                <w:b/>
                <w:i w:val="0"/>
                <w:color w:val="212121"/>
                <w:sz w:val="19"/>
              </w:rPr>
              <w:t>Malaise, fatigue and sweats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Non-specific constitutional symptoms accompanying bacteraemia.</w:t>
            </w:r>
          </w:p>
        </w:tc>
      </w:tr>
      <w:tr>
        <w:trPr>
          <w:cantSplit/>
        </w:trPr>
        <w:tc>
          <w:tcPr>
            <w:tcW w:type="dxa" w:w="2304"/>
            <w:vAlign w:val="top"/>
          </w:tcPr>
          <w:p>
            <w:pPr>
              <w:spacing w:after="40" w:before="0" w:line="259" w:lineRule="auto"/>
            </w:pPr>
            <w:r>
              <w:rPr>
                <w:rFonts w:ascii="Calibri" w:hAnsi="Calibri"/>
                <w:b/>
                <w:i w:val="0"/>
                <w:color w:val="212121"/>
                <w:sz w:val="19"/>
              </w:rPr>
              <w:t>Migratory joint pains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Migratory polyarthralgia is typical of disseminated gonococcal infection in young adults.</w:t>
            </w:r>
          </w:p>
        </w:tc>
      </w:tr>
      <w:tr>
        <w:trPr>
          <w:cantSplit/>
        </w:trPr>
        <w:tc>
          <w:tcPr>
            <w:tcW w:type="dxa" w:w="2304"/>
            <w:vAlign w:val="top"/>
          </w:tcPr>
          <w:p>
            <w:pPr>
              <w:spacing w:after="40" w:before="0" w:line="259" w:lineRule="auto"/>
            </w:pPr>
            <w:r>
              <w:rPr>
                <w:rFonts w:ascii="Calibri" w:hAnsi="Calibri"/>
                <w:b/>
                <w:i w:val="0"/>
                <w:color w:val="212121"/>
                <w:sz w:val="19"/>
              </w:rPr>
              <w:t>Chronic low-grade swelling over weeks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Indolent course suggests tuberculous or fungal arthritis rather than acute pyogenic infection.</w:t>
            </w:r>
          </w:p>
        </w:tc>
      </w:tr>
      <w:tr>
        <w:trPr>
          <w:cantSplit/>
        </w:trPr>
        <w:tc>
          <w:tcPr>
            <w:tcW w:type="dxa" w:w="2304"/>
            <w:vAlign w:val="top"/>
          </w:tcPr>
          <w:p>
            <w:pPr>
              <w:spacing w:after="40" w:before="0" w:line="259" w:lineRule="auto"/>
            </w:pPr>
            <w:r>
              <w:rPr>
                <w:rFonts w:ascii="Calibri" w:hAnsi="Calibri"/>
                <w:b/>
                <w:i w:val="0"/>
                <w:color w:val="212121"/>
                <w:sz w:val="19"/>
              </w:rPr>
              <w:t>Multiple joint involvement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About one in five cases are oligoarticular, particularly with sepsis, rheumatoid arthritis or immune compromise.</w:t>
            </w:r>
          </w:p>
        </w:tc>
      </w:tr>
      <w:tr>
        <w:trPr>
          <w:cantSplit/>
        </w:trPr>
        <w:tc>
          <w:tcPr>
            <w:tcW w:type="dxa" w:w="2304"/>
            <w:vAlign w:val="top"/>
          </w:tcPr>
          <w:p>
            <w:pPr>
              <w:spacing w:after="40" w:before="0" w:line="259" w:lineRule="auto"/>
            </w:pPr>
            <w:r>
              <w:rPr>
                <w:rFonts w:ascii="Calibri" w:hAnsi="Calibri"/>
                <w:b/>
                <w:i w:val="0"/>
                <w:color w:val="212121"/>
                <w:sz w:val="19"/>
              </w:rPr>
              <w:t>Skin pustules with tendon-sheath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Vesiculopustular lesions and tenosynovitis point to gonococcal arthritis-dermatitis syndrome.</w:t>
            </w:r>
          </w:p>
        </w:tc>
      </w:tr>
      <w:tr>
        <w:trPr>
          <w:cantSplit/>
        </w:trPr>
        <w:tc>
          <w:tcPr>
            <w:tcW w:type="dxa" w:w="2304"/>
            <w:vAlign w:val="top"/>
          </w:tcPr>
          <w:p>
            <w:pPr>
              <w:spacing w:after="40" w:before="0" w:line="259" w:lineRule="auto"/>
            </w:pPr>
            <w:r>
              <w:rPr>
                <w:rFonts w:ascii="Calibri" w:hAnsi="Calibri"/>
                <w:b/>
                <w:i w:val="0"/>
                <w:color w:val="212121"/>
                <w:sz w:val="19"/>
              </w:rPr>
              <w:t>Discharging sinus over the joint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chronic draining sinus suggests neglected tuberculous or chronic pyogenic infection.</w:t>
            </w:r>
          </w:p>
        </w:tc>
      </w:tr>
      <w:tr>
        <w:trPr>
          <w:cantSplit/>
        </w:trPr>
        <w:tc>
          <w:tcPr>
            <w:tcW w:type="dxa" w:w="2304"/>
            <w:vAlign w:val="top"/>
          </w:tcPr>
          <w:p>
            <w:pPr>
              <w:spacing w:after="40" w:before="0" w:line="259" w:lineRule="auto"/>
            </w:pPr>
            <w:r>
              <w:rPr>
                <w:rFonts w:ascii="Calibri" w:hAnsi="Calibri"/>
                <w:b/>
                <w:i w:val="0"/>
                <w:color w:val="212121"/>
                <w:sz w:val="19"/>
              </w:rPr>
              <w:t>Confusion and collapse (septic shock)</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Overwhelming sepsis, more likely in the elderly, immunocompromised and neonates.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Hot, swollen, tender joint with effusion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hallmark local sign; the joint is warm, distended and exquisitely tender.</w:t>
            </w:r>
          </w:p>
        </w:tc>
      </w:tr>
      <w:tr>
        <w:trPr>
          <w:cantSplit/>
        </w:trPr>
        <w:tc>
          <w:tcPr>
            <w:tcW w:type="dxa" w:w="3456"/>
            <w:vAlign w:val="top"/>
          </w:tcPr>
          <w:p>
            <w:pPr>
              <w:spacing w:after="40" w:before="0" w:line="259" w:lineRule="auto"/>
            </w:pPr>
            <w:r>
              <w:rPr>
                <w:rFonts w:ascii="Calibri" w:hAnsi="Calibri"/>
                <w:b/>
                <w:i w:val="0"/>
                <w:color w:val="212121"/>
                <w:sz w:val="19"/>
              </w:rPr>
              <w:t>Severe pain on minimal passive movement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Even gentle passive movement is intolerable, unlike most non-infective arthritis.</w:t>
            </w:r>
          </w:p>
        </w:tc>
      </w:tr>
      <w:tr>
        <w:trPr>
          <w:cantSplit/>
        </w:trPr>
        <w:tc>
          <w:tcPr>
            <w:tcW w:type="dxa" w:w="3456"/>
            <w:vAlign w:val="top"/>
          </w:tcPr>
          <w:p>
            <w:pPr>
              <w:spacing w:after="40" w:before="0" w:line="259" w:lineRule="auto"/>
            </w:pPr>
            <w:r>
              <w:rPr>
                <w:rFonts w:ascii="Calibri" w:hAnsi="Calibri"/>
                <w:b/>
                <w:i w:val="0"/>
                <w:color w:val="212121"/>
                <w:sz w:val="19"/>
              </w:rPr>
              <w:t>Joint held in position of maximum comfort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For example the hip is held flexed, abducted and externally rotated to reduce capsular pressure.</w:t>
            </w:r>
          </w:p>
        </w:tc>
      </w:tr>
      <w:tr>
        <w:trPr>
          <w:cantSplit/>
        </w:trPr>
        <w:tc>
          <w:tcPr>
            <w:tcW w:type="dxa" w:w="3456"/>
            <w:vAlign w:val="top"/>
          </w:tcPr>
          <w:p>
            <w:pPr>
              <w:spacing w:after="40" w:before="0" w:line="259" w:lineRule="auto"/>
            </w:pPr>
            <w:r>
              <w:rPr>
                <w:rFonts w:ascii="Calibri" w:hAnsi="Calibri"/>
                <w:b/>
                <w:i w:val="0"/>
                <w:color w:val="212121"/>
                <w:sz w:val="19"/>
              </w:rPr>
              <w:t>Overlying erythema and warmth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redness and heat over a superficial joint such as the knee.</w:t>
            </w:r>
          </w:p>
        </w:tc>
      </w:tr>
      <w:tr>
        <w:trPr>
          <w:cantSplit/>
        </w:trPr>
        <w:tc>
          <w:tcPr>
            <w:tcW w:type="dxa" w:w="3456"/>
            <w:vAlign w:val="top"/>
          </w:tcPr>
          <w:p>
            <w:pPr>
              <w:spacing w:after="40" w:before="0" w:line="259" w:lineRule="auto"/>
            </w:pPr>
            <w:r>
              <w:rPr>
                <w:rFonts w:ascii="Calibri" w:hAnsi="Calibri"/>
                <w:b/>
                <w:i w:val="0"/>
                <w:color w:val="212121"/>
                <w:sz w:val="19"/>
              </w:rPr>
              <w:t>Fever and 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Systemic signs of infection, though they may be blunted in the elderly and immunosuppressed.</w:t>
            </w:r>
          </w:p>
        </w:tc>
      </w:tr>
      <w:tr>
        <w:trPr>
          <w:cantSplit/>
        </w:trPr>
        <w:tc>
          <w:tcPr>
            <w:tcW w:type="dxa" w:w="3456"/>
            <w:vAlign w:val="top"/>
          </w:tcPr>
          <w:p>
            <w:pPr>
              <w:spacing w:after="40" w:before="0" w:line="259" w:lineRule="auto"/>
            </w:pPr>
            <w:r>
              <w:rPr>
                <w:rFonts w:ascii="Calibri" w:hAnsi="Calibri"/>
                <w:b/>
                <w:i w:val="0"/>
                <w:color w:val="212121"/>
                <w:sz w:val="19"/>
              </w:rPr>
              <w:t>Turbid or purulent fluid on aspiration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Bedside arthrocentesis yields cloudy, low-viscosity or frankly purulent fluid.</w:t>
            </w:r>
          </w:p>
        </w:tc>
      </w:tr>
      <w:tr>
        <w:trPr>
          <w:cantSplit/>
        </w:trPr>
        <w:tc>
          <w:tcPr>
            <w:tcW w:type="dxa" w:w="3456"/>
            <w:vAlign w:val="top"/>
          </w:tcPr>
          <w:p>
            <w:pPr>
              <w:spacing w:after="40" w:before="0" w:line="259" w:lineRule="auto"/>
            </w:pPr>
            <w:r>
              <w:rPr>
                <w:rFonts w:ascii="Calibri" w:hAnsi="Calibri"/>
                <w:b/>
                <w:i w:val="0"/>
                <w:color w:val="212121"/>
                <w:sz w:val="19"/>
              </w:rPr>
              <w:t>Pseudoparalysis of a limb</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neonate or infant stops moving the limb and cries on handling of the affected joint.</w:t>
            </w:r>
          </w:p>
        </w:tc>
      </w:tr>
      <w:tr>
        <w:trPr>
          <w:cantSplit/>
        </w:trPr>
        <w:tc>
          <w:tcPr>
            <w:tcW w:type="dxa" w:w="3456"/>
            <w:vAlign w:val="top"/>
          </w:tcPr>
          <w:p>
            <w:pPr>
              <w:spacing w:after="40" w:before="0" w:line="259" w:lineRule="auto"/>
            </w:pPr>
            <w:r>
              <w:rPr>
                <w:rFonts w:ascii="Calibri" w:hAnsi="Calibri"/>
                <w:b/>
                <w:i w:val="0"/>
                <w:color w:val="212121"/>
                <w:sz w:val="19"/>
              </w:rPr>
              <w:t>Tenosynovitis and vesiculopustular skin lesions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Characteristic of disseminated gonococcal infection.</w:t>
            </w:r>
          </w:p>
        </w:tc>
      </w:tr>
      <w:tr>
        <w:trPr>
          <w:cantSplit/>
        </w:trPr>
        <w:tc>
          <w:tcPr>
            <w:tcW w:type="dxa" w:w="3456"/>
            <w:vAlign w:val="top"/>
          </w:tcPr>
          <w:p>
            <w:pPr>
              <w:spacing w:after="40" w:before="0" w:line="259" w:lineRule="auto"/>
            </w:pPr>
            <w:r>
              <w:rPr>
                <w:rFonts w:ascii="Calibri" w:hAnsi="Calibri"/>
                <w:b/>
                <w:i w:val="0"/>
                <w:color w:val="212121"/>
                <w:sz w:val="19"/>
              </w:rPr>
              <w:t>Regional lymphadenopathy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Reactive enlargement of nodes draining the infected joint.</w:t>
            </w:r>
          </w:p>
        </w:tc>
      </w:tr>
      <w:tr>
        <w:trPr>
          <w:cantSplit/>
        </w:trPr>
        <w:tc>
          <w:tcPr>
            <w:tcW w:type="dxa" w:w="3456"/>
            <w:vAlign w:val="top"/>
          </w:tcPr>
          <w:p>
            <w:pPr>
              <w:spacing w:after="40" w:before="0" w:line="259" w:lineRule="auto"/>
            </w:pPr>
            <w:r>
              <w:rPr>
                <w:rFonts w:ascii="Calibri" w:hAnsi="Calibri"/>
                <w:b/>
                <w:i w:val="0"/>
                <w:color w:val="212121"/>
                <w:sz w:val="19"/>
              </w:rPr>
              <w:t>Discharging sinus tract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Seen with chronic tuberculous or neglected pyogenic joint infection.</w:t>
            </w:r>
          </w:p>
        </w:tc>
      </w:tr>
      <w:tr>
        <w:trPr>
          <w:cantSplit/>
        </w:trPr>
        <w:tc>
          <w:tcPr>
            <w:tcW w:type="dxa" w:w="3456"/>
            <w:vAlign w:val="top"/>
          </w:tcPr>
          <w:p>
            <w:pPr>
              <w:spacing w:after="40" w:before="0" w:line="259" w:lineRule="auto"/>
            </w:pPr>
            <w:r>
              <w:rPr>
                <w:rFonts w:ascii="Calibri" w:hAnsi="Calibri"/>
                <w:b/>
                <w:i w:val="0"/>
                <w:color w:val="212121"/>
                <w:sz w:val="19"/>
              </w:rPr>
              <w:t>Hypotension and altered mental state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Signs of septic shock requiring emergency resuscitation.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Rapid destruction of articular cartilage (chondrolysis) within days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Joint effusion, empyema and periarticular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Osteomyelitis of the adjacent bone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Bacteraemia and sepsis</w:t>
            </w:r>
          </w:p>
        </w:tc>
        <w:tc>
          <w:tcPr>
            <w:tcW w:type="dxa" w:w="2980"/>
            <w:vAlign w:val="top"/>
          </w:tcPr>
          <w:p>
            <w:pPr>
              <w:spacing w:after="40" w:before="0" w:line="259" w:lineRule="auto"/>
            </w:pPr>
            <w:r>
              <w:rPr>
                <w:rFonts w:ascii="Calibri" w:hAnsi="Calibri"/>
                <w:b w:val="0"/>
                <w:i w:val="0"/>
                <w:color w:val="212121"/>
                <w:sz w:val="19"/>
              </w:rPr>
              <w:t>Direct consequences of purulent infection and enzymatic cartilage damage within the joint.</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Growth-plate injury with limb-length discrepancy or deformity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Avascular necrosis of the femoral head and pathological hip dislocation (neonatal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osteomyelitis and sinus formation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joint stiffness and significant residual disability (about 70% at six months in an Indian series)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Metastatic infection such as endocarditis from bacteraemia</w:t>
            </w:r>
          </w:p>
        </w:tc>
        <w:tc>
          <w:tcPr>
            <w:tcW w:type="dxa" w:w="2980"/>
            <w:vAlign w:val="top"/>
          </w:tcPr>
          <w:p>
            <w:pPr>
              <w:spacing w:after="40" w:before="0" w:line="259" w:lineRule="auto"/>
            </w:pPr>
            <w:r>
              <w:rPr>
                <w:rFonts w:ascii="Calibri" w:hAnsi="Calibri"/>
                <w:b w:val="0"/>
                <w:i w:val="0"/>
                <w:color w:val="212121"/>
                <w:sz w:val="19"/>
              </w:rPr>
              <w:t>Downstream effects of tissue destruction, haematogenous spread and delayed or incomplete treatment.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osteoarthritis, fibrous or bony ankylosis and permanent deformity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pain and loss of function, occasionally requiring amputation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Prosthetic-joint failure needing removal or revision arthroplasty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from overwhelming sepsis (in-hospital mortality about 7-15%; 4.25% in an Indian adult series)</w:t>
            </w:r>
          </w:p>
        </w:tc>
        <w:tc>
          <w:tcPr>
            <w:tcW w:type="dxa" w:w="2980"/>
            <w:vAlign w:val="top"/>
          </w:tcPr>
          <w:p>
            <w:pPr>
              <w:spacing w:after="40" w:before="0" w:line="259" w:lineRule="auto"/>
            </w:pPr>
            <w:r>
              <w:rPr>
                <w:rFonts w:ascii="Calibri" w:hAnsi="Calibri"/>
                <w:b w:val="0"/>
                <w:i w:val="0"/>
                <w:color w:val="212121"/>
                <w:sz w:val="19"/>
              </w:rPr>
              <w:t>Severe, often irreversible end-stage outcomes of longstanding, extensive or untreated infection.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Rheumatoid arthritis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Damaged joints plus corticosteroid and biologic therapy make RA the classic predisposer; it also raises the chance of polyarticular and culture-negative disease and can mask a flare.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neutrophil function, vascular disease and foot ulcers seed joints; diabetes was the leading comorbidity in an Indian adult septic-arthritis series.</w:t>
            </w:r>
          </w:p>
        </w:tc>
      </w:tr>
      <w:tr>
        <w:trPr>
          <w:cantSplit/>
        </w:trPr>
        <w:tc>
          <w:tcPr>
            <w:tcW w:type="dxa" w:w="2232"/>
            <w:vAlign w:val="top"/>
          </w:tcPr>
          <w:p>
            <w:pPr>
              <w:spacing w:after="40" w:before="0" w:line="259" w:lineRule="auto"/>
            </w:pPr>
            <w:r>
              <w:rPr>
                <w:rFonts w:ascii="Calibri" w:hAnsi="Calibri"/>
                <w:b/>
                <w:i w:val="0"/>
                <w:color w:val="212121"/>
                <w:sz w:val="19"/>
              </w:rPr>
              <w:t>Osteoarthritis / prior joint damage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 previously abnormal joint is more easily infected, and septic arthritis in turn accelerates secondary osteoarthritis.</w:t>
            </w:r>
          </w:p>
        </w:tc>
      </w:tr>
      <w:tr>
        <w:trPr>
          <w:cantSplit/>
        </w:trPr>
        <w:tc>
          <w:tcPr>
            <w:tcW w:type="dxa" w:w="2232"/>
            <w:vAlign w:val="top"/>
          </w:tcPr>
          <w:p>
            <w:pPr>
              <w:spacing w:after="40" w:before="0" w:line="259" w:lineRule="auto"/>
            </w:pPr>
            <w:r>
              <w:rPr>
                <w:rFonts w:ascii="Calibri" w:hAnsi="Calibri"/>
                <w:b/>
                <w:i w:val="0"/>
                <w:color w:val="212121"/>
                <w:sz w:val="19"/>
              </w:rPr>
              <w:t>Prosthetic joint infection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Biofilm on prosthetic material allows early or late infection of a replaced joint and demands combined surgical and prolonged antimicrobial management.</w:t>
            </w:r>
          </w:p>
        </w:tc>
      </w:tr>
      <w:tr>
        <w:trPr>
          <w:cantSplit/>
        </w:trPr>
        <w:tc>
          <w:tcPr>
            <w:tcW w:type="dxa" w:w="2232"/>
            <w:vAlign w:val="top"/>
          </w:tcPr>
          <w:p>
            <w:pPr>
              <w:spacing w:after="40" w:before="0" w:line="259" w:lineRule="auto"/>
            </w:pPr>
            <w:r>
              <w:rPr>
                <w:rFonts w:ascii="Calibri" w:hAnsi="Calibri"/>
                <w:b/>
                <w:i w:val="0"/>
                <w:color w:val="212121"/>
                <w:sz w:val="19"/>
              </w:rPr>
              <w:t>Osteomyelitis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Adjacent bone infection can extend into the joint (and vice versa), especially in neonates, sharing organisms and route of spread.</w:t>
            </w:r>
          </w:p>
        </w:tc>
      </w:tr>
      <w:tr>
        <w:trPr>
          <w:cantSplit/>
        </w:trPr>
        <w:tc>
          <w:tcPr>
            <w:tcW w:type="dxa" w:w="2232"/>
            <w:vAlign w:val="top"/>
          </w:tcPr>
          <w:p>
            <w:pPr>
              <w:spacing w:after="40" w:before="0" w:line="259" w:lineRule="auto"/>
            </w:pPr>
            <w:r>
              <w:rPr>
                <w:rFonts w:ascii="Calibri" w:hAnsi="Calibri"/>
                <w:b/>
                <w:i w:val="0"/>
                <w:color w:val="212121"/>
                <w:sz w:val="19"/>
              </w:rPr>
              <w:t>Crystal arthropathy (gout / pseudogout)</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Crystal arthritis mimics and can coexist with infection, so finding crystals does not exclude septic arthritis and alters interpretation of the aspirate.</w:t>
            </w:r>
          </w:p>
        </w:tc>
      </w:tr>
      <w:tr>
        <w:trPr>
          <w:cantSplit/>
        </w:trPr>
        <w:tc>
          <w:tcPr>
            <w:tcW w:type="dxa" w:w="2232"/>
            <w:vAlign w:val="top"/>
          </w:tcPr>
          <w:p>
            <w:pPr>
              <w:spacing w:after="40" w:before="0" w:line="259" w:lineRule="auto"/>
            </w:pPr>
            <w:r>
              <w:rPr>
                <w:rFonts w:ascii="Calibri" w:hAnsi="Calibri"/>
                <w:b/>
                <w:i w:val="0"/>
                <w:color w:val="212121"/>
                <w:sz w:val="19"/>
              </w:rPr>
              <w:t>Disseminated gonococcal infection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Untreated gonorrhoea disseminates to cause gonococcal arthritis with tenosynovitis and skin pustules in young adults.</w:t>
            </w:r>
          </w:p>
        </w:tc>
      </w:tr>
      <w:tr>
        <w:trPr>
          <w:cantSplit/>
        </w:trPr>
        <w:tc>
          <w:tcPr>
            <w:tcW w:type="dxa" w:w="2232"/>
            <w:vAlign w:val="top"/>
          </w:tcPr>
          <w:p>
            <w:pPr>
              <w:spacing w:after="40" w:before="0" w:line="259" w:lineRule="auto"/>
            </w:pPr>
            <w:r>
              <w:rPr>
                <w:rFonts w:ascii="Calibri" w:hAnsi="Calibri"/>
                <w:b/>
                <w:i w:val="0"/>
                <w:color w:val="212121"/>
                <w:sz w:val="19"/>
              </w:rPr>
              <w:t>Osteoarticular tuberculosis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Extrapulmonary TB causes chronic, indolent joint infection that is an important differential of pyogenic septic arthritis in India.</w:t>
            </w:r>
          </w:p>
        </w:tc>
      </w:tr>
      <w:tr>
        <w:trPr>
          <w:cantSplit/>
        </w:trPr>
        <w:tc>
          <w:tcPr>
            <w:tcW w:type="dxa" w:w="2232"/>
            <w:vAlign w:val="top"/>
          </w:tcPr>
          <w:p>
            <w:pPr>
              <w:spacing w:after="40" w:before="0" w:line="259" w:lineRule="auto"/>
            </w:pPr>
            <w:r>
              <w:rPr>
                <w:rFonts w:ascii="Calibri" w:hAnsi="Calibri"/>
                <w:b/>
                <w:i w:val="0"/>
                <w:color w:val="212121"/>
                <w:sz w:val="19"/>
              </w:rPr>
              <w:t>Sepsis / bacteraemia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Bloodstream infection both seeds the joint and can result from it, and drives the systemic mortality of septic arthritis.</w:t>
            </w:r>
          </w:p>
        </w:tc>
      </w:tr>
      <w:tr>
        <w:trPr>
          <w:cantSplit/>
        </w:trPr>
        <w:tc>
          <w:tcPr>
            <w:tcW w:type="dxa" w:w="2232"/>
            <w:vAlign w:val="top"/>
          </w:tcPr>
          <w:p>
            <w:pPr>
              <w:spacing w:after="40" w:before="0" w:line="259" w:lineRule="auto"/>
            </w:pPr>
            <w:r>
              <w:rPr>
                <w:rFonts w:ascii="Calibri" w:hAnsi="Calibri"/>
                <w:b/>
                <w:i w:val="0"/>
                <w:color w:val="212121"/>
                <w:sz w:val="19"/>
              </w:rPr>
              <w:t>HIV and immunosuppression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Reduced microbial clearance raises the risk of septic arthritis and of unusual or opportunistic organisms.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 hot, swollen, acutely painful joint with fever as a medical emergency needing same-day assessment and joint aspiration before antibiotics.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urgent care for any red, painful or non-moving joint in a child or neonate, who may only refuse to move the limb.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skin, wounds and diabetic foot ulcers clean, and treat cellulitis and other infections early to prevent seeding of joints.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any intra-articular injection, aspiration or joint surgery is performed with strict sterile technique.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prosthetic joints, rheumatoid arthritis, diabetes or on immunosuppressants should report new joint symptoms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TB-endemic India, consider tuberculous arthritis when a single joint is chronically swollen and painful.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and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Rheumatoid and immunosuppressed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Prosthetic-joint recipients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young children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Once the infection is controlled and the joint drained, begin early guided physiotherapy to preserve range of motion and prevent stiffness and ankylosis.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graded weight-bearing and strengthening programme as advised by the treating team.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immobilising the joint for longer than necessary while respecting pain and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children, monitor for growth disturbance and rehabilitate limb function accordingly.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Post-drainage or post-operative joints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hip or knee infection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blood-sugar control, since diabetes is the leading comorbidity in Indian septic-arthritis series and hyperglycaemia weakens immune defence.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protein-energy and micronutrient intake to correct malnutrition and low serum albumin.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wound healing and immunity with a balanced diet during and after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weight optimisation before elective joint replacement to lower infection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and elderly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Post-surgical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Joint-replacement candidates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restorative sleep to support immune function and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joint pain effectively so it does not disrupt sleep during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Chronically ill and immunosuppressed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improve immunity, microvascular perfusion and wound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cessation before any elective joint replacement to reduce prosthetic-joint infection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nicotine-replacement or pharmacotherapy with counselling to support quitting.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Joint-replacement candidates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impairs immunity and predisposes to bacteraemia and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or binge drinking and seek help for alcohol-use disorder.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harm-reduction and addiction support to people who inject drugs, a key risk group for unusual-joint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anxiety and depression that can follow disabling joint damage, prolonged treatment or amputation.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adherence to prolonged antibiotic courses and rehabilitation with counselling and follow-up.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who inject drugs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residual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on long-term antibiotic therapy</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1424007/" TargetMode="External"/><Relationship Id="rId10" Type="http://schemas.openxmlformats.org/officeDocument/2006/relationships/hyperlink" Target="https://www.ncbi.nlm.nih.gov/books/NBK538176/" TargetMode="External"/><Relationship Id="rId11" Type="http://schemas.openxmlformats.org/officeDocument/2006/relationships/hyperlink" Target="https://pubmed.ncbi.nlm.nih.gov/27154290/" TargetMode="External"/><Relationship Id="rId12" Type="http://schemas.openxmlformats.org/officeDocument/2006/relationships/hyperlink" Target="https://pubmed.ncbi.nlm.nih.gov/11964639/" TargetMode="External"/><Relationship Id="rId13" Type="http://schemas.openxmlformats.org/officeDocument/2006/relationships/hyperlink" Target="https://www.nhs.uk/conditions/septic-arthrit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