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Avascular Necrosis of Femoral Head</w:t>
      </w:r>
    </w:p>
    <w:p>
      <w:pPr>
        <w:spacing w:before="0" w:after="160"/>
      </w:pPr>
      <w:r>
        <w:rPr>
          <w:rFonts w:ascii="Calibri" w:hAnsi="Calibri"/>
          <w:b/>
          <w:i w:val="0"/>
          <w:color w:val="212121"/>
          <w:sz w:val="22"/>
        </w:rPr>
        <w:t xml:space="preserve">AKA </w:t>
      </w:r>
      <w:r>
        <w:rPr>
          <w:rFonts w:ascii="Calibri" w:hAnsi="Calibri"/>
          <w:b w:val="0"/>
          <w:i w:val="0"/>
          <w:color w:val="212121"/>
          <w:sz w:val="22"/>
        </w:rPr>
        <w:t>i.e., Osteonecrosis of the femoral head (ONFH), Aseptic necrosis of the hip, Ischaemic / avascular necrosis of the hip, Bone infarction of the femoral head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Avascular necrosis (AVN) of the femoral head is a progressive, disabling disorder in which interruption of the subchondral blood supply causes death (infarction) of the osteocytes and marrow of the femoral head. The dead bone loses its mechanical strength, and over months to years the articular surface fractures and collapses, producing secondary osteoarthritis of the hip. It characteristically affects young and middle-aged adults, is frequently bilateral, and is most commonly associated with corticosteroid use, chronic alcohol excess and trauma.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AVN of the femoral head is one of the leading causes of hip disability and total hip replacement in young Indian adults. In Indian series it strikes predominantly in the productive 3rd and 4th decades of life (mean age about 35 years, with roughly 70% of patients aged 20-40), shows a strong male predominance of about 5:1, and involves both hips in over half of patients. Corticosteroids (~37%), idiopathic causes (~21%), alcohol (~20%) and trauma (~15%) are the leading identifiable aetiologies. The widespread use of high-dose steroids during the COVID-19 pandemic produced a marked surge of steroid-induced hip AVN across Indian centres. Globally, osteonecrosis accounts for about 10% of all total hip arthroplasties performed in the United States, and more than 8 million people are estimated to be affected in China alone.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AVN of the femoral head is a clinical-radiological diagnosis; because early disease is often silent or non-specific, a high index of suspicion in at-risk patients and early MRI are key. Diagnosis and staging rest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Magnetic resonance imaging (MRI) is the gold-standard, most sensitive and specific test; it demonstrates the pathognomonic band-like low-signal line and the “double-line sign” demarcating the necrotic segment, and detects pre-collapse disease when radiographs are still normal.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Plain radiographs (antero-posterior and frog-leg lateral views) are typically normal early; they later show patchy sclerosis and cysts, the subchondral “crescent sign” (subchondral fracture) and, finally, flattening and collapse of the head with joint-space narrowing.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Staging is assigned with the revised 2019 ARCO system (Stages I–IV) or the older Ficat–Arlet and Steinberg systems, based on radiographic/MRI findings and the degree of femoral-head depression.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Computed tomography better delineates the subchondral fracture/crescent sign and the true extent of collapse, and is helpful for surgical planning.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Radionuclide bone scan (Tc-99m) shows increased uptake or a characteristic “cold-in-hot” (doughnut) pattern and is useful when MRI is contraindicated.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Because non-traumatic AVN is bilateral in more than half of patients, imaging of the contralateral (often asymptomatic) hip and a search for the underlying cause (steroid/alcohol history, thrombophilia, haemoglobinopathy, autoimmune and lipid screen) are essential.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AVN of the femoral head is classified both by mechanism and by validated radiological staging systems that guide prognosis and treatment:</w:t>
      </w:r>
    </w:p>
    <w:p>
      <w:pPr>
        <w:spacing w:before="0" w:after="80"/>
      </w:pPr>
      <w:r>
        <w:rPr>
          <w:rFonts w:ascii="Calibri" w:hAnsi="Calibri"/>
          <w:b w:val="0"/>
          <w:i w:val="0"/>
          <w:color w:val="212121"/>
          <w:sz w:val="21"/>
        </w:rPr>
        <w:t>(1) By mechanism — traumatic AVN (following femoral neck fracture or hip dislocation) versus non-traumatic (atraumatic) AVN, which encompasses corticosteroid- and alcohol-associated disease, idiopathic cases, and disease-associated forms (SLE, sickle cell disease, Gaucher disease, HIV, dysbaric injury).</w:t>
      </w:r>
    </w:p>
    <w:p>
      <w:pPr>
        <w:spacing w:before="0" w:after="80"/>
      </w:pPr>
      <w:r>
        <w:rPr>
          <w:rFonts w:ascii="Calibri" w:hAnsi="Calibri"/>
          <w:b w:val="0"/>
          <w:i w:val="0"/>
          <w:color w:val="212121"/>
          <w:sz w:val="21"/>
        </w:rPr>
        <w:t>(2) Ficat and Arlet — the classic four-stage radiographic system: Stage I (normal radiograph, symptoms only), Stage II (sclerosis and cystic change without collapse), Stage III (subchondral collapse / crescent sign with preserved joint space) and Stage IV (head flattening with secondary osteoarthritis).</w:t>
      </w:r>
    </w:p>
    <w:p>
      <w:pPr>
        <w:spacing w:before="0" w:after="80"/>
      </w:pPr>
      <w:r>
        <w:rPr>
          <w:rFonts w:ascii="Calibri" w:hAnsi="Calibri"/>
          <w:b w:val="0"/>
          <w:i w:val="0"/>
          <w:color w:val="212121"/>
          <w:sz w:val="21"/>
        </w:rPr>
        <w:t>(3) Revised 2019 ARCO staging — Stage I (radiograph normal but MRI or bone scan positive), Stage II (radiographic sclerosis, focal osteoporosis or cysts without subchondral fracture), Stage III (subchondral or necrotic-zone fracture; IIIA with head depression ≤2 mm and IIIB with depression &gt;2 mm) and Stage IV (osteoarthritis with joint-space narrowing, acetabular change and joint destruction).</w:t>
      </w:r>
    </w:p>
    <w:p>
      <w:pPr>
        <w:spacing w:before="0" w:after="80"/>
      </w:pPr>
      <w:r>
        <w:rPr>
          <w:rFonts w:ascii="Calibri" w:hAnsi="Calibri"/>
          <w:b w:val="0"/>
          <w:i w:val="0"/>
          <w:color w:val="212121"/>
          <w:sz w:val="21"/>
        </w:rPr>
        <w:t>(4) Steinberg (University of Pennsylvania) — a seven-stage system (0–VI) that additionally quantifies the size of the necrotic lesion (mild &lt;15%, moderate 15–30%, severe &gt;30% of the head), which strongly predicts collapse and guides joint-preserving versus joint-replacement surgery.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Corticosteroid therapy: The single most common identifiable cause. High cumulative doses (&gt;2 g of prednisolone equivalent within about 3 months) trigger osteocyte and marrow-adipocyte apoptosis, marrow fat hypertrophy and raised intra-osseous pressure that collapse the subchondral sinusoids and starve the femoral head of blood.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Chronic alcohol excess: Sustained intake (&gt;320 g of ethanol per week for over 6 months) promotes marrow adipogenesis, systemic fat emboli and hyperlipidaemia that occlude the fine subchondral vessels; risk rises steeply with dose and duration.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Trauma: Femoral neck fracture and hip dislocation mechanically tear the retinacular branches of the medial femoral circumflex artery — the principal blood supply of the head — producing post-traumatic AVN.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Haemoglobinopathies and hypercoagulable states: Sickle cell disease, antiphospholipid syndrome and inherited thrombophilias (Factor V Leiden, protein C/S deficiency) cause vaso-occlusion or venous stasis in the subchondral bone.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Systemic and autoimmune disease: SLE and other inflammatory disorders predispose both directly and through the corticosteroids used to treat them.</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Other insults: Dysbaric (caisson) exposure in divers and compressed-air workers, radiotherapy and chemotherapy, HIV, organ transplantation, Gaucher disease, pregnancy and cigarette smoking all reduce or obstruct femoral-head perfusion.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Idiopathic: In roughly one-fifth to one-quarter of patients no cause is identified, although subclinical thrombophilia or lipid abnormalities are often suspected.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&amp; middle-aged adults (30-50 years)</w:t>
            </w:r>
          </w:p>
        </w:tc>
        <w:tc>
          <w:tcPr>
            <w:tcW w:type="dxa" w:w="4276"/>
            <w:vAlign w:val="top"/>
          </w:tcPr>
          <w:p>
            <w:pPr>
              <w:spacing w:after="60" w:line="259" w:lineRule="auto"/>
            </w:pPr>
            <w:r>
              <w:rPr>
                <w:rFonts w:ascii="Calibri" w:hAnsi="Calibri"/>
                <w:b w:val="0"/>
                <w:i w:val="0"/>
                <w:color w:val="212121"/>
                <w:sz w:val="19"/>
              </w:rPr>
              <w:t>Non-traumatic AVN characteristically strikes active adults in their 3rd–5th decades, when steroid and alcohol exposure peak and the femoral head is under high functional load, so collapse produces disproportionate disability and early hip replacement.</w:t>
            </w:r>
          </w:p>
          <w:p>
            <w:pPr>
              <w:spacing w:after="40" w:before="60" w:line="259" w:lineRule="auto"/>
            </w:pPr>
            <w:r>
              <w:rPr>
                <w:rFonts w:ascii="Calibri" w:hAnsi="Calibri"/>
                <w:b w:val="0"/>
                <w:i w:val="0"/>
                <w:color w:val="212121"/>
                <w:sz w:val="19"/>
              </w:rPr>
              <w:t>In a North Indian series the mean age was 34.7 years and 70.3% of patients were aged 20-40 years.</w:t>
            </w:r>
          </w:p>
          <w:p>
            <w:pPr>
              <w:spacing w:after="40" w:line="252" w:lineRule="auto"/>
            </w:pPr>
            <w:hyperlink r:id="rId9">
              <w:r>
                <w:rPr>
                  <w:rFonts w:ascii="Calibri" w:hAnsi="Calibri" w:cs="Calibri"/>
                  <w:sz w:val="18"/>
                  <w:color w:val="1155CC"/>
                  <w:u w:val="single"/>
                </w:rPr>
                <w:t xml:space="preserve">pubmed.ncbi.nlm.nih.gov/29576641</w:t>
              </w:r>
            </w:hyperlink>
          </w:p>
          <w:p>
            <w:pPr>
              <w:spacing w:before="60" w:after="40"/>
            </w:pPr>
            <w:r>
              <w:rPr>
                <w:rFonts w:ascii="Calibri" w:hAnsi="Calibri"/>
                <w:b w:val="0"/>
                <w:i w:val="0"/>
                <w:color w:val="5A5A5A"/>
                <w:sz w:val="18"/>
              </w:rPr>
              <w:t>#youngadults  #ONFH  #hipcollapse  #productiveage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AVN is more often post-traumatic — a displaced femoral neck fracture disrupts the retinacular vessels — and is compounded by corticosteroids taken for age-related inflammatory and respiratory disease.</w:t>
            </w:r>
          </w:p>
          <w:p>
            <w:pPr>
              <w:spacing w:after="40" w:before="60" w:line="259" w:lineRule="auto"/>
            </w:pPr>
            <w:r>
              <w:rPr>
                <w:rFonts w:ascii="Calibri" w:hAnsi="Calibri"/>
                <w:b w:val="0"/>
                <w:i w:val="0"/>
                <w:color w:val="212121"/>
                <w:sz w:val="19"/>
              </w:rPr>
              <w:t>Displaced intracapsular femoral neck fractures in the elderly carry a high risk of subsequent head osteonecrosis, a major reason arthroplasty is preferred over fixation in this group.</w:t>
            </w:r>
          </w:p>
          <w:p>
            <w:pPr>
              <w:spacing w:before="60" w:after="40"/>
            </w:pPr>
            <w:r>
              <w:rPr>
                <w:rFonts w:ascii="Calibri" w:hAnsi="Calibri"/>
                <w:b w:val="0"/>
                <w:i w:val="0"/>
                <w:color w:val="5A5A5A"/>
                <w:sz w:val="18"/>
              </w:rPr>
              <w:t>#elderly  #femoralneckfracture  #posttraumaticAVN  #arthroplasty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strongly, largely because alcohol excess, smoking and trauma — the chief modifiable causes — are commoner in Indian men.</w:t>
            </w:r>
          </w:p>
          <w:p>
            <w:pPr>
              <w:spacing w:after="40" w:before="60" w:line="259" w:lineRule="auto"/>
            </w:pPr>
            <w:r>
              <w:rPr>
                <w:rFonts w:ascii="Calibri" w:hAnsi="Calibri"/>
                <w:b w:val="0"/>
                <w:i w:val="0"/>
                <w:color w:val="212121"/>
                <w:sz w:val="19"/>
              </w:rPr>
              <w:t>Male-to-female ratio was about 5:1 in a North Indian osteonecrosis cohort.</w:t>
            </w:r>
          </w:p>
          <w:p>
            <w:pPr>
              <w:spacing w:after="40" w:line="252" w:lineRule="auto"/>
            </w:pPr>
            <w:hyperlink r:id="rId9">
              <w:r>
                <w:rPr>
                  <w:rFonts w:ascii="Calibri" w:hAnsi="Calibri" w:cs="Calibri"/>
                  <w:sz w:val="18"/>
                  <w:color w:val="1155CC"/>
                  <w:u w:val="single"/>
                </w:rPr>
                <w:t xml:space="preserve">pubmed.ncbi.nlm.nih.gov/29576641</w:t>
              </w:r>
            </w:hyperlink>
          </w:p>
          <w:p>
            <w:pPr>
              <w:spacing w:before="60" w:after="40"/>
            </w:pPr>
            <w:r>
              <w:rPr>
                <w:rFonts w:ascii="Calibri" w:hAnsi="Calibri"/>
                <w:b w:val="0"/>
                <w:i w:val="0"/>
                <w:color w:val="5A5A5A"/>
                <w:sz w:val="18"/>
              </w:rPr>
              <w:t>#malepredominance  #alcohol  #smoking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with autoimmune disease</w:t>
            </w:r>
          </w:p>
        </w:tc>
        <w:tc>
          <w:tcPr>
            <w:tcW w:type="dxa" w:w="4276"/>
            <w:vAlign w:val="top"/>
          </w:tcPr>
          <w:p>
            <w:pPr>
              <w:spacing w:after="60" w:line="259" w:lineRule="auto"/>
            </w:pPr>
            <w:r>
              <w:rPr>
                <w:rFonts w:ascii="Calibri" w:hAnsi="Calibri"/>
                <w:b w:val="0"/>
                <w:i w:val="0"/>
                <w:color w:val="212121"/>
                <w:sz w:val="19"/>
              </w:rPr>
              <w:t>Young women on corticosteroids for SLE and other connective-tissue disease are a distinct high-risk group; disease-related vasculopathy and steroids act together.</w:t>
            </w:r>
          </w:p>
          <w:p>
            <w:pPr>
              <w:spacing w:after="40" w:before="60" w:line="259" w:lineRule="auto"/>
            </w:pPr>
            <w:r>
              <w:rPr>
                <w:rFonts w:ascii="Calibri" w:hAnsi="Calibri"/>
                <w:b w:val="0"/>
                <w:i w:val="0"/>
                <w:color w:val="212121"/>
                <w:sz w:val="19"/>
              </w:rPr>
              <w:t>In a South Indian tertiary centre, osteonecrosis developed in 5.1% of SLE patients, and 80.9% of those lesions involved the femoral head.</w:t>
            </w:r>
          </w:p>
          <w:p>
            <w:pPr>
              <w:spacing w:after="40" w:line="252" w:lineRule="auto"/>
            </w:pPr>
            <w:hyperlink r:id="rId10">
              <w:r>
                <w:rPr>
                  <w:rFonts w:ascii="Calibri" w:hAnsi="Calibri" w:cs="Calibri"/>
                  <w:sz w:val="18"/>
                  <w:color w:val="1155CC"/>
                  <w:u w:val="single"/>
                </w:rPr>
                <w:t xml:space="preserve">pubmed.ncbi.nlm.nih.gov/33110861</w:t>
              </w:r>
            </w:hyperlink>
          </w:p>
          <w:p>
            <w:pPr>
              <w:spacing w:before="60" w:after="40"/>
            </w:pPr>
            <w:r>
              <w:rPr>
                <w:rFonts w:ascii="Calibri" w:hAnsi="Calibri"/>
                <w:b w:val="0"/>
                <w:i w:val="0"/>
                <w:color w:val="5A5A5A"/>
                <w:sz w:val="18"/>
              </w:rPr>
              <w:t>#SLE  #lupus  #steroidAVN  #women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Users of unregulated / self-prescribed steroids</w:t>
            </w:r>
          </w:p>
        </w:tc>
        <w:tc>
          <w:tcPr>
            <w:tcW w:type="dxa" w:w="4276"/>
            <w:vAlign w:val="top"/>
          </w:tcPr>
          <w:p>
            <w:pPr>
              <w:spacing w:after="60" w:line="259" w:lineRule="auto"/>
            </w:pPr>
            <w:r>
              <w:rPr>
                <w:rFonts w:ascii="Calibri" w:hAnsi="Calibri"/>
                <w:b w:val="0"/>
                <w:i w:val="0"/>
                <w:color w:val="212121"/>
                <w:sz w:val="19"/>
              </w:rPr>
              <w:t>Easy over-the-counter access to corticosteroids and steroid-containing indigenous or pain remedies in India, plus aggressive steroid use during acute illness, exposes even people without a formal rheumatic diagnosis to osteonecrosis.</w:t>
            </w:r>
          </w:p>
          <w:p>
            <w:pPr>
              <w:spacing w:after="40" w:before="60" w:line="259" w:lineRule="auto"/>
            </w:pPr>
            <w:r>
              <w:rPr>
                <w:rFonts w:ascii="Calibri" w:hAnsi="Calibri"/>
                <w:b w:val="0"/>
                <w:i w:val="0"/>
                <w:color w:val="212121"/>
                <w:sz w:val="19"/>
              </w:rPr>
              <w:t>During COVID-19, Indian centres reported hip AVN after cumulative steroid doses far below the classical threshold (mean methylprednisolone-equivalent ~700-800 mg), reflecting how modest but widespread steroid use drives disease.</w:t>
            </w:r>
          </w:p>
          <w:p>
            <w:pPr>
              <w:spacing w:after="40" w:line="252" w:lineRule="auto"/>
            </w:pPr>
            <w:hyperlink r:id="rId11">
              <w:r>
                <w:rPr>
                  <w:rFonts w:ascii="Calibri" w:hAnsi="Calibri" w:cs="Calibri"/>
                  <w:sz w:val="18"/>
                  <w:color w:val="1155CC"/>
                  <w:u w:val="single"/>
                </w:rPr>
                <w:t xml:space="preserve">pubmed.ncbi.nlm.nih.gov/40576413</w:t>
              </w:r>
            </w:hyperlink>
          </w:p>
          <w:p>
            <w:pPr>
              <w:spacing w:before="60" w:after="40"/>
            </w:pPr>
            <w:r>
              <w:rPr>
                <w:rFonts w:ascii="Calibri" w:hAnsi="Calibri"/>
                <w:b w:val="0"/>
                <w:i w:val="0"/>
                <w:color w:val="5A5A5A"/>
                <w:sz w:val="18"/>
              </w:rPr>
              <w:t>#steroidmisuse  #selfmedication  #OTCsteroids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healthcare context</w:t>
            </w:r>
          </w:p>
        </w:tc>
        <w:tc>
          <w:tcPr>
            <w:tcW w:type="dxa" w:w="2160"/>
            <w:vAlign w:val="top"/>
          </w:tcPr>
          <w:p>
            <w:pPr>
              <w:spacing w:after="40" w:before="0" w:line="259" w:lineRule="auto"/>
            </w:pPr>
            <w:r>
              <w:rPr>
                <w:rFonts w:ascii="Calibri" w:hAnsi="Calibri"/>
                <w:b w:val="0"/>
                <w:i w:val="0"/>
                <w:color w:val="212121"/>
                <w:sz w:val="19"/>
              </w:rPr>
              <w:t>Pan-India (post-COVID surge)</w:t>
            </w:r>
          </w:p>
        </w:tc>
        <w:tc>
          <w:tcPr>
            <w:tcW w:type="dxa" w:w="4276"/>
            <w:vAlign w:val="top"/>
          </w:tcPr>
          <w:p>
            <w:pPr>
              <w:spacing w:after="60" w:line="259" w:lineRule="auto"/>
            </w:pPr>
            <w:r>
              <w:rPr>
                <w:rFonts w:ascii="Calibri" w:hAnsi="Calibri"/>
                <w:b w:val="0"/>
                <w:i w:val="0"/>
                <w:color w:val="212121"/>
                <w:sz w:val="19"/>
              </w:rPr>
              <w:t>AVN is a leading indication for hip replacement in young Indians; the pandemic-era spike in high-dose corticosteroids for COVID-19 pneumonia caused a nationwide wave of steroid-induced femoral-head necrosis.</w:t>
            </w:r>
          </w:p>
          <w:p>
            <w:pPr>
              <w:spacing w:after="40" w:before="60" w:line="259" w:lineRule="auto"/>
            </w:pPr>
            <w:r>
              <w:rPr>
                <w:rFonts w:ascii="Calibri" w:hAnsi="Calibri"/>
                <w:b w:val="0"/>
                <w:i w:val="0"/>
                <w:color w:val="212121"/>
                <w:sz w:val="19"/>
              </w:rPr>
              <w:t>Indian series (Coimbatore, Mumbai, Mangalore) documented clusters of post-COVID hip AVN presenting a mean of 6-8 months after infection, often with bilateral, rapidly progressive disease.</w:t>
            </w:r>
          </w:p>
          <w:p>
            <w:pPr>
              <w:spacing w:after="40" w:line="252" w:lineRule="auto"/>
            </w:pPr>
            <w:hyperlink r:id="rId12">
              <w:r>
                <w:rPr>
                  <w:rFonts w:ascii="Calibri" w:hAnsi="Calibri" w:cs="Calibri"/>
                  <w:sz w:val="18"/>
                  <w:color w:val="1155CC"/>
                  <w:u w:val="single"/>
                </w:rPr>
                <w:t xml:space="preserve">pubmed.ncbi.nlm.nih.gov/35495964</w:t>
              </w:r>
            </w:hyperlink>
          </w:p>
          <w:p>
            <w:pPr>
              <w:spacing w:before="60" w:after="40"/>
            </w:pPr>
            <w:r>
              <w:rPr>
                <w:rFonts w:ascii="Calibri" w:hAnsi="Calibri"/>
                <w:b w:val="0"/>
                <w:i w:val="0"/>
                <w:color w:val="5A5A5A"/>
                <w:sz w:val="18"/>
              </w:rPr>
              <w:t>#postCOVID  #steroidsurge  #India  #bilateralAVN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regional clustering</w:t>
            </w:r>
          </w:p>
        </w:tc>
        <w:tc>
          <w:tcPr>
            <w:tcW w:type="dxa" w:w="2160"/>
            <w:vAlign w:val="top"/>
          </w:tcPr>
          <w:p>
            <w:pPr>
              <w:spacing w:after="40" w:before="0" w:line="259" w:lineRule="auto"/>
            </w:pPr>
            <w:r>
              <w:rPr>
                <w:rFonts w:ascii="Calibri" w:hAnsi="Calibri"/>
                <w:b w:val="0"/>
                <w:i w:val="0"/>
                <w:color w:val="212121"/>
                <w:sz w:val="19"/>
              </w:rPr>
              <w:t>Central &amp; eastern Indian tribal sickle-cell belt</w:t>
            </w:r>
          </w:p>
        </w:tc>
        <w:tc>
          <w:tcPr>
            <w:tcW w:type="dxa" w:w="4276"/>
            <w:vAlign w:val="top"/>
          </w:tcPr>
          <w:p>
            <w:pPr>
              <w:spacing w:after="60" w:line="259" w:lineRule="auto"/>
            </w:pPr>
            <w:r>
              <w:rPr>
                <w:rFonts w:ascii="Calibri" w:hAnsi="Calibri"/>
                <w:b w:val="0"/>
                <w:i w:val="0"/>
                <w:color w:val="212121"/>
                <w:sz w:val="19"/>
              </w:rPr>
              <w:t>The high prevalence of sickle cell trait and disease in the tribal belt of Odisha, Chhattisgarh, Madhya Pradesh and Jharkhand predisposes to repeated subchondral vaso-occlusion and femoral-head infarction from a young age.</w:t>
            </w:r>
          </w:p>
          <w:p>
            <w:pPr>
              <w:spacing w:after="40" w:before="60" w:line="259" w:lineRule="auto"/>
            </w:pPr>
            <w:r>
              <w:rPr>
                <w:rFonts w:ascii="Calibri" w:hAnsi="Calibri"/>
                <w:b w:val="0"/>
                <w:i w:val="0"/>
                <w:color w:val="212121"/>
                <w:sz w:val="19"/>
              </w:rPr>
              <w:t>Avascular necrosis of the femoral head is a recognised, common musculoskeletal complication of sickle cell disease, frequently bilateral and presenting in adolescence or early adulthood.</w:t>
            </w:r>
          </w:p>
          <w:p>
            <w:pPr>
              <w:spacing w:before="60" w:after="40"/>
            </w:pPr>
            <w:r>
              <w:rPr>
                <w:rFonts w:ascii="Calibri" w:hAnsi="Calibri"/>
                <w:b w:val="0"/>
                <w:i w:val="0"/>
                <w:color w:val="5A5A5A"/>
                <w:sz w:val="18"/>
              </w:rPr>
              <w:t>#sicklecell  #tribalbelt  #vasoocclusion  #haemoglobinopathy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cigarette smokers</w:t>
            </w:r>
          </w:p>
        </w:tc>
        <w:tc>
          <w:tcPr>
            <w:tcW w:type="dxa" w:w="4276"/>
            <w:vAlign w:val="top"/>
          </w:tcPr>
          <w:p>
            <w:pPr>
              <w:spacing w:after="60" w:line="259" w:lineRule="auto"/>
            </w:pPr>
            <w:r>
              <w:rPr>
                <w:rFonts w:ascii="Calibri" w:hAnsi="Calibri"/>
                <w:b w:val="0"/>
                <w:i w:val="0"/>
                <w:color w:val="212121"/>
                <w:sz w:val="19"/>
              </w:rPr>
              <w:t>Tobacco causes direct endothelial and osteocyte toxicity, vasoconstriction and a prothrombotic state that impair the fragile femoral-head microcirculation, independent of steroids.</w:t>
            </w:r>
          </w:p>
          <w:p>
            <w:pPr>
              <w:spacing w:after="40" w:before="60" w:line="259" w:lineRule="auto"/>
            </w:pPr>
            <w:r>
              <w:rPr>
                <w:rFonts w:ascii="Calibri" w:hAnsi="Calibri"/>
                <w:b w:val="0"/>
                <w:i w:val="0"/>
                <w:color w:val="212121"/>
                <w:sz w:val="19"/>
              </w:rPr>
              <w:t>Current smokers had about a 3.9-fold higher risk of non-traumatic femoral-head osteonecrosis, rising to ~10-fold among those who had never used corticosteroids.</w:t>
            </w:r>
          </w:p>
          <w:p>
            <w:pPr>
              <w:spacing w:after="40" w:line="252" w:lineRule="auto"/>
            </w:pPr>
            <w:hyperlink r:id="rId13">
              <w:r>
                <w:rPr>
                  <w:rFonts w:ascii="Calibri" w:hAnsi="Calibri" w:cs="Calibri"/>
                  <w:sz w:val="18"/>
                  <w:color w:val="1155CC"/>
                  <w:u w:val="single"/>
                </w:rPr>
                <w:t xml:space="preserve">pubmed.ncbi.nlm.nih.gov/22927108</w:t>
              </w:r>
            </w:hyperlink>
          </w:p>
          <w:p>
            <w:pPr>
              <w:spacing w:before="60" w:after="40"/>
            </w:pPr>
            <w:r>
              <w:rPr>
                <w:rFonts w:ascii="Calibri" w:hAnsi="Calibri"/>
                <w:b w:val="0"/>
                <w:i w:val="0"/>
                <w:color w:val="5A5A5A"/>
                <w:sz w:val="18"/>
              </w:rPr>
              <w:t>#smoking  #tobacco  #endothelialdamage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Sustained heavy drinking promotes marrow fat accumulation, fat emboli and hyperlipidaemia that obstruct subchondral blood flow; the effect is strongly dose-dependent.</w:t>
            </w:r>
          </w:p>
          <w:p>
            <w:pPr>
              <w:spacing w:after="40" w:before="60" w:line="259" w:lineRule="auto"/>
            </w:pPr>
            <w:r>
              <w:rPr>
                <w:rFonts w:ascii="Calibri" w:hAnsi="Calibri"/>
                <w:b w:val="0"/>
                <w:i w:val="0"/>
                <w:color w:val="212121"/>
                <w:sz w:val="19"/>
              </w:rPr>
              <w:t>Risk of femoral-head osteonecrosis was raised in occasional (OR ~3.6) and daily drinkers (OR ~5.9), and alcohol accounted for about 20% of cases in an Indian cohort.</w:t>
            </w:r>
          </w:p>
          <w:p>
            <w:pPr>
              <w:spacing w:after="40" w:line="252" w:lineRule="auto"/>
            </w:pPr>
            <w:hyperlink r:id="rId14">
              <w:r>
                <w:rPr>
                  <w:rFonts w:ascii="Calibri" w:hAnsi="Calibri" w:cs="Calibri"/>
                  <w:sz w:val="18"/>
                  <w:color w:val="1155CC"/>
                  <w:u w:val="single"/>
                </w:rPr>
                <w:t xml:space="preserve">pubmed.ncbi.nlm.nih.gov/28685377</w:t>
              </w:r>
            </w:hyperlink>
          </w:p>
          <w:p>
            <w:pPr>
              <w:spacing w:before="60" w:after="40"/>
            </w:pPr>
            <w:r>
              <w:rPr>
                <w:rFonts w:ascii="Calibri" w:hAnsi="Calibri"/>
                <w:b w:val="0"/>
                <w:i w:val="0"/>
                <w:color w:val="5A5A5A"/>
                <w:sz w:val="18"/>
              </w:rPr>
              <w:t>#alcohol  #doseresponse  #fatemboli  #marrowfat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and obese adults</w:t>
            </w:r>
          </w:p>
        </w:tc>
        <w:tc>
          <w:tcPr>
            <w:tcW w:type="dxa" w:w="4276"/>
            <w:vAlign w:val="top"/>
          </w:tcPr>
          <w:p>
            <w:pPr>
              <w:spacing w:after="60" w:line="259" w:lineRule="auto"/>
            </w:pPr>
            <w:r>
              <w:rPr>
                <w:rFonts w:ascii="Calibri" w:hAnsi="Calibri"/>
                <w:b w:val="0"/>
                <w:i w:val="0"/>
                <w:color w:val="212121"/>
                <w:sz w:val="19"/>
              </w:rPr>
              <w:t>Excess body weight increases mechanical load across the hip, accelerating fracture and collapse of an already necrotic head, and is commonly accompanied by dyslipidaemia that shares the fat-embolism mechanism.</w:t>
            </w:r>
          </w:p>
          <w:p>
            <w:pPr>
              <w:spacing w:after="40" w:before="60" w:line="259" w:lineRule="auto"/>
            </w:pPr>
            <w:r>
              <w:rPr>
                <w:rFonts w:ascii="Calibri" w:hAnsi="Calibri"/>
                <w:b w:val="0"/>
                <w:i w:val="0"/>
                <w:color w:val="212121"/>
                <w:sz w:val="19"/>
              </w:rPr>
              <w:t>Higher body-mass index is associated with faster progression to subchondral collapse in weight-bearing AVN of the hip.</w:t>
            </w:r>
          </w:p>
          <w:p>
            <w:pPr>
              <w:spacing w:before="60" w:after="40"/>
            </w:pPr>
            <w:r>
              <w:rPr>
                <w:rFonts w:ascii="Calibri" w:hAnsi="Calibri"/>
                <w:b w:val="0"/>
                <w:i w:val="0"/>
                <w:color w:val="5A5A5A"/>
                <w:sz w:val="18"/>
              </w:rPr>
              <w:t>#obesity  #mechanicalload  #collapse  #dyslipidaemia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saturated-fat / hyperlipidaemic diet</w:t>
            </w:r>
          </w:p>
        </w:tc>
        <w:tc>
          <w:tcPr>
            <w:tcW w:type="dxa" w:w="4276"/>
            <w:vAlign w:val="top"/>
          </w:tcPr>
          <w:p>
            <w:pPr>
              <w:spacing w:after="60" w:line="259" w:lineRule="auto"/>
            </w:pPr>
            <w:r>
              <w:rPr>
                <w:rFonts w:ascii="Calibri" w:hAnsi="Calibri"/>
                <w:b w:val="0"/>
                <w:i w:val="0"/>
                <w:color w:val="212121"/>
                <w:sz w:val="19"/>
              </w:rPr>
              <w:t>Diets high in saturated fat drive hypertriglyceridaemia and enlargement of marrow fat cells; the resulting fat emboli and raised intra-osseous pressure compromise the subchondral vessels of the femoral head.</w:t>
            </w:r>
          </w:p>
          <w:p>
            <w:pPr>
              <w:spacing w:after="40" w:before="60" w:line="259" w:lineRule="auto"/>
            </w:pPr>
            <w:r>
              <w:rPr>
                <w:rFonts w:ascii="Calibri" w:hAnsi="Calibri"/>
                <w:b w:val="0"/>
                <w:i w:val="0"/>
                <w:color w:val="212121"/>
                <w:sz w:val="19"/>
              </w:rPr>
              <w:t>Lipid abnormalities and marrow adipogenesis are a recognised final common pathway in both steroid- and alcohol-associated osteonecrosis.</w:t>
            </w:r>
          </w:p>
          <w:p>
            <w:pPr>
              <w:spacing w:before="60" w:after="40"/>
            </w:pPr>
            <w:r>
              <w:rPr>
                <w:rFonts w:ascii="Calibri" w:hAnsi="Calibri"/>
                <w:b w:val="0"/>
                <w:i w:val="0"/>
                <w:color w:val="5A5A5A"/>
                <w:sz w:val="18"/>
              </w:rPr>
              <w:t>#hyperlipidaemia  #saturatedfat  #fatemboli  #triglycerides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Vitamin D / calcium deficiency (widespread in India)</w:t>
            </w:r>
          </w:p>
        </w:tc>
        <w:tc>
          <w:tcPr>
            <w:tcW w:type="dxa" w:w="4276"/>
            <w:vAlign w:val="top"/>
          </w:tcPr>
          <w:p>
            <w:pPr>
              <w:spacing w:after="60" w:line="259" w:lineRule="auto"/>
            </w:pPr>
            <w:r>
              <w:rPr>
                <w:rFonts w:ascii="Calibri" w:hAnsi="Calibri"/>
                <w:b w:val="0"/>
                <w:i w:val="0"/>
                <w:color w:val="212121"/>
                <w:sz w:val="19"/>
              </w:rPr>
              <w:t>While not a primary cause, the very high prevalence of vitamin D and calcium deficiency in India worsens bone quality and healing of the subchondral fracture, and must be corrected to support joint-preserving surgery and recovery.</w:t>
            </w:r>
          </w:p>
          <w:p>
            <w:pPr>
              <w:spacing w:after="40" w:before="60" w:line="259" w:lineRule="auto"/>
            </w:pPr>
            <w:r>
              <w:rPr>
                <w:rFonts w:ascii="Calibri" w:hAnsi="Calibri"/>
                <w:b w:val="0"/>
                <w:i w:val="0"/>
                <w:color w:val="212121"/>
                <w:sz w:val="19"/>
              </w:rPr>
              <w:t>Low vitamin D status is highly prevalent across Indian populations and adversely affects bone repair after subchondral injury.</w:t>
            </w:r>
          </w:p>
          <w:p>
            <w:pPr>
              <w:spacing w:before="60" w:after="40"/>
            </w:pPr>
            <w:r>
              <w:rPr>
                <w:rFonts w:ascii="Calibri" w:hAnsi="Calibri"/>
                <w:b w:val="0"/>
                <w:i w:val="0"/>
                <w:color w:val="5A5A5A"/>
                <w:sz w:val="18"/>
              </w:rPr>
              <w:t>#vitaminD  #calcium  #bonequality  #Indiadiet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thrombophilia</w:t>
            </w:r>
          </w:p>
        </w:tc>
        <w:tc>
          <w:tcPr>
            <w:tcW w:type="dxa" w:w="2160"/>
            <w:vAlign w:val="top"/>
          </w:tcPr>
          <w:p>
            <w:pPr>
              <w:spacing w:after="40" w:before="0" w:line="259" w:lineRule="auto"/>
            </w:pPr>
            <w:r>
              <w:rPr>
                <w:rFonts w:ascii="Calibri" w:hAnsi="Calibri"/>
                <w:b w:val="0"/>
                <w:i w:val="0"/>
                <w:color w:val="212121"/>
                <w:sz w:val="19"/>
              </w:rPr>
              <w:t>Inherited hypercoagulable states</w:t>
            </w:r>
          </w:p>
        </w:tc>
        <w:tc>
          <w:tcPr>
            <w:tcW w:type="dxa" w:w="4276"/>
            <w:vAlign w:val="top"/>
          </w:tcPr>
          <w:p>
            <w:pPr>
              <w:spacing w:after="60" w:line="259" w:lineRule="auto"/>
            </w:pPr>
            <w:r>
              <w:rPr>
                <w:rFonts w:ascii="Calibri" w:hAnsi="Calibri"/>
                <w:b w:val="0"/>
                <w:i w:val="0"/>
                <w:color w:val="212121"/>
                <w:sz w:val="19"/>
              </w:rPr>
              <w:t>Heritable thrombophilias — Factor V Leiden, protein C or S deficiency, prothrombin mutation, raised PAI-1 and hyperhomocysteinaemia — promote intraosseous thrombosis and venous stasis that infarct the femoral head.</w:t>
            </w:r>
          </w:p>
          <w:p>
            <w:pPr>
              <w:spacing w:after="40" w:before="60" w:line="259" w:lineRule="auto"/>
            </w:pPr>
            <w:r>
              <w:rPr>
                <w:rFonts w:ascii="Calibri" w:hAnsi="Calibri"/>
                <w:b w:val="0"/>
                <w:i w:val="0"/>
                <w:color w:val="212121"/>
                <w:sz w:val="19"/>
              </w:rPr>
              <w:t>Coagulation disorders and thrombophilia are established contributors to non-traumatic osteonecrosis, particularly in bilateral and familial cases.</w:t>
            </w:r>
          </w:p>
          <w:p>
            <w:pPr>
              <w:spacing w:after="40" w:line="252" w:lineRule="auto"/>
            </w:pPr>
            <w:hyperlink r:id="rId15">
              <w:r>
                <w:rPr>
                  <w:rFonts w:ascii="Calibri" w:hAnsi="Calibri" w:cs="Calibri"/>
                  <w:sz w:val="18"/>
                  <w:color w:val="1155CC"/>
                  <w:u w:val="single"/>
                </w:rPr>
                <w:t xml:space="preserve">ncbi.nlm.nih.gov/books/NBK537007</w:t>
              </w:r>
            </w:hyperlink>
          </w:p>
          <w:p>
            <w:pPr>
              <w:spacing w:before="60" w:after="40"/>
            </w:pPr>
            <w:r>
              <w:rPr>
                <w:rFonts w:ascii="Calibri" w:hAnsi="Calibri"/>
                <w:b w:val="0"/>
                <w:i w:val="0"/>
                <w:color w:val="5A5A5A"/>
                <w:sz w:val="18"/>
              </w:rPr>
              <w:t>#thrombophilia  #FactorVLeiden  #PAI1  #hypercoagulable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susceptibility</w:t>
            </w:r>
          </w:p>
        </w:tc>
        <w:tc>
          <w:tcPr>
            <w:tcW w:type="dxa" w:w="2160"/>
            <w:vAlign w:val="top"/>
          </w:tcPr>
          <w:p>
            <w:pPr>
              <w:spacing w:after="40" w:before="0" w:line="259" w:lineRule="auto"/>
            </w:pPr>
            <w:r>
              <w:rPr>
                <w:rFonts w:ascii="Calibri" w:hAnsi="Calibri"/>
                <w:b w:val="0"/>
                <w:i w:val="0"/>
                <w:color w:val="212121"/>
                <w:sz w:val="19"/>
              </w:rPr>
              <w:t>Polymorphisms in steroid / lipid metabolism</w:t>
            </w:r>
          </w:p>
        </w:tc>
        <w:tc>
          <w:tcPr>
            <w:tcW w:type="dxa" w:w="4276"/>
            <w:vAlign w:val="top"/>
          </w:tcPr>
          <w:p>
            <w:pPr>
              <w:spacing w:after="60" w:line="259" w:lineRule="auto"/>
            </w:pPr>
            <w:r>
              <w:rPr>
                <w:rFonts w:ascii="Calibri" w:hAnsi="Calibri"/>
                <w:b w:val="0"/>
                <w:i w:val="0"/>
                <w:color w:val="212121"/>
                <w:sz w:val="19"/>
              </w:rPr>
              <w:t>Individual variation in genes governing glucocorticoid transport and lipid handling (e.g. ABCB1/MDR1, PAI-1, ALDH2 for alcohol) helps explain why only some exposed patients develop AVN at a given dose.</w:t>
            </w:r>
          </w:p>
          <w:p>
            <w:pPr>
              <w:spacing w:after="40" w:before="60" w:line="259" w:lineRule="auto"/>
            </w:pPr>
            <w:r>
              <w:rPr>
                <w:rFonts w:ascii="Calibri" w:hAnsi="Calibri"/>
                <w:b w:val="0"/>
                <w:i w:val="0"/>
                <w:color w:val="212121"/>
                <w:sz w:val="19"/>
              </w:rPr>
              <w:t>Genetic differences in drug and lipid metabolism modulate individual susceptibility to steroid- and alcohol-associated femoral-head osteonecrosis.</w:t>
            </w:r>
          </w:p>
          <w:p>
            <w:pPr>
              <w:spacing w:before="60" w:after="40"/>
            </w:pPr>
            <w:r>
              <w:rPr>
                <w:rFonts w:ascii="Calibri" w:hAnsi="Calibri"/>
                <w:b w:val="0"/>
                <w:i w:val="0"/>
                <w:color w:val="5A5A5A"/>
                <w:sz w:val="18"/>
              </w:rPr>
              <w:t>#pharmacogenomics  #ABCB1  #susceptibility  #ALDH2</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Corticosteroid therapy</w:t>
            </w:r>
          </w:p>
        </w:tc>
        <w:tc>
          <w:tcPr>
            <w:tcW w:type="dxa" w:w="2160"/>
            <w:vAlign w:val="top"/>
          </w:tcPr>
          <w:p>
            <w:pPr>
              <w:spacing w:after="40" w:before="0" w:line="259" w:lineRule="auto"/>
            </w:pPr>
            <w:r>
              <w:rPr>
                <w:rFonts w:ascii="Calibri" w:hAnsi="Calibri"/>
                <w:b w:val="0"/>
                <w:i w:val="0"/>
                <w:color w:val="212121"/>
                <w:sz w:val="19"/>
              </w:rPr>
              <w:t>Patients on high-dose / prolonged glucocorticoids</w:t>
            </w:r>
          </w:p>
        </w:tc>
        <w:tc>
          <w:tcPr>
            <w:tcW w:type="dxa" w:w="4276"/>
            <w:vAlign w:val="top"/>
          </w:tcPr>
          <w:p>
            <w:pPr>
              <w:spacing w:after="60" w:line="259" w:lineRule="auto"/>
            </w:pPr>
            <w:r>
              <w:rPr>
                <w:rFonts w:ascii="Calibri" w:hAnsi="Calibri"/>
                <w:b w:val="0"/>
                <w:i w:val="0"/>
                <w:color w:val="212121"/>
                <w:sz w:val="19"/>
              </w:rPr>
              <w:t>Glucocorticoids are the leading medical cause; they cause osteocyte apoptosis, marrow-fat expansion and raised intra-osseous pressure. Risk rises with cumulative dose and pulse therapy.</w:t>
            </w:r>
          </w:p>
          <w:p>
            <w:pPr>
              <w:spacing w:after="40" w:before="60" w:line="259" w:lineRule="auto"/>
            </w:pPr>
            <w:r>
              <w:rPr>
                <w:rFonts w:ascii="Calibri" w:hAnsi="Calibri"/>
                <w:b w:val="0"/>
                <w:i w:val="0"/>
                <w:color w:val="212121"/>
                <w:sz w:val="19"/>
              </w:rPr>
              <w:t>Steroid exposure was the commonest aetiology (37.3%) in a North Indian osteonecrosis cohort; ARCO criteria cite &gt;2 g of prednisolone equivalent within 3 months as high-risk.</w:t>
            </w:r>
          </w:p>
          <w:p>
            <w:pPr>
              <w:spacing w:after="40" w:line="252" w:lineRule="auto"/>
            </w:pPr>
            <w:hyperlink r:id="rId9">
              <w:r>
                <w:rPr>
                  <w:rFonts w:ascii="Calibri" w:hAnsi="Calibri" w:cs="Calibri"/>
                  <w:sz w:val="18"/>
                  <w:color w:val="1155CC"/>
                  <w:u w:val="single"/>
                </w:rPr>
                <w:t xml:space="preserve">pubmed.ncbi.nlm.nih.gov/29576641</w:t>
              </w:r>
            </w:hyperlink>
          </w:p>
          <w:p>
            <w:pPr>
              <w:spacing w:before="60" w:after="40"/>
            </w:pPr>
            <w:r>
              <w:rPr>
                <w:rFonts w:ascii="Calibri" w:hAnsi="Calibri"/>
                <w:b w:val="0"/>
                <w:i w:val="0"/>
                <w:color w:val="5A5A5A"/>
                <w:sz w:val="18"/>
              </w:rPr>
              <w:t>#glucocorticoids  #steroidAVN  #cumulativedose  #pulsetherapy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Systemic lupus erythematosus</w:t>
            </w:r>
          </w:p>
        </w:tc>
        <w:tc>
          <w:tcPr>
            <w:tcW w:type="dxa" w:w="2160"/>
            <w:vAlign w:val="top"/>
          </w:tcPr>
          <w:p>
            <w:pPr>
              <w:spacing w:after="40" w:before="0" w:line="259" w:lineRule="auto"/>
            </w:pPr>
            <w:r>
              <w:rPr>
                <w:rFonts w:ascii="Calibri" w:hAnsi="Calibri"/>
                <w:b w:val="0"/>
                <w:i w:val="0"/>
                <w:color w:val="212121"/>
                <w:sz w:val="19"/>
              </w:rPr>
              <w:t>SLE and other autoimmune disease</w:t>
            </w:r>
          </w:p>
        </w:tc>
        <w:tc>
          <w:tcPr>
            <w:tcW w:type="dxa" w:w="4276"/>
            <w:vAlign w:val="top"/>
          </w:tcPr>
          <w:p>
            <w:pPr>
              <w:spacing w:after="60" w:line="259" w:lineRule="auto"/>
            </w:pPr>
            <w:r>
              <w:rPr>
                <w:rFonts w:ascii="Calibri" w:hAnsi="Calibri"/>
                <w:b w:val="0"/>
                <w:i w:val="0"/>
                <w:color w:val="212121"/>
                <w:sz w:val="19"/>
              </w:rPr>
              <w:t>Lupus vasculopathy, antiphospholipid antibodies and the corticosteroids required for control combine to make SLE one of the strongest disease associations of hip AVN.</w:t>
            </w:r>
          </w:p>
          <w:p>
            <w:pPr>
              <w:spacing w:after="40" w:before="60" w:line="259" w:lineRule="auto"/>
            </w:pPr>
            <w:r>
              <w:rPr>
                <w:rFonts w:ascii="Calibri" w:hAnsi="Calibri"/>
                <w:b w:val="0"/>
                <w:i w:val="0"/>
                <w:color w:val="212121"/>
                <w:sz w:val="19"/>
              </w:rPr>
              <w:t>Osteonecrosis develops in roughly 5-8% of SLE patients, with the femoral head the commonest site and glucocorticoid dose and CNS involvement as risk factors.</w:t>
            </w:r>
          </w:p>
          <w:p>
            <w:pPr>
              <w:spacing w:after="40" w:line="252" w:lineRule="auto"/>
            </w:pPr>
            <w:hyperlink r:id="rId16">
              <w:r>
                <w:rPr>
                  <w:rFonts w:ascii="Calibri" w:hAnsi="Calibri" w:cs="Calibri"/>
                  <w:sz w:val="18"/>
                  <w:color w:val="1155CC"/>
                  <w:u w:val="single"/>
                </w:rPr>
                <w:t xml:space="preserve">pubmed.ncbi.nlm.nih.gov/34082592</w:t>
              </w:r>
            </w:hyperlink>
          </w:p>
          <w:p>
            <w:pPr>
              <w:spacing w:before="60" w:after="40"/>
            </w:pPr>
            <w:r>
              <w:rPr>
                <w:rFonts w:ascii="Calibri" w:hAnsi="Calibri"/>
                <w:b w:val="0"/>
                <w:i w:val="0"/>
                <w:color w:val="5A5A5A"/>
                <w:sz w:val="18"/>
              </w:rPr>
              <w:t>#SLE  #antiphospholipid  #vasculopathy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Post-COVID-19</w:t>
            </w:r>
          </w:p>
        </w:tc>
        <w:tc>
          <w:tcPr>
            <w:tcW w:type="dxa" w:w="2160"/>
            <w:vAlign w:val="top"/>
          </w:tcPr>
          <w:p>
            <w:pPr>
              <w:spacing w:after="40" w:before="0" w:line="259" w:lineRule="auto"/>
            </w:pPr>
            <w:r>
              <w:rPr>
                <w:rFonts w:ascii="Calibri" w:hAnsi="Calibri"/>
                <w:b w:val="0"/>
                <w:i w:val="0"/>
                <w:color w:val="212121"/>
                <w:sz w:val="19"/>
              </w:rPr>
              <w:t>Steroid-treated COVID-19 survivors</w:t>
            </w:r>
          </w:p>
        </w:tc>
        <w:tc>
          <w:tcPr>
            <w:tcW w:type="dxa" w:w="4276"/>
            <w:vAlign w:val="top"/>
          </w:tcPr>
          <w:p>
            <w:pPr>
              <w:spacing w:after="60" w:line="259" w:lineRule="auto"/>
            </w:pPr>
            <w:r>
              <w:rPr>
                <w:rFonts w:ascii="Calibri" w:hAnsi="Calibri"/>
                <w:b w:val="0"/>
                <w:i w:val="0"/>
                <w:color w:val="212121"/>
                <w:sz w:val="19"/>
              </w:rPr>
              <w:t>Corticosteroids used for moderate-to-severe COVID-19, compounded by SARS-CoV-2-related endothelial injury and hypercoagulability, precipitated a wave of early, often bilateral femoral-head AVN.</w:t>
            </w:r>
          </w:p>
          <w:p>
            <w:pPr>
              <w:spacing w:after="40" w:before="60" w:line="259" w:lineRule="auto"/>
            </w:pPr>
            <w:r>
              <w:rPr>
                <w:rFonts w:ascii="Calibri" w:hAnsi="Calibri"/>
                <w:b w:val="0"/>
                <w:i w:val="0"/>
                <w:color w:val="212121"/>
                <w:sz w:val="19"/>
              </w:rPr>
              <w:t>Indian series reported hip AVN a mean of 6-8 months after COVID-19 at cumulative steroid doses (~700-811 mg methylprednisolone equivalent) well below the classic ~2000 mg threshold.</w:t>
            </w:r>
          </w:p>
          <w:p>
            <w:pPr>
              <w:spacing w:after="40" w:line="252" w:lineRule="auto"/>
            </w:pPr>
            <w:hyperlink r:id="rId12">
              <w:r>
                <w:rPr>
                  <w:rFonts w:ascii="Calibri" w:hAnsi="Calibri" w:cs="Calibri"/>
                  <w:sz w:val="18"/>
                  <w:color w:val="1155CC"/>
                  <w:u w:val="single"/>
                </w:rPr>
                <w:t xml:space="preserve">pubmed.ncbi.nlm.nih.gov/35495964</w:t>
              </w:r>
            </w:hyperlink>
          </w:p>
          <w:p>
            <w:pPr>
              <w:spacing w:before="60" w:after="40"/>
            </w:pPr>
            <w:r>
              <w:rPr>
                <w:rFonts w:ascii="Calibri" w:hAnsi="Calibri"/>
                <w:b w:val="0"/>
                <w:i w:val="0"/>
                <w:color w:val="5A5A5A"/>
                <w:sz w:val="18"/>
              </w:rPr>
              <w:t>#COVID19  #longCOVID  #endothelialinjury  #steroids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 / transplant</w:t>
            </w:r>
          </w:p>
        </w:tc>
        <w:tc>
          <w:tcPr>
            <w:tcW w:type="dxa" w:w="2160"/>
            <w:vAlign w:val="top"/>
          </w:tcPr>
          <w:p>
            <w:pPr>
              <w:spacing w:after="40" w:before="0" w:line="259" w:lineRule="auto"/>
            </w:pPr>
            <w:r>
              <w:rPr>
                <w:rFonts w:ascii="Calibri" w:hAnsi="Calibri"/>
                <w:b w:val="0"/>
                <w:i w:val="0"/>
                <w:color w:val="212121"/>
                <w:sz w:val="19"/>
              </w:rPr>
              <w:t>Dialysis and renal / organ transplant recipients</w:t>
            </w:r>
          </w:p>
        </w:tc>
        <w:tc>
          <w:tcPr>
            <w:tcW w:type="dxa" w:w="4276"/>
            <w:vAlign w:val="top"/>
          </w:tcPr>
          <w:p>
            <w:pPr>
              <w:spacing w:after="60" w:line="259" w:lineRule="auto"/>
            </w:pPr>
            <w:r>
              <w:rPr>
                <w:rFonts w:ascii="Calibri" w:hAnsi="Calibri"/>
                <w:b w:val="0"/>
                <w:i w:val="0"/>
                <w:color w:val="212121"/>
                <w:sz w:val="19"/>
              </w:rPr>
              <w:t>Uraemia, secondary hyperparathyroidism, deranged mineral metabolism and the high-dose immunosuppressive steroids given around transplantation together make AVN a well-recognised post-transplant complication.</w:t>
            </w:r>
          </w:p>
          <w:p>
            <w:pPr>
              <w:spacing w:after="40" w:before="60" w:line="259" w:lineRule="auto"/>
            </w:pPr>
            <w:r>
              <w:rPr>
                <w:rFonts w:ascii="Calibri" w:hAnsi="Calibri"/>
                <w:b w:val="0"/>
                <w:i w:val="0"/>
                <w:color w:val="212121"/>
                <w:sz w:val="19"/>
              </w:rPr>
              <w:t>Osteonecrosis is a classic musculoskeletal complication after solid-organ transplantation, driven largely by peri-transplant corticosteroid exposure.</w:t>
            </w:r>
          </w:p>
          <w:p>
            <w:pPr>
              <w:spacing w:before="60" w:after="40"/>
            </w:pPr>
            <w:r>
              <w:rPr>
                <w:rFonts w:ascii="Calibri" w:hAnsi="Calibri"/>
                <w:b w:val="0"/>
                <w:i w:val="0"/>
                <w:color w:val="5A5A5A"/>
                <w:sz w:val="18"/>
              </w:rPr>
              <w:t>#CKD  #transplant  #immunosuppression  #renal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does not cause AVN, but continued full weight-bearing on a necrotic head accelerates subchondral fracture and collapse; protected weight-bearing and low-impact activity help preserve the joint in pre-collapse (ARCO I–II) disease, while high-impact loading hastens failure.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High-fat, hyperlipidaemic diets promote marrow adipogenesis and fat emboli that share the final pathway of steroid- and alcohol-associated osteonecrosis; controlling lipids is a plausible modifier.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between sleep and AVN; disturbed sleep is largely a consequence of chronic hip and night pain rather than a cause.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Cigarette smoking independently raises non-traumatic ONFH risk about 3.9-fold overall and up to ~10-fold in never-steroid users, via endothelial toxicity, vasoconstriction and a prothrombotic state.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alcohol is a leading modifiable cause; risk is dose-dependent (OR ~3.6 occasional to ~5.9 daily drinkers) above roughly 320 g ethanol/week for over 6 months.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role in disease onset; however chronic pain, immobility and early hip replacement in young patients commonly produce anxiety and depression that need support.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hydration has no established relationship with femoral-head osteonecrosis.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association between caffeine intake and AVN of the hip.</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hygiene is not relevant to the pathogenesis of avascular necrosis.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Direct provoking factors dominate: high-dose corticosteroids, chronic alcohol, hip trauma/dislocation, dysbaric (diving) exposure, radiotherapy/chemotherapy and sickle-cell crises.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itself is not causal, but antalgic gait, limb-length change and abnormal loading after head collapse alter posture and accelerate contralateral and acetabular wear.</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Cumulative corticosteroid dose (prednisolone equivalent)</w:t>
            </w:r>
          </w:p>
        </w:tc>
        <w:tc>
          <w:tcPr>
            <w:tcW w:type="dxa" w:w="1655"/>
            <w:vAlign w:val="top"/>
          </w:tcPr>
          <w:p>
            <w:pPr>
              <w:spacing w:after="40" w:before="0" w:line="259" w:lineRule="auto"/>
            </w:pPr>
            <w:r>
              <w:rPr>
                <w:rFonts w:ascii="Calibri" w:hAnsi="Calibri"/>
                <w:b w:val="0"/>
                <w:i w:val="0"/>
                <w:color w:val="212121"/>
                <w:sz w:val="19"/>
              </w:rPr>
              <w:t>Any patient on glucocorticoids</w:t>
            </w:r>
          </w:p>
        </w:tc>
        <w:tc>
          <w:tcPr>
            <w:tcW w:type="dxa" w:w="1512"/>
            <w:vAlign w:val="top"/>
          </w:tcPr>
          <w:p>
            <w:pPr>
              <w:spacing w:after="40" w:before="0" w:line="259" w:lineRule="auto"/>
            </w:pPr>
            <w:r>
              <w:rPr>
                <w:rFonts w:ascii="Calibri" w:hAnsi="Calibri"/>
                <w:b w:val="0"/>
                <w:i w:val="0"/>
                <w:color w:val="212121"/>
                <w:sz w:val="19"/>
              </w:rPr>
              <w:t>Lowest effective dose; avoid pulses</w:t>
            </w:r>
          </w:p>
        </w:tc>
        <w:tc>
          <w:tcPr>
            <w:tcW w:type="dxa" w:w="1512"/>
            <w:vAlign w:val="top"/>
          </w:tcPr>
          <w:p>
            <w:pPr>
              <w:spacing w:after="40" w:before="0" w:line="259" w:lineRule="auto"/>
            </w:pPr>
            <w:r>
              <w:rPr>
                <w:rFonts w:ascii="Calibri" w:hAnsi="Calibri"/>
                <w:b w:val="0"/>
                <w:i w:val="0"/>
                <w:color w:val="212121"/>
                <w:sz w:val="19"/>
              </w:rPr>
              <w:t>&gt;2 g within ~3 months (high risk)</w:t>
            </w:r>
          </w:p>
        </w:tc>
        <w:tc>
          <w:tcPr>
            <w:tcW w:type="dxa" w:w="1468"/>
            <w:vAlign w:val="top"/>
          </w:tcPr>
          <w:p>
            <w:pPr>
              <w:spacing w:after="60" w:line="259" w:lineRule="auto"/>
            </w:pPr>
            <w:r>
              <w:rPr>
                <w:rFonts w:ascii="Calibri" w:hAnsi="Calibri"/>
                <w:b w:val="0"/>
                <w:i w:val="0"/>
                <w:color w:val="212121"/>
                <w:sz w:val="19"/>
              </w:rPr>
              <w:t>Post-COVID AVN reported even at ~700-800 mg methylprednisolone equivalent</w:t>
            </w:r>
          </w:p>
          <w:p>
            <w:pPr>
              <w:spacing w:after="40" w:line="252" w:lineRule="auto"/>
            </w:pPr>
            <w:hyperlink r:id="rId17">
              <w:r>
                <w:rPr>
                  <w:rFonts w:ascii="Calibri" w:hAnsi="Calibri" w:cs="Calibri"/>
                  <w:sz w:val="18"/>
                  <w:color w:val="1155CC"/>
                  <w:u w:val="single"/>
                </w:rPr>
                <w:t xml:space="preserve">https://pubmed.ncbi.nlm.nih.gov/30348552/</w:t>
              </w:r>
            </w:hyperlink>
          </w:p>
        </w:tc>
      </w:tr>
      <w:tr>
        <w:trPr>
          <w:cantSplit/>
        </w:trPr>
        <w:tc>
          <w:tcPr>
            <w:tcW w:type="dxa" w:w="1512"/>
            <w:vMerge w:val="restart"/>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Ethanol intake (g/week)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None / minimal</w:t>
            </w:r>
          </w:p>
        </w:tc>
        <w:tc>
          <w:tcPr>
            <w:tcW w:type="dxa" w:w="1512"/>
            <w:vAlign w:val="top"/>
          </w:tcPr>
          <w:p>
            <w:pPr>
              <w:spacing w:after="40" w:before="0" w:line="259" w:lineRule="auto"/>
            </w:pPr>
            <w:r>
              <w:rPr>
                <w:rFonts w:ascii="Calibri" w:hAnsi="Calibri"/>
                <w:b w:val="0"/>
                <w:i w:val="0"/>
                <w:color w:val="212121"/>
                <w:sz w:val="19"/>
              </w:rPr>
              <w:t>&gt;320 g/week (&gt;400 mL/week) for &gt;6 months</w:t>
            </w:r>
          </w:p>
        </w:tc>
        <w:tc>
          <w:tcPr>
            <w:tcW w:type="dxa" w:w="1468"/>
            <w:vAlign w:val="top"/>
          </w:tcPr>
          <w:p>
            <w:pPr>
              <w:spacing w:after="60" w:line="259" w:lineRule="auto"/>
            </w:pPr>
            <w:r>
              <w:rPr>
                <w:rFonts w:ascii="Calibri" w:hAnsi="Calibri"/>
                <w:b w:val="0"/>
                <w:i w:val="0"/>
                <w:color w:val="212121"/>
                <w:sz w:val="19"/>
              </w:rPr>
              <w:t>ARCO alcohol-associated criterion; risk rises with dose and drink-years</w:t>
            </w:r>
          </w:p>
          <w:p>
            <w:pPr>
              <w:spacing w:after="40" w:line="252" w:lineRule="auto"/>
            </w:pPr>
            <w:hyperlink r:id="rId18">
              <w:r>
                <w:rPr>
                  <w:rFonts w:ascii="Calibri" w:hAnsi="Calibri" w:cs="Calibri"/>
                  <w:sz w:val="18"/>
                  <w:color w:val="1155CC"/>
                  <w:u w:val="single"/>
                </w:rPr>
                <w:t xml:space="preserve">https://pubmed.ncbi.nlm.nih.gov/30348559/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Drink-years (cumulative)</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Rising risk with each 500 drink-years</w:t>
            </w:r>
          </w:p>
        </w:tc>
        <w:tc>
          <w:tcPr>
            <w:tcW w:type="dxa" w:w="1468"/>
            <w:vAlign w:val="top"/>
          </w:tcPr>
          <w:p>
            <w:pPr>
              <w:spacing w:after="60" w:line="259" w:lineRule="auto"/>
            </w:pPr>
            <w:r>
              <w:rPr>
                <w:rFonts w:ascii="Calibri" w:hAnsi="Calibri"/>
                <w:b w:val="0"/>
                <w:i w:val="0"/>
                <w:color w:val="212121"/>
                <w:sz w:val="19"/>
              </w:rPr>
              <w:t>Each 500 drink-years raised ONFH risk by ~44% in a dose-response meta-analysis</w:t>
            </w:r>
          </w:p>
          <w:p>
            <w:pPr>
              <w:spacing w:after="40" w:line="252" w:lineRule="auto"/>
            </w:pPr>
            <w:hyperlink r:id="rId14">
              <w:r>
                <w:rPr>
                  <w:rFonts w:ascii="Calibri" w:hAnsi="Calibri" w:cs="Calibri"/>
                  <w:sz w:val="18"/>
                  <w:color w:val="1155CC"/>
                  <w:u w:val="single"/>
                </w:rPr>
                <w:t xml:space="preserve">https://pubmed.ncbi.nlm.nih.gov/28685377/</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 / pack-years</w:t>
            </w:r>
          </w:p>
        </w:tc>
        <w:tc>
          <w:tcPr>
            <w:tcW w:type="dxa" w:w="1655"/>
            <w:vAlign w:val="top"/>
          </w:tcPr>
          <w:p>
            <w:pPr>
              <w:spacing w:after="40" w:before="0" w:line="259" w:lineRule="auto"/>
            </w:pPr>
            <w:r>
              <w:rPr>
                <w:rFonts w:ascii="Calibri" w:hAnsi="Calibri"/>
                <w:b w:val="0"/>
                <w:i w:val="0"/>
                <w:color w:val="212121"/>
                <w:sz w:val="19"/>
              </w:rPr>
              <w:t>Teenagers,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≥20/day or ≥26 pack-years</w:t>
            </w:r>
          </w:p>
        </w:tc>
        <w:tc>
          <w:tcPr>
            <w:tcW w:type="dxa" w:w="1468"/>
            <w:vAlign w:val="top"/>
          </w:tcPr>
          <w:p>
            <w:pPr>
              <w:spacing w:after="60" w:line="259" w:lineRule="auto"/>
            </w:pPr>
            <w:r>
              <w:rPr>
                <w:rFonts w:ascii="Calibri" w:hAnsi="Calibri"/>
                <w:b w:val="0"/>
                <w:i w:val="0"/>
                <w:color w:val="212121"/>
                <w:sz w:val="19"/>
              </w:rPr>
              <w:t>Current smoking OR ~3.9; heavier and longer use increases risk further</w:t>
            </w:r>
          </w:p>
          <w:p>
            <w:pPr>
              <w:spacing w:after="40" w:line="252" w:lineRule="auto"/>
            </w:pPr>
            <w:hyperlink r:id="rId13">
              <w:r>
                <w:rPr>
                  <w:rFonts w:ascii="Calibri" w:hAnsi="Calibri" w:cs="Calibri"/>
                  <w:sz w:val="18"/>
                  <w:color w:val="1155CC"/>
                  <w:u w:val="single"/>
                </w:rPr>
                <w:t xml:space="preserve">https://pubmed.ncbi.nlm.nih.gov/22927108/</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hip AVN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≥25 (overweight); ≥30 (obesity)</w:t>
            </w:r>
          </w:p>
        </w:tc>
        <w:tc>
          <w:tcPr>
            <w:tcW w:type="dxa" w:w="1468"/>
            <w:vAlign w:val="top"/>
          </w:tcPr>
          <w:p>
            <w:pPr>
              <w:spacing w:after="40" w:before="0" w:line="259" w:lineRule="auto"/>
            </w:pPr>
            <w:r>
              <w:rPr>
                <w:rFonts w:ascii="Calibri" w:hAnsi="Calibri"/>
                <w:b w:val="0"/>
                <w:i w:val="0"/>
                <w:color w:val="212121"/>
                <w:sz w:val="19"/>
              </w:rPr>
              <w:t>Excess load accelerates collapse of the necrotic segment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Harris Hip Score (function)</w:t>
            </w:r>
          </w:p>
        </w:tc>
        <w:tc>
          <w:tcPr>
            <w:tcW w:type="dxa" w:w="1655"/>
            <w:vAlign w:val="top"/>
          </w:tcPr>
          <w:p>
            <w:pPr>
              <w:spacing w:after="40" w:before="0" w:line="259" w:lineRule="auto"/>
            </w:pPr>
            <w:r>
              <w:rPr>
                <w:rFonts w:ascii="Calibri" w:hAnsi="Calibri"/>
                <w:b w:val="0"/>
                <w:i w:val="0"/>
                <w:color w:val="212121"/>
                <w:sz w:val="19"/>
              </w:rPr>
              <w:t>Patients with ONFH</w:t>
            </w:r>
          </w:p>
        </w:tc>
        <w:tc>
          <w:tcPr>
            <w:tcW w:type="dxa" w:w="1512"/>
            <w:vAlign w:val="top"/>
          </w:tcPr>
          <w:p>
            <w:pPr>
              <w:spacing w:after="40" w:before="0" w:line="259" w:lineRule="auto"/>
            </w:pPr>
            <w:r>
              <w:rPr>
                <w:rFonts w:ascii="Calibri" w:hAnsi="Calibri"/>
                <w:b w:val="0"/>
                <w:i w:val="0"/>
                <w:color w:val="212121"/>
                <w:sz w:val="19"/>
              </w:rPr>
              <w:t>≥90 (excellent)</w:t>
            </w:r>
          </w:p>
        </w:tc>
        <w:tc>
          <w:tcPr>
            <w:tcW w:type="dxa" w:w="1512"/>
            <w:vAlign w:val="top"/>
          </w:tcPr>
          <w:p>
            <w:pPr>
              <w:spacing w:after="40" w:before="0" w:line="259" w:lineRule="auto"/>
            </w:pPr>
            <w:r>
              <w:rPr>
                <w:rFonts w:ascii="Calibri" w:hAnsi="Calibri"/>
                <w:b w:val="0"/>
                <w:i w:val="0"/>
                <w:color w:val="212121"/>
                <w:sz w:val="19"/>
              </w:rPr>
              <w:t>&lt;70 (poor)</w:t>
            </w:r>
          </w:p>
        </w:tc>
        <w:tc>
          <w:tcPr>
            <w:tcW w:type="dxa" w:w="1468"/>
            <w:vAlign w:val="top"/>
          </w:tcPr>
          <w:p>
            <w:pPr>
              <w:spacing w:after="60" w:line="259" w:lineRule="auto"/>
            </w:pPr>
            <w:r>
              <w:rPr>
                <w:rFonts w:ascii="Calibri" w:hAnsi="Calibri"/>
                <w:b w:val="0"/>
                <w:i w:val="0"/>
                <w:color w:val="212121"/>
                <w:sz w:val="19"/>
              </w:rPr>
              <w:t>Correlates with ARCO stage; falls sharply after collapse</w:t>
            </w:r>
          </w:p>
          <w:p>
            <w:pPr>
              <w:spacing w:after="40" w:line="252" w:lineRule="auto"/>
            </w:pPr>
            <w:hyperlink r:id="rId9">
              <w:r>
                <w:rPr>
                  <w:rFonts w:ascii="Calibri" w:hAnsi="Calibri" w:cs="Calibri"/>
                  <w:sz w:val="18"/>
                  <w:color w:val="1155CC"/>
                  <w:u w:val="single"/>
                </w:rPr>
                <w:t xml:space="preserve">https://pubmed.ncbi.nlm.nih.gov/29576641/</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triglycerides (mg/dL)</w:t>
            </w:r>
          </w:p>
        </w:tc>
        <w:tc>
          <w:tcPr>
            <w:tcW w:type="dxa" w:w="1655"/>
            <w:vAlign w:val="top"/>
          </w:tcPr>
          <w:p>
            <w:pPr>
              <w:spacing w:after="40" w:before="0" w:line="259" w:lineRule="auto"/>
            </w:pPr>
            <w:r>
              <w:rPr>
                <w:rFonts w:ascii="Calibri" w:hAnsi="Calibri"/>
                <w:b w:val="0"/>
                <w:i w:val="0"/>
                <w:color w:val="212121"/>
                <w:sz w:val="19"/>
              </w:rPr>
              <w:t>Steroid / alcohol-exposed adults</w:t>
            </w:r>
          </w:p>
        </w:tc>
        <w:tc>
          <w:tcPr>
            <w:tcW w:type="dxa" w:w="1512"/>
            <w:vAlign w:val="top"/>
          </w:tcPr>
          <w:p>
            <w:pPr>
              <w:spacing w:after="40" w:before="0" w:line="259" w:lineRule="auto"/>
            </w:pPr>
            <w:r>
              <w:rPr>
                <w:rFonts w:ascii="Calibri" w:hAnsi="Calibri"/>
                <w:b w:val="0"/>
                <w:i w:val="0"/>
                <w:color w:val="212121"/>
                <w:sz w:val="19"/>
              </w:rPr>
              <w:t>&lt;150 mg/dL</w:t>
            </w:r>
          </w:p>
        </w:tc>
        <w:tc>
          <w:tcPr>
            <w:tcW w:type="dxa" w:w="1512"/>
            <w:vAlign w:val="top"/>
          </w:tcPr>
          <w:p>
            <w:pPr>
              <w:spacing w:after="40" w:before="0" w:line="259" w:lineRule="auto"/>
            </w:pPr>
            <w:r>
              <w:rPr>
                <w:rFonts w:ascii="Calibri" w:hAnsi="Calibri"/>
                <w:b w:val="0"/>
                <w:i w:val="0"/>
                <w:color w:val="212121"/>
                <w:sz w:val="19"/>
              </w:rPr>
              <w:t>≥200 mg/dL</w:t>
            </w:r>
          </w:p>
        </w:tc>
        <w:tc>
          <w:tcPr>
            <w:tcW w:type="dxa" w:w="1468"/>
            <w:vAlign w:val="top"/>
          </w:tcPr>
          <w:p>
            <w:pPr>
              <w:spacing w:after="40" w:before="0" w:line="259" w:lineRule="auto"/>
            </w:pPr>
            <w:r>
              <w:rPr>
                <w:rFonts w:ascii="Calibri" w:hAnsi="Calibri"/>
                <w:b w:val="0"/>
                <w:i w:val="0"/>
                <w:color w:val="212121"/>
                <w:sz w:val="19"/>
              </w:rPr>
              <w:t>Hypertriglyceridaemia reflects the marrow-fat/fat-embolism pathway</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Femoral-head depression (ARCO Stage III)</w:t>
            </w:r>
          </w:p>
        </w:tc>
        <w:tc>
          <w:tcPr>
            <w:tcW w:type="dxa" w:w="1655"/>
            <w:vAlign w:val="top"/>
          </w:tcPr>
          <w:p>
            <w:pPr>
              <w:spacing w:after="40" w:before="0" w:line="259" w:lineRule="auto"/>
            </w:pPr>
            <w:r>
              <w:rPr>
                <w:rFonts w:ascii="Calibri" w:hAnsi="Calibri"/>
                <w:b w:val="0"/>
                <w:i w:val="0"/>
                <w:color w:val="212121"/>
                <w:sz w:val="19"/>
              </w:rPr>
              <w:t>Established AVN</w:t>
            </w:r>
          </w:p>
        </w:tc>
        <w:tc>
          <w:tcPr>
            <w:tcW w:type="dxa" w:w="1512"/>
            <w:vAlign w:val="top"/>
          </w:tcPr>
          <w:p>
            <w:pPr>
              <w:spacing w:after="40" w:before="0" w:line="259" w:lineRule="auto"/>
            </w:pPr>
            <w:r>
              <w:rPr>
                <w:rFonts w:ascii="Calibri" w:hAnsi="Calibri"/>
                <w:b w:val="0"/>
                <w:i w:val="0"/>
                <w:color w:val="212121"/>
                <w:sz w:val="19"/>
              </w:rPr>
              <w:t>No subchondral fracture (Stage ≤II)</w:t>
            </w:r>
          </w:p>
        </w:tc>
        <w:tc>
          <w:tcPr>
            <w:tcW w:type="dxa" w:w="1512"/>
            <w:vAlign w:val="top"/>
          </w:tcPr>
          <w:p>
            <w:pPr>
              <w:spacing w:after="40" w:before="0" w:line="259" w:lineRule="auto"/>
            </w:pPr>
            <w:r>
              <w:rPr>
                <w:rFonts w:ascii="Calibri" w:hAnsi="Calibri"/>
                <w:b w:val="0"/>
                <w:i w:val="0"/>
                <w:color w:val="212121"/>
                <w:sz w:val="19"/>
              </w:rPr>
              <w:t>Depression &gt;2 mm (ARCO IIIB)</w:t>
            </w:r>
          </w:p>
        </w:tc>
        <w:tc>
          <w:tcPr>
            <w:tcW w:type="dxa" w:w="1468"/>
            <w:vAlign w:val="top"/>
          </w:tcPr>
          <w:p>
            <w:pPr>
              <w:spacing w:after="60" w:line="259" w:lineRule="auto"/>
            </w:pPr>
            <w:r>
              <w:rPr>
                <w:rFonts w:ascii="Calibri" w:hAnsi="Calibri"/>
                <w:b w:val="0"/>
                <w:i w:val="0"/>
                <w:color w:val="212121"/>
                <w:sz w:val="19"/>
              </w:rPr>
              <w:t>Head depression &gt;2 mm marks late Stage III with poor joint-preserving prognosis</w:t>
            </w:r>
          </w:p>
          <w:p>
            <w:pPr>
              <w:spacing w:after="40" w:line="252" w:lineRule="auto"/>
            </w:pPr>
            <w:hyperlink r:id="rId19">
              <w:r>
                <w:rPr>
                  <w:rFonts w:ascii="Calibri" w:hAnsi="Calibri" w:cs="Calibri"/>
                  <w:sz w:val="18"/>
                  <w:color w:val="1155CC"/>
                  <w:u w:val="single"/>
                </w:rPr>
                <w:t xml:space="preserve">https://pubmed.ncbi.nlm.nih.gov/31866252/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Sickle haemoglobin (HbS) status</w:t>
            </w:r>
          </w:p>
        </w:tc>
        <w:tc>
          <w:tcPr>
            <w:tcW w:type="dxa" w:w="1655"/>
            <w:vAlign w:val="top"/>
          </w:tcPr>
          <w:p>
            <w:pPr>
              <w:spacing w:after="40" w:before="0" w:line="259" w:lineRule="auto"/>
            </w:pPr>
            <w:r>
              <w:rPr>
                <w:rFonts w:ascii="Calibri" w:hAnsi="Calibri"/>
                <w:b w:val="0"/>
                <w:i w:val="0"/>
                <w:color w:val="212121"/>
                <w:sz w:val="19"/>
              </w:rPr>
              <w:t>At-risk ethnic groups</w:t>
            </w:r>
          </w:p>
        </w:tc>
        <w:tc>
          <w:tcPr>
            <w:tcW w:type="dxa" w:w="1512"/>
            <w:vAlign w:val="top"/>
          </w:tcPr>
          <w:p>
            <w:pPr>
              <w:spacing w:after="40" w:before="0" w:line="259" w:lineRule="auto"/>
            </w:pPr>
            <w:r>
              <w:rPr>
                <w:rFonts w:ascii="Calibri" w:hAnsi="Calibri"/>
                <w:b w:val="0"/>
                <w:i w:val="0"/>
                <w:color w:val="212121"/>
                <w:sz w:val="19"/>
              </w:rPr>
              <w:t>HbAA (no HbS)</w:t>
            </w:r>
          </w:p>
        </w:tc>
        <w:tc>
          <w:tcPr>
            <w:tcW w:type="dxa" w:w="1512"/>
            <w:vAlign w:val="top"/>
          </w:tcPr>
          <w:p>
            <w:pPr>
              <w:spacing w:after="40" w:before="0" w:line="259" w:lineRule="auto"/>
            </w:pPr>
            <w:r>
              <w:rPr>
                <w:rFonts w:ascii="Calibri" w:hAnsi="Calibri"/>
                <w:b w:val="0"/>
                <w:i w:val="0"/>
                <w:color w:val="212121"/>
                <w:sz w:val="19"/>
              </w:rPr>
              <w:t>HbSS / HbS present</w:t>
            </w:r>
          </w:p>
        </w:tc>
        <w:tc>
          <w:tcPr>
            <w:tcW w:type="dxa" w:w="1468"/>
            <w:vAlign w:val="top"/>
          </w:tcPr>
          <w:p>
            <w:pPr>
              <w:spacing w:after="40" w:before="0" w:line="259" w:lineRule="auto"/>
            </w:pPr>
            <w:r>
              <w:rPr>
                <w:rFonts w:ascii="Calibri" w:hAnsi="Calibri"/>
                <w:b w:val="0"/>
                <w:i w:val="0"/>
                <w:color w:val="212121"/>
                <w:sz w:val="19"/>
              </w:rPr>
              <w:t>Repeated vaso-occlusion infarcts the subchondral bone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Necrotic band / double-line sign, marrow oedema</w:t>
            </w:r>
          </w:p>
        </w:tc>
        <w:tc>
          <w:tcPr>
            <w:tcW w:type="dxa" w:w="892"/>
            <w:vAlign w:val="top"/>
          </w:tcPr>
          <w:p>
            <w:pPr>
              <w:spacing w:after="40" w:before="0" w:line="259" w:lineRule="auto"/>
            </w:pPr>
            <w:r>
              <w:rPr>
                <w:rFonts w:ascii="Calibri" w:hAnsi="Calibri"/>
                <w:b w:val="0"/>
                <w:i w:val="0"/>
                <w:color w:val="212121"/>
                <w:sz w:val="16"/>
              </w:rPr>
              <w:t>MRI of both hips</w:t>
            </w:r>
          </w:p>
        </w:tc>
        <w:tc>
          <w:tcPr>
            <w:tcW w:type="dxa" w:w="950"/>
            <w:vAlign w:val="top"/>
          </w:tcPr>
          <w:p>
            <w:pPr>
              <w:spacing w:after="40" w:before="0" w:line="259" w:lineRule="auto"/>
            </w:pPr>
            <w:r>
              <w:rPr>
                <w:rFonts w:ascii="Calibri" w:hAnsi="Calibri"/>
                <w:b w:val="0"/>
                <w:i w:val="0"/>
                <w:color w:val="212121"/>
                <w:sz w:val="16"/>
              </w:rPr>
              <w:t>Normal marrow signal</w:t>
            </w:r>
          </w:p>
        </w:tc>
        <w:tc>
          <w:tcPr>
            <w:tcW w:type="dxa" w:w="950"/>
            <w:vAlign w:val="top"/>
          </w:tcPr>
          <w:p>
            <w:pPr>
              <w:spacing w:after="40" w:before="0" w:line="259" w:lineRule="auto"/>
            </w:pPr>
            <w:r>
              <w:rPr>
                <w:rFonts w:ascii="Calibri" w:hAnsi="Calibri"/>
                <w:b w:val="0"/>
                <w:i w:val="0"/>
                <w:color w:val="212121"/>
                <w:sz w:val="16"/>
              </w:rPr>
              <w:t>Band-like low T1 line, double-line sign on T2</w:t>
            </w:r>
          </w:p>
        </w:tc>
        <w:tc>
          <w:tcPr>
            <w:tcW w:type="dxa" w:w="1036"/>
            <w:vAlign w:val="top"/>
          </w:tcPr>
          <w:p>
            <w:pPr>
              <w:spacing w:after="40" w:before="0" w:line="259" w:lineRule="auto"/>
            </w:pPr>
            <w:r>
              <w:rPr>
                <w:rFonts w:ascii="Calibri" w:hAnsi="Calibri"/>
                <w:b w:val="0"/>
                <w:i w:val="0"/>
                <w:color w:val="212121"/>
                <w:sz w:val="16"/>
              </w:rPr>
              <w:t>Detects pre-collapse AVN with highest sensitivity/specificity; defines lesion size</w:t>
            </w:r>
          </w:p>
        </w:tc>
        <w:tc>
          <w:tcPr>
            <w:tcW w:type="dxa" w:w="1036"/>
            <w:vAlign w:val="top"/>
          </w:tcPr>
          <w:p>
            <w:pPr>
              <w:spacing w:after="40" w:before="0" w:line="259" w:lineRule="auto"/>
            </w:pPr>
            <w:r>
              <w:rPr>
                <w:rFonts w:ascii="Calibri" w:hAnsi="Calibri"/>
                <w:b w:val="0"/>
                <w:i w:val="0"/>
                <w:color w:val="212121"/>
                <w:sz w:val="16"/>
              </w:rPr>
              <w:t>Young adults with hip/groin pain, steroid/alcohol-exposed, SLE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Image both hips — contralateral disease often silent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Sclerosis, crescent sign, head collapse</w:t>
            </w:r>
          </w:p>
        </w:tc>
        <w:tc>
          <w:tcPr>
            <w:tcW w:type="dxa" w:w="892"/>
            <w:vAlign w:val="top"/>
          </w:tcPr>
          <w:p>
            <w:pPr>
              <w:spacing w:after="40" w:before="0" w:line="259" w:lineRule="auto"/>
            </w:pPr>
            <w:r>
              <w:rPr>
                <w:rFonts w:ascii="Calibri" w:hAnsi="Calibri"/>
                <w:b w:val="0"/>
                <w:i w:val="0"/>
                <w:color w:val="212121"/>
                <w:sz w:val="16"/>
              </w:rPr>
              <w:t>Plain radiograph (AP + frog-leg lateral)</w:t>
            </w:r>
          </w:p>
        </w:tc>
        <w:tc>
          <w:tcPr>
            <w:tcW w:type="dxa" w:w="950"/>
            <w:vAlign w:val="top"/>
          </w:tcPr>
          <w:p>
            <w:pPr>
              <w:spacing w:after="40" w:before="0" w:line="259" w:lineRule="auto"/>
            </w:pPr>
            <w:r>
              <w:rPr>
                <w:rFonts w:ascii="Calibri" w:hAnsi="Calibri"/>
                <w:b w:val="0"/>
                <w:i w:val="0"/>
                <w:color w:val="212121"/>
                <w:sz w:val="16"/>
              </w:rPr>
              <w:t>Normal head contour</w:t>
            </w:r>
          </w:p>
        </w:tc>
        <w:tc>
          <w:tcPr>
            <w:tcW w:type="dxa" w:w="950"/>
            <w:vAlign w:val="top"/>
          </w:tcPr>
          <w:p>
            <w:pPr>
              <w:spacing w:after="40" w:before="0" w:line="259" w:lineRule="auto"/>
            </w:pPr>
            <w:r>
              <w:rPr>
                <w:rFonts w:ascii="Calibri" w:hAnsi="Calibri"/>
                <w:b w:val="0"/>
                <w:i w:val="0"/>
                <w:color w:val="212121"/>
                <w:sz w:val="16"/>
              </w:rPr>
              <w:t>Crescent sign, flattening, joint-space loss</w:t>
            </w:r>
          </w:p>
        </w:tc>
        <w:tc>
          <w:tcPr>
            <w:tcW w:type="dxa" w:w="1036"/>
            <w:vAlign w:val="top"/>
          </w:tcPr>
          <w:p>
            <w:pPr>
              <w:spacing w:after="40" w:before="0" w:line="259" w:lineRule="auto"/>
            </w:pPr>
            <w:r>
              <w:rPr>
                <w:rFonts w:ascii="Calibri" w:hAnsi="Calibri"/>
                <w:b w:val="0"/>
                <w:i w:val="0"/>
                <w:color w:val="212121"/>
                <w:sz w:val="16"/>
              </w:rPr>
              <w:t>Confirms and stages established disease; normal early</w:t>
            </w:r>
          </w:p>
        </w:tc>
        <w:tc>
          <w:tcPr>
            <w:tcW w:type="dxa" w:w="1036"/>
            <w:vAlign w:val="top"/>
          </w:tcPr>
          <w:p>
            <w:pPr>
              <w:spacing w:after="40" w:before="0" w:line="259" w:lineRule="auto"/>
            </w:pPr>
            <w:r>
              <w:rPr>
                <w:rFonts w:ascii="Calibri" w:hAnsi="Calibri"/>
                <w:b w:val="0"/>
                <w:i w:val="0"/>
                <w:color w:val="212121"/>
                <w:sz w:val="16"/>
              </w:rPr>
              <w:t>All suspected AVN, follow-up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Frog-leg view best shows the crescent sign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Subchondral fracture extent</w:t>
            </w:r>
          </w:p>
        </w:tc>
        <w:tc>
          <w:tcPr>
            <w:tcW w:type="dxa" w:w="892"/>
            <w:vAlign w:val="top"/>
          </w:tcPr>
          <w:p>
            <w:pPr>
              <w:spacing w:after="40" w:before="0" w:line="259" w:lineRule="auto"/>
            </w:pPr>
            <w:r>
              <w:rPr>
                <w:rFonts w:ascii="Calibri" w:hAnsi="Calibri"/>
                <w:b w:val="0"/>
                <w:i w:val="0"/>
                <w:color w:val="212121"/>
                <w:sz w:val="16"/>
              </w:rPr>
              <w:t>CT hip</w:t>
            </w:r>
          </w:p>
        </w:tc>
        <w:tc>
          <w:tcPr>
            <w:tcW w:type="dxa" w:w="950"/>
            <w:vAlign w:val="top"/>
          </w:tcPr>
          <w:p>
            <w:pPr>
              <w:spacing w:after="40" w:before="0" w:line="259" w:lineRule="auto"/>
            </w:pPr>
            <w:r>
              <w:rPr>
                <w:rFonts w:ascii="Calibri" w:hAnsi="Calibri"/>
                <w:b w:val="0"/>
                <w:i w:val="0"/>
                <w:color w:val="212121"/>
                <w:sz w:val="16"/>
              </w:rPr>
              <w:t>Intact subchondral plate</w:t>
            </w:r>
          </w:p>
        </w:tc>
        <w:tc>
          <w:tcPr>
            <w:tcW w:type="dxa" w:w="950"/>
            <w:vAlign w:val="top"/>
          </w:tcPr>
          <w:p>
            <w:pPr>
              <w:spacing w:after="40" w:before="0" w:line="259" w:lineRule="auto"/>
            </w:pPr>
            <w:r>
              <w:rPr>
                <w:rFonts w:ascii="Calibri" w:hAnsi="Calibri"/>
                <w:b w:val="0"/>
                <w:i w:val="0"/>
                <w:color w:val="212121"/>
                <w:sz w:val="16"/>
              </w:rPr>
              <w:t>Subchondral fracture / collapse mapping</w:t>
            </w:r>
          </w:p>
        </w:tc>
        <w:tc>
          <w:tcPr>
            <w:tcW w:type="dxa" w:w="1036"/>
            <w:vAlign w:val="top"/>
          </w:tcPr>
          <w:p>
            <w:pPr>
              <w:spacing w:after="40" w:before="0" w:line="259" w:lineRule="auto"/>
            </w:pPr>
            <w:r>
              <w:rPr>
                <w:rFonts w:ascii="Calibri" w:hAnsi="Calibri"/>
                <w:b w:val="0"/>
                <w:i w:val="0"/>
                <w:color w:val="212121"/>
                <w:sz w:val="16"/>
              </w:rPr>
              <w:t>Delineates fracture and collapse for surgical planning</w:t>
            </w:r>
          </w:p>
        </w:tc>
        <w:tc>
          <w:tcPr>
            <w:tcW w:type="dxa" w:w="1036"/>
            <w:vAlign w:val="top"/>
          </w:tcPr>
          <w:p>
            <w:pPr>
              <w:spacing w:after="40" w:before="0" w:line="259" w:lineRule="auto"/>
            </w:pPr>
            <w:r>
              <w:rPr>
                <w:rFonts w:ascii="Calibri" w:hAnsi="Calibri"/>
                <w:b w:val="0"/>
                <w:i w:val="0"/>
                <w:color w:val="212121"/>
                <w:sz w:val="16"/>
              </w:rPr>
              <w:t>Pre-operative, equivocal radiographs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Superior to MRI for subtle subchondral fracture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Radiotracer uptake pattern</w:t>
            </w:r>
          </w:p>
        </w:tc>
        <w:tc>
          <w:tcPr>
            <w:tcW w:type="dxa" w:w="892"/>
            <w:vAlign w:val="top"/>
          </w:tcPr>
          <w:p>
            <w:pPr>
              <w:spacing w:after="40" w:before="0" w:line="259" w:lineRule="auto"/>
            </w:pPr>
            <w:r>
              <w:rPr>
                <w:rFonts w:ascii="Calibri" w:hAnsi="Calibri"/>
                <w:b w:val="0"/>
                <w:i w:val="0"/>
                <w:color w:val="212121"/>
                <w:sz w:val="16"/>
              </w:rPr>
              <w:t>Tc-99m bone scan</w:t>
            </w:r>
          </w:p>
        </w:tc>
        <w:tc>
          <w:tcPr>
            <w:tcW w:type="dxa" w:w="950"/>
            <w:vAlign w:val="top"/>
          </w:tcPr>
          <w:p>
            <w:pPr>
              <w:spacing w:after="40" w:before="0" w:line="259" w:lineRule="auto"/>
            </w:pPr>
            <w:r>
              <w:rPr>
                <w:rFonts w:ascii="Calibri" w:hAnsi="Calibri"/>
                <w:b w:val="0"/>
                <w:i w:val="0"/>
                <w:color w:val="212121"/>
                <w:sz w:val="16"/>
              </w:rPr>
              <w:t>Symmetric uptake</w:t>
            </w:r>
          </w:p>
        </w:tc>
        <w:tc>
          <w:tcPr>
            <w:tcW w:type="dxa" w:w="950"/>
            <w:vAlign w:val="top"/>
          </w:tcPr>
          <w:p>
            <w:pPr>
              <w:spacing w:after="40" w:before="0" w:line="259" w:lineRule="auto"/>
            </w:pPr>
            <w:r>
              <w:rPr>
                <w:rFonts w:ascii="Calibri" w:hAnsi="Calibri"/>
                <w:b w:val="0"/>
                <w:i w:val="0"/>
                <w:color w:val="212121"/>
                <w:sz w:val="16"/>
              </w:rPr>
              <w:t>Cold-in-hot (doughnut) or increased uptake</w:t>
            </w:r>
          </w:p>
        </w:tc>
        <w:tc>
          <w:tcPr>
            <w:tcW w:type="dxa" w:w="1036"/>
            <w:vAlign w:val="top"/>
          </w:tcPr>
          <w:p>
            <w:pPr>
              <w:spacing w:after="40" w:before="0" w:line="259" w:lineRule="auto"/>
            </w:pPr>
            <w:r>
              <w:rPr>
                <w:rFonts w:ascii="Calibri" w:hAnsi="Calibri"/>
                <w:b w:val="0"/>
                <w:i w:val="0"/>
                <w:color w:val="212121"/>
                <w:sz w:val="16"/>
              </w:rPr>
              <w:t>Screens for AVN when MRI contraindicated; detects multifocal disease</w:t>
            </w:r>
          </w:p>
        </w:tc>
        <w:tc>
          <w:tcPr>
            <w:tcW w:type="dxa" w:w="1036"/>
            <w:vAlign w:val="top"/>
          </w:tcPr>
          <w:p>
            <w:pPr>
              <w:spacing w:after="40" w:before="0" w:line="259" w:lineRule="auto"/>
            </w:pPr>
            <w:r>
              <w:rPr>
                <w:rFonts w:ascii="Calibri" w:hAnsi="Calibri"/>
                <w:b w:val="0"/>
                <w:i w:val="0"/>
                <w:color w:val="212121"/>
                <w:sz w:val="16"/>
              </w:rPr>
              <w:t>Pacemaker/claustrophobic patients, multifocal AVN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Alternative</w:t>
            </w:r>
          </w:p>
        </w:tc>
        <w:tc>
          <w:tcPr>
            <w:tcW w:type="dxa" w:w="720"/>
            <w:vAlign w:val="top"/>
          </w:tcPr>
          <w:p>
            <w:pPr>
              <w:spacing w:after="40" w:before="0" w:line="259" w:lineRule="auto"/>
            </w:pPr>
            <w:r>
              <w:rPr>
                <w:rFonts w:ascii="Calibri" w:hAnsi="Calibri"/>
                <w:b w:val="0"/>
                <w:i w:val="0"/>
                <w:color w:val="212121"/>
                <w:sz w:val="16"/>
              </w:rPr>
              <w:t>Less sensitive than MRI in earliest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 (TG, LDL)</w:t>
            </w:r>
          </w:p>
        </w:tc>
        <w:tc>
          <w:tcPr>
            <w:tcW w:type="dxa" w:w="892"/>
            <w:vAlign w:val="top"/>
          </w:tcPr>
          <w:p>
            <w:pPr>
              <w:spacing w:after="40" w:before="0" w:line="259" w:lineRule="auto"/>
            </w:pPr>
            <w:r>
              <w:rPr>
                <w:rFonts w:ascii="Calibri" w:hAnsi="Calibri"/>
                <w:b w:val="0"/>
                <w:i w:val="0"/>
                <w:color w:val="212121"/>
                <w:sz w:val="16"/>
              </w:rPr>
              <w:t>Serum lipids</w:t>
            </w:r>
          </w:p>
        </w:tc>
        <w:tc>
          <w:tcPr>
            <w:tcW w:type="dxa" w:w="950"/>
            <w:vAlign w:val="top"/>
          </w:tcPr>
          <w:p>
            <w:pPr>
              <w:spacing w:after="40" w:before="0" w:line="259" w:lineRule="auto"/>
            </w:pPr>
            <w:r>
              <w:rPr>
                <w:rFonts w:ascii="Calibri" w:hAnsi="Calibri"/>
                <w:b w:val="0"/>
                <w:i w:val="0"/>
                <w:color w:val="212121"/>
                <w:sz w:val="16"/>
              </w:rPr>
              <w:t>TG &lt;150; LDL &lt;100 mg/dL</w:t>
            </w:r>
          </w:p>
        </w:tc>
        <w:tc>
          <w:tcPr>
            <w:tcW w:type="dxa" w:w="950"/>
            <w:vAlign w:val="top"/>
          </w:tcPr>
          <w:p>
            <w:pPr>
              <w:spacing w:after="40" w:before="0" w:line="259" w:lineRule="auto"/>
            </w:pPr>
            <w:r>
              <w:rPr>
                <w:rFonts w:ascii="Calibri" w:hAnsi="Calibri"/>
                <w:b w:val="0"/>
                <w:i w:val="0"/>
                <w:color w:val="212121"/>
                <w:sz w:val="16"/>
              </w:rPr>
              <w:t>TG ≥200; raised LDL</w:t>
            </w:r>
          </w:p>
        </w:tc>
        <w:tc>
          <w:tcPr>
            <w:tcW w:type="dxa" w:w="1036"/>
            <w:vAlign w:val="top"/>
          </w:tcPr>
          <w:p>
            <w:pPr>
              <w:spacing w:after="40" w:before="0" w:line="259" w:lineRule="auto"/>
            </w:pPr>
            <w:r>
              <w:rPr>
                <w:rFonts w:ascii="Calibri" w:hAnsi="Calibri"/>
                <w:b w:val="0"/>
                <w:i w:val="0"/>
                <w:color w:val="212121"/>
                <w:sz w:val="16"/>
              </w:rPr>
              <w:t>Identifies the dyslipidaemia/fat-embolism pathway; modifiable</w:t>
            </w:r>
          </w:p>
        </w:tc>
        <w:tc>
          <w:tcPr>
            <w:tcW w:type="dxa" w:w="1036"/>
            <w:vAlign w:val="top"/>
          </w:tcPr>
          <w:p>
            <w:pPr>
              <w:spacing w:after="40" w:before="0" w:line="259" w:lineRule="auto"/>
            </w:pPr>
            <w:r>
              <w:rPr>
                <w:rFonts w:ascii="Calibri" w:hAnsi="Calibri"/>
                <w:b w:val="0"/>
                <w:i w:val="0"/>
                <w:color w:val="212121"/>
                <w:sz w:val="16"/>
              </w:rPr>
              <w:t>Steroid/alcohol AVN, obese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lipid-lowering as adjunct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Sickle solubility / Hb electrophoresis</w:t>
            </w:r>
          </w:p>
        </w:tc>
        <w:tc>
          <w:tcPr>
            <w:tcW w:type="dxa" w:w="892"/>
            <w:vAlign w:val="top"/>
          </w:tcPr>
          <w:p>
            <w:pPr>
              <w:spacing w:after="40" w:before="0" w:line="259" w:lineRule="auto"/>
            </w:pPr>
            <w:r>
              <w:rPr>
                <w:rFonts w:ascii="Calibri" w:hAnsi="Calibri"/>
                <w:b w:val="0"/>
                <w:i w:val="0"/>
                <w:color w:val="212121"/>
                <w:sz w:val="16"/>
              </w:rPr>
              <w:t>HbS screen</w:t>
            </w:r>
          </w:p>
        </w:tc>
        <w:tc>
          <w:tcPr>
            <w:tcW w:type="dxa" w:w="950"/>
            <w:vAlign w:val="top"/>
          </w:tcPr>
          <w:p>
            <w:pPr>
              <w:spacing w:after="40" w:before="0" w:line="259" w:lineRule="auto"/>
            </w:pPr>
            <w:r>
              <w:rPr>
                <w:rFonts w:ascii="Calibri" w:hAnsi="Calibri"/>
                <w:b w:val="0"/>
                <w:i w:val="0"/>
                <w:color w:val="212121"/>
                <w:sz w:val="16"/>
              </w:rPr>
              <w:t>HbAA</w:t>
            </w:r>
          </w:p>
        </w:tc>
        <w:tc>
          <w:tcPr>
            <w:tcW w:type="dxa" w:w="950"/>
            <w:vAlign w:val="top"/>
          </w:tcPr>
          <w:p>
            <w:pPr>
              <w:spacing w:after="40" w:before="0" w:line="259" w:lineRule="auto"/>
            </w:pPr>
            <w:r>
              <w:rPr>
                <w:rFonts w:ascii="Calibri" w:hAnsi="Calibri"/>
                <w:b w:val="0"/>
                <w:i w:val="0"/>
                <w:color w:val="212121"/>
                <w:sz w:val="16"/>
              </w:rPr>
              <w:t>HbAS / HbSS</w:t>
            </w:r>
          </w:p>
        </w:tc>
        <w:tc>
          <w:tcPr>
            <w:tcW w:type="dxa" w:w="1036"/>
            <w:vAlign w:val="top"/>
          </w:tcPr>
          <w:p>
            <w:pPr>
              <w:spacing w:after="40" w:before="0" w:line="259" w:lineRule="auto"/>
            </w:pPr>
            <w:r>
              <w:rPr>
                <w:rFonts w:ascii="Calibri" w:hAnsi="Calibri"/>
                <w:b w:val="0"/>
                <w:i w:val="0"/>
                <w:color w:val="212121"/>
                <w:sz w:val="16"/>
              </w:rPr>
              <w:t>Confirms haemoglobinopathy as cause, especially in tribal-belt patients</w:t>
            </w:r>
          </w:p>
        </w:tc>
        <w:tc>
          <w:tcPr>
            <w:tcW w:type="dxa" w:w="1036"/>
            <w:vAlign w:val="top"/>
          </w:tcPr>
          <w:p>
            <w:pPr>
              <w:spacing w:after="40" w:before="0" w:line="259" w:lineRule="auto"/>
            </w:pPr>
            <w:r>
              <w:rPr>
                <w:rFonts w:ascii="Calibri" w:hAnsi="Calibri"/>
                <w:b w:val="0"/>
                <w:i w:val="0"/>
                <w:color w:val="212121"/>
                <w:sz w:val="16"/>
              </w:rPr>
              <w:t>Central/eastern Indian, anaemic,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Positive result changes long-term management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 / immunology</w:t>
            </w:r>
          </w:p>
        </w:tc>
        <w:tc>
          <w:tcPr>
            <w:tcW w:type="dxa" w:w="1036"/>
            <w:vAlign w:val="top"/>
          </w:tcPr>
          <w:p>
            <w:pPr>
              <w:spacing w:after="40" w:before="0" w:line="259" w:lineRule="auto"/>
            </w:pPr>
            <w:r>
              <w:rPr>
                <w:rFonts w:ascii="Calibri" w:hAnsi="Calibri"/>
                <w:b w:val="0"/>
                <w:i w:val="0"/>
                <w:color w:val="212121"/>
                <w:sz w:val="16"/>
              </w:rPr>
              <w:t>Thrombophilia &amp; autoimmune panel</w:t>
            </w:r>
          </w:p>
        </w:tc>
        <w:tc>
          <w:tcPr>
            <w:tcW w:type="dxa" w:w="892"/>
            <w:vAlign w:val="top"/>
          </w:tcPr>
          <w:p>
            <w:pPr>
              <w:spacing w:after="40" w:before="0" w:line="259" w:lineRule="auto"/>
            </w:pPr>
            <w:r>
              <w:rPr>
                <w:rFonts w:ascii="Calibri" w:hAnsi="Calibri"/>
                <w:b w:val="0"/>
                <w:i w:val="0"/>
                <w:color w:val="212121"/>
                <w:sz w:val="16"/>
              </w:rPr>
              <w:t>Protein C/S, Factor V Leiden, APLA, ANA</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Thrombophilia or positive autoantibodies</w:t>
            </w:r>
          </w:p>
        </w:tc>
        <w:tc>
          <w:tcPr>
            <w:tcW w:type="dxa" w:w="1036"/>
            <w:vAlign w:val="top"/>
          </w:tcPr>
          <w:p>
            <w:pPr>
              <w:spacing w:after="40" w:before="0" w:line="259" w:lineRule="auto"/>
            </w:pPr>
            <w:r>
              <w:rPr>
                <w:rFonts w:ascii="Calibri" w:hAnsi="Calibri"/>
                <w:b w:val="0"/>
                <w:i w:val="0"/>
                <w:color w:val="212121"/>
                <w:sz w:val="16"/>
              </w:rPr>
              <w:t>Uncovers hypercoagulable or lupus-associated aetiology in atraumatic/bilateral young patients</w:t>
            </w:r>
          </w:p>
        </w:tc>
        <w:tc>
          <w:tcPr>
            <w:tcW w:type="dxa" w:w="1036"/>
            <w:vAlign w:val="top"/>
          </w:tcPr>
          <w:p>
            <w:pPr>
              <w:spacing w:after="40" w:before="0" w:line="259" w:lineRule="auto"/>
            </w:pPr>
            <w:r>
              <w:rPr>
                <w:rFonts w:ascii="Calibri" w:hAnsi="Calibri"/>
                <w:b w:val="0"/>
                <w:i w:val="0"/>
                <w:color w:val="212121"/>
                <w:sz w:val="16"/>
              </w:rPr>
              <w:t>Bilateral, familial, idiopathic, young AVN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 for atraumatic bilateral disease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Deep groin / hip pain worse on weight-bearing</w:t>
            </w:r>
          </w:p>
        </w:tc>
        <w:tc>
          <w:tcPr>
            <w:tcW w:type="dxa" w:w="950"/>
            <w:vAlign w:val="top"/>
          </w:tcPr>
          <w:p>
            <w:pPr>
              <w:spacing w:after="40" w:before="0" w:line="259" w:lineRule="auto"/>
            </w:pPr>
            <w:r>
              <w:rPr>
                <w:rFonts w:ascii="Calibri" w:hAnsi="Calibri"/>
                <w:b w:val="0"/>
                <w:i w:val="0"/>
                <w:color w:val="212121"/>
                <w:sz w:val="16"/>
              </w:rPr>
              <w:t>No pain</w:t>
            </w:r>
          </w:p>
        </w:tc>
        <w:tc>
          <w:tcPr>
            <w:tcW w:type="dxa" w:w="950"/>
            <w:vAlign w:val="top"/>
          </w:tcPr>
          <w:p>
            <w:pPr>
              <w:spacing w:after="40" w:before="0" w:line="259" w:lineRule="auto"/>
            </w:pPr>
            <w:r>
              <w:rPr>
                <w:rFonts w:ascii="Calibri" w:hAnsi="Calibri"/>
                <w:b w:val="0"/>
                <w:i w:val="0"/>
                <w:color w:val="212121"/>
                <w:sz w:val="16"/>
              </w:rPr>
              <w:t>Activity-related groin pain, later rest/night pain</w:t>
            </w:r>
          </w:p>
        </w:tc>
        <w:tc>
          <w:tcPr>
            <w:tcW w:type="dxa" w:w="1036"/>
            <w:vAlign w:val="top"/>
          </w:tcPr>
          <w:p>
            <w:pPr>
              <w:spacing w:after="40" w:before="0" w:line="259" w:lineRule="auto"/>
            </w:pPr>
            <w:r>
              <w:rPr>
                <w:rFonts w:ascii="Calibri" w:hAnsi="Calibri"/>
                <w:b w:val="0"/>
                <w:i w:val="0"/>
                <w:color w:val="212121"/>
                <w:sz w:val="16"/>
              </w:rPr>
              <w:t>Cardinal symptom; pain often precedes radiographic change</w:t>
            </w:r>
          </w:p>
        </w:tc>
        <w:tc>
          <w:tcPr>
            <w:tcW w:type="dxa" w:w="1036"/>
            <w:vAlign w:val="top"/>
          </w:tcPr>
          <w:p>
            <w:pPr>
              <w:spacing w:after="40" w:before="0" w:line="259" w:lineRule="auto"/>
            </w:pPr>
            <w:r>
              <w:rPr>
                <w:rFonts w:ascii="Calibri" w:hAnsi="Calibri"/>
                <w:b w:val="0"/>
                <w:i w:val="0"/>
                <w:color w:val="212121"/>
                <w:sz w:val="16"/>
              </w:rPr>
              <w:t>At-risk adults with new hip pain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be referred to knee/thigh and missed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Steroid exposure</w:t>
            </w:r>
          </w:p>
        </w:tc>
        <w:tc>
          <w:tcPr>
            <w:tcW w:type="dxa" w:w="979"/>
            <w:vAlign w:val="top"/>
          </w:tcPr>
          <w:p>
            <w:pPr>
              <w:spacing w:after="40" w:before="0" w:line="259" w:lineRule="auto"/>
            </w:pPr>
            <w:r>
              <w:rPr>
                <w:rFonts w:ascii="Calibri" w:hAnsi="Calibri"/>
                <w:b w:val="0"/>
                <w:i w:val="0"/>
                <w:color w:val="212121"/>
                <w:sz w:val="16"/>
              </w:rPr>
              <w:t>Dose, duration, indication (incl. COVID-19)</w:t>
            </w:r>
          </w:p>
        </w:tc>
        <w:tc>
          <w:tcPr>
            <w:tcW w:type="dxa" w:w="950"/>
            <w:vAlign w:val="top"/>
          </w:tcPr>
          <w:p>
            <w:pPr>
              <w:spacing w:after="40" w:before="0" w:line="259" w:lineRule="auto"/>
            </w:pPr>
            <w:r>
              <w:rPr>
                <w:rFonts w:ascii="Calibri" w:hAnsi="Calibri"/>
                <w:b w:val="0"/>
                <w:i w:val="0"/>
                <w:color w:val="212121"/>
                <w:sz w:val="16"/>
              </w:rPr>
              <w:t>No glucocorticoid use</w:t>
            </w:r>
          </w:p>
        </w:tc>
        <w:tc>
          <w:tcPr>
            <w:tcW w:type="dxa" w:w="950"/>
            <w:vAlign w:val="top"/>
          </w:tcPr>
          <w:p>
            <w:pPr>
              <w:spacing w:after="40" w:before="0" w:line="259" w:lineRule="auto"/>
            </w:pPr>
            <w:r>
              <w:rPr>
                <w:rFonts w:ascii="Calibri" w:hAnsi="Calibri"/>
                <w:b w:val="0"/>
                <w:i w:val="0"/>
                <w:color w:val="212121"/>
                <w:sz w:val="16"/>
              </w:rPr>
              <w:t>High cumulative or pulse steroids</w:t>
            </w:r>
          </w:p>
        </w:tc>
        <w:tc>
          <w:tcPr>
            <w:tcW w:type="dxa" w:w="1036"/>
            <w:vAlign w:val="top"/>
          </w:tcPr>
          <w:p>
            <w:pPr>
              <w:spacing w:after="40" w:before="0" w:line="259" w:lineRule="auto"/>
            </w:pPr>
            <w:r>
              <w:rPr>
                <w:rFonts w:ascii="Calibri" w:hAnsi="Calibri"/>
                <w:b w:val="0"/>
                <w:i w:val="0"/>
                <w:color w:val="212121"/>
                <w:sz w:val="16"/>
              </w:rPr>
              <w:t>Establishes the commonest aetiology and risk window</w:t>
            </w:r>
          </w:p>
        </w:tc>
        <w:tc>
          <w:tcPr>
            <w:tcW w:type="dxa" w:w="1036"/>
            <w:vAlign w:val="top"/>
          </w:tcPr>
          <w:p>
            <w:pPr>
              <w:spacing w:after="40" w:before="0" w:line="259" w:lineRule="auto"/>
            </w:pPr>
            <w:r>
              <w:rPr>
                <w:rFonts w:ascii="Calibri" w:hAnsi="Calibri"/>
                <w:b w:val="0"/>
                <w:i w:val="0"/>
                <w:color w:val="212121"/>
                <w:sz w:val="16"/>
              </w:rPr>
              <w:t>COVID-19 survivors, SLE, transplant, asthma/COPD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risk history</w:t>
            </w:r>
          </w:p>
        </w:tc>
        <w:tc>
          <w:tcPr>
            <w:tcW w:type="dxa" w:w="720"/>
            <w:vAlign w:val="top"/>
          </w:tcPr>
          <w:p>
            <w:pPr>
              <w:spacing w:after="40" w:before="0" w:line="259" w:lineRule="auto"/>
            </w:pPr>
            <w:r>
              <w:rPr>
                <w:rFonts w:ascii="Calibri" w:hAnsi="Calibri"/>
                <w:b w:val="0"/>
                <w:i w:val="0"/>
                <w:color w:val="212121"/>
                <w:sz w:val="16"/>
              </w:rPr>
              <w:t>Quantify cumulative prednisolone-equivalent dose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&amp; smoking</w:t>
            </w:r>
          </w:p>
        </w:tc>
        <w:tc>
          <w:tcPr>
            <w:tcW w:type="dxa" w:w="979"/>
            <w:vAlign w:val="top"/>
          </w:tcPr>
          <w:p>
            <w:pPr>
              <w:spacing w:after="40" w:before="0" w:line="259" w:lineRule="auto"/>
            </w:pPr>
            <w:r>
              <w:rPr>
                <w:rFonts w:ascii="Calibri" w:hAnsi="Calibri"/>
                <w:b w:val="0"/>
                <w:i w:val="0"/>
                <w:color w:val="212121"/>
                <w:sz w:val="16"/>
              </w:rPr>
              <w:t>Units/week, drink-years, pack-years</w:t>
            </w:r>
          </w:p>
        </w:tc>
        <w:tc>
          <w:tcPr>
            <w:tcW w:type="dxa" w:w="950"/>
            <w:vAlign w:val="top"/>
          </w:tcPr>
          <w:p>
            <w:pPr>
              <w:spacing w:after="40" w:before="0" w:line="259" w:lineRule="auto"/>
            </w:pPr>
            <w:r>
              <w:rPr>
                <w:rFonts w:ascii="Calibri" w:hAnsi="Calibri"/>
                <w:b w:val="0"/>
                <w:i w:val="0"/>
                <w:color w:val="212121"/>
                <w:sz w:val="16"/>
              </w:rPr>
              <w:t>Nil / minimal</w:t>
            </w:r>
          </w:p>
        </w:tc>
        <w:tc>
          <w:tcPr>
            <w:tcW w:type="dxa" w:w="950"/>
            <w:vAlign w:val="top"/>
          </w:tcPr>
          <w:p>
            <w:pPr>
              <w:spacing w:after="40" w:before="0" w:line="259" w:lineRule="auto"/>
            </w:pPr>
            <w:r>
              <w:rPr>
                <w:rFonts w:ascii="Calibri" w:hAnsi="Calibri"/>
                <w:b w:val="0"/>
                <w:i w:val="0"/>
                <w:color w:val="212121"/>
                <w:sz w:val="16"/>
              </w:rPr>
              <w:t>&gt;320 g ethanol/week; current smoker</w:t>
            </w:r>
          </w:p>
        </w:tc>
        <w:tc>
          <w:tcPr>
            <w:tcW w:type="dxa" w:w="1036"/>
            <w:vAlign w:val="top"/>
          </w:tcPr>
          <w:p>
            <w:pPr>
              <w:spacing w:after="40" w:before="0" w:line="259" w:lineRule="auto"/>
            </w:pPr>
            <w:r>
              <w:rPr>
                <w:rFonts w:ascii="Calibri" w:hAnsi="Calibri"/>
                <w:b w:val="0"/>
                <w:i w:val="0"/>
                <w:color w:val="212121"/>
                <w:sz w:val="16"/>
              </w:rPr>
              <w:t>Quantifies two leading modifiable causes</w:t>
            </w:r>
          </w:p>
        </w:tc>
        <w:tc>
          <w:tcPr>
            <w:tcW w:type="dxa" w:w="1036"/>
            <w:vAlign w:val="top"/>
          </w:tcPr>
          <w:p>
            <w:pPr>
              <w:spacing w:after="40" w:before="0" w:line="259" w:lineRule="auto"/>
            </w:pPr>
            <w:r>
              <w:rPr>
                <w:rFonts w:ascii="Calibri" w:hAnsi="Calibri"/>
                <w:b w:val="0"/>
                <w:i w:val="0"/>
                <w:color w:val="212121"/>
                <w:sz w:val="16"/>
              </w:rPr>
              <w:t>Adult men, heavy drinkers, smokers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Key risk history</w:t>
            </w:r>
          </w:p>
        </w:tc>
        <w:tc>
          <w:tcPr>
            <w:tcW w:type="dxa" w:w="720"/>
            <w:vAlign w:val="top"/>
          </w:tcPr>
          <w:p>
            <w:pPr>
              <w:spacing w:after="40" w:before="0" w:line="259" w:lineRule="auto"/>
            </w:pPr>
            <w:r>
              <w:rPr>
                <w:rFonts w:ascii="Calibri" w:hAnsi="Calibri"/>
                <w:b w:val="0"/>
                <w:i w:val="0"/>
                <w:color w:val="212121"/>
                <w:sz w:val="16"/>
              </w:rPr>
              <w:t>Dose-dependent; essential for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Gait &amp; hip range of motion</w:t>
            </w:r>
          </w:p>
        </w:tc>
        <w:tc>
          <w:tcPr>
            <w:tcW w:type="dxa" w:w="979"/>
            <w:vAlign w:val="top"/>
          </w:tcPr>
          <w:p>
            <w:pPr>
              <w:spacing w:after="40" w:before="0" w:line="259" w:lineRule="auto"/>
            </w:pPr>
            <w:r>
              <w:rPr>
                <w:rFonts w:ascii="Calibri" w:hAnsi="Calibri"/>
                <w:b w:val="0"/>
                <w:i w:val="0"/>
                <w:color w:val="212121"/>
                <w:sz w:val="16"/>
              </w:rPr>
              <w:t>Antalgic gait; painful, restricted internal rotation</w:t>
            </w:r>
          </w:p>
        </w:tc>
        <w:tc>
          <w:tcPr>
            <w:tcW w:type="dxa" w:w="950"/>
            <w:vAlign w:val="top"/>
          </w:tcPr>
          <w:p>
            <w:pPr>
              <w:spacing w:after="40" w:before="0" w:line="259" w:lineRule="auto"/>
            </w:pPr>
            <w:r>
              <w:rPr>
                <w:rFonts w:ascii="Calibri" w:hAnsi="Calibri"/>
                <w:b w:val="0"/>
                <w:i w:val="0"/>
                <w:color w:val="212121"/>
                <w:sz w:val="16"/>
              </w:rPr>
              <w:t>Normal gait and full ROM</w:t>
            </w:r>
          </w:p>
        </w:tc>
        <w:tc>
          <w:tcPr>
            <w:tcW w:type="dxa" w:w="950"/>
            <w:vAlign w:val="top"/>
          </w:tcPr>
          <w:p>
            <w:pPr>
              <w:spacing w:after="40" w:before="0" w:line="259" w:lineRule="auto"/>
            </w:pPr>
            <w:r>
              <w:rPr>
                <w:rFonts w:ascii="Calibri" w:hAnsi="Calibri"/>
                <w:b w:val="0"/>
                <w:i w:val="0"/>
                <w:color w:val="212121"/>
                <w:sz w:val="16"/>
              </w:rPr>
              <w:t>Limp; pain and loss of internal rotation/abduction</w:t>
            </w:r>
          </w:p>
        </w:tc>
        <w:tc>
          <w:tcPr>
            <w:tcW w:type="dxa" w:w="1036"/>
            <w:vAlign w:val="top"/>
          </w:tcPr>
          <w:p>
            <w:pPr>
              <w:spacing w:after="40" w:before="0" w:line="259" w:lineRule="auto"/>
            </w:pPr>
            <w:r>
              <w:rPr>
                <w:rFonts w:ascii="Calibri" w:hAnsi="Calibri"/>
                <w:b w:val="0"/>
                <w:i w:val="0"/>
                <w:color w:val="212121"/>
                <w:sz w:val="16"/>
              </w:rPr>
              <w:t>Restricted, painful internal rotation is the earliest and most consistent sign</w:t>
            </w:r>
          </w:p>
        </w:tc>
        <w:tc>
          <w:tcPr>
            <w:tcW w:type="dxa" w:w="1036"/>
            <w:vAlign w:val="top"/>
          </w:tcPr>
          <w:p>
            <w:pPr>
              <w:spacing w:after="40" w:before="0" w:line="259" w:lineRule="auto"/>
            </w:pPr>
            <w:r>
              <w:rPr>
                <w:rFonts w:ascii="Calibri" w:hAnsi="Calibri"/>
                <w:b w:val="0"/>
                <w:i w:val="0"/>
                <w:color w:val="212121"/>
                <w:sz w:val="16"/>
              </w:rPr>
              <w:t>Symptomatic hips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Early cases may have a near-normal examination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Provocative tests</w:t>
            </w:r>
          </w:p>
        </w:tc>
        <w:tc>
          <w:tcPr>
            <w:tcW w:type="dxa" w:w="979"/>
            <w:vAlign w:val="top"/>
          </w:tcPr>
          <w:p>
            <w:pPr>
              <w:spacing w:after="40" w:before="0" w:line="259" w:lineRule="auto"/>
            </w:pPr>
            <w:r>
              <w:rPr>
                <w:rFonts w:ascii="Calibri" w:hAnsi="Calibri"/>
                <w:b w:val="0"/>
                <w:i w:val="0"/>
                <w:color w:val="212121"/>
                <w:sz w:val="16"/>
              </w:rPr>
              <w:t>FABER/Patrick and log-roll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Groin pain on FABER / passive log-roll</w:t>
            </w:r>
          </w:p>
        </w:tc>
        <w:tc>
          <w:tcPr>
            <w:tcW w:type="dxa" w:w="1036"/>
            <w:vAlign w:val="top"/>
          </w:tcPr>
          <w:p>
            <w:pPr>
              <w:spacing w:after="40" w:before="0" w:line="259" w:lineRule="auto"/>
            </w:pPr>
            <w:r>
              <w:rPr>
                <w:rFonts w:ascii="Calibri" w:hAnsi="Calibri"/>
                <w:b w:val="0"/>
                <w:i w:val="0"/>
                <w:color w:val="212121"/>
                <w:sz w:val="16"/>
              </w:rPr>
              <w:t>Localises pathology to the hip joint rather than spine/soft tissue</w:t>
            </w:r>
          </w:p>
        </w:tc>
        <w:tc>
          <w:tcPr>
            <w:tcW w:type="dxa" w:w="1036"/>
            <w:vAlign w:val="top"/>
          </w:tcPr>
          <w:p>
            <w:pPr>
              <w:spacing w:after="40" w:before="0" w:line="259" w:lineRule="auto"/>
            </w:pPr>
            <w:r>
              <w:rPr>
                <w:rFonts w:ascii="Calibri" w:hAnsi="Calibri"/>
                <w:b w:val="0"/>
                <w:i w:val="0"/>
                <w:color w:val="212121"/>
                <w:sz w:val="16"/>
              </w:rPr>
              <w:t>Suspected intra-articular hip disease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Log-roll is the most specific bedside hip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Contralateral &amp; late-stage assessment</w:t>
            </w:r>
          </w:p>
        </w:tc>
        <w:tc>
          <w:tcPr>
            <w:tcW w:type="dxa" w:w="979"/>
            <w:vAlign w:val="top"/>
          </w:tcPr>
          <w:p>
            <w:pPr>
              <w:spacing w:after="40" w:before="0" w:line="259" w:lineRule="auto"/>
            </w:pPr>
            <w:r>
              <w:rPr>
                <w:rFonts w:ascii="Calibri" w:hAnsi="Calibri"/>
                <w:b w:val="0"/>
                <w:i w:val="0"/>
                <w:color w:val="212121"/>
                <w:sz w:val="16"/>
              </w:rPr>
              <w:t>Opposite hip, limb length, Trendelenburg</w:t>
            </w:r>
          </w:p>
        </w:tc>
        <w:tc>
          <w:tcPr>
            <w:tcW w:type="dxa" w:w="950"/>
            <w:vAlign w:val="top"/>
          </w:tcPr>
          <w:p>
            <w:pPr>
              <w:spacing w:after="40" w:before="0" w:line="259" w:lineRule="auto"/>
            </w:pPr>
            <w:r>
              <w:rPr>
                <w:rFonts w:ascii="Calibri" w:hAnsi="Calibri"/>
                <w:b w:val="0"/>
                <w:i w:val="0"/>
                <w:color w:val="212121"/>
                <w:sz w:val="16"/>
              </w:rPr>
              <w:t>Symmetric, negative Trendelenburg</w:t>
            </w:r>
          </w:p>
        </w:tc>
        <w:tc>
          <w:tcPr>
            <w:tcW w:type="dxa" w:w="950"/>
            <w:vAlign w:val="top"/>
          </w:tcPr>
          <w:p>
            <w:pPr>
              <w:spacing w:after="40" w:before="0" w:line="259" w:lineRule="auto"/>
            </w:pPr>
            <w:r>
              <w:rPr>
                <w:rFonts w:ascii="Calibri" w:hAnsi="Calibri"/>
                <w:b w:val="0"/>
                <w:i w:val="0"/>
                <w:color w:val="212121"/>
                <w:sz w:val="16"/>
              </w:rPr>
              <w:t>Silent contralateral disease; apparent shortening; positive Trendelenburg</w:t>
            </w:r>
          </w:p>
        </w:tc>
        <w:tc>
          <w:tcPr>
            <w:tcW w:type="dxa" w:w="1036"/>
            <w:vAlign w:val="top"/>
          </w:tcPr>
          <w:p>
            <w:pPr>
              <w:spacing w:after="40" w:before="0" w:line="259" w:lineRule="auto"/>
            </w:pPr>
            <w:r>
              <w:rPr>
                <w:rFonts w:ascii="Calibri" w:hAnsi="Calibri"/>
                <w:b w:val="0"/>
                <w:i w:val="0"/>
                <w:color w:val="212121"/>
                <w:sz w:val="16"/>
              </w:rPr>
              <w:t>Detects frequent bilateral involvement and late collapse/abductor weakness</w:t>
            </w:r>
          </w:p>
        </w:tc>
        <w:tc>
          <w:tcPr>
            <w:tcW w:type="dxa" w:w="1036"/>
            <w:vAlign w:val="top"/>
          </w:tcPr>
          <w:p>
            <w:pPr>
              <w:spacing w:after="40" w:before="0" w:line="259" w:lineRule="auto"/>
            </w:pPr>
            <w:r>
              <w:rPr>
                <w:rFonts w:ascii="Calibri" w:hAnsi="Calibri"/>
                <w:b w:val="0"/>
                <w:i w:val="0"/>
                <w:color w:val="212121"/>
                <w:sz w:val="16"/>
              </w:rPr>
              <w:t>Steroid/alcohol AVN, bilateral cases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Over half of atraumatic cases are bilateral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Deep groin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typical symptom — a deep, aching groin pain brought on by weight-bearing and walking.</w:t>
            </w:r>
          </w:p>
        </w:tc>
      </w:tr>
      <w:tr>
        <w:trPr>
          <w:cantSplit/>
        </w:trPr>
        <w:tc>
          <w:tcPr>
            <w:tcW w:type="dxa" w:w="2304"/>
            <w:vAlign w:val="top"/>
          </w:tcPr>
          <w:p>
            <w:pPr>
              <w:spacing w:after="40" w:before="0" w:line="259" w:lineRule="auto"/>
            </w:pPr>
            <w:r>
              <w:rPr>
                <w:rFonts w:ascii="Calibri" w:hAnsi="Calibri"/>
                <w:b/>
                <w:i w:val="0"/>
                <w:color w:val="212121"/>
                <w:sz w:val="19"/>
              </w:rPr>
              <w:t>Hip / buttock / thigh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radiates around the hip and anterior thigh; reflects intra-articular and intra-osseous pressure.</w:t>
            </w:r>
          </w:p>
        </w:tc>
      </w:tr>
      <w:tr>
        <w:trPr>
          <w:cantSplit/>
        </w:trPr>
        <w:tc>
          <w:tcPr>
            <w:tcW w:type="dxa" w:w="2304"/>
            <w:vAlign w:val="top"/>
          </w:tcPr>
          <w:p>
            <w:pPr>
              <w:spacing w:after="40" w:before="0" w:line="259" w:lineRule="auto"/>
            </w:pPr>
            <w:r>
              <w:rPr>
                <w:rFonts w:ascii="Calibri" w:hAnsi="Calibri"/>
                <w:b/>
                <w:i w:val="0"/>
                <w:color w:val="212121"/>
                <w:sz w:val="19"/>
              </w:rPr>
              <w:t>Pain relieved by rest (early), rest &amp; night pain (late)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Mechanical pattern early; constant rest and night pain signal subchondral fracture/collapse.</w:t>
            </w:r>
          </w:p>
        </w:tc>
      </w:tr>
      <w:tr>
        <w:trPr>
          <w:cantSplit/>
        </w:trPr>
        <w:tc>
          <w:tcPr>
            <w:tcW w:type="dxa" w:w="2304"/>
            <w:vAlign w:val="top"/>
          </w:tcPr>
          <w:p>
            <w:pPr>
              <w:spacing w:after="40" w:before="0" w:line="259" w:lineRule="auto"/>
            </w:pPr>
            <w:r>
              <w:rPr>
                <w:rFonts w:ascii="Calibri" w:hAnsi="Calibri"/>
                <w:b/>
                <w:i w:val="0"/>
                <w:color w:val="212121"/>
                <w:sz w:val="19"/>
              </w:rPr>
              <w:t>Limp / difficulty walking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Antalgic gait develops as pain and structural collapse progress.</w:t>
            </w:r>
          </w:p>
        </w:tc>
      </w:tr>
      <w:tr>
        <w:trPr>
          <w:cantSplit/>
        </w:trPr>
        <w:tc>
          <w:tcPr>
            <w:tcW w:type="dxa" w:w="2304"/>
            <w:vAlign w:val="top"/>
          </w:tcPr>
          <w:p>
            <w:pPr>
              <w:spacing w:after="40" w:before="0" w:line="259" w:lineRule="auto"/>
            </w:pPr>
            <w:r>
              <w:rPr>
                <w:rFonts w:ascii="Calibri" w:hAnsi="Calibri"/>
                <w:b/>
                <w:i w:val="0"/>
                <w:color w:val="212121"/>
                <w:sz w:val="19"/>
              </w:rPr>
              <w:t>Stiffness and reduced hip movement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internal rotation and abduction, with difficulty putting on shoes or socks.</w:t>
            </w:r>
          </w:p>
        </w:tc>
      </w:tr>
      <w:tr>
        <w:trPr>
          <w:cantSplit/>
        </w:trPr>
        <w:tc>
          <w:tcPr>
            <w:tcW w:type="dxa" w:w="2304"/>
            <w:vAlign w:val="top"/>
          </w:tcPr>
          <w:p>
            <w:pPr>
              <w:spacing w:after="40" w:before="0" w:line="259" w:lineRule="auto"/>
            </w:pPr>
            <w:r>
              <w:rPr>
                <w:rFonts w:ascii="Calibri" w:hAnsi="Calibri"/>
                <w:b/>
                <w:i w:val="0"/>
                <w:color w:val="212121"/>
                <w:sz w:val="19"/>
              </w:rPr>
              <w:t>Difficulty squatting or sitting cross-legged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Particularly disabling in India, where floor-level activities and squatting toilets are routine.</w:t>
            </w:r>
          </w:p>
        </w:tc>
      </w:tr>
      <w:tr>
        <w:trPr>
          <w:cantSplit/>
        </w:trPr>
        <w:tc>
          <w:tcPr>
            <w:tcW w:type="dxa" w:w="2304"/>
            <w:vAlign w:val="top"/>
          </w:tcPr>
          <w:p>
            <w:pPr>
              <w:spacing w:after="40" w:before="0" w:line="259" w:lineRule="auto"/>
            </w:pPr>
            <w:r>
              <w:rPr>
                <w:rFonts w:ascii="Calibri" w:hAnsi="Calibri"/>
                <w:b/>
                <w:i w:val="0"/>
                <w:color w:val="212121"/>
                <w:sz w:val="19"/>
              </w:rPr>
              <w:t>Referred pain to the knee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Hip pathology may present as knee pain, a classic cause of diagnostic delay.</w:t>
            </w:r>
          </w:p>
        </w:tc>
      </w:tr>
      <w:tr>
        <w:trPr>
          <w:cantSplit/>
        </w:trPr>
        <w:tc>
          <w:tcPr>
            <w:tcW w:type="dxa" w:w="2304"/>
            <w:vAlign w:val="top"/>
          </w:tcPr>
          <w:p>
            <w:pPr>
              <w:spacing w:after="40" w:before="0" w:line="259" w:lineRule="auto"/>
            </w:pPr>
            <w:r>
              <w:rPr>
                <w:rFonts w:ascii="Calibri" w:hAnsi="Calibri"/>
                <w:b/>
                <w:i w:val="0"/>
                <w:color w:val="212121"/>
                <w:sz w:val="19"/>
              </w:rPr>
              <w:t>Sudden increase in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abrupt worsening often marks subchondral fracture (crescent sign) and impending collapse.</w:t>
            </w:r>
          </w:p>
        </w:tc>
      </w:tr>
      <w:tr>
        <w:trPr>
          <w:cantSplit/>
        </w:trPr>
        <w:tc>
          <w:tcPr>
            <w:tcW w:type="dxa" w:w="2304"/>
            <w:vAlign w:val="top"/>
          </w:tcPr>
          <w:p>
            <w:pPr>
              <w:spacing w:after="40" w:before="0" w:line="259" w:lineRule="auto"/>
            </w:pPr>
            <w:r>
              <w:rPr>
                <w:rFonts w:ascii="Calibri" w:hAnsi="Calibri"/>
                <w:b/>
                <w:i w:val="0"/>
                <w:color w:val="212121"/>
                <w:sz w:val="19"/>
              </w:rPr>
              <w:t>Bilateral hip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Both hips are affected in over half of non-traumatic cases, sometimes sequentially.</w:t>
            </w:r>
          </w:p>
        </w:tc>
      </w:tr>
      <w:tr>
        <w:trPr>
          <w:cantSplit/>
        </w:trPr>
        <w:tc>
          <w:tcPr>
            <w:tcW w:type="dxa" w:w="2304"/>
            <w:vAlign w:val="top"/>
          </w:tcPr>
          <w:p>
            <w:pPr>
              <w:spacing w:after="40" w:before="0" w:line="259" w:lineRule="auto"/>
            </w:pPr>
            <w:r>
              <w:rPr>
                <w:rFonts w:ascii="Calibri" w:hAnsi="Calibri"/>
                <w:b/>
                <w:i w:val="0"/>
                <w:color w:val="212121"/>
                <w:sz w:val="19"/>
              </w:rPr>
              <w:t>Difficulty climbing stairs / rising from a chair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loss of hip function and abductor strength.</w:t>
            </w:r>
          </w:p>
        </w:tc>
      </w:tr>
      <w:tr>
        <w:trPr>
          <w:cantSplit/>
        </w:trPr>
        <w:tc>
          <w:tcPr>
            <w:tcW w:type="dxa" w:w="2304"/>
            <w:vAlign w:val="top"/>
          </w:tcPr>
          <w:p>
            <w:pPr>
              <w:spacing w:after="40" w:before="0" w:line="259" w:lineRule="auto"/>
            </w:pPr>
            <w:r>
              <w:rPr>
                <w:rFonts w:ascii="Calibri" w:hAnsi="Calibri"/>
                <w:b/>
                <w:i w:val="0"/>
                <w:color w:val="212121"/>
                <w:sz w:val="19"/>
              </w:rPr>
              <w:t>Asymptomatic (silent) disease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Early or contralateral lesions may be painless yet still progress to collapse, justifying imaging of both hips.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Antalgic gait / limp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Shortened stance phase on the affected side to offload the painful hip.</w:t>
            </w:r>
          </w:p>
        </w:tc>
      </w:tr>
      <w:tr>
        <w:trPr>
          <w:cantSplit/>
        </w:trPr>
        <w:tc>
          <w:tcPr>
            <w:tcW w:type="dxa" w:w="3456"/>
            <w:vAlign w:val="top"/>
          </w:tcPr>
          <w:p>
            <w:pPr>
              <w:spacing w:after="40" w:before="0" w:line="259" w:lineRule="auto"/>
            </w:pPr>
            <w:r>
              <w:rPr>
                <w:rFonts w:ascii="Calibri" w:hAnsi="Calibri"/>
                <w:b/>
                <w:i w:val="0"/>
                <w:color w:val="212121"/>
                <w:sz w:val="19"/>
              </w:rPr>
              <w:t>Painful, restricted internal rotation of the hip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earliest and most consistent sign; loss of internal rotation and abduction.</w:t>
            </w:r>
          </w:p>
        </w:tc>
      </w:tr>
      <w:tr>
        <w:trPr>
          <w:cantSplit/>
        </w:trPr>
        <w:tc>
          <w:tcPr>
            <w:tcW w:type="dxa" w:w="3456"/>
            <w:vAlign w:val="top"/>
          </w:tcPr>
          <w:p>
            <w:pPr>
              <w:spacing w:after="40" w:before="0" w:line="259" w:lineRule="auto"/>
            </w:pPr>
            <w:r>
              <w:rPr>
                <w:rFonts w:ascii="Calibri" w:hAnsi="Calibri"/>
                <w:b/>
                <w:i w:val="0"/>
                <w:color w:val="212121"/>
                <w:sz w:val="19"/>
              </w:rPr>
              <w:t>Positive FABER (Patrick)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Groin pain on flexion-abduction-external-rotation localises pathology to the hip joint.</w:t>
            </w:r>
          </w:p>
        </w:tc>
      </w:tr>
      <w:tr>
        <w:trPr>
          <w:cantSplit/>
        </w:trPr>
        <w:tc>
          <w:tcPr>
            <w:tcW w:type="dxa" w:w="3456"/>
            <w:vAlign w:val="top"/>
          </w:tcPr>
          <w:p>
            <w:pPr>
              <w:spacing w:after="40" w:before="0" w:line="259" w:lineRule="auto"/>
            </w:pPr>
            <w:r>
              <w:rPr>
                <w:rFonts w:ascii="Calibri" w:hAnsi="Calibri"/>
                <w:b/>
                <w:i w:val="0"/>
                <w:color w:val="212121"/>
                <w:sz w:val="19"/>
              </w:rPr>
              <w:t>Positive log-roll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on passive rotation of the extended limb — the most specific bedside sign of intra-articular hip disease.</w:t>
            </w:r>
          </w:p>
        </w:tc>
      </w:tr>
      <w:tr>
        <w:trPr>
          <w:cantSplit/>
        </w:trPr>
        <w:tc>
          <w:tcPr>
            <w:tcW w:type="dxa" w:w="3456"/>
            <w:vAlign w:val="top"/>
          </w:tcPr>
          <w:p>
            <w:pPr>
              <w:spacing w:after="40" w:before="0" w:line="259" w:lineRule="auto"/>
            </w:pPr>
            <w:r>
              <w:rPr>
                <w:rFonts w:ascii="Calibri" w:hAnsi="Calibri"/>
                <w:b/>
                <w:i w:val="0"/>
                <w:color w:val="212121"/>
                <w:sz w:val="19"/>
              </w:rPr>
              <w:t>Pain at extremes of hip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Especially on abduction and internal rotation as the joint surface becomes incongruent.</w:t>
            </w:r>
          </w:p>
        </w:tc>
      </w:tr>
      <w:tr>
        <w:trPr>
          <w:cantSplit/>
        </w:trPr>
        <w:tc>
          <w:tcPr>
            <w:tcW w:type="dxa" w:w="3456"/>
            <w:vAlign w:val="top"/>
          </w:tcPr>
          <w:p>
            <w:pPr>
              <w:spacing w:after="40" w:before="0" w:line="259" w:lineRule="auto"/>
            </w:pPr>
            <w:r>
              <w:rPr>
                <w:rFonts w:ascii="Calibri" w:hAnsi="Calibri"/>
                <w:b/>
                <w:i w:val="0"/>
                <w:color w:val="212121"/>
                <w:sz w:val="19"/>
              </w:rPr>
              <w:t>Groin / anterior hip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Deep tenderness may be elicited over the anterior joint line.</w:t>
            </w:r>
          </w:p>
        </w:tc>
      </w:tr>
      <w:tr>
        <w:trPr>
          <w:cantSplit/>
        </w:trPr>
        <w:tc>
          <w:tcPr>
            <w:tcW w:type="dxa" w:w="3456"/>
            <w:vAlign w:val="top"/>
          </w:tcPr>
          <w:p>
            <w:pPr>
              <w:spacing w:after="40" w:before="0" w:line="259" w:lineRule="auto"/>
            </w:pPr>
            <w:r>
              <w:rPr>
                <w:rFonts w:ascii="Calibri" w:hAnsi="Calibri"/>
                <w:b/>
                <w:i w:val="0"/>
                <w:color w:val="212121"/>
                <w:sz w:val="19"/>
              </w:rPr>
              <w:t>Positive Trendelenburg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Abductor weakness in advanced collapse causes pelvic drop on single-leg stance.</w:t>
            </w:r>
          </w:p>
        </w:tc>
      </w:tr>
      <w:tr>
        <w:trPr>
          <w:cantSplit/>
        </w:trPr>
        <w:tc>
          <w:tcPr>
            <w:tcW w:type="dxa" w:w="3456"/>
            <w:vAlign w:val="top"/>
          </w:tcPr>
          <w:p>
            <w:pPr>
              <w:spacing w:after="40" w:before="0" w:line="259" w:lineRule="auto"/>
            </w:pPr>
            <w:r>
              <w:rPr>
                <w:rFonts w:ascii="Calibri" w:hAnsi="Calibri"/>
                <w:b/>
                <w:i w:val="0"/>
                <w:color w:val="212121"/>
                <w:sz w:val="19"/>
              </w:rPr>
              <w:t>Apparent limb shortening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Femoral-head collapse in late disease shortens the affected limb.</w:t>
            </w:r>
          </w:p>
        </w:tc>
      </w:tr>
      <w:tr>
        <w:trPr>
          <w:cantSplit/>
        </w:trPr>
        <w:tc>
          <w:tcPr>
            <w:tcW w:type="dxa" w:w="3456"/>
            <w:vAlign w:val="top"/>
          </w:tcPr>
          <w:p>
            <w:pPr>
              <w:spacing w:after="40" w:before="0" w:line="259" w:lineRule="auto"/>
            </w:pPr>
            <w:r>
              <w:rPr>
                <w:rFonts w:ascii="Calibri" w:hAnsi="Calibri"/>
                <w:b/>
                <w:i w:val="0"/>
                <w:color w:val="212121"/>
                <w:sz w:val="19"/>
              </w:rPr>
              <w:t>Fixed flexion / adduction deformity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End-stage secondary osteoarthritis produces fixed hip deformity.</w:t>
            </w:r>
          </w:p>
        </w:tc>
      </w:tr>
      <w:tr>
        <w:trPr>
          <w:cantSplit/>
        </w:trPr>
        <w:tc>
          <w:tcPr>
            <w:tcW w:type="dxa" w:w="3456"/>
            <w:vAlign w:val="top"/>
          </w:tcPr>
          <w:p>
            <w:pPr>
              <w:spacing w:after="40" w:before="0" w:line="259" w:lineRule="auto"/>
            </w:pPr>
            <w:r>
              <w:rPr>
                <w:rFonts w:ascii="Calibri" w:hAnsi="Calibri"/>
                <w:b/>
                <w:i w:val="0"/>
                <w:color w:val="212121"/>
                <w:sz w:val="19"/>
              </w:rPr>
              <w:t>Near-normal examination in early disease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frequent diagnostic pitfall — pre-collapse AVN may show minimal signs, so MRI is needed.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Subchondral fracture (crescent sign)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Femoral-head flattening and collapse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Articular incongruity with progressive mechanical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Rapidly progressive, often bilateral disease (notably post-steroid/COVID)</w:t>
            </w:r>
          </w:p>
        </w:tc>
        <w:tc>
          <w:tcPr>
            <w:tcW w:type="dxa" w:w="2980"/>
            <w:vAlign w:val="top"/>
          </w:tcPr>
          <w:p>
            <w:pPr>
              <w:spacing w:after="40" w:before="0" w:line="259" w:lineRule="auto"/>
            </w:pPr>
            <w:r>
              <w:rPr>
                <w:rFonts w:ascii="Calibri" w:hAnsi="Calibri"/>
                <w:b w:val="0"/>
                <w:i w:val="0"/>
                <w:color w:val="212121"/>
                <w:sz w:val="19"/>
              </w:rPr>
              <w:t>Direct structural consequences of infarction and loss of mechanical support in the necrotic segment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osteoarthritis of the 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Acetabular cartilage damage and joint-space narrowing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disabling hip pain and 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Limb-length discrepancy and abnormal gait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Involvement of the contralateral hip</w:t>
            </w:r>
          </w:p>
        </w:tc>
        <w:tc>
          <w:tcPr>
            <w:tcW w:type="dxa" w:w="2980"/>
            <w:vAlign w:val="top"/>
          </w:tcPr>
          <w:p>
            <w:pPr>
              <w:spacing w:after="40" w:before="0" w:line="259" w:lineRule="auto"/>
            </w:pPr>
            <w:r>
              <w:rPr>
                <w:rFonts w:ascii="Calibri" w:hAnsi="Calibri"/>
                <w:b w:val="0"/>
                <w:i w:val="0"/>
                <w:color w:val="212121"/>
                <w:sz w:val="19"/>
              </w:rPr>
              <w:t>Follow from collapse and altered joint mechanics as the disease advances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hip arthritis requiring total hip arthroplasty, frequently in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future revision arthroplasty over a long lifespan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with loss of livelihood and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distress and depression from chronic pain and early joint replacement</w:t>
            </w:r>
          </w:p>
        </w:tc>
        <w:tc>
          <w:tcPr>
            <w:tcW w:type="dxa" w:w="2980"/>
            <w:vAlign w:val="top"/>
          </w:tcPr>
          <w:p>
            <w:pPr>
              <w:spacing w:after="40" w:before="0" w:line="259" w:lineRule="auto"/>
            </w:pPr>
            <w:r>
              <w:rPr>
                <w:rFonts w:ascii="Calibri" w:hAnsi="Calibri"/>
                <w:b w:val="0"/>
                <w:i w:val="0"/>
                <w:color w:val="212121"/>
                <w:sz w:val="19"/>
              </w:rPr>
              <w:t>Irreversible, disabling end-points of longstanding femoral-head osteonecrosis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Corticosteroid 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Leading identifiable cause; osteocyte apoptosis, marrow-fat expansion and raised intra-osseous pressure. High-dose/pulse therapy is highest risk.</w:t>
            </w:r>
          </w:p>
          <w:p>
            <w:pPr>
              <w:spacing w:after="40" w:before="0" w:line="259" w:lineRule="auto"/>
            </w:pPr>
            <w:r>
              <w:rPr>
                <w:rFonts w:ascii="Calibri" w:hAnsi="Calibri"/>
                <w:b/>
                <w:i w:val="0"/>
                <w:color w:val="212121"/>
                <w:sz w:val="19"/>
              </w:rPr>
              <w:t>Up to 37%</w:t>
            </w:r>
          </w:p>
        </w:tc>
      </w:tr>
      <w:tr>
        <w:trPr>
          <w:cantSplit/>
        </w:trPr>
        <w:tc>
          <w:tcPr>
            <w:tcW w:type="dxa" w:w="2232"/>
            <w:vAlign w:val="top"/>
          </w:tcPr>
          <w:p>
            <w:pPr>
              <w:spacing w:after="40" w:before="0" w:line="259" w:lineRule="auto"/>
            </w:pPr>
            <w:r>
              <w:rPr>
                <w:rFonts w:ascii="Calibri" w:hAnsi="Calibri"/>
                <w:b/>
                <w:i w:val="0"/>
                <w:color w:val="212121"/>
                <w:sz w:val="19"/>
              </w:rPr>
              <w:t>Chronic alcohol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Dose-dependent risk via marrow adipogenesis, fat emboli and hyperlipidaemia; abstinence is essential before joint-preserving surgery.</w:t>
            </w:r>
          </w:p>
          <w:p>
            <w:pPr>
              <w:spacing w:after="40" w:before="0" w:line="259" w:lineRule="auto"/>
            </w:pPr>
            <w:r>
              <w:rPr>
                <w:rFonts w:ascii="Calibri" w:hAnsi="Calibri"/>
                <w:b/>
                <w:i w:val="0"/>
                <w:color w:val="212121"/>
                <w:sz w:val="19"/>
              </w:rPr>
              <w:t>~20%</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 (SLE)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Lupus vasculopathy, antiphospholipid antibodies and treatment steroids act together; femoral head is the commonest site.</w:t>
            </w:r>
          </w:p>
          <w:p>
            <w:pPr>
              <w:spacing w:after="40" w:before="0" w:line="259" w:lineRule="auto"/>
            </w:pPr>
            <w:r>
              <w:rPr>
                <w:rFonts w:ascii="Calibri" w:hAnsi="Calibri"/>
                <w:b/>
                <w:i w:val="0"/>
                <w:color w:val="212121"/>
                <w:sz w:val="19"/>
              </w:rPr>
              <w:t>~5–8% of SLE</w:t>
            </w:r>
          </w:p>
        </w:tc>
      </w:tr>
      <w:tr>
        <w:trPr>
          <w:cantSplit/>
        </w:trPr>
        <w:tc>
          <w:tcPr>
            <w:tcW w:type="dxa" w:w="2232"/>
            <w:vAlign w:val="top"/>
          </w:tcPr>
          <w:p>
            <w:pPr>
              <w:spacing w:after="40" w:before="0" w:line="259" w:lineRule="auto"/>
            </w:pPr>
            <w:r>
              <w:rPr>
                <w:rFonts w:ascii="Calibri" w:hAnsi="Calibri"/>
                <w:b/>
                <w:i w:val="0"/>
                <w:color w:val="212121"/>
                <w:sz w:val="19"/>
              </w:rPr>
              <w:t>COVID-19 (steroid-treated)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Pandemic-era steroids plus SARS-CoV-2 endothelial injury and hypercoagulability caused a surge of early, often bilateral, low-dose AVN.</w:t>
            </w:r>
          </w:p>
        </w:tc>
      </w:tr>
      <w:tr>
        <w:trPr>
          <w:cantSplit/>
        </w:trPr>
        <w:tc>
          <w:tcPr>
            <w:tcW w:type="dxa" w:w="2232"/>
            <w:vAlign w:val="top"/>
          </w:tcPr>
          <w:p>
            <w:pPr>
              <w:spacing w:after="40" w:before="0" w:line="259" w:lineRule="auto"/>
            </w:pPr>
            <w:r>
              <w:rPr>
                <w:rFonts w:ascii="Calibri" w:hAnsi="Calibri"/>
                <w:b/>
                <w:i w:val="0"/>
                <w:color w:val="212121"/>
                <w:sz w:val="19"/>
              </w:rPr>
              <w:t>Sickle cell disease / haemoglobinopathy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subchondral vaso-occlusion infarcts the head; common and often bilateral in the Indian sickle-cell belt.</w:t>
            </w:r>
          </w:p>
        </w:tc>
      </w:tr>
      <w:tr>
        <w:trPr>
          <w:cantSplit/>
        </w:trPr>
        <w:tc>
          <w:tcPr>
            <w:tcW w:type="dxa" w:w="2232"/>
            <w:vAlign w:val="top"/>
          </w:tcPr>
          <w:p>
            <w:pPr>
              <w:spacing w:after="40" w:before="0" w:line="259" w:lineRule="auto"/>
            </w:pPr>
            <w:r>
              <w:rPr>
                <w:rFonts w:ascii="Calibri" w:hAnsi="Calibri"/>
                <w:b/>
                <w:i w:val="0"/>
                <w:color w:val="212121"/>
                <w:sz w:val="19"/>
              </w:rPr>
              <w:t>Inherited thrombophilia / antiphospholipid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Intraosseous thrombosis and venous stasis; suspect in bilateral, familial or idiopathic young patients.</w:t>
            </w:r>
          </w:p>
        </w:tc>
      </w:tr>
      <w:tr>
        <w:trPr>
          <w:cantSplit/>
        </w:trPr>
        <w:tc>
          <w:tcPr>
            <w:tcW w:type="dxa" w:w="2232"/>
            <w:vAlign w:val="top"/>
          </w:tcPr>
          <w:p>
            <w:pPr>
              <w:spacing w:after="40" w:before="0" w:line="259" w:lineRule="auto"/>
            </w:pPr>
            <w:r>
              <w:rPr>
                <w:rFonts w:ascii="Calibri" w:hAnsi="Calibri"/>
                <w:b/>
                <w:i w:val="0"/>
                <w:color w:val="212121"/>
                <w:sz w:val="19"/>
              </w:rPr>
              <w:t>Dyslipidaemia / hyperlipidaemia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Enlarged marrow fat cells and fat emboli form a shared final pathway with steroid and alcohol AVN.</w:t>
            </w:r>
          </w:p>
        </w:tc>
      </w:tr>
      <w:tr>
        <w:trPr>
          <w:cantSplit/>
        </w:trPr>
        <w:tc>
          <w:tcPr>
            <w:tcW w:type="dxa" w:w="2232"/>
            <w:vAlign w:val="top"/>
          </w:tcPr>
          <w:p>
            <w:pPr>
              <w:spacing w:after="40" w:before="0" w:line="259" w:lineRule="auto"/>
            </w:pPr>
            <w:r>
              <w:rPr>
                <w:rFonts w:ascii="Calibri" w:hAnsi="Calibri"/>
                <w:b/>
                <w:i w:val="0"/>
                <w:color w:val="212121"/>
                <w:sz w:val="19"/>
              </w:rPr>
              <w:t>Chronic kidney disease / organ transplantation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Uraemic bone disease plus peri-transplant immunosuppressive steroids make AVN a classic post-transplant complication.</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Disease-related dyslipidaemia, prothrombotic state and corticosteroid/antiretroviral exposure raise AVN risk.</w:t>
            </w:r>
          </w:p>
        </w:tc>
      </w:tr>
      <w:tr>
        <w:trPr>
          <w:cantSplit/>
        </w:trPr>
        <w:tc>
          <w:tcPr>
            <w:tcW w:type="dxa" w:w="2232"/>
            <w:vAlign w:val="top"/>
          </w:tcPr>
          <w:p>
            <w:pPr>
              <w:spacing w:after="40" w:before="0" w:line="259" w:lineRule="auto"/>
            </w:pPr>
            <w:r>
              <w:rPr>
                <w:rFonts w:ascii="Calibri" w:hAnsi="Calibri"/>
                <w:b/>
                <w:i w:val="0"/>
                <w:color w:val="212121"/>
                <w:sz w:val="19"/>
              </w:rPr>
              <w:t>Secondary osteoarthritis of the hip</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as the end result of femoral-head collapse and articular incongruity.</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Increases mechanical load across the hip, accelerating collapse, and clusters with dyslipidaemia.</w:t>
            </w:r>
          </w:p>
        </w:tc>
      </w:tr>
      <w:tr>
        <w:trPr>
          <w:cantSplit/>
        </w:trPr>
        <w:tc>
          <w:tcPr>
            <w:tcW w:type="dxa" w:w="2232"/>
            <w:vAlign w:val="top"/>
          </w:tcPr>
          <w:p>
            <w:pPr>
              <w:spacing w:after="40" w:before="0" w:line="259" w:lineRule="auto"/>
            </w:pPr>
            <w:r>
              <w:rPr>
                <w:rFonts w:ascii="Calibri" w:hAnsi="Calibri"/>
                <w:b/>
                <w:i w:val="0"/>
                <w:color w:val="212121"/>
                <w:sz w:val="19"/>
              </w:rPr>
              <w:t>Depression / chronic pain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disability and early hip replacement in young patients commonly cause mood disturbance needing support.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corticosteroids only when clearly indicated, at the lowest effective dose and for the shortest duration; avoid unnecessary pulses.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self-prescribed or over-the-counter steroids and steroid-containing indigenous / pain remedies, which are a preventable cause of hip AVN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steroid-treated and COVID-19-recovered patients to report new hip, groin or knee pain promptly for early MRI.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AVN is frequently bilateral — assess and image both hips even when only one is painful.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at-risk groups (SLE, transplant, sickle cell, heavy drinkers/smokers) that early, pre-collapse disease is far more treatable than after collapse.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COVID-19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 and transplant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 and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Sickle-cell disease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pre-collapse disease (ARCO I–II) use protected weight-bearing with crutches or a cane to reduce load on the necrotic segment.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low-impact exercise — swimming, stationary cycling, hydrotherapy — to maintain hip range of motion and muscle without impact.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high-impact activity (running, jumping) and deep squatting or heavy lifting on the affected 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structured physiotherapy for hip range of motion and abductor (gluteal) strengthening.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core decompression or hip replacement, complete a supervised graded rehabilitation programme.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early ONFH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 core-decompression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Post-arthroplasty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Bilateral AVN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(BMI 18.5–24.9) to limit mechanical load across the 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hip and core muscles to protect the joint, especially in at-risk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Introduce weight-bearing precautions early once AVN is diagnosed, before collapse occurs.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steroid/alcohol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AVN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or minimise alcohol — risk climbs steeply above ~320 g ethanol/week and with cumulative drink-years.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offer de-addiction support to heavy drinkers, as continued drinking accelerates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abstinence before any joint-preserving or replacement surgery to improve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Alcohol-associated AVN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Pre-surgical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tobacco cessation — smoking independently multiplies AVN risk several-fold and worsens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nicotine-replacement or pharmacotherapy and structured cessation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well before surgery to improve bone healing, graft survival and arthroplasty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Steroid-exposed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low-saturated-fat diet and control triglycerides and LDL cholesterol to limit the fat-embolism pathway.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the widespread Indian deficiencies of vitamin D and calcium to support bone quality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lipid-lowering therapy in high-risk steroid users under medical supervision.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protein and a balanced diet to aid recovery after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Steroid/alcohol-exposed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Dyslipidaemic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 deficient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adequate analgesia and comfortable positioning (pillow between the knees) to manage disabling night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rest and night pain actively, as it signals advanced disease and disrupts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sleep hygiene alongside pain control to reduce fatigue and low mood.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night/rest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ARCO III–IV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young patients facing hip replacement for anxiety and depression and provide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peer support and clear information about joint-preserving options and long-term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pain-coping strategies and, where needed, referral to mental-health services.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patients needing arthroplasty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Bilateral / severe AVN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9576641/" TargetMode="External"/><Relationship Id="rId10" Type="http://schemas.openxmlformats.org/officeDocument/2006/relationships/hyperlink" Target="https://pubmed.ncbi.nlm.nih.gov/33110861/" TargetMode="External"/><Relationship Id="rId11" Type="http://schemas.openxmlformats.org/officeDocument/2006/relationships/hyperlink" Target="https://pubmed.ncbi.nlm.nih.gov/40576413/" TargetMode="External"/><Relationship Id="rId12" Type="http://schemas.openxmlformats.org/officeDocument/2006/relationships/hyperlink" Target="https://pubmed.ncbi.nlm.nih.gov/35495964/" TargetMode="External"/><Relationship Id="rId13" Type="http://schemas.openxmlformats.org/officeDocument/2006/relationships/hyperlink" Target="https://pubmed.ncbi.nlm.nih.gov/22927108/" TargetMode="External"/><Relationship Id="rId14" Type="http://schemas.openxmlformats.org/officeDocument/2006/relationships/hyperlink" Target="https://pubmed.ncbi.nlm.nih.gov/28685377/" TargetMode="External"/><Relationship Id="rId15" Type="http://schemas.openxmlformats.org/officeDocument/2006/relationships/hyperlink" Target="https://www.ncbi.nlm.nih.gov/books/NBK537007/" TargetMode="External"/><Relationship Id="rId16" Type="http://schemas.openxmlformats.org/officeDocument/2006/relationships/hyperlink" Target="https://pubmed.ncbi.nlm.nih.gov/34082592/" TargetMode="External"/><Relationship Id="rId17" Type="http://schemas.openxmlformats.org/officeDocument/2006/relationships/hyperlink" Target="https://pubmed.ncbi.nlm.nih.gov/30348552/" TargetMode="External"/><Relationship Id="rId18" Type="http://schemas.openxmlformats.org/officeDocument/2006/relationships/hyperlink" Target="https://pubmed.ncbi.nlm.nih.gov/30348559/" TargetMode="External"/><Relationship Id="rId19" Type="http://schemas.openxmlformats.org/officeDocument/2006/relationships/hyperlink" Target="https://pubmed.ncbi.nlm.nih.gov/31866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