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Repetitive Strain Injury / Computer-related Musculoskeletal Disorders</w:t>
      </w:r>
    </w:p>
    <w:p>
      <w:pPr>
        <w:spacing w:before="0" w:after="160"/>
      </w:pPr>
      <w:r>
        <w:rPr>
          <w:rFonts w:ascii="Calibri" w:hAnsi="Calibri"/>
          <w:b/>
          <w:i w:val="0"/>
          <w:color w:val="212121"/>
          <w:sz w:val="22"/>
        </w:rPr>
        <w:t xml:space="preserve">AKA </w:t>
      </w:r>
      <w:r>
        <w:rPr>
          <w:rFonts w:ascii="Calibri" w:hAnsi="Calibri"/>
          <w:b w:val="0"/>
          <w:i w:val="0"/>
          <w:color w:val="212121"/>
          <w:sz w:val="22"/>
        </w:rPr>
        <w:t>i.e., RSI, Work-related musculoskeletal disorders (WRMSD/WMSD), Occupational overuse syndrome (OOS), Cumulative trauma disorder (CTD), Repetitive motion injury, ‘Text neck’, Computer-related MSK</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Repetitive strain injury is an umbrella term for a group of painful musculoskeletal and neurovascular disorders of the neck, shoulder girdle, upper limbs and back that develop from repetitive movements, sustained awkward or static postures, forceful exertions, mechanical compression and prolonged low-load muscle activity — classically from long hours of keyboard, mouse and screen use. It spans Type 1 (specific, pathologically defined disorders such as carpal tunnel syndrome, tenosynovitis, epicondylitis and tendinopathy) and Type 2 (diffuse, non-specific pain without a clear-cut structural diagnosis). Injury accumulates gradually when repeated micro-trauma outpaces the tissue's capacity to recover, and pain is typically task-related and eased by rest.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Computer-related MSK complaints are extremely common in India's large information-technology and desk-based workforce. A 2025 systematic review and meta-analysis found a pooled prevalence of work-related musculoskeletal disorders of about 71% among Indian IT professionals, with low back pain (~32%), neck pain (~31%) and shoulder pain (~19%) the leading regions; Indian literature reviews report that up to ~89% of IT professionals have at least one work-related musculoskeletal disorder. Overlapping computer vision syndrome affects roughly 65% of Indian computer users, and myofascial neck pain in this group is frequently accompanied by low-back, shoulder and forearm/wrist symptoms.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RSI / computer-related MSK is primarily a clinical diagnosis based on a task-related history and physical examination; investigations are used to confirm a specific Type 1 disorder or to exclude other causes. It is supported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occupational/activity history linking symptom onset to repetitive or sustained computer, keyboard, mouse or hand-intensive tasks, with characteristic easing of symptoms on rest days, weekends or holidays;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pain, aching, stiffness, tingling, weakness, cramping or fatigue in the neck, shoulder, forearm, wrist or hand that is reproduced or aggravated by the causative task;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provocative clinical tests for a specific (Type 1) disorder — e.g. Phalen's and Tinel's signs (carpal tunnel syndrome), Finkelstein's test (De Quervain's tenosynovitis), resisted-wrist-extension / Cozen's test (lateral epicondylitis), or Roos/EAST (thoracic outlet);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nerve conduction studies / EMG to confirm carpal tunnel syndrome or another focal compression neuropathy when clinically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(musculoskeletal ultrasound or MRI) demonstrating tendinopathy, tenosynovitis or nerve swelling, or excluding structural pathology — characteristically normal in Type 2 diffuse RSI;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alternative causes such as inflammatory arthritis, cervical radiculopathy, hypothyroidism, diabetic neuropathy and other systemic conditions.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Computer-related RSI is described in several complementary ways — by clinical definability, anatomical region, tissue involved and severity:</w:t>
      </w:r>
    </w:p>
    <w:p>
      <w:pPr>
        <w:spacing w:before="0" w:after="80"/>
      </w:pPr>
      <w:r>
        <w:rPr>
          <w:rFonts w:ascii="Calibri" w:hAnsi="Calibri"/>
          <w:b w:val="0"/>
          <w:i w:val="0"/>
          <w:color w:val="212121"/>
          <w:sz w:val="21"/>
        </w:rPr>
        <w:t>(1) Type 1 (specific) RSI — recognised pathological conditions with objective clinical findings, including carpal tunnel syndrome, De Quervain's tenosynovitis, lateral and medial epicondylitis (‘tennis/golfer's elbow’), rotator cuff tendinopathy, flexor/extensor tenosynovitis and trigger finger;</w:t>
      </w:r>
    </w:p>
    <w:p>
      <w:pPr>
        <w:spacing w:before="0" w:after="80"/>
      </w:pPr>
      <w:r>
        <w:rPr>
          <w:rFonts w:ascii="Calibri" w:hAnsi="Calibri"/>
          <w:b w:val="0"/>
          <w:i w:val="0"/>
          <w:color w:val="212121"/>
          <w:sz w:val="21"/>
        </w:rPr>
        <w:t>(2) Type 2 (diffuse / non-specific) RSI — generalised aching, tenderness, heaviness and dysfunction of the forearm, hand or neck-shoulder region without a discrete structural diagnosis, often involving myofascial and neurovascular mechanisms (e.g. myofascial pain syndrome, non-specific forearm pain);</w:t>
      </w:r>
    </w:p>
    <w:p>
      <w:pPr>
        <w:spacing w:before="0" w:after="80"/>
      </w:pPr>
      <w:r>
        <w:rPr>
          <w:rFonts w:ascii="Calibri" w:hAnsi="Calibri"/>
          <w:b w:val="0"/>
          <w:i w:val="0"/>
          <w:color w:val="212121"/>
          <w:sz w:val="21"/>
        </w:rPr>
        <w:t>(3) by anatomical region — cervical (neck / ‘text neck’), shoulder girdle and upper back, elbow, forearm, and wrist/hand;</w:t>
      </w:r>
    </w:p>
    <w:p>
      <w:pPr>
        <w:spacing w:before="0" w:after="80"/>
      </w:pPr>
      <w:r>
        <w:rPr>
          <w:rFonts w:ascii="Calibri" w:hAnsi="Calibri"/>
          <w:b w:val="0"/>
          <w:i w:val="0"/>
          <w:color w:val="212121"/>
          <w:sz w:val="21"/>
        </w:rPr>
        <w:t>(4) by tissue predominantly involved — tendon (tendinopathy/tenosynovitis), nerve (compression neuropathy such as carpal or cubital tunnel), muscle/fascia (myofascial pain) and neurovascular (thoracic outlet syndrome); severity is often graded from intermittent activity-related symptoms (early) to constant pain with objective weakness, wasting or functional loss (advanced).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Repetitive movement: high-frequency keystrokes, mouse clicks and scrolling cause cumulative micro-trauma that exceeds the tendon and muscle recovery capacity.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Sustained static and awkward posture: prolonged forward-head/neck flexion, unsupported wrist extension and continuous low-load contraction of stabiliser muscles (the ‘Cinderella’ motor-unit effect) fatigue and sensitise tissue.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Forceful exertion and mechanical compression: sustained gripping/pinching and resting the wrists or forearms on hard desk edges compress tendons and nerves (e.g. the median nerve).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Inadequate ergonomics: non-adjustable chair or desk, poor monitor height, non-neutral keyboard and mouse positioning and cramped home-office setups increase biomechanical load.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Insufficient recovery / lack of breaks: continuous work without micro-breaks prevents tissue repair and allows fatigue and inflammation to accumulate.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Psychosocial load: tight deadlines, high job strain, low control and social reactivity raise sustained muscle tension and heighten pain perception.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Individual susceptibility: female sex, deconditioning, overweight/obesity, and predisposing conditions (diabetes, hypothyroidism, pregnancy, prior injury) lower the threshold for injury.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 21-45 years)</w:t>
            </w:r>
          </w:p>
        </w:tc>
        <w:tc>
          <w:tcPr>
            <w:tcW w:type="dxa" w:w="4276"/>
            <w:vAlign w:val="top"/>
          </w:tcPr>
          <w:p>
            <w:pPr>
              <w:spacing w:after="60" w:line="259" w:lineRule="auto"/>
            </w:pPr>
            <w:r>
              <w:rPr>
                <w:rFonts w:ascii="Calibri" w:hAnsi="Calibri"/>
                <w:b w:val="0"/>
                <w:i w:val="0"/>
                <w:color w:val="212121"/>
                <w:sz w:val="19"/>
              </w:rPr>
              <w:t>The productive IT/desk workforce sustains the highest cumulative screen and keyboard/mouse exposure, so overuse micro-trauma accumulates during peak working years. Younger computer users paradoxically report the most symptoms, reflecting intense, long-hours ‘always-on’ work patterns.</w:t>
            </w:r>
          </w:p>
          <w:p>
            <w:pPr>
              <w:spacing w:after="40" w:before="60" w:line="259" w:lineRule="auto"/>
            </w:pPr>
            <w:r>
              <w:rPr>
                <w:rFonts w:ascii="Calibri" w:hAnsi="Calibri"/>
                <w:b w:val="0"/>
                <w:i w:val="0"/>
                <w:color w:val="212121"/>
                <w:sz w:val="19"/>
              </w:rPr>
              <w:t>In Indian studies, computer users aged 21-30 years reported far more musculoskeletal symptoms than those aged 40-55 (about 76% vs 9%).</w:t>
            </w:r>
          </w:p>
          <w:p>
            <w:pPr>
              <w:spacing w:after="40" w:line="252" w:lineRule="auto"/>
            </w:pPr>
            <w:hyperlink r:id="rId9">
              <w:r>
                <w:rPr>
                  <w:rFonts w:ascii="Calibri" w:hAnsi="Calibri" w:cs="Calibri"/>
                  <w:sz w:val="18"/>
                  <w:color w:val="1155CC"/>
                  <w:u w:val="single"/>
                </w:rPr>
                <w:t xml:space="preserve">msjonline.org — WMSD among IT professionals in India (review)</w:t>
              </w:r>
            </w:hyperlink>
          </w:p>
          <w:p>
            <w:pPr>
              <w:spacing w:before="60" w:after="40"/>
            </w:pPr>
            <w:r>
              <w:rPr>
                <w:rFonts w:ascii="Calibri" w:hAnsi="Calibri"/>
                <w:b w:val="0"/>
                <w:i w:val="0"/>
                <w:color w:val="5A5A5A"/>
                <w:sz w:val="18"/>
              </w:rPr>
              <w:t>#RSI  #WRMSD  #ITworkers  #screentime  #overuse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(older desk workers)</w:t>
            </w:r>
          </w:p>
        </w:tc>
        <w:tc>
          <w:tcPr>
            <w:tcW w:type="dxa" w:w="4276"/>
            <w:vAlign w:val="top"/>
          </w:tcPr>
          <w:p>
            <w:pPr>
              <w:spacing w:after="60" w:line="259" w:lineRule="auto"/>
            </w:pPr>
            <w:r>
              <w:rPr>
                <w:rFonts w:ascii="Calibri" w:hAnsi="Calibri"/>
                <w:b w:val="0"/>
                <w:i w:val="0"/>
                <w:color w:val="212121"/>
                <w:sz w:val="19"/>
              </w:rPr>
              <w:t>Age-related tendon degeneration, reduced tissue healing, thinner intrinsic muscles and coexisting osteoarthritis or cervical spondylosis lower tolerance to repetitive load, and carpal tunnel syndrome becomes more common. Recovery from any given strain is slower.</w:t>
            </w:r>
          </w:p>
          <w:p>
            <w:pPr>
              <w:spacing w:after="40" w:before="60" w:line="259" w:lineRule="auto"/>
            </w:pPr>
            <w:r>
              <w:rPr>
                <w:rFonts w:ascii="Calibri" w:hAnsi="Calibri"/>
                <w:b w:val="0"/>
                <w:i w:val="0"/>
                <w:color w:val="212121"/>
                <w:sz w:val="19"/>
              </w:rPr>
              <w:t>Degenerative tendinopathy, cervical spondylosis and carpal tunnel syndrome all rise with age, compounding computer-related strain in older employees.</w:t>
            </w:r>
          </w:p>
          <w:p>
            <w:pPr>
              <w:spacing w:before="60" w:after="40"/>
            </w:pPr>
            <w:r>
              <w:rPr>
                <w:rFonts w:ascii="Calibri" w:hAnsi="Calibri"/>
                <w:b w:val="0"/>
                <w:i w:val="0"/>
                <w:color w:val="5A5A5A"/>
                <w:sz w:val="18"/>
              </w:rPr>
              <w:t>#ageing  #tendondegeneration  #spondylosis  #slowhealing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desk/IT workers</w:t>
            </w:r>
          </w:p>
        </w:tc>
        <w:tc>
          <w:tcPr>
            <w:tcW w:type="dxa" w:w="4276"/>
            <w:vAlign w:val="top"/>
          </w:tcPr>
          <w:p>
            <w:pPr>
              <w:spacing w:after="60" w:line="259" w:lineRule="auto"/>
            </w:pPr>
            <w:r>
              <w:rPr>
                <w:rFonts w:ascii="Calibri" w:hAnsi="Calibri"/>
                <w:b w:val="0"/>
                <w:i w:val="0"/>
                <w:color w:val="212121"/>
                <w:sz w:val="19"/>
              </w:rPr>
              <w:t>Women show consistently higher rates of computer-related upper-limb and neck disorders, attributed to smaller carpal tunnel dimensions, lower muscle strength relative to workstation dimensions designed for larger frames, hormonal influences and a higher combined occupational-plus-domestic workload.</w:t>
            </w:r>
          </w:p>
          <w:p>
            <w:pPr>
              <w:spacing w:after="40" w:before="60" w:line="259" w:lineRule="auto"/>
            </w:pPr>
            <w:r>
              <w:rPr>
                <w:rFonts w:ascii="Calibri" w:hAnsi="Calibri"/>
                <w:b w:val="0"/>
                <w:i w:val="0"/>
                <w:color w:val="212121"/>
                <w:sz w:val="19"/>
              </w:rPr>
              <w:t>Indian reviews report higher wrist/hand complaint rates in women than men (about 69% vs 53%), with female sex an independent risk factor for WMSDs.</w:t>
            </w:r>
          </w:p>
          <w:p>
            <w:pPr>
              <w:spacing w:after="40" w:line="252" w:lineRule="auto"/>
            </w:pPr>
            <w:hyperlink r:id="rId9">
              <w:r>
                <w:rPr>
                  <w:rFonts w:ascii="Calibri" w:hAnsi="Calibri" w:cs="Calibri"/>
                  <w:sz w:val="18"/>
                  <w:color w:val="1155CC"/>
                  <w:u w:val="single"/>
                </w:rPr>
                <w:t xml:space="preserve">msjonline.org — WMSD among IT professionals in India (review)</w:t>
              </w:r>
            </w:hyperlink>
          </w:p>
          <w:p>
            <w:pPr>
              <w:spacing w:before="60" w:after="40"/>
            </w:pPr>
            <w:r>
              <w:rPr>
                <w:rFonts w:ascii="Calibri" w:hAnsi="Calibri"/>
                <w:b w:val="0"/>
                <w:i w:val="0"/>
                <w:color w:val="5A5A5A"/>
                <w:sz w:val="18"/>
              </w:rPr>
              <w:t>#female  #carpaltunnel  #doubleburden  #gendered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 occupation</w:t>
            </w:r>
          </w:p>
        </w:tc>
        <w:tc>
          <w:tcPr>
            <w:tcW w:type="dxa" w:w="2160"/>
            <w:vAlign w:val="top"/>
          </w:tcPr>
          <w:p>
            <w:pPr>
              <w:spacing w:after="40" w:before="0" w:line="259" w:lineRule="auto"/>
            </w:pPr>
            <w:r>
              <w:rPr>
                <w:rFonts w:ascii="Calibri" w:hAnsi="Calibri"/>
                <w:b w:val="0"/>
                <w:i w:val="0"/>
                <w:color w:val="212121"/>
                <w:sz w:val="19"/>
              </w:rPr>
              <w:t>Urban salaried IT, BPO, banking &amp; clerical staff</w:t>
            </w:r>
          </w:p>
        </w:tc>
        <w:tc>
          <w:tcPr>
            <w:tcW w:type="dxa" w:w="4276"/>
            <w:vAlign w:val="top"/>
          </w:tcPr>
          <w:p>
            <w:pPr>
              <w:spacing w:after="60" w:line="259" w:lineRule="auto"/>
            </w:pPr>
            <w:r>
              <w:rPr>
                <w:rFonts w:ascii="Calibri" w:hAnsi="Calibri"/>
                <w:b w:val="0"/>
                <w:i w:val="0"/>
                <w:color w:val="212121"/>
                <w:sz w:val="19"/>
              </w:rPr>
              <w:t>Salaried knowledge and clerical work concentrates long continuous screen hours, deadline pressure and prolonged sitting, while remuneration models rewarding long hours discourage breaks. This occupational profile carries the bulk of computer-related MSK burden.</w:t>
            </w:r>
          </w:p>
          <w:p>
            <w:pPr>
              <w:spacing w:after="40" w:before="60" w:line="259" w:lineRule="auto"/>
            </w:pPr>
            <w:r>
              <w:rPr>
                <w:rFonts w:ascii="Calibri" w:hAnsi="Calibri"/>
                <w:b w:val="0"/>
                <w:i w:val="0"/>
                <w:color w:val="212121"/>
                <w:sz w:val="19"/>
              </w:rPr>
              <w:t>Among Indian computer professionals, about 63% reported musculoskeletal pain and 22% had a high-risk adverse workstyle.</w:t>
            </w:r>
          </w:p>
          <w:p>
            <w:pPr>
              <w:spacing w:after="40" w:line="252" w:lineRule="auto"/>
            </w:pPr>
            <w:hyperlink r:id="rId10">
              <w:r>
                <w:rPr>
                  <w:rFonts w:ascii="Calibri" w:hAnsi="Calibri" w:cs="Calibri"/>
                  <w:sz w:val="18"/>
                  <w:color w:val="1155CC"/>
                  <w:u w:val="single"/>
                </w:rPr>
                <w:t xml:space="preserve">link.springer.com — Workstyle risk factors, computer professionals in India</w:t>
              </w:r>
            </w:hyperlink>
          </w:p>
          <w:p>
            <w:pPr>
              <w:spacing w:before="60" w:after="40"/>
            </w:pPr>
            <w:r>
              <w:rPr>
                <w:rFonts w:ascii="Calibri" w:hAnsi="Calibri"/>
                <w:b w:val="0"/>
                <w:i w:val="0"/>
                <w:color w:val="5A5A5A"/>
                <w:sz w:val="18"/>
              </w:rPr>
              <w:t>#deskjob  #ITBPO  #deadlines  #urbanwork</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Indian IT hubs (Bengaluru, Hyderabad, Chennai, Pune, NCR)</w:t>
            </w:r>
          </w:p>
        </w:tc>
        <w:tc>
          <w:tcPr>
            <w:tcW w:type="dxa" w:w="4276"/>
            <w:vAlign w:val="top"/>
          </w:tcPr>
          <w:p>
            <w:pPr>
              <w:spacing w:after="60" w:line="259" w:lineRule="auto"/>
            </w:pPr>
            <w:r>
              <w:rPr>
                <w:rFonts w:ascii="Calibri" w:hAnsi="Calibri"/>
                <w:b w:val="0"/>
                <w:i w:val="0"/>
                <w:color w:val="212121"/>
                <w:sz w:val="19"/>
              </w:rPr>
              <w:t>India's software and business-process hubs concentrate a young workforce doing long computer hours, so region-specific studies from these cities report high rates of neck, back and upper-limb pain. Cervical and lumbar regions are the most common pain sites.</w:t>
            </w:r>
          </w:p>
          <w:p>
            <w:pPr>
              <w:spacing w:after="40" w:before="60" w:line="259" w:lineRule="auto"/>
            </w:pPr>
            <w:r>
              <w:rPr>
                <w:rFonts w:ascii="Calibri" w:hAnsi="Calibri"/>
                <w:b w:val="0"/>
                <w:i w:val="0"/>
                <w:color w:val="212121"/>
                <w:sz w:val="19"/>
              </w:rPr>
              <w:t>Among 563 IT professionals in South Bengaluru, lower-back pain affected 37.3%, upper-back 35.5% and neck 34.2%; working 9-10 hours/day raised risk.</w:t>
            </w:r>
          </w:p>
          <w:p>
            <w:pPr>
              <w:spacing w:after="40" w:line="252" w:lineRule="auto"/>
            </w:pPr>
            <w:hyperlink r:id="rId11">
              <w:r>
                <w:rPr>
                  <w:rFonts w:ascii="Calibri" w:hAnsi="Calibri" w:cs="Calibri"/>
                  <w:sz w:val="18"/>
                  <w:color w:val="1155CC"/>
                  <w:u w:val="single"/>
                </w:rPr>
                <w:t xml:space="preserve">indjst.org — MSDs among IT professionals in South Bangalore</w:t>
              </w:r>
            </w:hyperlink>
          </w:p>
          <w:p>
            <w:pPr>
              <w:spacing w:before="60" w:after="40"/>
            </w:pPr>
            <w:r>
              <w:rPr>
                <w:rFonts w:ascii="Calibri" w:hAnsi="Calibri"/>
                <w:b w:val="0"/>
                <w:i w:val="0"/>
                <w:color w:val="5A5A5A"/>
                <w:sz w:val="18"/>
              </w:rPr>
              <w:t>#Bengaluru  #Hyderabad  #ITcorridor  #neckpain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Work setting</w:t>
            </w:r>
          </w:p>
        </w:tc>
        <w:tc>
          <w:tcPr>
            <w:tcW w:type="dxa" w:w="2160"/>
            <w:vAlign w:val="top"/>
          </w:tcPr>
          <w:p>
            <w:pPr>
              <w:spacing w:after="40" w:before="0" w:line="259" w:lineRule="auto"/>
            </w:pPr>
            <w:r>
              <w:rPr>
                <w:rFonts w:ascii="Calibri" w:hAnsi="Calibri"/>
                <w:b w:val="0"/>
                <w:i w:val="0"/>
                <w:color w:val="212121"/>
                <w:sz w:val="19"/>
              </w:rPr>
              <w:t>Work-from-home / hybrid remote workers</w:t>
            </w:r>
          </w:p>
        </w:tc>
        <w:tc>
          <w:tcPr>
            <w:tcW w:type="dxa" w:w="4276"/>
            <w:vAlign w:val="top"/>
          </w:tcPr>
          <w:p>
            <w:pPr>
              <w:spacing w:after="60" w:line="259" w:lineRule="auto"/>
            </w:pPr>
            <w:r>
              <w:rPr>
                <w:rFonts w:ascii="Calibri" w:hAnsi="Calibri"/>
                <w:b w:val="0"/>
                <w:i w:val="0"/>
                <w:color w:val="212121"/>
                <w:sz w:val="19"/>
              </w:rPr>
              <w:t>Post-pandemic home working shifted many employees to makeshift, non-adjustable workstations — sofas, beds, laptops on low tables — that force sustained neck flexion and non-neutral wrist postures, increasing computer-related strain and eye symptoms.</w:t>
            </w:r>
          </w:p>
          <w:p>
            <w:pPr>
              <w:spacing w:after="40" w:before="60" w:line="259" w:lineRule="auto"/>
            </w:pPr>
            <w:r>
              <w:rPr>
                <w:rFonts w:ascii="Calibri" w:hAnsi="Calibri"/>
                <w:b w:val="0"/>
                <w:i w:val="0"/>
                <w:color w:val="212121"/>
                <w:sz w:val="19"/>
              </w:rPr>
              <w:t>Digital eye strain / computer vision syndrome affects roughly 65% of Indian computer users, with high rates reported in home and student settings.</w:t>
            </w:r>
          </w:p>
          <w:p>
            <w:pPr>
              <w:spacing w:after="40" w:line="252" w:lineRule="auto"/>
            </w:pPr>
            <w:hyperlink r:id="rId12">
              <w:r>
                <w:rPr>
                  <w:rFonts w:ascii="Calibri" w:hAnsi="Calibri" w:cs="Calibri"/>
                  <w:sz w:val="18"/>
                  <w:color w:val="1155CC"/>
                  <w:u w:val="single"/>
                </w:rPr>
                <w:t xml:space="preserve">pmc.ncbi.nlm.nih.gov — CVS prevalence systematic review</w:t>
              </w:r>
            </w:hyperlink>
          </w:p>
          <w:p>
            <w:pPr>
              <w:spacing w:before="60" w:after="40"/>
            </w:pPr>
            <w:r>
              <w:rPr>
                <w:rFonts w:ascii="Calibri" w:hAnsi="Calibri"/>
                <w:b w:val="0"/>
                <w:i w:val="0"/>
                <w:color w:val="5A5A5A"/>
                <w:sz w:val="18"/>
              </w:rPr>
              <w:t>#WFH  #hybrid  #laptop  #homeoffice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Prolonged sitting / continuous screen work &gt;= 6 h/day</w:t>
            </w:r>
          </w:p>
        </w:tc>
        <w:tc>
          <w:tcPr>
            <w:tcW w:type="dxa" w:w="4276"/>
            <w:vAlign w:val="top"/>
          </w:tcPr>
          <w:p>
            <w:pPr>
              <w:spacing w:after="60" w:line="259" w:lineRule="auto"/>
            </w:pPr>
            <w:r>
              <w:rPr>
                <w:rFonts w:ascii="Calibri" w:hAnsi="Calibri"/>
                <w:b w:val="0"/>
                <w:i w:val="0"/>
                <w:color w:val="212121"/>
                <w:sz w:val="19"/>
              </w:rPr>
              <w:t>Sustained sitting keeps neck and shoulder stabiliser muscles under continuous low-load contraction and reduces circulation to loaded tissues, while lack of movement breaks prevents recovery. Prolonged uninterrupted screen time is a graded risk factor.</w:t>
            </w:r>
          </w:p>
          <w:p>
            <w:pPr>
              <w:spacing w:after="40" w:before="60" w:line="259" w:lineRule="auto"/>
            </w:pPr>
            <w:r>
              <w:rPr>
                <w:rFonts w:ascii="Calibri" w:hAnsi="Calibri"/>
                <w:b w:val="0"/>
                <w:i w:val="0"/>
                <w:color w:val="212121"/>
                <w:sz w:val="19"/>
              </w:rPr>
              <w:t>Meta-analysis: sedentary behaviour raised neck-pain odds by ~46% (OR 1.46); risk rose with dose — OR 1.60 at &gt;=4 h/day and OR 1.88 at &gt;=6 h/day of sitting.</w:t>
            </w:r>
          </w:p>
          <w:p>
            <w:pPr>
              <w:spacing w:after="40" w:line="252" w:lineRule="auto"/>
            </w:pPr>
            <w:hyperlink r:id="rId13">
              <w:r>
                <w:rPr>
                  <w:rFonts w:ascii="Calibri" w:hAnsi="Calibri" w:cs="Calibri"/>
                  <w:sz w:val="18"/>
                  <w:color w:val="1155CC"/>
                  <w:u w:val="single"/>
                </w:rPr>
                <w:t xml:space="preserve">link.springer.com — Sedentary behaviour &amp; neck pain meta-analysis</w:t>
              </w:r>
            </w:hyperlink>
          </w:p>
          <w:p>
            <w:pPr>
              <w:spacing w:before="60" w:after="40"/>
            </w:pPr>
            <w:r>
              <w:rPr>
                <w:rFonts w:ascii="Calibri" w:hAnsi="Calibri"/>
                <w:b w:val="0"/>
                <w:i w:val="0"/>
                <w:color w:val="5A5A5A"/>
                <w:sz w:val="18"/>
              </w:rPr>
              <w:t>#sedentary  #prolongedsitting  #nobreaks  #staticload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Screen / device use</w:t>
            </w:r>
          </w:p>
        </w:tc>
        <w:tc>
          <w:tcPr>
            <w:tcW w:type="dxa" w:w="2160"/>
            <w:vAlign w:val="top"/>
          </w:tcPr>
          <w:p>
            <w:pPr>
              <w:spacing w:after="40" w:before="0" w:line="259" w:lineRule="auto"/>
            </w:pPr>
            <w:r>
              <w:rPr>
                <w:rFonts w:ascii="Calibri" w:hAnsi="Calibri"/>
                <w:b w:val="0"/>
                <w:i w:val="0"/>
                <w:color w:val="212121"/>
                <w:sz w:val="19"/>
              </w:rPr>
              <w:t>Heavy smartphone &amp; mouse users (‘text neck’)</w:t>
            </w:r>
          </w:p>
        </w:tc>
        <w:tc>
          <w:tcPr>
            <w:tcW w:type="dxa" w:w="4276"/>
            <w:vAlign w:val="top"/>
          </w:tcPr>
          <w:p>
            <w:pPr>
              <w:spacing w:after="60" w:line="259" w:lineRule="auto"/>
            </w:pPr>
            <w:r>
              <w:rPr>
                <w:rFonts w:ascii="Calibri" w:hAnsi="Calibri"/>
                <w:b w:val="0"/>
                <w:i w:val="0"/>
                <w:color w:val="212121"/>
                <w:sz w:val="19"/>
              </w:rPr>
              <w:t>Sustained neck flexion over a smartphone and high-intensity mouse use load the cervical spine and wrist tendons/median nerve. Mouse work in particular carries a dose-dependent risk for carpal tunnel syndrome.</w:t>
            </w:r>
          </w:p>
          <w:p>
            <w:pPr>
              <w:spacing w:after="40" w:before="60" w:line="259" w:lineRule="auto"/>
            </w:pPr>
            <w:r>
              <w:rPr>
                <w:rFonts w:ascii="Calibri" w:hAnsi="Calibri"/>
                <w:b w:val="0"/>
                <w:i w:val="0"/>
                <w:color w:val="212121"/>
                <w:sz w:val="19"/>
              </w:rPr>
              <w:t>Mobile-phone screen use carried the highest neck-pain risk among screen activities (OR 1.82); mouse use &gt;=20 h/week was associated with carpal tunnel syndrome (OR up to 3.6).</w:t>
            </w:r>
          </w:p>
          <w:p>
            <w:pPr>
              <w:spacing w:after="40" w:line="252" w:lineRule="auto"/>
            </w:pPr>
            <w:hyperlink r:id="rId13">
              <w:r>
                <w:rPr>
                  <w:rFonts w:ascii="Calibri" w:hAnsi="Calibri" w:cs="Calibri"/>
                  <w:sz w:val="18"/>
                  <w:color w:val="1155CC"/>
                  <w:u w:val="single"/>
                </w:rPr>
                <w:t xml:space="preserve">link.springer.com — Sedentary behaviour &amp; neck pain meta-analysis</w:t>
              </w:r>
            </w:hyperlink>
          </w:p>
          <w:p>
            <w:pPr>
              <w:spacing w:before="60" w:after="40"/>
            </w:pPr>
            <w:r>
              <w:rPr>
                <w:rFonts w:ascii="Calibri" w:hAnsi="Calibri"/>
                <w:b w:val="0"/>
                <w:i w:val="0"/>
                <w:color w:val="5A5A5A"/>
                <w:sz w:val="18"/>
              </w:rPr>
              <w:t>#textneck  #smartphone  #mouseoveruse  #carpaltunnel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inactivity</w:t>
            </w:r>
          </w:p>
        </w:tc>
        <w:tc>
          <w:tcPr>
            <w:tcW w:type="dxa" w:w="2160"/>
            <w:vAlign w:val="top"/>
          </w:tcPr>
          <w:p>
            <w:pPr>
              <w:spacing w:after="40" w:before="0" w:line="259" w:lineRule="auto"/>
            </w:pPr>
            <w:r>
              <w:rPr>
                <w:rFonts w:ascii="Calibri" w:hAnsi="Calibri"/>
                <w:b w:val="0"/>
                <w:i w:val="0"/>
                <w:color w:val="212121"/>
                <w:sz w:val="19"/>
              </w:rPr>
              <w:t>Deconditioned, physically inactive adults</w:t>
            </w:r>
          </w:p>
        </w:tc>
        <w:tc>
          <w:tcPr>
            <w:tcW w:type="dxa" w:w="4276"/>
            <w:vAlign w:val="top"/>
          </w:tcPr>
          <w:p>
            <w:pPr>
              <w:spacing w:after="60" w:line="259" w:lineRule="auto"/>
            </w:pPr>
            <w:r>
              <w:rPr>
                <w:rFonts w:ascii="Calibri" w:hAnsi="Calibri"/>
                <w:b w:val="0"/>
                <w:i w:val="0"/>
                <w:color w:val="212121"/>
                <w:sz w:val="19"/>
              </w:rPr>
              <w:t>Weak, deconditioned neck, scapular and forearm muscles fatigue quickly under static computer load and tolerate less repetitive work before pain develops. Regular strengthening measurably reduces symptoms.</w:t>
            </w:r>
          </w:p>
          <w:p>
            <w:pPr>
              <w:spacing w:after="40" w:before="60" w:line="259" w:lineRule="auto"/>
            </w:pPr>
            <w:r>
              <w:rPr>
                <w:rFonts w:ascii="Calibri" w:hAnsi="Calibri"/>
                <w:b w:val="0"/>
                <w:i w:val="0"/>
                <w:color w:val="212121"/>
                <w:sz w:val="19"/>
              </w:rPr>
              <w:t>Neck/shoulder strengthening exercise reduces pain in symptomatic office workers (moderate-quality evidence; standardised mean differences ~0.46 to 1.29 favouring exercise).</w:t>
            </w:r>
          </w:p>
          <w:p>
            <w:pPr>
              <w:spacing w:after="40" w:line="252" w:lineRule="auto"/>
            </w:pPr>
            <w:hyperlink r:id="rId14">
              <w:r>
                <w:rPr>
                  <w:rFonts w:ascii="Calibri" w:hAnsi="Calibri" w:cs="Calibri"/>
                  <w:sz w:val="18"/>
                  <w:color w:val="1155CC"/>
                  <w:u w:val="single"/>
                </w:rPr>
                <w:t xml:space="preserve">academic.oup.com — Workplace interventions for neck pain (review)</w:t>
              </w:r>
            </w:hyperlink>
          </w:p>
          <w:p>
            <w:pPr>
              <w:spacing w:before="60" w:after="40"/>
            </w:pPr>
            <w:r>
              <w:rPr>
                <w:rFonts w:ascii="Calibri" w:hAnsi="Calibri"/>
                <w:b w:val="0"/>
                <w:i w:val="0"/>
                <w:color w:val="5A5A5A"/>
                <w:sz w:val="18"/>
              </w:rPr>
              <w:t>#deconditioning  #weakmuscles  #lowfitness  #exercisegap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Nicotine-induced vasoconstriction impairs microvascular perfusion and delays tendon and soft-tissue healing, and smoking is associated with a higher burden of chronic musculoskeletal pain, so repetitive-strain tissue recovers more slowly.</w:t>
            </w:r>
          </w:p>
          <w:p>
            <w:pPr>
              <w:spacing w:after="40" w:before="60" w:line="259" w:lineRule="auto"/>
            </w:pPr>
            <w:r>
              <w:rPr>
                <w:rFonts w:ascii="Calibri" w:hAnsi="Calibri"/>
                <w:b w:val="0"/>
                <w:i w:val="0"/>
                <w:color w:val="212121"/>
                <w:sz w:val="19"/>
              </w:rPr>
              <w:t>Smoking impairs tissue oxygenation and healing and is linked to increased chronic musculoskeletal and back/neck pain.</w:t>
            </w:r>
          </w:p>
          <w:p>
            <w:pPr>
              <w:spacing w:before="60" w:after="40"/>
            </w:pPr>
            <w:r>
              <w:rPr>
                <w:rFonts w:ascii="Calibri" w:hAnsi="Calibri"/>
                <w:b w:val="0"/>
                <w:i w:val="0"/>
                <w:color w:val="5A5A5A"/>
                <w:sz w:val="18"/>
              </w:rPr>
              <w:t>#smoking  #poorhealing  #vasoconstriction  #chronicpain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regular alcohol users</w:t>
            </w:r>
          </w:p>
        </w:tc>
        <w:tc>
          <w:tcPr>
            <w:tcW w:type="dxa" w:w="4276"/>
            <w:vAlign w:val="top"/>
          </w:tcPr>
          <w:p>
            <w:pPr>
              <w:spacing w:after="60" w:line="259" w:lineRule="auto"/>
            </w:pPr>
            <w:r>
              <w:rPr>
                <w:rFonts w:ascii="Calibri" w:hAnsi="Calibri"/>
                <w:b w:val="0"/>
                <w:i w:val="0"/>
                <w:color w:val="212121"/>
                <w:sz w:val="19"/>
              </w:rPr>
              <w:t>Heavy alcohol use can contribute to peripheral neuropathy, poorer sleep and reduced tissue recovery, which may lower the threshold for and amplify upper-limb and neck symptoms, though the direct association with RSI is weaker than for posture and repetition.</w:t>
            </w:r>
          </w:p>
          <w:p>
            <w:pPr>
              <w:spacing w:after="40" w:before="60" w:line="259" w:lineRule="auto"/>
            </w:pPr>
            <w:r>
              <w:rPr>
                <w:rFonts w:ascii="Calibri" w:hAnsi="Calibri"/>
                <w:b w:val="0"/>
                <w:i w:val="0"/>
                <w:color w:val="212121"/>
                <w:sz w:val="19"/>
              </w:rPr>
              <w:t>Alcohol's link to RSI is indirect, chiefly via neuropathy, disturbed sleep and impaired recovery rather than a direct mechanical effect.</w:t>
            </w:r>
          </w:p>
          <w:p>
            <w:pPr>
              <w:spacing w:before="60" w:after="40"/>
            </w:pPr>
            <w:r>
              <w:rPr>
                <w:rFonts w:ascii="Calibri" w:hAnsi="Calibri"/>
                <w:b w:val="0"/>
                <w:i w:val="0"/>
                <w:color w:val="5A5A5A"/>
                <w:sz w:val="18"/>
              </w:rPr>
              <w:t>#alcohol  #neuropathy  #poorsleep  #recovery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BMI &gt;= 23 kg/m2 (Asian-Indian cut-off)</w:t>
            </w:r>
          </w:p>
        </w:tc>
        <w:tc>
          <w:tcPr>
            <w:tcW w:type="dxa" w:w="4276"/>
            <w:vAlign w:val="top"/>
          </w:tcPr>
          <w:p>
            <w:pPr>
              <w:spacing w:after="60" w:line="259" w:lineRule="auto"/>
            </w:pPr>
            <w:r>
              <w:rPr>
                <w:rFonts w:ascii="Calibri" w:hAnsi="Calibri"/>
                <w:b w:val="0"/>
                <w:i w:val="0"/>
                <w:color w:val="212121"/>
                <w:sz w:val="19"/>
              </w:rPr>
              <w:t>Excess weight increases axial load on the cervical and lumbar spine and, through raised carpal tunnel pressure and low-grade inflammation, predisposes to carpal tunnel syndrome and tendinopathy — amplifying computer-related strain.</w:t>
            </w:r>
          </w:p>
          <w:p>
            <w:pPr>
              <w:spacing w:after="40" w:before="60" w:line="259" w:lineRule="auto"/>
            </w:pPr>
            <w:r>
              <w:rPr>
                <w:rFonts w:ascii="Calibri" w:hAnsi="Calibri"/>
                <w:b w:val="0"/>
                <w:i w:val="0"/>
                <w:color w:val="212121"/>
                <w:sz w:val="19"/>
              </w:rPr>
              <w:t>Overweight and obesity are established risk factors for carpal tunnel syndrome and for spinal and tendon overload.</w:t>
            </w:r>
          </w:p>
          <w:p>
            <w:pPr>
              <w:spacing w:before="60" w:after="40"/>
            </w:pPr>
            <w:r>
              <w:rPr>
                <w:rFonts w:ascii="Calibri" w:hAnsi="Calibri"/>
                <w:b w:val="0"/>
                <w:i w:val="0"/>
                <w:color w:val="5A5A5A"/>
                <w:sz w:val="18"/>
              </w:rPr>
              <w:t>#overweight  #obesity  #axialload  #carpaltunnel</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 D status / diet</w:t>
            </w:r>
          </w:p>
        </w:tc>
        <w:tc>
          <w:tcPr>
            <w:tcW w:type="dxa" w:w="2160"/>
            <w:vAlign w:val="top"/>
          </w:tcPr>
          <w:p>
            <w:pPr>
              <w:spacing w:after="40" w:before="0" w:line="259" w:lineRule="auto"/>
            </w:pPr>
            <w:r>
              <w:rPr>
                <w:rFonts w:ascii="Calibri" w:hAnsi="Calibri"/>
                <w:b w:val="0"/>
                <w:i w:val="0"/>
                <w:color w:val="212121"/>
                <w:sz w:val="19"/>
              </w:rPr>
              <w:t>Vitamin-D-deficient indoor workers</w:t>
            </w:r>
          </w:p>
        </w:tc>
        <w:tc>
          <w:tcPr>
            <w:tcW w:type="dxa" w:w="4276"/>
            <w:vAlign w:val="top"/>
          </w:tcPr>
          <w:p>
            <w:pPr>
              <w:spacing w:after="60" w:line="259" w:lineRule="auto"/>
            </w:pPr>
            <w:r>
              <w:rPr>
                <w:rFonts w:ascii="Calibri" w:hAnsi="Calibri"/>
                <w:b w:val="0"/>
                <w:i w:val="0"/>
                <w:color w:val="212121"/>
                <w:sz w:val="19"/>
              </w:rPr>
              <w:t>Indoor IT and desk workers get little sunlight and vitamin D deficiency is very common in India; low vitamin D and a low anti-inflammatory nutrient intake are associated with diffuse musculoskeletal pain and poorer muscle function, which can worsen or mimic RSI.</w:t>
            </w:r>
          </w:p>
          <w:p>
            <w:pPr>
              <w:spacing w:after="40" w:before="60" w:line="259" w:lineRule="auto"/>
            </w:pPr>
            <w:r>
              <w:rPr>
                <w:rFonts w:ascii="Calibri" w:hAnsi="Calibri"/>
                <w:b w:val="0"/>
                <w:i w:val="0"/>
                <w:color w:val="212121"/>
                <w:sz w:val="19"/>
              </w:rPr>
              <w:t>Vitamin D deficiency is widespread among indoor Indian workers and is associated with diffuse musculoskeletal pain and reduced muscle performance.</w:t>
            </w:r>
          </w:p>
          <w:p>
            <w:pPr>
              <w:spacing w:before="60" w:after="40"/>
            </w:pPr>
            <w:r>
              <w:rPr>
                <w:rFonts w:ascii="Calibri" w:hAnsi="Calibri"/>
                <w:b w:val="0"/>
                <w:i w:val="0"/>
                <w:color w:val="5A5A5A"/>
                <w:sz w:val="18"/>
              </w:rPr>
              <w:t>#vitaminD  #indoorwork  #diffusepain  #nutrition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anatomy</w:t>
            </w:r>
          </w:p>
        </w:tc>
        <w:tc>
          <w:tcPr>
            <w:tcW w:type="dxa" w:w="2160"/>
            <w:vAlign w:val="top"/>
          </w:tcPr>
          <w:p>
            <w:pPr>
              <w:spacing w:after="40" w:before="0" w:line="259" w:lineRule="auto"/>
            </w:pPr>
            <w:r>
              <w:rPr>
                <w:rFonts w:ascii="Calibri" w:hAnsi="Calibri"/>
                <w:b w:val="0"/>
                <w:i w:val="0"/>
                <w:color w:val="212121"/>
                <w:sz w:val="19"/>
              </w:rPr>
              <w:t>Congenitally narrow carpal tunnel; family history of CTS</w:t>
            </w:r>
          </w:p>
        </w:tc>
        <w:tc>
          <w:tcPr>
            <w:tcW w:type="dxa" w:w="4276"/>
            <w:vAlign w:val="top"/>
          </w:tcPr>
          <w:p>
            <w:pPr>
              <w:spacing w:after="60" w:line="259" w:lineRule="auto"/>
            </w:pPr>
            <w:r>
              <w:rPr>
                <w:rFonts w:ascii="Calibri" w:hAnsi="Calibri"/>
                <w:b w:val="0"/>
                <w:i w:val="0"/>
                <w:color w:val="212121"/>
                <w:sz w:val="19"/>
              </w:rPr>
              <w:t>A constitutionally small carpal tunnel, familial predisposition to compression neuropathy and inherited connective-tissue/collagen characteristics reduce the mechanical reserve of the wrist, so equivalent computer exposure more readily produces nerve or tendon injury.</w:t>
            </w:r>
          </w:p>
          <w:p>
            <w:pPr>
              <w:spacing w:after="40" w:before="60" w:line="259" w:lineRule="auto"/>
            </w:pPr>
            <w:r>
              <w:rPr>
                <w:rFonts w:ascii="Calibri" w:hAnsi="Calibri"/>
                <w:b w:val="0"/>
                <w:i w:val="0"/>
                <w:color w:val="212121"/>
                <w:sz w:val="19"/>
              </w:rPr>
              <w:t>Anatomically narrow carpal tunnels and a positive family history increase susceptibility to carpal tunnel syndrome under repetitive load.</w:t>
            </w:r>
          </w:p>
          <w:p>
            <w:pPr>
              <w:spacing w:before="60" w:after="40"/>
            </w:pPr>
            <w:r>
              <w:rPr>
                <w:rFonts w:ascii="Calibri" w:hAnsi="Calibri"/>
                <w:b w:val="0"/>
                <w:i w:val="0"/>
                <w:color w:val="5A5A5A"/>
                <w:sz w:val="18"/>
              </w:rPr>
              <w:t>#familyhistory  #narrowtunnel  #collagen  #predisposition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Diabetes predisposes to median-nerve vulnerability, carpal tunnel syndrome, flexor tenosynovitis, trigger finger and adhesive capsulitis, so diabetic desk workers develop specific (Type 1) computer-related disorders more readily and heal more slowly.</w:t>
            </w:r>
          </w:p>
          <w:p>
            <w:pPr>
              <w:spacing w:after="40" w:before="60" w:line="259" w:lineRule="auto"/>
            </w:pPr>
            <w:r>
              <w:rPr>
                <w:rFonts w:ascii="Calibri" w:hAnsi="Calibri"/>
                <w:b w:val="0"/>
                <w:i w:val="0"/>
                <w:color w:val="212121"/>
                <w:sz w:val="19"/>
              </w:rPr>
              <w:t>Diabetes markedly increases the risk of carpal tunnel syndrome, tenosynovitis and frozen shoulder, compounding occupational strain.</w:t>
            </w:r>
          </w:p>
          <w:p>
            <w:pPr>
              <w:spacing w:before="60" w:after="40"/>
            </w:pPr>
            <w:r>
              <w:rPr>
                <w:rFonts w:ascii="Calibri" w:hAnsi="Calibri"/>
                <w:b w:val="0"/>
                <w:i w:val="0"/>
                <w:color w:val="5A5A5A"/>
                <w:sz w:val="18"/>
              </w:rPr>
              <w:t>#diabetes  #carpaltunnel  #tenosynovitis  #frozenshoulder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Hypothyroidism</w:t>
            </w:r>
          </w:p>
        </w:tc>
        <w:tc>
          <w:tcPr>
            <w:tcW w:type="dxa" w:w="2160"/>
            <w:vAlign w:val="top"/>
          </w:tcPr>
          <w:p>
            <w:pPr>
              <w:spacing w:after="40" w:before="0" w:line="259" w:lineRule="auto"/>
            </w:pPr>
            <w:r>
              <w:rPr>
                <w:rFonts w:ascii="Calibri" w:hAnsi="Calibri"/>
                <w:b w:val="0"/>
                <w:i w:val="0"/>
                <w:color w:val="212121"/>
                <w:sz w:val="19"/>
              </w:rPr>
              <w:t>Patients with hypothyroidism</w:t>
            </w:r>
          </w:p>
        </w:tc>
        <w:tc>
          <w:tcPr>
            <w:tcW w:type="dxa" w:w="4276"/>
            <w:vAlign w:val="top"/>
          </w:tcPr>
          <w:p>
            <w:pPr>
              <w:spacing w:after="60" w:line="259" w:lineRule="auto"/>
            </w:pPr>
            <w:r>
              <w:rPr>
                <w:rFonts w:ascii="Calibri" w:hAnsi="Calibri"/>
                <w:b w:val="0"/>
                <w:i w:val="0"/>
                <w:color w:val="212121"/>
                <w:sz w:val="19"/>
              </w:rPr>
              <w:t>Hypothyroid soft-tissue mucin deposition and fluid retention raise carpal tunnel pressure and cause myalgia and stiffness, so an under-active thyroid amplifies computer-related wrist and diffuse musculoskeletal symptoms.</w:t>
            </w:r>
          </w:p>
          <w:p>
            <w:pPr>
              <w:spacing w:after="40" w:before="60" w:line="259" w:lineRule="auto"/>
            </w:pPr>
            <w:r>
              <w:rPr>
                <w:rFonts w:ascii="Calibri" w:hAnsi="Calibri"/>
                <w:b w:val="0"/>
                <w:i w:val="0"/>
                <w:color w:val="212121"/>
                <w:sz w:val="19"/>
              </w:rPr>
              <w:t>Hypothyroidism is a recognised secondary cause of carpal tunnel syndrome and of generalised myalgia and stiffness.</w:t>
            </w:r>
          </w:p>
          <w:p>
            <w:pPr>
              <w:spacing w:before="60" w:after="40"/>
            </w:pPr>
            <w:r>
              <w:rPr>
                <w:rFonts w:ascii="Calibri" w:hAnsi="Calibri"/>
                <w:b w:val="0"/>
                <w:i w:val="0"/>
                <w:color w:val="5A5A5A"/>
                <w:sz w:val="18"/>
              </w:rPr>
              <w:t>#hypothyroidism  #fluidretention  #CTS  #myalgia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workers</w:t>
            </w:r>
          </w:p>
        </w:tc>
        <w:tc>
          <w:tcPr>
            <w:tcW w:type="dxa" w:w="4276"/>
            <w:vAlign w:val="top"/>
          </w:tcPr>
          <w:p>
            <w:pPr>
              <w:spacing w:after="60" w:line="259" w:lineRule="auto"/>
            </w:pPr>
            <w:r>
              <w:rPr>
                <w:rFonts w:ascii="Calibri" w:hAnsi="Calibri"/>
                <w:b w:val="0"/>
                <w:i w:val="0"/>
                <w:color w:val="212121"/>
                <w:sz w:val="19"/>
              </w:rPr>
              <w:t>Pregnancy-related fluid retention transiently raises carpal tunnel pressure, commonly producing hand tingling and pain that is aggravated by keyboard and mouse work; symptoms usually ease after delivery.</w:t>
            </w:r>
          </w:p>
          <w:p>
            <w:pPr>
              <w:spacing w:after="40" w:before="60" w:line="259" w:lineRule="auto"/>
            </w:pPr>
            <w:r>
              <w:rPr>
                <w:rFonts w:ascii="Calibri" w:hAnsi="Calibri"/>
                <w:b w:val="0"/>
                <w:i w:val="0"/>
                <w:color w:val="212121"/>
                <w:sz w:val="19"/>
              </w:rPr>
              <w:t>Fluid retention in pregnancy commonly precipitates transient carpal tunnel syndrome, often worsened by computer use.</w:t>
            </w:r>
          </w:p>
          <w:p>
            <w:pPr>
              <w:spacing w:before="60" w:after="40"/>
            </w:pPr>
            <w:r>
              <w:rPr>
                <w:rFonts w:ascii="Calibri" w:hAnsi="Calibri"/>
                <w:b w:val="0"/>
                <w:i w:val="0"/>
                <w:color w:val="5A5A5A"/>
                <w:sz w:val="18"/>
              </w:rPr>
              <w:t>#pregnancy  #fluidretention  #transientCTS  #handtingling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anxiety / job strain</w:t>
            </w:r>
          </w:p>
        </w:tc>
        <w:tc>
          <w:tcPr>
            <w:tcW w:type="dxa" w:w="2160"/>
            <w:vAlign w:val="top"/>
          </w:tcPr>
          <w:p>
            <w:pPr>
              <w:spacing w:after="40" w:before="0" w:line="259" w:lineRule="auto"/>
            </w:pPr>
            <w:r>
              <w:rPr>
                <w:rFonts w:ascii="Calibri" w:hAnsi="Calibri"/>
                <w:b w:val="0"/>
                <w:i w:val="0"/>
                <w:color w:val="212121"/>
                <w:sz w:val="19"/>
              </w:rPr>
              <w:t>Workers with high psychological job strain</w:t>
            </w:r>
          </w:p>
        </w:tc>
        <w:tc>
          <w:tcPr>
            <w:tcW w:type="dxa" w:w="4276"/>
            <w:vAlign w:val="top"/>
          </w:tcPr>
          <w:p>
            <w:pPr>
              <w:spacing w:after="60" w:line="259" w:lineRule="auto"/>
            </w:pPr>
            <w:r>
              <w:rPr>
                <w:rFonts w:ascii="Calibri" w:hAnsi="Calibri"/>
                <w:b w:val="0"/>
                <w:i w:val="0"/>
                <w:color w:val="212121"/>
                <w:sz w:val="19"/>
              </w:rPr>
              <w:t>High job strain, deadline pressure and low control raise sustained trapezius and forearm muscle tension and heighten pain perception, and there is a bidirectional link between mood disturbance and chronic musculoskeletal pain — psychosocial factors are among the strongest predictors of computer-related symptoms.</w:t>
            </w:r>
          </w:p>
          <w:p>
            <w:pPr>
              <w:spacing w:after="40" w:before="60" w:line="259" w:lineRule="auto"/>
            </w:pPr>
            <w:r>
              <w:rPr>
                <w:rFonts w:ascii="Calibri" w:hAnsi="Calibri"/>
                <w:b w:val="0"/>
                <w:i w:val="0"/>
                <w:color w:val="212121"/>
                <w:sz w:val="19"/>
              </w:rPr>
              <w:t>In Indian IT workers, stress was reported by about 44%, and adverse high-risk workstyle (deadlines, social reactivity, lack of breaks) independently predicted pain.</w:t>
            </w:r>
          </w:p>
          <w:p>
            <w:pPr>
              <w:spacing w:after="40" w:line="252" w:lineRule="auto"/>
            </w:pPr>
            <w:hyperlink r:id="rId9">
              <w:r>
                <w:rPr>
                  <w:rFonts w:ascii="Calibri" w:hAnsi="Calibri" w:cs="Calibri"/>
                  <w:sz w:val="18"/>
                  <w:color w:val="1155CC"/>
                  <w:u w:val="single"/>
                </w:rPr>
                <w:t xml:space="preserve">msjonline.org — WMSD among IT professionals in India (review)</w:t>
              </w:r>
            </w:hyperlink>
          </w:p>
          <w:p>
            <w:pPr>
              <w:spacing w:before="60" w:after="40"/>
            </w:pPr>
            <w:r>
              <w:rPr>
                <w:rFonts w:ascii="Calibri" w:hAnsi="Calibri"/>
                <w:b w:val="0"/>
                <w:i w:val="0"/>
                <w:color w:val="5A5A5A"/>
                <w:sz w:val="18"/>
              </w:rPr>
              <w:t>#jobstrain  #deadlines  #anxiety  #painperception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Cervical spondylosis / prior injury</w:t>
            </w:r>
          </w:p>
        </w:tc>
        <w:tc>
          <w:tcPr>
            <w:tcW w:type="dxa" w:w="2160"/>
            <w:vAlign w:val="top"/>
          </w:tcPr>
          <w:p>
            <w:pPr>
              <w:spacing w:after="40" w:before="0" w:line="259" w:lineRule="auto"/>
            </w:pPr>
            <w:r>
              <w:rPr>
                <w:rFonts w:ascii="Calibri" w:hAnsi="Calibri"/>
                <w:b w:val="0"/>
                <w:i w:val="0"/>
                <w:color w:val="212121"/>
                <w:sz w:val="19"/>
              </w:rPr>
              <w:t>Pre-existing neck disease or prior upper-limb injury</w:t>
            </w:r>
          </w:p>
        </w:tc>
        <w:tc>
          <w:tcPr>
            <w:tcW w:type="dxa" w:w="4276"/>
            <w:vAlign w:val="top"/>
          </w:tcPr>
          <w:p>
            <w:pPr>
              <w:spacing w:after="60" w:line="259" w:lineRule="auto"/>
            </w:pPr>
            <w:r>
              <w:rPr>
                <w:rFonts w:ascii="Calibri" w:hAnsi="Calibri"/>
                <w:b w:val="0"/>
                <w:i w:val="0"/>
                <w:color w:val="212121"/>
                <w:sz w:val="19"/>
              </w:rPr>
              <w:t>Degenerative cervical spondylosis, previous fractures, tendon injury or osteoarthritis reduce the mechanical reserve and pain threshold of the neck and upper limb, so sustained computer posture more readily reactivates or worsens symptoms.</w:t>
            </w:r>
          </w:p>
          <w:p>
            <w:pPr>
              <w:spacing w:after="40" w:before="60" w:line="259" w:lineRule="auto"/>
            </w:pPr>
            <w:r>
              <w:rPr>
                <w:rFonts w:ascii="Calibri" w:hAnsi="Calibri"/>
                <w:b w:val="0"/>
                <w:i w:val="0"/>
                <w:color w:val="212121"/>
                <w:sz w:val="19"/>
              </w:rPr>
              <w:t>Pre-existing cervical spondylosis and prior upper-limb injury predispose to and worsen computer-related neck and arm pain.</w:t>
            </w:r>
          </w:p>
          <w:p>
            <w:pPr>
              <w:spacing w:before="60" w:after="40"/>
            </w:pPr>
            <w:r>
              <w:rPr>
                <w:rFonts w:ascii="Calibri" w:hAnsi="Calibri"/>
                <w:b w:val="0"/>
                <w:i w:val="0"/>
                <w:color w:val="5A5A5A"/>
                <w:sz w:val="18"/>
              </w:rPr>
              <w:t>#spondylosis  #priorinjury  #osteoarthritis  #lowreserve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Deconditioning and prolonged sitting are major drivers; sedentary behaviour raises neck-pain odds (OR 1.46, and ~1.88 at &gt;=6 h/day sitting), while neck/shoulder strengthening measurably reduces symptoms in office workers (moderate-quality evidence, SMD ~0.46-1.29).</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acts indirectly: overweight/obesity raises carpal tunnel and spinal load, and vitamin D deficiency (common in indoor Indian workers) is associated with diffuse musculoskeletal pain; there is no direct dietary cause of RSI.</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problems and chronic musculoskeletal pain are bidirectional — baseline sleep disturbance raised the odds of developing chronic musculoskeletal pain (OR 1.79) and pain raised the odds of new sleep problems (OR 2.02).</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microvascular perfusion and soft-tissue healing and is associated with a higher burden of chronic musculoskeletal and back/neck pain, slowing recovery from repetitive strain.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contributes indirectly through peripheral neuropathy, disturbed sleep and impaired tissue recovery rather than any direct mechanical effect.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Psychosocial job strain, deadlines and adverse workstyle are among the strongest predictors of computer-related symptoms; about 22% of Indian computer professionals had a high-risk workstyle and stress affected ~44%.</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tendon and disc health and general tissue function, but there is no strong direct evidence linking hydration to RSI prevention.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direct role; excess intake may worsen sleep and heighten muscle tension, indirectly affecting pain and recovery.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hygiene is not a primary driver; shared, poorly cleaned or non-adjustable equipment can perpetuate poor ergonomics but does not itself cause RSI.</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Repetitive keystrokes and clicking, high-intensity mouse use, forceful gripping, mechanical pressure on wrists and absence of micro-breaks directly provoke symptoms; mouse use &gt;=20 h/week was associated with carpal tunnel syndrome (OR up to 3.6).</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Sustained forward-head/neck flexion, rounded shoulders, unsupported wrist extension and non-neutral, non-adjustable workstations are central mechanisms; prolonged screen and smartphone posture raises neck-pain risk (mobile-use OR 1.82).</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desk/IT workers</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Regular activity and strengthening improve tolerance to static load and reduce neck/shoulder pain</w:t>
            </w:r>
          </w:p>
          <w:p>
            <w:pPr>
              <w:spacing w:after="40" w:line="252" w:lineRule="auto"/>
            </w:pPr>
            <w:hyperlink r:id="rId14">
              <w:r>
                <w:rPr>
                  <w:rFonts w:ascii="Calibri" w:hAnsi="Calibri" w:cs="Calibri"/>
                  <w:sz w:val="18"/>
                  <w:color w:val="1155CC"/>
                  <w:u w:val="single"/>
                </w:rPr>
                <w:t xml:space="preserve">https://academic.oup.com/ptj/article/98/1/40/4562646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Continuous sitting / screen time (h/day)</w:t>
            </w:r>
          </w:p>
        </w:tc>
        <w:tc>
          <w:tcPr>
            <w:tcW w:type="dxa" w:w="1655"/>
            <w:vAlign w:val="top"/>
          </w:tcPr>
          <w:p>
            <w:pPr>
              <w:spacing w:after="40" w:before="0" w:line="259" w:lineRule="auto"/>
            </w:pPr>
            <w:r>
              <w:rPr>
                <w:rFonts w:ascii="Calibri" w:hAnsi="Calibri"/>
                <w:b w:val="0"/>
                <w:i w:val="0"/>
                <w:color w:val="212121"/>
                <w:sz w:val="19"/>
              </w:rPr>
              <w:t>Office &amp; IT workers</w:t>
            </w:r>
          </w:p>
        </w:tc>
        <w:tc>
          <w:tcPr>
            <w:tcW w:type="dxa" w:w="1512"/>
            <w:vAlign w:val="top"/>
          </w:tcPr>
          <w:p>
            <w:pPr>
              <w:spacing w:after="40" w:before="0" w:line="259" w:lineRule="auto"/>
            </w:pPr>
            <w:r>
              <w:rPr>
                <w:rFonts w:ascii="Calibri" w:hAnsi="Calibri"/>
                <w:b w:val="0"/>
                <w:i w:val="0"/>
                <w:color w:val="212121"/>
                <w:sz w:val="19"/>
              </w:rPr>
              <w:t>&lt; 4 h with breaks every 30-60 min</w:t>
            </w:r>
          </w:p>
        </w:tc>
        <w:tc>
          <w:tcPr>
            <w:tcW w:type="dxa" w:w="1512"/>
            <w:vAlign w:val="top"/>
          </w:tcPr>
          <w:p>
            <w:pPr>
              <w:spacing w:after="40" w:before="0" w:line="259" w:lineRule="auto"/>
            </w:pPr>
            <w:r>
              <w:rPr>
                <w:rFonts w:ascii="Calibri" w:hAnsi="Calibri"/>
                <w:b w:val="0"/>
                <w:i w:val="0"/>
                <w:color w:val="212121"/>
                <w:sz w:val="19"/>
              </w:rPr>
              <w:t>&gt;= 6 h continuous</w:t>
            </w:r>
          </w:p>
        </w:tc>
        <w:tc>
          <w:tcPr>
            <w:tcW w:type="dxa" w:w="1468"/>
            <w:vAlign w:val="top"/>
          </w:tcPr>
          <w:p>
            <w:pPr>
              <w:spacing w:after="60" w:line="259" w:lineRule="auto"/>
            </w:pPr>
            <w:r>
              <w:rPr>
                <w:rFonts w:ascii="Calibri" w:hAnsi="Calibri"/>
                <w:b w:val="0"/>
                <w:i w:val="0"/>
                <w:color w:val="212121"/>
                <w:sz w:val="19"/>
              </w:rPr>
              <w:t>Neck-pain risk rises with dose (OR ~1.60 at &gt;=4 h; ~1.88 at &gt;=6 h)</w:t>
            </w:r>
          </w:p>
          <w:p>
            <w:pPr>
              <w:spacing w:after="40" w:line="252" w:lineRule="auto"/>
            </w:pPr>
            <w:hyperlink r:id="rId13">
              <w:r>
                <w:rPr>
                  <w:rFonts w:ascii="Calibri" w:hAnsi="Calibri" w:cs="Calibri"/>
                  <w:sz w:val="18"/>
                  <w:color w:val="1155CC"/>
                  <w:u w:val="single"/>
                </w:rPr>
                <w:t xml:space="preserve">https://link.springer.com/article/10.1186/s12889-025-21685-9</w:t>
              </w:r>
            </w:hyperlink>
          </w:p>
        </w:tc>
      </w:tr>
      <w:tr>
        <w:trPr>
          <w:cantSplit/>
        </w:trPr>
        <w:tc>
          <w:tcPr>
            <w:tcW w:type="dxa" w:w="1512"/>
            <w:vMerge w:val="restart"/>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Continuous keyboard/mouse work without break</w:t>
            </w:r>
          </w:p>
        </w:tc>
        <w:tc>
          <w:tcPr>
            <w:tcW w:type="dxa" w:w="1655"/>
            <w:vAlign w:val="top"/>
          </w:tcPr>
          <w:p>
            <w:pPr>
              <w:spacing w:after="40" w:before="0" w:line="259" w:lineRule="auto"/>
            </w:pPr>
            <w:r>
              <w:rPr>
                <w:rFonts w:ascii="Calibri" w:hAnsi="Calibri"/>
                <w:b w:val="0"/>
                <w:i w:val="0"/>
                <w:color w:val="212121"/>
                <w:sz w:val="19"/>
              </w:rPr>
              <w:t>Computer users</w:t>
            </w:r>
          </w:p>
        </w:tc>
        <w:tc>
          <w:tcPr>
            <w:tcW w:type="dxa" w:w="1512"/>
            <w:vAlign w:val="top"/>
          </w:tcPr>
          <w:p>
            <w:pPr>
              <w:spacing w:after="40" w:before="0" w:line="259" w:lineRule="auto"/>
            </w:pPr>
            <w:r>
              <w:rPr>
                <w:rFonts w:ascii="Calibri" w:hAnsi="Calibri"/>
                <w:b w:val="0"/>
                <w:i w:val="0"/>
                <w:color w:val="212121"/>
                <w:sz w:val="19"/>
              </w:rPr>
              <w:t>Micro-break every 20-30 min</w:t>
            </w:r>
          </w:p>
        </w:tc>
        <w:tc>
          <w:tcPr>
            <w:tcW w:type="dxa" w:w="1512"/>
            <w:vAlign w:val="top"/>
          </w:tcPr>
          <w:p>
            <w:pPr>
              <w:spacing w:after="40" w:before="0" w:line="259" w:lineRule="auto"/>
            </w:pPr>
            <w:r>
              <w:rPr>
                <w:rFonts w:ascii="Calibri" w:hAnsi="Calibri"/>
                <w:b w:val="0"/>
                <w:i w:val="0"/>
                <w:color w:val="212121"/>
                <w:sz w:val="19"/>
              </w:rPr>
              <w:t>&gt; 50 min continuous</w:t>
            </w:r>
          </w:p>
        </w:tc>
        <w:tc>
          <w:tcPr>
            <w:tcW w:type="dxa" w:w="1468"/>
            <w:vAlign w:val="top"/>
          </w:tcPr>
          <w:p>
            <w:pPr>
              <w:spacing w:after="60" w:line="259" w:lineRule="auto"/>
            </w:pPr>
            <w:r>
              <w:rPr>
                <w:rFonts w:ascii="Calibri" w:hAnsi="Calibri"/>
                <w:b w:val="0"/>
                <w:i w:val="0"/>
                <w:color w:val="212121"/>
                <w:sz w:val="19"/>
              </w:rPr>
              <w:t>Uninterrupted work prevents tissue recovery; short frequent breaks reduce discomfort</w:t>
            </w:r>
          </w:p>
          <w:p>
            <w:pPr>
              <w:spacing w:after="40" w:line="252" w:lineRule="auto"/>
            </w:pPr>
            <w:hyperlink r:id="rId15">
              <w:r>
                <w:rPr>
                  <w:rFonts w:ascii="Calibri" w:hAnsi="Calibri" w:cs="Calibri"/>
                  <w:sz w:val="18"/>
                  <w:color w:val="1155CC"/>
                  <w:u w:val="single"/>
                </w:rPr>
                <w:t xml:space="preserve">https://www.cochrane.org/evidence/CD008570_ergonomic-interventions-preventing-work-related-musculoskeletal-disorders-upper-limb-and-neck-among</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Neck flexion / monitor height</w:t>
            </w:r>
          </w:p>
        </w:tc>
        <w:tc>
          <w:tcPr>
            <w:tcW w:type="dxa" w:w="1655"/>
            <w:vAlign w:val="top"/>
          </w:tcPr>
          <w:p>
            <w:pPr>
              <w:spacing w:after="40" w:before="0" w:line="259" w:lineRule="auto"/>
            </w:pPr>
            <w:r>
              <w:rPr>
                <w:rFonts w:ascii="Calibri" w:hAnsi="Calibri"/>
                <w:b w:val="0"/>
                <w:i w:val="0"/>
                <w:color w:val="212121"/>
                <w:sz w:val="19"/>
              </w:rPr>
              <w:t>Screen &amp; smartphone users</w:t>
            </w:r>
          </w:p>
        </w:tc>
        <w:tc>
          <w:tcPr>
            <w:tcW w:type="dxa" w:w="1512"/>
            <w:vAlign w:val="top"/>
          </w:tcPr>
          <w:p>
            <w:pPr>
              <w:spacing w:after="40" w:before="0" w:line="259" w:lineRule="auto"/>
            </w:pPr>
            <w:r>
              <w:rPr>
                <w:rFonts w:ascii="Calibri" w:hAnsi="Calibri"/>
                <w:b w:val="0"/>
                <w:i w:val="0"/>
                <w:color w:val="212121"/>
                <w:sz w:val="19"/>
              </w:rPr>
              <w:t>Top of screen at eye level; neck ~0-15°</w:t>
            </w:r>
          </w:p>
        </w:tc>
        <w:tc>
          <w:tcPr>
            <w:tcW w:type="dxa" w:w="1512"/>
            <w:vAlign w:val="top"/>
          </w:tcPr>
          <w:p>
            <w:pPr>
              <w:spacing w:after="40" w:before="0" w:line="259" w:lineRule="auto"/>
            </w:pPr>
            <w:r>
              <w:rPr>
                <w:rFonts w:ascii="Calibri" w:hAnsi="Calibri"/>
                <w:b w:val="0"/>
                <w:i w:val="0"/>
                <w:color w:val="212121"/>
                <w:sz w:val="19"/>
              </w:rPr>
              <w:t>Sustained flexion &gt; 20°</w:t>
            </w:r>
          </w:p>
        </w:tc>
        <w:tc>
          <w:tcPr>
            <w:tcW w:type="dxa" w:w="1468"/>
            <w:vAlign w:val="top"/>
          </w:tcPr>
          <w:p>
            <w:pPr>
              <w:spacing w:after="60" w:line="259" w:lineRule="auto"/>
            </w:pPr>
            <w:r>
              <w:rPr>
                <w:rFonts w:ascii="Calibri" w:hAnsi="Calibri"/>
                <w:b w:val="0"/>
                <w:i w:val="0"/>
                <w:color w:val="212121"/>
                <w:sz w:val="19"/>
              </w:rPr>
              <w:t>Forward-head posture loads the cervical spine; higher screen/phone use raises neck-pain risk (OR 1.82)</w:t>
            </w:r>
          </w:p>
          <w:p>
            <w:pPr>
              <w:spacing w:after="40" w:line="252" w:lineRule="auto"/>
            </w:pPr>
            <w:hyperlink r:id="rId13">
              <w:r>
                <w:rPr>
                  <w:rFonts w:ascii="Calibri" w:hAnsi="Calibri" w:cs="Calibri"/>
                  <w:sz w:val="18"/>
                  <w:color w:val="1155CC"/>
                  <w:u w:val="single"/>
                </w:rPr>
                <w:t xml:space="preserve">https://link.springer.com/article/10.1186/s12889-025-21685-9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Wrist position at keyboard/mouse</w:t>
            </w:r>
          </w:p>
        </w:tc>
        <w:tc>
          <w:tcPr>
            <w:tcW w:type="dxa" w:w="1655"/>
            <w:vAlign w:val="top"/>
          </w:tcPr>
          <w:p>
            <w:pPr>
              <w:spacing w:after="40" w:before="0" w:line="259" w:lineRule="auto"/>
            </w:pPr>
            <w:r>
              <w:rPr>
                <w:rFonts w:ascii="Calibri" w:hAnsi="Calibri"/>
                <w:b w:val="0"/>
                <w:i w:val="0"/>
                <w:color w:val="212121"/>
                <w:sz w:val="19"/>
              </w:rPr>
              <w:t>Keyboard &amp; mouse users</w:t>
            </w:r>
          </w:p>
        </w:tc>
        <w:tc>
          <w:tcPr>
            <w:tcW w:type="dxa" w:w="1512"/>
            <w:vAlign w:val="top"/>
          </w:tcPr>
          <w:p>
            <w:pPr>
              <w:spacing w:after="40" w:before="0" w:line="259" w:lineRule="auto"/>
            </w:pPr>
            <w:r>
              <w:rPr>
                <w:rFonts w:ascii="Calibri" w:hAnsi="Calibri"/>
                <w:b w:val="0"/>
                <w:i w:val="0"/>
                <w:color w:val="212121"/>
                <w:sz w:val="19"/>
              </w:rPr>
              <w:t>Neutral (~0°), forearms supported</w:t>
            </w:r>
          </w:p>
        </w:tc>
        <w:tc>
          <w:tcPr>
            <w:tcW w:type="dxa" w:w="1512"/>
            <w:vAlign w:val="top"/>
          </w:tcPr>
          <w:p>
            <w:pPr>
              <w:spacing w:after="40" w:before="0" w:line="259" w:lineRule="auto"/>
            </w:pPr>
            <w:r>
              <w:rPr>
                <w:rFonts w:ascii="Calibri" w:hAnsi="Calibri"/>
                <w:b w:val="0"/>
                <w:i w:val="0"/>
                <w:color w:val="212121"/>
                <w:sz w:val="19"/>
              </w:rPr>
              <w:t>Sustained extension/deviation &gt; 20°</w:t>
            </w:r>
          </w:p>
        </w:tc>
        <w:tc>
          <w:tcPr>
            <w:tcW w:type="dxa" w:w="1468"/>
            <w:vAlign w:val="top"/>
          </w:tcPr>
          <w:p>
            <w:pPr>
              <w:spacing w:after="40" w:before="0" w:line="259" w:lineRule="auto"/>
            </w:pPr>
            <w:r>
              <w:rPr>
                <w:rFonts w:ascii="Calibri" w:hAnsi="Calibri"/>
                <w:b w:val="0"/>
                <w:i w:val="0"/>
                <w:color w:val="212121"/>
                <w:sz w:val="19"/>
              </w:rPr>
              <w:t>Non-neutral wrist posture raises carpal tunnel pressure and tendon strain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Mouse use (hours/week)</w:t>
            </w:r>
          </w:p>
        </w:tc>
        <w:tc>
          <w:tcPr>
            <w:tcW w:type="dxa" w:w="1655"/>
            <w:vAlign w:val="top"/>
          </w:tcPr>
          <w:p>
            <w:pPr>
              <w:spacing w:after="40" w:before="0" w:line="259" w:lineRule="auto"/>
            </w:pPr>
            <w:r>
              <w:rPr>
                <w:rFonts w:ascii="Calibri" w:hAnsi="Calibri"/>
                <w:b w:val="0"/>
                <w:i w:val="0"/>
                <w:color w:val="212121"/>
                <w:sz w:val="19"/>
              </w:rPr>
              <w:t>Intensive computer users</w:t>
            </w:r>
          </w:p>
        </w:tc>
        <w:tc>
          <w:tcPr>
            <w:tcW w:type="dxa" w:w="1512"/>
            <w:vAlign w:val="top"/>
          </w:tcPr>
          <w:p>
            <w:pPr>
              <w:spacing w:after="40" w:before="0" w:line="259" w:lineRule="auto"/>
            </w:pPr>
            <w:r>
              <w:rPr>
                <w:rFonts w:ascii="Calibri" w:hAnsi="Calibri"/>
                <w:b w:val="0"/>
                <w:i w:val="0"/>
                <w:color w:val="212121"/>
                <w:sz w:val="19"/>
              </w:rPr>
              <w:t>&lt; 5 h/week</w:t>
            </w:r>
          </w:p>
        </w:tc>
        <w:tc>
          <w:tcPr>
            <w:tcW w:type="dxa" w:w="1512"/>
            <w:vAlign w:val="top"/>
          </w:tcPr>
          <w:p>
            <w:pPr>
              <w:spacing w:after="40" w:before="0" w:line="259" w:lineRule="auto"/>
            </w:pPr>
            <w:r>
              <w:rPr>
                <w:rFonts w:ascii="Calibri" w:hAnsi="Calibri"/>
                <w:b w:val="0"/>
                <w:i w:val="0"/>
                <w:color w:val="212121"/>
                <w:sz w:val="19"/>
              </w:rPr>
              <w:t>&gt;= 20 h/week</w:t>
            </w:r>
          </w:p>
        </w:tc>
        <w:tc>
          <w:tcPr>
            <w:tcW w:type="dxa" w:w="1468"/>
            <w:vAlign w:val="top"/>
          </w:tcPr>
          <w:p>
            <w:pPr>
              <w:spacing w:after="60" w:line="259" w:lineRule="auto"/>
            </w:pPr>
            <w:r>
              <w:rPr>
                <w:rFonts w:ascii="Calibri" w:hAnsi="Calibri"/>
                <w:b w:val="0"/>
                <w:i w:val="0"/>
                <w:color w:val="212121"/>
                <w:sz w:val="19"/>
              </w:rPr>
              <w:t>Dose-dependent association with carpal tunnel syndrome (OR ~2.3 at 5-9 h/wk rising to ~3.6 at 20-24 h/wk)</w:t>
            </w:r>
          </w:p>
          <w:p>
            <w:pPr>
              <w:spacing w:after="40" w:line="252" w:lineRule="auto"/>
            </w:pPr>
            <w:hyperlink r:id="rId16">
              <w:r>
                <w:rPr>
                  <w:rFonts w:ascii="Calibri" w:hAnsi="Calibri" w:cs="Calibri"/>
                  <w:sz w:val="18"/>
                  <w:color w:val="1155CC"/>
                  <w:u w:val="single"/>
                </w:rPr>
                <w:t xml:space="preserve">https://bmcmusculoskeletdisord.biomedcentral.com/articles/10.1186/1471-2474-9-134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computer use (hours/day)</w:t>
            </w:r>
          </w:p>
        </w:tc>
        <w:tc>
          <w:tcPr>
            <w:tcW w:type="dxa" w:w="1655"/>
            <w:vAlign w:val="top"/>
          </w:tcPr>
          <w:p>
            <w:pPr>
              <w:spacing w:after="40" w:before="0" w:line="259" w:lineRule="auto"/>
            </w:pPr>
            <w:r>
              <w:rPr>
                <w:rFonts w:ascii="Calibri" w:hAnsi="Calibri"/>
                <w:b w:val="0"/>
                <w:i w:val="0"/>
                <w:color w:val="212121"/>
                <w:sz w:val="19"/>
              </w:rPr>
              <w:t>IT/desk workers</w:t>
            </w:r>
          </w:p>
        </w:tc>
        <w:tc>
          <w:tcPr>
            <w:tcW w:type="dxa" w:w="1512"/>
            <w:vAlign w:val="top"/>
          </w:tcPr>
          <w:p>
            <w:pPr>
              <w:spacing w:after="40" w:before="0" w:line="259" w:lineRule="auto"/>
            </w:pPr>
            <w:r>
              <w:rPr>
                <w:rFonts w:ascii="Calibri" w:hAnsi="Calibri"/>
                <w:b w:val="0"/>
                <w:i w:val="0"/>
                <w:color w:val="212121"/>
                <w:sz w:val="19"/>
              </w:rPr>
              <w:t>&lt; 5 h/day with breaks</w:t>
            </w:r>
          </w:p>
        </w:tc>
        <w:tc>
          <w:tcPr>
            <w:tcW w:type="dxa" w:w="1512"/>
            <w:vAlign w:val="top"/>
          </w:tcPr>
          <w:p>
            <w:pPr>
              <w:spacing w:after="40" w:before="0" w:line="259" w:lineRule="auto"/>
            </w:pPr>
            <w:r>
              <w:rPr>
                <w:rFonts w:ascii="Calibri" w:hAnsi="Calibri"/>
                <w:b w:val="0"/>
                <w:i w:val="0"/>
                <w:color w:val="212121"/>
                <w:sz w:val="19"/>
              </w:rPr>
              <w:t>&gt;= 9-10 h/day</w:t>
            </w:r>
          </w:p>
        </w:tc>
        <w:tc>
          <w:tcPr>
            <w:tcW w:type="dxa" w:w="1468"/>
            <w:vAlign w:val="top"/>
          </w:tcPr>
          <w:p>
            <w:pPr>
              <w:spacing w:after="60" w:line="259" w:lineRule="auto"/>
            </w:pPr>
            <w:r>
              <w:rPr>
                <w:rFonts w:ascii="Calibri" w:hAnsi="Calibri"/>
                <w:b w:val="0"/>
                <w:i w:val="0"/>
                <w:color w:val="212121"/>
                <w:sz w:val="19"/>
              </w:rPr>
              <w:t>Long daily computer hours raise risk and functional limitation</w:t>
            </w:r>
          </w:p>
          <w:p>
            <w:pPr>
              <w:spacing w:after="40" w:line="252" w:lineRule="auto"/>
            </w:pPr>
            <w:hyperlink r:id="rId11">
              <w:r>
                <w:rPr>
                  <w:rFonts w:ascii="Calibri" w:hAnsi="Calibri" w:cs="Calibri"/>
                  <w:sz w:val="18"/>
                  <w:color w:val="1155CC"/>
                  <w:u w:val="single"/>
                </w:rPr>
                <w:t xml:space="preserve">https://indjst.org/articles/musculoskeletal-disorders-among-it-professionals-in-south-bangalore</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h/night</w:t>
            </w:r>
          </w:p>
        </w:tc>
        <w:tc>
          <w:tcPr>
            <w:tcW w:type="dxa" w:w="1512"/>
            <w:vAlign w:val="top"/>
          </w:tcPr>
          <w:p>
            <w:pPr>
              <w:spacing w:after="40" w:before="0" w:line="259" w:lineRule="auto"/>
            </w:pPr>
            <w:r>
              <w:rPr>
                <w:rFonts w:ascii="Calibri" w:hAnsi="Calibri"/>
                <w:b w:val="0"/>
                <w:i w:val="0"/>
                <w:color w:val="212121"/>
                <w:sz w:val="19"/>
              </w:rPr>
              <w:t>&lt; 6 h or poor quality</w:t>
            </w:r>
          </w:p>
        </w:tc>
        <w:tc>
          <w:tcPr>
            <w:tcW w:type="dxa" w:w="1468"/>
            <w:vAlign w:val="top"/>
          </w:tcPr>
          <w:p>
            <w:pPr>
              <w:spacing w:after="60" w:line="259" w:lineRule="auto"/>
            </w:pPr>
            <w:r>
              <w:rPr>
                <w:rFonts w:ascii="Calibri" w:hAnsi="Calibri"/>
                <w:b w:val="0"/>
                <w:i w:val="0"/>
                <w:color w:val="212121"/>
                <w:sz w:val="19"/>
              </w:rPr>
              <w:t>Poor sleep and chronic MSK pain are bidirectional (OR 1.79 pain incidence; OR 2.02 new sleep problems)</w:t>
            </w:r>
          </w:p>
          <w:p>
            <w:pPr>
              <w:spacing w:after="40" w:line="252" w:lineRule="auto"/>
            </w:pPr>
            <w:hyperlink r:id="rId17">
              <w:r>
                <w:rPr>
                  <w:rFonts w:ascii="Calibri" w:hAnsi="Calibri" w:cs="Calibri"/>
                  <w:sz w:val="18"/>
                  <w:color w:val="1155CC"/>
                  <w:u w:val="single"/>
                </w:rPr>
                <w:t xml:space="preserve">https://academic.oup.com/rheumatology/article/62/9/2951/7146025</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40" w:before="0" w:line="259" w:lineRule="auto"/>
            </w:pPr>
            <w:r>
              <w:rPr>
                <w:rFonts w:ascii="Calibri" w:hAnsi="Calibri"/>
                <w:b w:val="0"/>
                <w:i w:val="0"/>
                <w:color w:val="212121"/>
                <w:sz w:val="19"/>
              </w:rPr>
              <w:t>Excess weight raises carpal tunnel pressure and axial spinal load</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Impairs perfusion and soft-tissue healing; linked to more chronic musculoskeletal pain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7 standard drinks/week</w:t>
            </w:r>
          </w:p>
        </w:tc>
        <w:tc>
          <w:tcPr>
            <w:tcW w:type="dxa" w:w="1512"/>
            <w:vAlign w:val="top"/>
          </w:tcPr>
          <w:p>
            <w:pPr>
              <w:spacing w:after="40" w:before="0" w:line="259" w:lineRule="auto"/>
            </w:pPr>
            <w:r>
              <w:rPr>
                <w:rFonts w:ascii="Calibri" w:hAnsi="Calibri"/>
                <w:b w:val="0"/>
                <w:i w:val="0"/>
                <w:color w:val="212121"/>
                <w:sz w:val="19"/>
              </w:rPr>
              <w:t>&gt; 14 drinks/week</w:t>
            </w:r>
          </w:p>
        </w:tc>
        <w:tc>
          <w:tcPr>
            <w:tcW w:type="dxa" w:w="1468"/>
            <w:vAlign w:val="top"/>
          </w:tcPr>
          <w:p>
            <w:pPr>
              <w:spacing w:after="40" w:before="0" w:line="259" w:lineRule="auto"/>
            </w:pPr>
            <w:r>
              <w:rPr>
                <w:rFonts w:ascii="Calibri" w:hAnsi="Calibri"/>
                <w:b w:val="0"/>
                <w:i w:val="0"/>
                <w:color w:val="212121"/>
                <w:sz w:val="19"/>
              </w:rPr>
              <w:t>Heavy intake worsens sleep, neuropathy risk and recovery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job strain / adverse workstyle</w:t>
            </w:r>
          </w:p>
        </w:tc>
        <w:tc>
          <w:tcPr>
            <w:tcW w:type="dxa" w:w="1655"/>
            <w:vAlign w:val="top"/>
          </w:tcPr>
          <w:p>
            <w:pPr>
              <w:spacing w:after="40" w:before="0" w:line="259" w:lineRule="auto"/>
            </w:pPr>
            <w:r>
              <w:rPr>
                <w:rFonts w:ascii="Calibri" w:hAnsi="Calibri"/>
                <w:b w:val="0"/>
                <w:i w:val="0"/>
                <w:color w:val="212121"/>
                <w:sz w:val="19"/>
              </w:rPr>
              <w:t>IT &amp; desk workers</w:t>
            </w:r>
          </w:p>
        </w:tc>
        <w:tc>
          <w:tcPr>
            <w:tcW w:type="dxa" w:w="1512"/>
            <w:vAlign w:val="top"/>
          </w:tcPr>
          <w:p>
            <w:pPr>
              <w:spacing w:after="40" w:before="0" w:line="259" w:lineRule="auto"/>
            </w:pPr>
            <w:r>
              <w:rPr>
                <w:rFonts w:ascii="Calibri" w:hAnsi="Calibri"/>
                <w:b w:val="0"/>
                <w:i w:val="0"/>
                <w:color w:val="212121"/>
                <w:sz w:val="19"/>
              </w:rPr>
              <w:t>Low strain, regular breaks, adequate control</w:t>
            </w:r>
          </w:p>
        </w:tc>
        <w:tc>
          <w:tcPr>
            <w:tcW w:type="dxa" w:w="1512"/>
            <w:vAlign w:val="top"/>
          </w:tcPr>
          <w:p>
            <w:pPr>
              <w:spacing w:after="40" w:before="0" w:line="259" w:lineRule="auto"/>
            </w:pPr>
            <w:r>
              <w:rPr>
                <w:rFonts w:ascii="Calibri" w:hAnsi="Calibri"/>
                <w:b w:val="0"/>
                <w:i w:val="0"/>
                <w:color w:val="212121"/>
                <w:sz w:val="19"/>
              </w:rPr>
              <w:t>High-strain, deadline-driven, few breaks</w:t>
            </w:r>
          </w:p>
        </w:tc>
        <w:tc>
          <w:tcPr>
            <w:tcW w:type="dxa" w:w="1468"/>
            <w:vAlign w:val="top"/>
          </w:tcPr>
          <w:p>
            <w:pPr>
              <w:spacing w:after="60" w:line="259" w:lineRule="auto"/>
            </w:pPr>
            <w:r>
              <w:rPr>
                <w:rFonts w:ascii="Calibri" w:hAnsi="Calibri"/>
                <w:b w:val="0"/>
                <w:i w:val="0"/>
                <w:color w:val="212121"/>
                <w:sz w:val="19"/>
              </w:rPr>
              <w:t>Adverse workstyle independently predicts pain; ~22% of Indian computer professionals were high-risk</w:t>
            </w:r>
          </w:p>
          <w:p>
            <w:pPr>
              <w:spacing w:after="40" w:line="252" w:lineRule="auto"/>
            </w:pPr>
            <w:hyperlink r:id="rId10">
              <w:r>
                <w:rPr>
                  <w:rFonts w:ascii="Calibri" w:hAnsi="Calibri" w:cs="Calibri"/>
                  <w:sz w:val="18"/>
                  <w:color w:val="1155CC"/>
                  <w:u w:val="single"/>
                </w:rPr>
                <w:t xml:space="preserve">https://link.springer.com/article/10.1007/s10926-011-9294-4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Median nerve distal latency / conduction</w:t>
            </w:r>
          </w:p>
        </w:tc>
        <w:tc>
          <w:tcPr>
            <w:tcW w:type="dxa" w:w="892"/>
            <w:vAlign w:val="top"/>
          </w:tcPr>
          <w:p>
            <w:pPr>
              <w:spacing w:after="40" w:before="0" w:line="259" w:lineRule="auto"/>
            </w:pPr>
            <w:r>
              <w:rPr>
                <w:rFonts w:ascii="Calibri" w:hAnsi="Calibri"/>
                <w:b w:val="0"/>
                <w:i w:val="0"/>
                <w:color w:val="212121"/>
                <w:sz w:val="16"/>
              </w:rPr>
              <w:t>Nerve conduction study &amp; EMG</w:t>
            </w:r>
          </w:p>
        </w:tc>
        <w:tc>
          <w:tcPr>
            <w:tcW w:type="dxa" w:w="950"/>
            <w:vAlign w:val="top"/>
          </w:tcPr>
          <w:p>
            <w:pPr>
              <w:spacing w:after="40" w:before="0" w:line="259" w:lineRule="auto"/>
            </w:pPr>
            <w:r>
              <w:rPr>
                <w:rFonts w:ascii="Calibri" w:hAnsi="Calibri"/>
                <w:b w:val="0"/>
                <w:i w:val="0"/>
                <w:color w:val="212121"/>
                <w:sz w:val="16"/>
              </w:rPr>
              <w:t>Normal distal motor &amp; sensory latency/velocity</w:t>
            </w:r>
          </w:p>
        </w:tc>
        <w:tc>
          <w:tcPr>
            <w:tcW w:type="dxa" w:w="950"/>
            <w:vAlign w:val="top"/>
          </w:tcPr>
          <w:p>
            <w:pPr>
              <w:spacing w:after="40" w:before="0" w:line="259" w:lineRule="auto"/>
            </w:pPr>
            <w:r>
              <w:rPr>
                <w:rFonts w:ascii="Calibri" w:hAnsi="Calibri"/>
                <w:b w:val="0"/>
                <w:i w:val="0"/>
                <w:color w:val="212121"/>
                <w:sz w:val="16"/>
              </w:rPr>
              <w:t>Prolonged distal latency / slowed conduction / denervation</w:t>
            </w:r>
          </w:p>
        </w:tc>
        <w:tc>
          <w:tcPr>
            <w:tcW w:type="dxa" w:w="1036"/>
            <w:vAlign w:val="top"/>
          </w:tcPr>
          <w:p>
            <w:pPr>
              <w:spacing w:after="40" w:before="0" w:line="259" w:lineRule="auto"/>
            </w:pPr>
            <w:r>
              <w:rPr>
                <w:rFonts w:ascii="Calibri" w:hAnsi="Calibri"/>
                <w:b w:val="0"/>
                <w:i w:val="0"/>
                <w:color w:val="212121"/>
                <w:sz w:val="16"/>
              </w:rPr>
              <w:t>Confirms and grades carpal tunnel or other focal compression neuropathy</w:t>
            </w:r>
          </w:p>
        </w:tc>
        <w:tc>
          <w:tcPr>
            <w:tcW w:type="dxa" w:w="1036"/>
            <w:vAlign w:val="top"/>
          </w:tcPr>
          <w:p>
            <w:pPr>
              <w:spacing w:after="40" w:before="0" w:line="259" w:lineRule="auto"/>
            </w:pPr>
            <w:r>
              <w:rPr>
                <w:rFonts w:ascii="Calibri" w:hAnsi="Calibri"/>
                <w:b w:val="0"/>
                <w:i w:val="0"/>
                <w:color w:val="212121"/>
                <w:sz w:val="16"/>
              </w:rPr>
              <w:t>Workers with hand tingling/numbness, suspected CTS, night symptoms</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Confirmatory / gold standard for CTS</w:t>
            </w:r>
          </w:p>
        </w:tc>
        <w:tc>
          <w:tcPr>
            <w:tcW w:type="dxa" w:w="720"/>
            <w:vAlign w:val="top"/>
          </w:tcPr>
          <w:p>
            <w:pPr>
              <w:spacing w:after="40" w:before="0" w:line="259" w:lineRule="auto"/>
            </w:pPr>
            <w:r>
              <w:rPr>
                <w:rFonts w:ascii="Calibri" w:hAnsi="Calibri"/>
                <w:b w:val="0"/>
                <w:i w:val="0"/>
                <w:color w:val="212121"/>
                <w:sz w:val="16"/>
              </w:rPr>
              <w:t>Correlate with clinical findings; may be normal in early or purely diffuse RSI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Tendon / tenosynovium / median-nerve cross-section</w:t>
            </w:r>
          </w:p>
        </w:tc>
        <w:tc>
          <w:tcPr>
            <w:tcW w:type="dxa" w:w="892"/>
            <w:vAlign w:val="top"/>
          </w:tcPr>
          <w:p>
            <w:pPr>
              <w:spacing w:after="40" w:before="0" w:line="259" w:lineRule="auto"/>
            </w:pPr>
            <w:r>
              <w:rPr>
                <w:rFonts w:ascii="Calibri" w:hAnsi="Calibri"/>
                <w:b w:val="0"/>
                <w:i w:val="0"/>
                <w:color w:val="212121"/>
                <w:sz w:val="16"/>
              </w:rPr>
              <w:t>Musculoskeletal ultrasound</w:t>
            </w:r>
          </w:p>
        </w:tc>
        <w:tc>
          <w:tcPr>
            <w:tcW w:type="dxa" w:w="950"/>
            <w:vAlign w:val="top"/>
          </w:tcPr>
          <w:p>
            <w:pPr>
              <w:spacing w:after="40" w:before="0" w:line="259" w:lineRule="auto"/>
            </w:pPr>
            <w:r>
              <w:rPr>
                <w:rFonts w:ascii="Calibri" w:hAnsi="Calibri"/>
                <w:b w:val="0"/>
                <w:i w:val="0"/>
                <w:color w:val="212121"/>
                <w:sz w:val="16"/>
              </w:rPr>
              <w:t>Normal tendon echotexture; median-nerve CSA within normal</w:t>
            </w:r>
          </w:p>
        </w:tc>
        <w:tc>
          <w:tcPr>
            <w:tcW w:type="dxa" w:w="950"/>
            <w:vAlign w:val="top"/>
          </w:tcPr>
          <w:p>
            <w:pPr>
              <w:spacing w:after="40" w:before="0" w:line="259" w:lineRule="auto"/>
            </w:pPr>
            <w:r>
              <w:rPr>
                <w:rFonts w:ascii="Calibri" w:hAnsi="Calibri"/>
                <w:b w:val="0"/>
                <w:i w:val="0"/>
                <w:color w:val="212121"/>
                <w:sz w:val="16"/>
              </w:rPr>
              <w:t>Tendon thickening/tenosynovitis; enlarged median-nerve CSA</w:t>
            </w:r>
          </w:p>
        </w:tc>
        <w:tc>
          <w:tcPr>
            <w:tcW w:type="dxa" w:w="1036"/>
            <w:vAlign w:val="top"/>
          </w:tcPr>
          <w:p>
            <w:pPr>
              <w:spacing w:after="40" w:before="0" w:line="259" w:lineRule="auto"/>
            </w:pPr>
            <w:r>
              <w:rPr>
                <w:rFonts w:ascii="Calibri" w:hAnsi="Calibri"/>
                <w:b w:val="0"/>
                <w:i w:val="0"/>
                <w:color w:val="212121"/>
                <w:sz w:val="16"/>
              </w:rPr>
              <w:t>Detects tendinopathy, tenosynovitis and nerve swelling in Type 1 RSI</w:t>
            </w:r>
          </w:p>
        </w:tc>
        <w:tc>
          <w:tcPr>
            <w:tcW w:type="dxa" w:w="1036"/>
            <w:vAlign w:val="top"/>
          </w:tcPr>
          <w:p>
            <w:pPr>
              <w:spacing w:after="40" w:before="0" w:line="259" w:lineRule="auto"/>
            </w:pPr>
            <w:r>
              <w:rPr>
                <w:rFonts w:ascii="Calibri" w:hAnsi="Calibri"/>
                <w:b w:val="0"/>
                <w:i w:val="0"/>
                <w:color w:val="212121"/>
                <w:sz w:val="16"/>
              </w:rPr>
              <w:t>Suspected De Quervain's, epicondylitis, tenosynovitis, CTS</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Diagnostic (specific disorders)</w:t>
            </w:r>
          </w:p>
        </w:tc>
        <w:tc>
          <w:tcPr>
            <w:tcW w:type="dxa" w:w="720"/>
            <w:vAlign w:val="top"/>
          </w:tcPr>
          <w:p>
            <w:pPr>
              <w:spacing w:after="40" w:before="0" w:line="259" w:lineRule="auto"/>
            </w:pPr>
            <w:r>
              <w:rPr>
                <w:rFonts w:ascii="Calibri" w:hAnsi="Calibri"/>
                <w:b w:val="0"/>
                <w:i w:val="0"/>
                <w:color w:val="212121"/>
                <w:sz w:val="16"/>
              </w:rPr>
              <w:t>Operator-dependent; dynamic assessment useful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Cervical spine / wrist structures</w:t>
            </w:r>
          </w:p>
        </w:tc>
        <w:tc>
          <w:tcPr>
            <w:tcW w:type="dxa" w:w="892"/>
            <w:vAlign w:val="top"/>
          </w:tcPr>
          <w:p>
            <w:pPr>
              <w:spacing w:after="40" w:before="0" w:line="259" w:lineRule="auto"/>
            </w:pPr>
            <w:r>
              <w:rPr>
                <w:rFonts w:ascii="Calibri" w:hAnsi="Calibri"/>
                <w:b w:val="0"/>
                <w:i w:val="0"/>
                <w:color w:val="212121"/>
                <w:sz w:val="16"/>
              </w:rPr>
              <w:t>MRI / X-ray</w:t>
            </w:r>
          </w:p>
        </w:tc>
        <w:tc>
          <w:tcPr>
            <w:tcW w:type="dxa" w:w="950"/>
            <w:vAlign w:val="top"/>
          </w:tcPr>
          <w:p>
            <w:pPr>
              <w:spacing w:after="40" w:before="0" w:line="259" w:lineRule="auto"/>
            </w:pPr>
            <w:r>
              <w:rPr>
                <w:rFonts w:ascii="Calibri" w:hAnsi="Calibri"/>
                <w:b w:val="0"/>
                <w:i w:val="0"/>
                <w:color w:val="212121"/>
                <w:sz w:val="16"/>
              </w:rPr>
              <w:t>No significant structural lesion</w:t>
            </w:r>
          </w:p>
        </w:tc>
        <w:tc>
          <w:tcPr>
            <w:tcW w:type="dxa" w:w="950"/>
            <w:vAlign w:val="top"/>
          </w:tcPr>
          <w:p>
            <w:pPr>
              <w:spacing w:after="40" w:before="0" w:line="259" w:lineRule="auto"/>
            </w:pPr>
            <w:r>
              <w:rPr>
                <w:rFonts w:ascii="Calibri" w:hAnsi="Calibri"/>
                <w:b w:val="0"/>
                <w:i w:val="0"/>
                <w:color w:val="212121"/>
                <w:sz w:val="16"/>
              </w:rPr>
              <w:t>Spondylosis, disc/nerve-root compression, structural tendon/ligament lesion</w:t>
            </w:r>
          </w:p>
        </w:tc>
        <w:tc>
          <w:tcPr>
            <w:tcW w:type="dxa" w:w="1036"/>
            <w:vAlign w:val="top"/>
          </w:tcPr>
          <w:p>
            <w:pPr>
              <w:spacing w:after="40" w:before="0" w:line="259" w:lineRule="auto"/>
            </w:pPr>
            <w:r>
              <w:rPr>
                <w:rFonts w:ascii="Calibri" w:hAnsi="Calibri"/>
                <w:b w:val="0"/>
                <w:i w:val="0"/>
                <w:color w:val="212121"/>
                <w:sz w:val="16"/>
              </w:rPr>
              <w:t>Excludes cervical radiculopathy and structural mimics; typically normal in diffuse RSI</w:t>
            </w:r>
          </w:p>
        </w:tc>
        <w:tc>
          <w:tcPr>
            <w:tcW w:type="dxa" w:w="1036"/>
            <w:vAlign w:val="top"/>
          </w:tcPr>
          <w:p>
            <w:pPr>
              <w:spacing w:after="40" w:before="0" w:line="259" w:lineRule="auto"/>
            </w:pPr>
            <w:r>
              <w:rPr>
                <w:rFonts w:ascii="Calibri" w:hAnsi="Calibri"/>
                <w:b w:val="0"/>
                <w:i w:val="0"/>
                <w:color w:val="212121"/>
                <w:sz w:val="16"/>
              </w:rPr>
              <w:t>Radicular symptoms, red flags, treatment-resistant cases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Reserve MRI for red flags or persistent/atypical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(inflammatory)</w:t>
            </w:r>
          </w:p>
        </w:tc>
        <w:tc>
          <w:tcPr>
            <w:tcW w:type="dxa" w:w="1036"/>
            <w:vAlign w:val="top"/>
          </w:tcPr>
          <w:p>
            <w:pPr>
              <w:spacing w:after="40" w:before="0" w:line="259" w:lineRule="auto"/>
            </w:pPr>
            <w:r>
              <w:rPr>
                <w:rFonts w:ascii="Calibri" w:hAnsi="Calibri"/>
                <w:b w:val="0"/>
                <w:i w:val="0"/>
                <w:color w:val="212121"/>
                <w:sz w:val="16"/>
              </w:rPr>
              <w:t>ESR / CRP, RF, anti-CCP</w:t>
            </w:r>
          </w:p>
        </w:tc>
        <w:tc>
          <w:tcPr>
            <w:tcW w:type="dxa" w:w="892"/>
            <w:vAlign w:val="top"/>
          </w:tcPr>
          <w:p>
            <w:pPr>
              <w:spacing w:after="40" w:before="0" w:line="259" w:lineRule="auto"/>
            </w:pPr>
            <w:r>
              <w:rPr>
                <w:rFonts w:ascii="Calibri" w:hAnsi="Calibri"/>
                <w:b w:val="0"/>
                <w:i w:val="0"/>
                <w:color w:val="212121"/>
                <w:sz w:val="16"/>
              </w:rPr>
              <w:t>Inflammatory &amp; autoimmune markers</w:t>
            </w:r>
          </w:p>
        </w:tc>
        <w:tc>
          <w:tcPr>
            <w:tcW w:type="dxa" w:w="950"/>
            <w:vAlign w:val="top"/>
          </w:tcPr>
          <w:p>
            <w:pPr>
              <w:spacing w:after="40" w:before="0" w:line="259" w:lineRule="auto"/>
            </w:pPr>
            <w:r>
              <w:rPr>
                <w:rFonts w:ascii="Calibri" w:hAnsi="Calibri"/>
                <w:b w:val="0"/>
                <w:i w:val="0"/>
                <w:color w:val="212121"/>
                <w:sz w:val="16"/>
              </w:rPr>
              <w:t>Normal ESR/CRP; RF and anti-CCP negative</w:t>
            </w:r>
          </w:p>
        </w:tc>
        <w:tc>
          <w:tcPr>
            <w:tcW w:type="dxa" w:w="950"/>
            <w:vAlign w:val="top"/>
          </w:tcPr>
          <w:p>
            <w:pPr>
              <w:spacing w:after="40" w:before="0" w:line="259" w:lineRule="auto"/>
            </w:pPr>
            <w:r>
              <w:rPr>
                <w:rFonts w:ascii="Calibri" w:hAnsi="Calibri"/>
                <w:b w:val="0"/>
                <w:i w:val="0"/>
                <w:color w:val="212121"/>
                <w:sz w:val="16"/>
              </w:rPr>
              <w:t>Raised inflammatory markers / positive serology</w:t>
            </w:r>
          </w:p>
        </w:tc>
        <w:tc>
          <w:tcPr>
            <w:tcW w:type="dxa" w:w="1036"/>
            <w:vAlign w:val="top"/>
          </w:tcPr>
          <w:p>
            <w:pPr>
              <w:spacing w:after="40" w:before="0" w:line="259" w:lineRule="auto"/>
            </w:pPr>
            <w:r>
              <w:rPr>
                <w:rFonts w:ascii="Calibri" w:hAnsi="Calibri"/>
                <w:b w:val="0"/>
                <w:i w:val="0"/>
                <w:color w:val="212121"/>
                <w:sz w:val="16"/>
              </w:rPr>
              <w:t>Excludes inflammatory arthritis (e.g. RA) presenting as hand/wrist pain</w:t>
            </w:r>
          </w:p>
        </w:tc>
        <w:tc>
          <w:tcPr>
            <w:tcW w:type="dxa" w:w="1036"/>
            <w:vAlign w:val="top"/>
          </w:tcPr>
          <w:p>
            <w:pPr>
              <w:spacing w:after="40" w:before="0" w:line="259" w:lineRule="auto"/>
            </w:pPr>
            <w:r>
              <w:rPr>
                <w:rFonts w:ascii="Calibri" w:hAnsi="Calibri"/>
                <w:b w:val="0"/>
                <w:i w:val="0"/>
                <w:color w:val="212121"/>
                <w:sz w:val="16"/>
              </w:rPr>
              <w:t>Symmetrical small-joint pain, morning stiffness, swelling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Normal in mechanical RSI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(endocrine)</w:t>
            </w:r>
          </w:p>
        </w:tc>
        <w:tc>
          <w:tcPr>
            <w:tcW w:type="dxa" w:w="1036"/>
            <w:vAlign w:val="top"/>
          </w:tcPr>
          <w:p>
            <w:pPr>
              <w:spacing w:after="40" w:before="0" w:line="259" w:lineRule="auto"/>
            </w:pPr>
            <w:r>
              <w:rPr>
                <w:rFonts w:ascii="Calibri" w:hAnsi="Calibri"/>
                <w:b w:val="0"/>
                <w:i w:val="0"/>
                <w:color w:val="212121"/>
                <w:sz w:val="16"/>
              </w:rPr>
              <w:t>TSH (thyroid function)</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within reference range</w:t>
            </w:r>
          </w:p>
        </w:tc>
        <w:tc>
          <w:tcPr>
            <w:tcW w:type="dxa" w:w="950"/>
            <w:vAlign w:val="top"/>
          </w:tcPr>
          <w:p>
            <w:pPr>
              <w:spacing w:after="40" w:before="0" w:line="259" w:lineRule="auto"/>
            </w:pPr>
            <w:r>
              <w:rPr>
                <w:rFonts w:ascii="Calibri" w:hAnsi="Calibri"/>
                <w:b w:val="0"/>
                <w:i w:val="0"/>
                <w:color w:val="212121"/>
                <w:sz w:val="16"/>
              </w:rPr>
              <w:t>Raised TSH (hypothyroidism)</w:t>
            </w:r>
          </w:p>
        </w:tc>
        <w:tc>
          <w:tcPr>
            <w:tcW w:type="dxa" w:w="1036"/>
            <w:vAlign w:val="top"/>
          </w:tcPr>
          <w:p>
            <w:pPr>
              <w:spacing w:after="40" w:before="0" w:line="259" w:lineRule="auto"/>
            </w:pPr>
            <w:r>
              <w:rPr>
                <w:rFonts w:ascii="Calibri" w:hAnsi="Calibri"/>
                <w:b w:val="0"/>
                <w:i w:val="0"/>
                <w:color w:val="212121"/>
                <w:sz w:val="16"/>
              </w:rPr>
              <w:t>Identifies hypothyroidism as a secondary cause of CTS / diffuse myalgia</w:t>
            </w:r>
          </w:p>
        </w:tc>
        <w:tc>
          <w:tcPr>
            <w:tcW w:type="dxa" w:w="1036"/>
            <w:vAlign w:val="top"/>
          </w:tcPr>
          <w:p>
            <w:pPr>
              <w:spacing w:after="40" w:before="0" w:line="259" w:lineRule="auto"/>
            </w:pPr>
            <w:r>
              <w:rPr>
                <w:rFonts w:ascii="Calibri" w:hAnsi="Calibri"/>
                <w:b w:val="0"/>
                <w:i w:val="0"/>
                <w:color w:val="212121"/>
                <w:sz w:val="16"/>
              </w:rPr>
              <w:t>Bilateral CTS, generalised stiffness, fatigue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Secondary-cause screen</w:t>
            </w:r>
          </w:p>
        </w:tc>
        <w:tc>
          <w:tcPr>
            <w:tcW w:type="dxa" w:w="720"/>
            <w:vAlign w:val="top"/>
          </w:tcPr>
          <w:p>
            <w:pPr>
              <w:spacing w:after="40" w:before="0" w:line="259" w:lineRule="auto"/>
            </w:pPr>
            <w:r>
              <w:rPr>
                <w:rFonts w:ascii="Calibri" w:hAnsi="Calibri"/>
                <w:b w:val="0"/>
                <w:i w:val="0"/>
                <w:color w:val="212121"/>
                <w:sz w:val="16"/>
              </w:rPr>
              <w:t>Treating hypothyroidism can relieve nerve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(metabolic)</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testing</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&gt;= 126 mg/dL; HbA1c &gt;= 6.5%</w:t>
            </w:r>
          </w:p>
        </w:tc>
        <w:tc>
          <w:tcPr>
            <w:tcW w:type="dxa" w:w="1036"/>
            <w:vAlign w:val="top"/>
          </w:tcPr>
          <w:p>
            <w:pPr>
              <w:spacing w:after="40" w:before="0" w:line="259" w:lineRule="auto"/>
            </w:pPr>
            <w:r>
              <w:rPr>
                <w:rFonts w:ascii="Calibri" w:hAnsi="Calibri"/>
                <w:b w:val="0"/>
                <w:i w:val="0"/>
                <w:color w:val="212121"/>
                <w:sz w:val="16"/>
              </w:rPr>
              <w:t>Detects diabetes predisposing to CTS, tenosynovitis and frozen shoulder</w:t>
            </w:r>
          </w:p>
        </w:tc>
        <w:tc>
          <w:tcPr>
            <w:tcW w:type="dxa" w:w="1036"/>
            <w:vAlign w:val="top"/>
          </w:tcPr>
          <w:p>
            <w:pPr>
              <w:spacing w:after="40" w:before="0" w:line="259" w:lineRule="auto"/>
            </w:pPr>
            <w:r>
              <w:rPr>
                <w:rFonts w:ascii="Calibri" w:hAnsi="Calibri"/>
                <w:b w:val="0"/>
                <w:i w:val="0"/>
                <w:color w:val="212121"/>
                <w:sz w:val="16"/>
              </w:rPr>
              <w:t>Older/overweight workers, refractory hand symptoms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Secondary-cause screen</w:t>
            </w:r>
          </w:p>
        </w:tc>
        <w:tc>
          <w:tcPr>
            <w:tcW w:type="dxa" w:w="720"/>
            <w:vAlign w:val="top"/>
          </w:tcPr>
          <w:p>
            <w:pPr>
              <w:spacing w:after="40" w:before="0" w:line="259" w:lineRule="auto"/>
            </w:pPr>
            <w:r>
              <w:rPr>
                <w:rFonts w:ascii="Calibri" w:hAnsi="Calibri"/>
                <w:b w:val="0"/>
                <w:i w:val="0"/>
                <w:color w:val="212121"/>
                <w:sz w:val="16"/>
              </w:rPr>
              <w:t>Common comorbidity in Indian adults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(nutritional)</w:t>
            </w:r>
          </w:p>
        </w:tc>
        <w:tc>
          <w:tcPr>
            <w:tcW w:type="dxa" w:w="1036"/>
            <w:vAlign w:val="top"/>
          </w:tcPr>
          <w:p>
            <w:pPr>
              <w:spacing w:after="40" w:before="0" w:line="259" w:lineRule="auto"/>
            </w:pPr>
            <w:r>
              <w:rPr>
                <w:rFonts w:ascii="Calibri" w:hAnsi="Calibri"/>
                <w:b w:val="0"/>
                <w:i w:val="0"/>
                <w:color w:val="212121"/>
                <w:sz w:val="16"/>
              </w:rPr>
              <w:t>Serum 25-OH 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&gt;= 30 ng/mL (sufficient)</w:t>
            </w:r>
          </w:p>
        </w:tc>
        <w:tc>
          <w:tcPr>
            <w:tcW w:type="dxa" w:w="950"/>
            <w:vAlign w:val="top"/>
          </w:tcPr>
          <w:p>
            <w:pPr>
              <w:spacing w:after="40" w:before="0" w:line="259" w:lineRule="auto"/>
            </w:pPr>
            <w:r>
              <w:rPr>
                <w:rFonts w:ascii="Calibri" w:hAnsi="Calibri"/>
                <w:b w:val="0"/>
                <w:i w:val="0"/>
                <w:color w:val="212121"/>
                <w:sz w:val="16"/>
              </w:rPr>
              <w:t>&lt; 20 ng/mL (deficient)</w:t>
            </w:r>
          </w:p>
        </w:tc>
        <w:tc>
          <w:tcPr>
            <w:tcW w:type="dxa" w:w="1036"/>
            <w:vAlign w:val="top"/>
          </w:tcPr>
          <w:p>
            <w:pPr>
              <w:spacing w:after="40" w:before="0" w:line="259" w:lineRule="auto"/>
            </w:pPr>
            <w:r>
              <w:rPr>
                <w:rFonts w:ascii="Calibri" w:hAnsi="Calibri"/>
                <w:b w:val="0"/>
                <w:i w:val="0"/>
                <w:color w:val="212121"/>
                <w:sz w:val="16"/>
              </w:rPr>
              <w:t>Deficiency is associated with diffuse musculoskeletal pain and can mimic/worsen RSI</w:t>
            </w:r>
          </w:p>
        </w:tc>
        <w:tc>
          <w:tcPr>
            <w:tcW w:type="dxa" w:w="1036"/>
            <w:vAlign w:val="top"/>
          </w:tcPr>
          <w:p>
            <w:pPr>
              <w:spacing w:after="40" w:before="0" w:line="259" w:lineRule="auto"/>
            </w:pPr>
            <w:r>
              <w:rPr>
                <w:rFonts w:ascii="Calibri" w:hAnsi="Calibri"/>
                <w:b w:val="0"/>
                <w:i w:val="0"/>
                <w:color w:val="212121"/>
                <w:sz w:val="16"/>
              </w:rPr>
              <w:t>Indoor IT/desk workers with diffuse aches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Adjunctive / secondary-cause</w:t>
            </w:r>
          </w:p>
        </w:tc>
        <w:tc>
          <w:tcPr>
            <w:tcW w:type="dxa" w:w="720"/>
            <w:vAlign w:val="top"/>
          </w:tcPr>
          <w:p>
            <w:pPr>
              <w:spacing w:after="40" w:before="0" w:line="259" w:lineRule="auto"/>
            </w:pPr>
            <w:r>
              <w:rPr>
                <w:rFonts w:ascii="Calibri" w:hAnsi="Calibri"/>
                <w:b w:val="0"/>
                <w:i w:val="0"/>
                <w:color w:val="212121"/>
                <w:sz w:val="16"/>
              </w:rPr>
              <w:t>Very common in indoor Indian workers; correction may aid symptoms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Task-related pain, tingling, stiffness, weakness in neck/upper limb</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 aggravated by computer tasks</w:t>
            </w:r>
          </w:p>
        </w:tc>
        <w:tc>
          <w:tcPr>
            <w:tcW w:type="dxa" w:w="1036"/>
            <w:vAlign w:val="top"/>
          </w:tcPr>
          <w:p>
            <w:pPr>
              <w:spacing w:after="40" w:before="0" w:line="259" w:lineRule="auto"/>
            </w:pPr>
            <w:r>
              <w:rPr>
                <w:rFonts w:ascii="Calibri" w:hAnsi="Calibri"/>
                <w:b w:val="0"/>
                <w:i w:val="0"/>
                <w:color w:val="212121"/>
                <w:sz w:val="16"/>
              </w:rPr>
              <w:t>Suggests overuse/RSI when task-related and eased by rest</w:t>
            </w:r>
          </w:p>
        </w:tc>
        <w:tc>
          <w:tcPr>
            <w:tcW w:type="dxa" w:w="1036"/>
            <w:vAlign w:val="top"/>
          </w:tcPr>
          <w:p>
            <w:pPr>
              <w:spacing w:after="40" w:before="0" w:line="259" w:lineRule="auto"/>
            </w:pPr>
            <w:r>
              <w:rPr>
                <w:rFonts w:ascii="Calibri" w:hAnsi="Calibri"/>
                <w:b w:val="0"/>
                <w:i w:val="0"/>
                <w:color w:val="212121"/>
                <w:sz w:val="16"/>
              </w:rPr>
              <w:t>Computer/desk workers with recurrent symptoms</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weekend/holiday relief pattern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ergonomic history</w:t>
            </w:r>
          </w:p>
        </w:tc>
        <w:tc>
          <w:tcPr>
            <w:tcW w:type="dxa" w:w="979"/>
            <w:vAlign w:val="top"/>
          </w:tcPr>
          <w:p>
            <w:pPr>
              <w:spacing w:after="40" w:before="0" w:line="259" w:lineRule="auto"/>
            </w:pPr>
            <w:r>
              <w:rPr>
                <w:rFonts w:ascii="Calibri" w:hAnsi="Calibri"/>
                <w:b w:val="0"/>
                <w:i w:val="0"/>
                <w:color w:val="212121"/>
                <w:sz w:val="16"/>
              </w:rPr>
              <w:t>Daily computer hours, mouse/keyboard time, breaks, workstation setup</w:t>
            </w:r>
          </w:p>
        </w:tc>
        <w:tc>
          <w:tcPr>
            <w:tcW w:type="dxa" w:w="950"/>
            <w:vAlign w:val="top"/>
          </w:tcPr>
          <w:p>
            <w:pPr>
              <w:spacing w:after="40" w:before="0" w:line="259" w:lineRule="auto"/>
            </w:pPr>
            <w:r>
              <w:rPr>
                <w:rFonts w:ascii="Calibri" w:hAnsi="Calibri"/>
                <w:b w:val="0"/>
                <w:i w:val="0"/>
                <w:color w:val="212121"/>
                <w:sz w:val="16"/>
              </w:rPr>
              <w:t>Ergonomic setup, adequate breaks</w:t>
            </w:r>
          </w:p>
        </w:tc>
        <w:tc>
          <w:tcPr>
            <w:tcW w:type="dxa" w:w="950"/>
            <w:vAlign w:val="top"/>
          </w:tcPr>
          <w:p>
            <w:pPr>
              <w:spacing w:after="40" w:before="0" w:line="259" w:lineRule="auto"/>
            </w:pPr>
            <w:r>
              <w:rPr>
                <w:rFonts w:ascii="Calibri" w:hAnsi="Calibri"/>
                <w:b w:val="0"/>
                <w:i w:val="0"/>
                <w:color w:val="212121"/>
                <w:sz w:val="16"/>
              </w:rPr>
              <w:t>Long hours, few breaks, non-neutral non-adjustable workstation</w:t>
            </w:r>
          </w:p>
        </w:tc>
        <w:tc>
          <w:tcPr>
            <w:tcW w:type="dxa" w:w="1036"/>
            <w:vAlign w:val="top"/>
          </w:tcPr>
          <w:p>
            <w:pPr>
              <w:spacing w:after="40" w:before="0" w:line="259" w:lineRule="auto"/>
            </w:pPr>
            <w:r>
              <w:rPr>
                <w:rFonts w:ascii="Calibri" w:hAnsi="Calibri"/>
                <w:b w:val="0"/>
                <w:i w:val="0"/>
                <w:color w:val="212121"/>
                <w:sz w:val="16"/>
              </w:rPr>
              <w:t>Quantifies biomechanical exposure and modifiable risk</w:t>
            </w:r>
          </w:p>
        </w:tc>
        <w:tc>
          <w:tcPr>
            <w:tcW w:type="dxa" w:w="1036"/>
            <w:vAlign w:val="top"/>
          </w:tcPr>
          <w:p>
            <w:pPr>
              <w:spacing w:after="40" w:before="0" w:line="259" w:lineRule="auto"/>
            </w:pPr>
            <w:r>
              <w:rPr>
                <w:rFonts w:ascii="Calibri" w:hAnsi="Calibri"/>
                <w:b w:val="0"/>
                <w:i w:val="0"/>
                <w:color w:val="212121"/>
                <w:sz w:val="16"/>
              </w:rPr>
              <w:t>IT/BPO/clerical, WFH staff</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Screening / risk stratification</w:t>
            </w:r>
          </w:p>
        </w:tc>
        <w:tc>
          <w:tcPr>
            <w:tcW w:type="dxa" w:w="720"/>
            <w:vAlign w:val="top"/>
          </w:tcPr>
          <w:p>
            <w:pPr>
              <w:spacing w:after="40" w:before="0" w:line="259" w:lineRule="auto"/>
            </w:pPr>
            <w:r>
              <w:rPr>
                <w:rFonts w:ascii="Calibri" w:hAnsi="Calibri"/>
                <w:b w:val="0"/>
                <w:i w:val="0"/>
                <w:color w:val="212121"/>
                <w:sz w:val="16"/>
              </w:rPr>
              <w:t>Basis for ergonomic intervention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screen</w:t>
            </w:r>
          </w:p>
        </w:tc>
        <w:tc>
          <w:tcPr>
            <w:tcW w:type="dxa" w:w="979"/>
            <w:vAlign w:val="top"/>
          </w:tcPr>
          <w:p>
            <w:pPr>
              <w:spacing w:after="40" w:before="0" w:line="259" w:lineRule="auto"/>
            </w:pPr>
            <w:r>
              <w:rPr>
                <w:rFonts w:ascii="Calibri" w:hAnsi="Calibri"/>
                <w:b w:val="0"/>
                <w:i w:val="0"/>
                <w:color w:val="212121"/>
                <w:sz w:val="16"/>
              </w:rPr>
              <w:t>Deadlines, job strain, stress, mood, sleep</w:t>
            </w:r>
          </w:p>
        </w:tc>
        <w:tc>
          <w:tcPr>
            <w:tcW w:type="dxa" w:w="950"/>
            <w:vAlign w:val="top"/>
          </w:tcPr>
          <w:p>
            <w:pPr>
              <w:spacing w:after="40" w:before="0" w:line="259" w:lineRule="auto"/>
            </w:pPr>
            <w:r>
              <w:rPr>
                <w:rFonts w:ascii="Calibri" w:hAnsi="Calibri"/>
                <w:b w:val="0"/>
                <w:i w:val="0"/>
                <w:color w:val="212121"/>
                <w:sz w:val="16"/>
              </w:rPr>
              <w:t>Low strain, good sleep, stable mood</w:t>
            </w:r>
          </w:p>
        </w:tc>
        <w:tc>
          <w:tcPr>
            <w:tcW w:type="dxa" w:w="950"/>
            <w:vAlign w:val="top"/>
          </w:tcPr>
          <w:p>
            <w:pPr>
              <w:spacing w:after="40" w:before="0" w:line="259" w:lineRule="auto"/>
            </w:pPr>
            <w:r>
              <w:rPr>
                <w:rFonts w:ascii="Calibri" w:hAnsi="Calibri"/>
                <w:b w:val="0"/>
                <w:i w:val="0"/>
                <w:color w:val="212121"/>
                <w:sz w:val="16"/>
              </w:rPr>
              <w:t>High strain, poor sleep, low mood/anxiety</w:t>
            </w:r>
          </w:p>
        </w:tc>
        <w:tc>
          <w:tcPr>
            <w:tcW w:type="dxa" w:w="1036"/>
            <w:vAlign w:val="top"/>
          </w:tcPr>
          <w:p>
            <w:pPr>
              <w:spacing w:after="40" w:before="0" w:line="259" w:lineRule="auto"/>
            </w:pPr>
            <w:r>
              <w:rPr>
                <w:rFonts w:ascii="Calibri" w:hAnsi="Calibri"/>
                <w:b w:val="0"/>
                <w:i w:val="0"/>
                <w:color w:val="212121"/>
                <w:sz w:val="16"/>
              </w:rPr>
              <w:t>Identifies psychosocial drivers and pain amplifiers</w:t>
            </w:r>
          </w:p>
        </w:tc>
        <w:tc>
          <w:tcPr>
            <w:tcW w:type="dxa" w:w="1036"/>
            <w:vAlign w:val="top"/>
          </w:tcPr>
          <w:p>
            <w:pPr>
              <w:spacing w:after="40" w:before="0" w:line="259" w:lineRule="auto"/>
            </w:pPr>
            <w:r>
              <w:rPr>
                <w:rFonts w:ascii="Calibri" w:hAnsi="Calibri"/>
                <w:b w:val="0"/>
                <w:i w:val="0"/>
                <w:color w:val="212121"/>
                <w:sz w:val="16"/>
              </w:rPr>
              <w:t>Deadline-driven workers, high-risk workstyle</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Strong predictor of symptoms and chronicity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Posture &amp; inspection</w:t>
            </w:r>
          </w:p>
        </w:tc>
        <w:tc>
          <w:tcPr>
            <w:tcW w:type="dxa" w:w="979"/>
            <w:vAlign w:val="top"/>
          </w:tcPr>
          <w:p>
            <w:pPr>
              <w:spacing w:after="40" w:before="0" w:line="259" w:lineRule="auto"/>
            </w:pPr>
            <w:r>
              <w:rPr>
                <w:rFonts w:ascii="Calibri" w:hAnsi="Calibri"/>
                <w:b w:val="0"/>
                <w:i w:val="0"/>
                <w:color w:val="212121"/>
                <w:sz w:val="16"/>
              </w:rPr>
              <w:t>Forward head, rounded shoulders, swelling, thenar wasting</w:t>
            </w:r>
          </w:p>
        </w:tc>
        <w:tc>
          <w:tcPr>
            <w:tcW w:type="dxa" w:w="950"/>
            <w:vAlign w:val="top"/>
          </w:tcPr>
          <w:p>
            <w:pPr>
              <w:spacing w:after="40" w:before="0" w:line="259" w:lineRule="auto"/>
            </w:pPr>
            <w:r>
              <w:rPr>
                <w:rFonts w:ascii="Calibri" w:hAnsi="Calibri"/>
                <w:b w:val="0"/>
                <w:i w:val="0"/>
                <w:color w:val="212121"/>
                <w:sz w:val="16"/>
              </w:rPr>
              <w:t>Neutral posture, no wasting/swelling</w:t>
            </w:r>
          </w:p>
        </w:tc>
        <w:tc>
          <w:tcPr>
            <w:tcW w:type="dxa" w:w="950"/>
            <w:vAlign w:val="top"/>
          </w:tcPr>
          <w:p>
            <w:pPr>
              <w:spacing w:after="40" w:before="0" w:line="259" w:lineRule="auto"/>
            </w:pPr>
            <w:r>
              <w:rPr>
                <w:rFonts w:ascii="Calibri" w:hAnsi="Calibri"/>
                <w:b w:val="0"/>
                <w:i w:val="0"/>
                <w:color w:val="212121"/>
                <w:sz w:val="16"/>
              </w:rPr>
              <w:t>Postural abnormality, tendon-sheath swelling, muscle wasting</w:t>
            </w:r>
          </w:p>
        </w:tc>
        <w:tc>
          <w:tcPr>
            <w:tcW w:type="dxa" w:w="1036"/>
            <w:vAlign w:val="top"/>
          </w:tcPr>
          <w:p>
            <w:pPr>
              <w:spacing w:after="40" w:before="0" w:line="259" w:lineRule="auto"/>
            </w:pPr>
            <w:r>
              <w:rPr>
                <w:rFonts w:ascii="Calibri" w:hAnsi="Calibri"/>
                <w:b w:val="0"/>
                <w:i w:val="0"/>
                <w:color w:val="212121"/>
                <w:sz w:val="16"/>
              </w:rPr>
              <w:t>Points to region/tissue involved and chronicity</w:t>
            </w:r>
          </w:p>
        </w:tc>
        <w:tc>
          <w:tcPr>
            <w:tcW w:type="dxa" w:w="1036"/>
            <w:vAlign w:val="top"/>
          </w:tcPr>
          <w:p>
            <w:pPr>
              <w:spacing w:after="40" w:before="0" w:line="259" w:lineRule="auto"/>
            </w:pPr>
            <w:r>
              <w:rPr>
                <w:rFonts w:ascii="Calibri" w:hAnsi="Calibri"/>
                <w:b w:val="0"/>
                <w:i w:val="0"/>
                <w:color w:val="212121"/>
                <w:sz w:val="16"/>
              </w:rPr>
              <w:t>Chronic or advanced RSI</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Thenar wasting suggests advanced CTS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 &amp; ROM</w:t>
            </w:r>
          </w:p>
        </w:tc>
        <w:tc>
          <w:tcPr>
            <w:tcW w:type="dxa" w:w="950"/>
            <w:vAlign w:val="top"/>
          </w:tcPr>
          <w:p>
            <w:pPr>
              <w:spacing w:after="40" w:before="0" w:line="259" w:lineRule="auto"/>
            </w:pPr>
            <w:r>
              <w:rPr>
                <w:rFonts w:ascii="Calibri" w:hAnsi="Calibri"/>
                <w:b w:val="0"/>
                <w:i w:val="0"/>
                <w:color w:val="212121"/>
                <w:sz w:val="16"/>
              </w:rPr>
              <w:t>Palpation and range of motion</w:t>
            </w:r>
          </w:p>
        </w:tc>
        <w:tc>
          <w:tcPr>
            <w:tcW w:type="dxa" w:w="979"/>
            <w:vAlign w:val="top"/>
          </w:tcPr>
          <w:p>
            <w:pPr>
              <w:spacing w:after="40" w:before="0" w:line="259" w:lineRule="auto"/>
            </w:pPr>
            <w:r>
              <w:rPr>
                <w:rFonts w:ascii="Calibri" w:hAnsi="Calibri"/>
                <w:b w:val="0"/>
                <w:i w:val="0"/>
                <w:color w:val="212121"/>
                <w:sz w:val="16"/>
              </w:rPr>
              <w:t>Tender points (epicondyles, tendons, trapezius), cervical/shoulder ROM</w:t>
            </w:r>
          </w:p>
        </w:tc>
        <w:tc>
          <w:tcPr>
            <w:tcW w:type="dxa" w:w="950"/>
            <w:vAlign w:val="top"/>
          </w:tcPr>
          <w:p>
            <w:pPr>
              <w:spacing w:after="40" w:before="0" w:line="259" w:lineRule="auto"/>
            </w:pPr>
            <w:r>
              <w:rPr>
                <w:rFonts w:ascii="Calibri" w:hAnsi="Calibri"/>
                <w:b w:val="0"/>
                <w:i w:val="0"/>
                <w:color w:val="212121"/>
                <w:sz w:val="16"/>
              </w:rPr>
              <w:t>No focal tenderness; full ROM</w:t>
            </w:r>
          </w:p>
        </w:tc>
        <w:tc>
          <w:tcPr>
            <w:tcW w:type="dxa" w:w="950"/>
            <w:vAlign w:val="top"/>
          </w:tcPr>
          <w:p>
            <w:pPr>
              <w:spacing w:after="40" w:before="0" w:line="259" w:lineRule="auto"/>
            </w:pPr>
            <w:r>
              <w:rPr>
                <w:rFonts w:ascii="Calibri" w:hAnsi="Calibri"/>
                <w:b w:val="0"/>
                <w:i w:val="0"/>
                <w:color w:val="212121"/>
                <w:sz w:val="16"/>
              </w:rPr>
              <w:t>Focal tenderness/trigger points; restricted painful ROM</w:t>
            </w:r>
          </w:p>
        </w:tc>
        <w:tc>
          <w:tcPr>
            <w:tcW w:type="dxa" w:w="1036"/>
            <w:vAlign w:val="top"/>
          </w:tcPr>
          <w:p>
            <w:pPr>
              <w:spacing w:after="40" w:before="0" w:line="259" w:lineRule="auto"/>
            </w:pPr>
            <w:r>
              <w:rPr>
                <w:rFonts w:ascii="Calibri" w:hAnsi="Calibri"/>
                <w:b w:val="0"/>
                <w:i w:val="0"/>
                <w:color w:val="212121"/>
                <w:sz w:val="16"/>
              </w:rPr>
              <w:t>Localises tendinopathy, epicondylitis and myofascial involvement</w:t>
            </w:r>
          </w:p>
        </w:tc>
        <w:tc>
          <w:tcPr>
            <w:tcW w:type="dxa" w:w="1036"/>
            <w:vAlign w:val="top"/>
          </w:tcPr>
          <w:p>
            <w:pPr>
              <w:spacing w:after="40" w:before="0" w:line="259" w:lineRule="auto"/>
            </w:pPr>
            <w:r>
              <w:rPr>
                <w:rFonts w:ascii="Calibri" w:hAnsi="Calibri"/>
                <w:b w:val="0"/>
                <w:i w:val="0"/>
                <w:color w:val="212121"/>
                <w:sz w:val="16"/>
              </w:rPr>
              <w:t>Neck-shoulder and forearm pain</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Map trigger points in diffuse RSI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Provocative tests</w:t>
            </w:r>
          </w:p>
        </w:tc>
        <w:tc>
          <w:tcPr>
            <w:tcW w:type="dxa" w:w="950"/>
            <w:vAlign w:val="top"/>
          </w:tcPr>
          <w:p>
            <w:pPr>
              <w:spacing w:after="40" w:before="0" w:line="259" w:lineRule="auto"/>
            </w:pPr>
            <w:r>
              <w:rPr>
                <w:rFonts w:ascii="Calibri" w:hAnsi="Calibri"/>
                <w:b w:val="0"/>
                <w:i w:val="0"/>
                <w:color w:val="212121"/>
                <w:sz w:val="16"/>
              </w:rPr>
              <w:t>Special orthopaedic/neuro tests</w:t>
            </w:r>
          </w:p>
        </w:tc>
        <w:tc>
          <w:tcPr>
            <w:tcW w:type="dxa" w:w="979"/>
            <w:vAlign w:val="top"/>
          </w:tcPr>
          <w:p>
            <w:pPr>
              <w:spacing w:after="40" w:before="0" w:line="259" w:lineRule="auto"/>
            </w:pPr>
            <w:r>
              <w:rPr>
                <w:rFonts w:ascii="Calibri" w:hAnsi="Calibri"/>
                <w:b w:val="0"/>
                <w:i w:val="0"/>
                <w:color w:val="212121"/>
                <w:sz w:val="16"/>
              </w:rPr>
              <w:t>Phalen's, Tinel's, Finkelstein's, Cozen's, Roos/EAST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for the corresponding disorder</w:t>
            </w:r>
          </w:p>
        </w:tc>
        <w:tc>
          <w:tcPr>
            <w:tcW w:type="dxa" w:w="1036"/>
            <w:vAlign w:val="top"/>
          </w:tcPr>
          <w:p>
            <w:pPr>
              <w:spacing w:after="40" w:before="0" w:line="259" w:lineRule="auto"/>
            </w:pPr>
            <w:r>
              <w:rPr>
                <w:rFonts w:ascii="Calibri" w:hAnsi="Calibri"/>
                <w:b w:val="0"/>
                <w:i w:val="0"/>
                <w:color w:val="212121"/>
                <w:sz w:val="16"/>
              </w:rPr>
              <w:t>Identify specific (Type 1) disorders — CTS, De Quervain's, epicondylitis, thoracic outlet</w:t>
            </w:r>
          </w:p>
        </w:tc>
        <w:tc>
          <w:tcPr>
            <w:tcW w:type="dxa" w:w="1036"/>
            <w:vAlign w:val="top"/>
          </w:tcPr>
          <w:p>
            <w:pPr>
              <w:spacing w:after="40" w:before="0" w:line="259" w:lineRule="auto"/>
            </w:pPr>
            <w:r>
              <w:rPr>
                <w:rFonts w:ascii="Calibri" w:hAnsi="Calibri"/>
                <w:b w:val="0"/>
                <w:i w:val="0"/>
                <w:color w:val="212121"/>
                <w:sz w:val="16"/>
              </w:rPr>
              <w:t>Focal wrist/elbow/hand or neurovascular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Guides targeted confirmatory tests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Neurovascular</w:t>
            </w:r>
          </w:p>
        </w:tc>
        <w:tc>
          <w:tcPr>
            <w:tcW w:type="dxa" w:w="950"/>
            <w:vAlign w:val="top"/>
          </w:tcPr>
          <w:p>
            <w:pPr>
              <w:spacing w:after="40" w:before="0" w:line="259" w:lineRule="auto"/>
            </w:pPr>
            <w:r>
              <w:rPr>
                <w:rFonts w:ascii="Calibri" w:hAnsi="Calibri"/>
                <w:b w:val="0"/>
                <w:i w:val="0"/>
                <w:color w:val="212121"/>
                <w:sz w:val="16"/>
              </w:rPr>
              <w:t>Sensation, strength &amp; reflexes</w:t>
            </w:r>
          </w:p>
        </w:tc>
        <w:tc>
          <w:tcPr>
            <w:tcW w:type="dxa" w:w="979"/>
            <w:vAlign w:val="top"/>
          </w:tcPr>
          <w:p>
            <w:pPr>
              <w:spacing w:after="40" w:before="0" w:line="259" w:lineRule="auto"/>
            </w:pPr>
            <w:r>
              <w:rPr>
                <w:rFonts w:ascii="Calibri" w:hAnsi="Calibri"/>
                <w:b w:val="0"/>
                <w:i w:val="0"/>
                <w:color w:val="212121"/>
                <w:sz w:val="16"/>
              </w:rPr>
              <w:t>Monofilament/sensation, grip/pinch dynamometry, reflexes</w:t>
            </w:r>
          </w:p>
        </w:tc>
        <w:tc>
          <w:tcPr>
            <w:tcW w:type="dxa" w:w="950"/>
            <w:vAlign w:val="top"/>
          </w:tcPr>
          <w:p>
            <w:pPr>
              <w:spacing w:after="40" w:before="0" w:line="259" w:lineRule="auto"/>
            </w:pPr>
            <w:r>
              <w:rPr>
                <w:rFonts w:ascii="Calibri" w:hAnsi="Calibri"/>
                <w:b w:val="0"/>
                <w:i w:val="0"/>
                <w:color w:val="212121"/>
                <w:sz w:val="16"/>
              </w:rPr>
              <w:t>Intact sensation, normal grip, symmetric reflexes</w:t>
            </w:r>
          </w:p>
        </w:tc>
        <w:tc>
          <w:tcPr>
            <w:tcW w:type="dxa" w:w="950"/>
            <w:vAlign w:val="top"/>
          </w:tcPr>
          <w:p>
            <w:pPr>
              <w:spacing w:after="40" w:before="0" w:line="259" w:lineRule="auto"/>
            </w:pPr>
            <w:r>
              <w:rPr>
                <w:rFonts w:ascii="Calibri" w:hAnsi="Calibri"/>
                <w:b w:val="0"/>
                <w:i w:val="0"/>
                <w:color w:val="212121"/>
                <w:sz w:val="16"/>
              </w:rPr>
              <w:t>Sensory loss (median territory), reduced grip/pinch</w:t>
            </w:r>
          </w:p>
        </w:tc>
        <w:tc>
          <w:tcPr>
            <w:tcW w:type="dxa" w:w="1036"/>
            <w:vAlign w:val="top"/>
          </w:tcPr>
          <w:p>
            <w:pPr>
              <w:spacing w:after="40" w:before="0" w:line="259" w:lineRule="auto"/>
            </w:pPr>
            <w:r>
              <w:rPr>
                <w:rFonts w:ascii="Calibri" w:hAnsi="Calibri"/>
                <w:b w:val="0"/>
                <w:i w:val="0"/>
                <w:color w:val="212121"/>
                <w:sz w:val="16"/>
              </w:rPr>
              <w:t>Detects nerve compression and functional deficit</w:t>
            </w:r>
          </w:p>
        </w:tc>
        <w:tc>
          <w:tcPr>
            <w:tcW w:type="dxa" w:w="1036"/>
            <w:vAlign w:val="top"/>
          </w:tcPr>
          <w:p>
            <w:pPr>
              <w:spacing w:after="40" w:before="0" w:line="259" w:lineRule="auto"/>
            </w:pPr>
            <w:r>
              <w:rPr>
                <w:rFonts w:ascii="Calibri" w:hAnsi="Calibri"/>
                <w:b w:val="0"/>
                <w:i w:val="0"/>
                <w:color w:val="212121"/>
                <w:sz w:val="16"/>
              </w:rPr>
              <w:t>Suspected CTS/neuropathy, weakness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functional</w:t>
            </w:r>
          </w:p>
        </w:tc>
        <w:tc>
          <w:tcPr>
            <w:tcW w:type="dxa" w:w="720"/>
            <w:vAlign w:val="top"/>
          </w:tcPr>
          <w:p>
            <w:pPr>
              <w:spacing w:after="40" w:before="0" w:line="259" w:lineRule="auto"/>
            </w:pPr>
            <w:r>
              <w:rPr>
                <w:rFonts w:ascii="Calibri" w:hAnsi="Calibri"/>
                <w:b w:val="0"/>
                <w:i w:val="0"/>
                <w:color w:val="212121"/>
                <w:sz w:val="16"/>
              </w:rPr>
              <w:t>Objective grip strength aids monitoring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Ergonomic assessment</w:t>
            </w:r>
          </w:p>
        </w:tc>
        <w:tc>
          <w:tcPr>
            <w:tcW w:type="dxa" w:w="950"/>
            <w:vAlign w:val="top"/>
          </w:tcPr>
          <w:p>
            <w:pPr>
              <w:spacing w:after="40" w:before="0" w:line="259" w:lineRule="auto"/>
            </w:pPr>
            <w:r>
              <w:rPr>
                <w:rFonts w:ascii="Calibri" w:hAnsi="Calibri"/>
                <w:b w:val="0"/>
                <w:i w:val="0"/>
                <w:color w:val="212121"/>
                <w:sz w:val="16"/>
              </w:rPr>
              <w:t>Workstation risk assessment</w:t>
            </w:r>
          </w:p>
        </w:tc>
        <w:tc>
          <w:tcPr>
            <w:tcW w:type="dxa" w:w="979"/>
            <w:vAlign w:val="top"/>
          </w:tcPr>
          <w:p>
            <w:pPr>
              <w:spacing w:after="40" w:before="0" w:line="259" w:lineRule="auto"/>
            </w:pPr>
            <w:r>
              <w:rPr>
                <w:rFonts w:ascii="Calibri" w:hAnsi="Calibri"/>
                <w:b w:val="0"/>
                <w:i w:val="0"/>
                <w:color w:val="212121"/>
                <w:sz w:val="16"/>
              </w:rPr>
              <w:t>RULA/REBA posture scoring, workstation audit</w:t>
            </w:r>
          </w:p>
        </w:tc>
        <w:tc>
          <w:tcPr>
            <w:tcW w:type="dxa" w:w="950"/>
            <w:vAlign w:val="top"/>
          </w:tcPr>
          <w:p>
            <w:pPr>
              <w:spacing w:after="40" w:before="0" w:line="259" w:lineRule="auto"/>
            </w:pPr>
            <w:r>
              <w:rPr>
                <w:rFonts w:ascii="Calibri" w:hAnsi="Calibri"/>
                <w:b w:val="0"/>
                <w:i w:val="0"/>
                <w:color w:val="212121"/>
                <w:sz w:val="16"/>
              </w:rPr>
              <w:t>Low risk score, neutral setup</w:t>
            </w:r>
          </w:p>
        </w:tc>
        <w:tc>
          <w:tcPr>
            <w:tcW w:type="dxa" w:w="950"/>
            <w:vAlign w:val="top"/>
          </w:tcPr>
          <w:p>
            <w:pPr>
              <w:spacing w:after="40" w:before="0" w:line="259" w:lineRule="auto"/>
            </w:pPr>
            <w:r>
              <w:rPr>
                <w:rFonts w:ascii="Calibri" w:hAnsi="Calibri"/>
                <w:b w:val="0"/>
                <w:i w:val="0"/>
                <w:color w:val="212121"/>
                <w:sz w:val="16"/>
              </w:rPr>
              <w:t>High risk score, non-neutral sustained postures</w:t>
            </w:r>
          </w:p>
        </w:tc>
        <w:tc>
          <w:tcPr>
            <w:tcW w:type="dxa" w:w="1036"/>
            <w:vAlign w:val="top"/>
          </w:tcPr>
          <w:p>
            <w:pPr>
              <w:spacing w:after="40" w:before="0" w:line="259" w:lineRule="auto"/>
            </w:pPr>
            <w:r>
              <w:rPr>
                <w:rFonts w:ascii="Calibri" w:hAnsi="Calibri"/>
                <w:b w:val="0"/>
                <w:i w:val="0"/>
                <w:color w:val="212121"/>
                <w:sz w:val="16"/>
              </w:rPr>
              <w:t>Objectively grades biomechanical risk and targets correction</w:t>
            </w:r>
          </w:p>
        </w:tc>
        <w:tc>
          <w:tcPr>
            <w:tcW w:type="dxa" w:w="1036"/>
            <w:vAlign w:val="top"/>
          </w:tcPr>
          <w:p>
            <w:pPr>
              <w:spacing w:after="40" w:before="0" w:line="259" w:lineRule="auto"/>
            </w:pPr>
            <w:r>
              <w:rPr>
                <w:rFonts w:ascii="Calibri" w:hAnsi="Calibri"/>
                <w:b w:val="0"/>
                <w:i w:val="0"/>
                <w:color w:val="212121"/>
                <w:sz w:val="16"/>
              </w:rPr>
              <w:t>All computer/desk workers</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Preventive / management</w:t>
            </w:r>
          </w:p>
        </w:tc>
        <w:tc>
          <w:tcPr>
            <w:tcW w:type="dxa" w:w="720"/>
            <w:vAlign w:val="top"/>
          </w:tcPr>
          <w:p>
            <w:pPr>
              <w:spacing w:after="40" w:before="0" w:line="259" w:lineRule="auto"/>
            </w:pPr>
            <w:r>
              <w:rPr>
                <w:rFonts w:ascii="Calibri" w:hAnsi="Calibri"/>
                <w:b w:val="0"/>
                <w:i w:val="0"/>
                <w:color w:val="212121"/>
                <w:sz w:val="16"/>
              </w:rPr>
              <w:t>Directs workstation redesign and training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Neck pain and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tightness and reduced neck movement from sustained forward-head posture; the commonest computer-related complaint.</w:t>
            </w:r>
          </w:p>
        </w:tc>
      </w:tr>
      <w:tr>
        <w:trPr>
          <w:cantSplit/>
        </w:trPr>
        <w:tc>
          <w:tcPr>
            <w:tcW w:type="dxa" w:w="2304"/>
            <w:vAlign w:val="top"/>
          </w:tcPr>
          <w:p>
            <w:pPr>
              <w:spacing w:after="40" w:before="0" w:line="259" w:lineRule="auto"/>
            </w:pPr>
            <w:r>
              <w:rPr>
                <w:rFonts w:ascii="Calibri" w:hAnsi="Calibri"/>
                <w:b/>
                <w:i w:val="0"/>
                <w:color w:val="212121"/>
                <w:sz w:val="19"/>
              </w:rPr>
              <w:t>Shoulder and upper-back 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Trapezius/inter-scapular aching and heaviness from prolonged static loading of the shoulder girdle.</w:t>
            </w:r>
          </w:p>
        </w:tc>
      </w:tr>
      <w:tr>
        <w:trPr>
          <w:cantSplit/>
        </w:trPr>
        <w:tc>
          <w:tcPr>
            <w:tcW w:type="dxa" w:w="2304"/>
            <w:vAlign w:val="top"/>
          </w:tcPr>
          <w:p>
            <w:pPr>
              <w:spacing w:after="40" w:before="0" w:line="259" w:lineRule="auto"/>
            </w:pPr>
            <w:r>
              <w:rPr>
                <w:rFonts w:ascii="Calibri" w:hAnsi="Calibri"/>
                <w:b/>
                <w:i w:val="0"/>
                <w:color w:val="212121"/>
                <w:sz w:val="19"/>
              </w:rPr>
              <w:t>Forearm and wrist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or burning over the forearm and wrist from repetitive keyboard/mouse use, often worse toward the end of the workday.</w:t>
            </w:r>
          </w:p>
        </w:tc>
      </w:tr>
      <w:tr>
        <w:trPr>
          <w:cantSplit/>
        </w:trPr>
        <w:tc>
          <w:tcPr>
            <w:tcW w:type="dxa" w:w="2304"/>
            <w:vAlign w:val="top"/>
          </w:tcPr>
          <w:p>
            <w:pPr>
              <w:spacing w:after="40" w:before="0" w:line="259" w:lineRule="auto"/>
            </w:pPr>
            <w:r>
              <w:rPr>
                <w:rFonts w:ascii="Calibri" w:hAnsi="Calibri"/>
                <w:b/>
                <w:i w:val="0"/>
                <w:color w:val="212121"/>
                <w:sz w:val="19"/>
              </w:rPr>
              <w:t>Hand/finger tingling or numbness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Paraesthesia in the thumb, index and middle fingers suggests median-nerve involvement (carpal tunnel syndrome).</w:t>
            </w:r>
          </w:p>
        </w:tc>
      </w:tr>
      <w:tr>
        <w:trPr>
          <w:cantSplit/>
        </w:trPr>
        <w:tc>
          <w:tcPr>
            <w:tcW w:type="dxa" w:w="2304"/>
            <w:vAlign w:val="top"/>
          </w:tcPr>
          <w:p>
            <w:pPr>
              <w:spacing w:after="40" w:before="0" w:line="259" w:lineRule="auto"/>
            </w:pPr>
            <w:r>
              <w:rPr>
                <w:rFonts w:ascii="Calibri" w:hAnsi="Calibri"/>
                <w:b/>
                <w:i w:val="0"/>
                <w:color w:val="212121"/>
                <w:sz w:val="19"/>
              </w:rPr>
              <w:t>Arm fatigue, heaviness or cramping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diffuse (Type 2) RSI — the limb tires and cramps with use before frank pain develops.</w:t>
            </w:r>
          </w:p>
        </w:tc>
      </w:tr>
      <w:tr>
        <w:trPr>
          <w:cantSplit/>
        </w:trPr>
        <w:tc>
          <w:tcPr>
            <w:tcW w:type="dxa" w:w="2304"/>
            <w:vAlign w:val="top"/>
          </w:tcPr>
          <w:p>
            <w:pPr>
              <w:spacing w:after="40" w:before="0" w:line="259" w:lineRule="auto"/>
            </w:pPr>
            <w:r>
              <w:rPr>
                <w:rFonts w:ascii="Calibri" w:hAnsi="Calibri"/>
                <w:b/>
                <w:i w:val="0"/>
                <w:color w:val="212121"/>
                <w:sz w:val="19"/>
              </w:rPr>
              <w:t>Stiffness after sustained work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relaxing the hand/forearm or turning the neck after long continuous computer sessions.</w:t>
            </w:r>
          </w:p>
        </w:tc>
      </w:tr>
      <w:tr>
        <w:trPr>
          <w:cantSplit/>
        </w:trPr>
        <w:tc>
          <w:tcPr>
            <w:tcW w:type="dxa" w:w="2304"/>
            <w:vAlign w:val="top"/>
          </w:tcPr>
          <w:p>
            <w:pPr>
              <w:spacing w:after="40" w:before="0" w:line="259" w:lineRule="auto"/>
            </w:pPr>
            <w:r>
              <w:rPr>
                <w:rFonts w:ascii="Calibri" w:hAnsi="Calibri"/>
                <w:b/>
                <w:i w:val="0"/>
                <w:color w:val="212121"/>
                <w:sz w:val="19"/>
              </w:rPr>
              <w:t>Eye strain, dry eyes or blurred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Overlapping computer vision syndrome from prolonged screen use, frequently coexisting with neck symptoms.</w:t>
            </w:r>
          </w:p>
        </w:tc>
      </w:tr>
      <w:tr>
        <w:trPr>
          <w:cantSplit/>
        </w:trPr>
        <w:tc>
          <w:tcPr>
            <w:tcW w:type="dxa" w:w="2304"/>
            <w:vAlign w:val="top"/>
          </w:tcPr>
          <w:p>
            <w:pPr>
              <w:spacing w:after="40" w:before="0" w:line="259" w:lineRule="auto"/>
            </w:pPr>
            <w:r>
              <w:rPr>
                <w:rFonts w:ascii="Calibri" w:hAnsi="Calibri"/>
                <w:b/>
                <w:i w:val="0"/>
                <w:color w:val="212121"/>
                <w:sz w:val="19"/>
              </w:rPr>
              <w:t>Cervicogenic / tension headache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Headache referred from tight cervical and trapezius muscles and sustained posture.</w:t>
            </w:r>
          </w:p>
        </w:tc>
      </w:tr>
      <w:tr>
        <w:trPr>
          <w:cantSplit/>
        </w:trPr>
        <w:tc>
          <w:tcPr>
            <w:tcW w:type="dxa" w:w="2304"/>
            <w:vAlign w:val="top"/>
          </w:tcPr>
          <w:p>
            <w:pPr>
              <w:spacing w:after="40" w:before="0" w:line="259" w:lineRule="auto"/>
            </w:pPr>
            <w:r>
              <w:rPr>
                <w:rFonts w:ascii="Calibri" w:hAnsi="Calibri"/>
                <w:b/>
                <w:i w:val="0"/>
                <w:color w:val="212121"/>
                <w:sz w:val="19"/>
              </w:rPr>
              <w:t>Reduced grip strength or clumsiness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Weak grip and dropping objects reflect tendon pain-inhibition or median-nerve compromise.</w:t>
            </w:r>
          </w:p>
        </w:tc>
      </w:tr>
      <w:tr>
        <w:trPr>
          <w:cantSplit/>
        </w:trPr>
        <w:tc>
          <w:tcPr>
            <w:tcW w:type="dxa" w:w="2304"/>
            <w:vAlign w:val="top"/>
          </w:tcPr>
          <w:p>
            <w:pPr>
              <w:spacing w:after="40" w:before="0" w:line="259" w:lineRule="auto"/>
            </w:pPr>
            <w:r>
              <w:rPr>
                <w:rFonts w:ascii="Calibri" w:hAnsi="Calibri"/>
                <w:b/>
                <w:i w:val="0"/>
                <w:color w:val="212121"/>
                <w:sz w:val="19"/>
              </w:rPr>
              <w:t>Night pain waking from sleep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Classically nocturnal hand pain/tingling of carpal tunnel syndrome, relieved by shaking the hand.</w:t>
            </w:r>
          </w:p>
        </w:tc>
      </w:tr>
      <w:tr>
        <w:trPr>
          <w:cantSplit/>
        </w:trPr>
        <w:tc>
          <w:tcPr>
            <w:tcW w:type="dxa" w:w="2304"/>
            <w:vAlign w:val="top"/>
          </w:tcPr>
          <w:p>
            <w:pPr>
              <w:spacing w:after="40" w:before="0" w:line="259" w:lineRule="auto"/>
            </w:pPr>
            <w:r>
              <w:rPr>
                <w:rFonts w:ascii="Calibri" w:hAnsi="Calibri"/>
                <w:b/>
                <w:i w:val="0"/>
                <w:color w:val="212121"/>
                <w:sz w:val="19"/>
              </w:rPr>
              <w:t>Cold intolerance or colour change in the hands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indicate neurovascular involvement such as thoracic outlet syndrome.</w:t>
            </w:r>
          </w:p>
        </w:tc>
      </w:tr>
      <w:tr>
        <w:trPr>
          <w:cantSplit/>
        </w:trPr>
        <w:tc>
          <w:tcPr>
            <w:tcW w:type="dxa" w:w="2304"/>
            <w:vAlign w:val="top"/>
          </w:tcPr>
          <w:p>
            <w:pPr>
              <w:spacing w:after="40" w:before="0" w:line="259" w:lineRule="auto"/>
            </w:pPr>
            <w:r>
              <w:rPr>
                <w:rFonts w:ascii="Calibri" w:hAnsi="Calibri"/>
                <w:b/>
                <w:i w:val="0"/>
                <w:color w:val="212121"/>
                <w:sz w:val="19"/>
              </w:rPr>
              <w:t>Persistent weakness with muscle wasting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Advanced, sometimes irreversible disease (e.g. thenar wasting in longstanding carpal tunnel syndrome).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Localised tenderness over tendons, epicondyle or trapezius trigger points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Reproduces the patient's pain and localises the involved tissue.</w:t>
            </w:r>
          </w:p>
        </w:tc>
      </w:tr>
      <w:tr>
        <w:trPr>
          <w:cantSplit/>
        </w:trPr>
        <w:tc>
          <w:tcPr>
            <w:tcW w:type="dxa" w:w="3456"/>
            <w:vAlign w:val="top"/>
          </w:tcPr>
          <w:p>
            <w:pPr>
              <w:spacing w:after="40" w:before="0" w:line="259" w:lineRule="auto"/>
            </w:pPr>
            <w:r>
              <w:rPr>
                <w:rFonts w:ascii="Calibri" w:hAnsi="Calibri"/>
                <w:b/>
                <w:i w:val="0"/>
                <w:color w:val="212121"/>
                <w:sz w:val="19"/>
              </w:rPr>
              <w:t>Positive Phalen's and/or Tinel's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Provokes median-nerve paraesthesia — supports carpal tunnel syndrome.</w:t>
            </w:r>
          </w:p>
        </w:tc>
      </w:tr>
      <w:tr>
        <w:trPr>
          <w:cantSplit/>
        </w:trPr>
        <w:tc>
          <w:tcPr>
            <w:tcW w:type="dxa" w:w="3456"/>
            <w:vAlign w:val="top"/>
          </w:tcPr>
          <w:p>
            <w:pPr>
              <w:spacing w:after="40" w:before="0" w:line="259" w:lineRule="auto"/>
            </w:pPr>
            <w:r>
              <w:rPr>
                <w:rFonts w:ascii="Calibri" w:hAnsi="Calibri"/>
                <w:b/>
                <w:i w:val="0"/>
                <w:color w:val="212121"/>
                <w:sz w:val="19"/>
              </w:rPr>
              <w:t>Restricted, painful cervical and shoulder range of motion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rotation/lateral flexion with end-range pain from myofascial tightening.</w:t>
            </w:r>
          </w:p>
        </w:tc>
      </w:tr>
      <w:tr>
        <w:trPr>
          <w:cantSplit/>
        </w:trPr>
        <w:tc>
          <w:tcPr>
            <w:tcW w:type="dxa" w:w="3456"/>
            <w:vAlign w:val="top"/>
          </w:tcPr>
          <w:p>
            <w:pPr>
              <w:spacing w:after="40" w:before="0" w:line="259" w:lineRule="auto"/>
            </w:pPr>
            <w:r>
              <w:rPr>
                <w:rFonts w:ascii="Calibri" w:hAnsi="Calibri"/>
                <w:b/>
                <w:i w:val="0"/>
                <w:color w:val="212121"/>
                <w:sz w:val="19"/>
              </w:rPr>
              <w:t>Forward-head posture and rounded shoulders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Postural marker of chronic screen work loading the cervical spine.</w:t>
            </w:r>
          </w:p>
        </w:tc>
      </w:tr>
      <w:tr>
        <w:trPr>
          <w:cantSplit/>
        </w:trPr>
        <w:tc>
          <w:tcPr>
            <w:tcW w:type="dxa" w:w="3456"/>
            <w:vAlign w:val="top"/>
          </w:tcPr>
          <w:p>
            <w:pPr>
              <w:spacing w:after="40" w:before="0" w:line="259" w:lineRule="auto"/>
            </w:pPr>
            <w:r>
              <w:rPr>
                <w:rFonts w:ascii="Calibri" w:hAnsi="Calibri"/>
                <w:b/>
                <w:i w:val="0"/>
                <w:color w:val="212121"/>
                <w:sz w:val="19"/>
              </w:rPr>
              <w:t>Reduced grip/pinch strength on dynamometry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functional deficit useful for grading and monitoring.</w:t>
            </w:r>
          </w:p>
        </w:tc>
      </w:tr>
      <w:tr>
        <w:trPr>
          <w:cantSplit/>
        </w:trPr>
        <w:tc>
          <w:tcPr>
            <w:tcW w:type="dxa" w:w="3456"/>
            <w:vAlign w:val="top"/>
          </w:tcPr>
          <w:p>
            <w:pPr>
              <w:spacing w:after="40" w:before="0" w:line="259" w:lineRule="auto"/>
            </w:pPr>
            <w:r>
              <w:rPr>
                <w:rFonts w:ascii="Calibri" w:hAnsi="Calibri"/>
                <w:b/>
                <w:i w:val="0"/>
                <w:color w:val="212121"/>
                <w:sz w:val="19"/>
              </w:rPr>
              <w:t>Sensory loss in the median-nerve distribution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Diminished monofilament/pinprick sensation over the radial 3.5 digits indicates nerve compression.</w:t>
            </w:r>
          </w:p>
        </w:tc>
      </w:tr>
      <w:tr>
        <w:trPr>
          <w:cantSplit/>
        </w:trPr>
        <w:tc>
          <w:tcPr>
            <w:tcW w:type="dxa" w:w="3456"/>
            <w:vAlign w:val="top"/>
          </w:tcPr>
          <w:p>
            <w:pPr>
              <w:spacing w:after="40" w:before="0" w:line="259" w:lineRule="auto"/>
            </w:pPr>
            <w:r>
              <w:rPr>
                <w:rFonts w:ascii="Calibri" w:hAnsi="Calibri"/>
                <w:b/>
                <w:i w:val="0"/>
                <w:color w:val="212121"/>
                <w:sz w:val="19"/>
              </w:rPr>
              <w:t>Positive Finkelstein's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Pain over the radial styloid confirms De Quervain's tenosynovitis.</w:t>
            </w:r>
          </w:p>
        </w:tc>
      </w:tr>
      <w:tr>
        <w:trPr>
          <w:cantSplit/>
        </w:trPr>
        <w:tc>
          <w:tcPr>
            <w:tcW w:type="dxa" w:w="3456"/>
            <w:vAlign w:val="top"/>
          </w:tcPr>
          <w:p>
            <w:pPr>
              <w:spacing w:after="40" w:before="0" w:line="259" w:lineRule="auto"/>
            </w:pPr>
            <w:r>
              <w:rPr>
                <w:rFonts w:ascii="Calibri" w:hAnsi="Calibri"/>
                <w:b/>
                <w:i w:val="0"/>
                <w:color w:val="212121"/>
                <w:sz w:val="19"/>
              </w:rPr>
              <w:t>Swelling or crepitus over a tendon sheath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swelling/crepitus indicates tenosynovitis (e.g. extensor or flexor tendons).</w:t>
            </w:r>
          </w:p>
        </w:tc>
      </w:tr>
      <w:tr>
        <w:trPr>
          <w:cantSplit/>
        </w:trPr>
        <w:tc>
          <w:tcPr>
            <w:tcW w:type="dxa" w:w="3456"/>
            <w:vAlign w:val="top"/>
          </w:tcPr>
          <w:p>
            <w:pPr>
              <w:spacing w:after="40" w:before="0" w:line="259" w:lineRule="auto"/>
            </w:pPr>
            <w:r>
              <w:rPr>
                <w:rFonts w:ascii="Calibri" w:hAnsi="Calibri"/>
                <w:b/>
                <w:i w:val="0"/>
                <w:color w:val="212121"/>
                <w:sz w:val="19"/>
              </w:rPr>
              <w:t>Positive Cozen's / resisted-wrist-extension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Lateral elbow pain on resisted extension supports lateral epicondylitis.</w:t>
            </w:r>
          </w:p>
        </w:tc>
      </w:tr>
      <w:tr>
        <w:trPr>
          <w:cantSplit/>
        </w:trPr>
        <w:tc>
          <w:tcPr>
            <w:tcW w:type="dxa" w:w="3456"/>
            <w:vAlign w:val="top"/>
          </w:tcPr>
          <w:p>
            <w:pPr>
              <w:spacing w:after="40" w:before="0" w:line="259" w:lineRule="auto"/>
            </w:pPr>
            <w:r>
              <w:rPr>
                <w:rFonts w:ascii="Calibri" w:hAnsi="Calibri"/>
                <w:b/>
                <w:i w:val="0"/>
                <w:color w:val="212121"/>
                <w:sz w:val="19"/>
              </w:rPr>
              <w:t>Thenar muscle wasting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Flattening of the thenar eminence signifies advanced carpal tunnel syndrome with motor loss.</w:t>
            </w:r>
          </w:p>
        </w:tc>
      </w:tr>
      <w:tr>
        <w:trPr>
          <w:cantSplit/>
        </w:trPr>
        <w:tc>
          <w:tcPr>
            <w:tcW w:type="dxa" w:w="3456"/>
            <w:vAlign w:val="top"/>
          </w:tcPr>
          <w:p>
            <w:pPr>
              <w:spacing w:after="40" w:before="0" w:line="259" w:lineRule="auto"/>
            </w:pPr>
            <w:r>
              <w:rPr>
                <w:rFonts w:ascii="Calibri" w:hAnsi="Calibri"/>
                <w:b/>
                <w:i w:val="0"/>
                <w:color w:val="212121"/>
                <w:sz w:val="19"/>
              </w:rPr>
              <w:t>Positive Roos / EAST test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Reproduction of arm symptoms on sustained elevation suggests thoracic outlet syndrome.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localised neck, shoulder, forearm or wrist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Carpal tunnel syndrome and other focal compression neuropathies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 Quervain's tenosynovitis, tenosynovitis and trigger finger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Lateral/medial epicondylitis and rotator-cuff tendinopathy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Myofascial pain syndrome (diffuse / Type 2 RSI)</w:t>
            </w:r>
          </w:p>
        </w:tc>
        <w:tc>
          <w:tcPr>
            <w:tcW w:type="dxa" w:w="2980"/>
            <w:vAlign w:val="top"/>
          </w:tcPr>
          <w:p>
            <w:pPr>
              <w:spacing w:after="40" w:before="0" w:line="259" w:lineRule="auto"/>
            </w:pPr>
            <w:r>
              <w:rPr>
                <w:rFonts w:ascii="Calibri" w:hAnsi="Calibri"/>
                <w:b w:val="0"/>
                <w:i w:val="0"/>
                <w:color w:val="212121"/>
                <w:sz w:val="19"/>
              </w:rPr>
              <w:t>Direct consequences of cumulative repetitive strain and sustained posture on tendons, nerves and muscles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chronic diffuse RSI with widespread upper-limb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Thoracic outlet syndrome and neurovascular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spondylosis aggravation and chronic neck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Overlapping computer vision syndrome and cervicogenic/tension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fatigue and mood disorders (anxiety/depression)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productivity, absenteeism and presenteeism</w:t>
            </w:r>
          </w:p>
        </w:tc>
        <w:tc>
          <w:tcPr>
            <w:tcW w:type="dxa" w:w="2980"/>
            <w:vAlign w:val="top"/>
          </w:tcPr>
          <w:p>
            <w:pPr>
              <w:spacing w:after="40" w:before="0" w:line="259" w:lineRule="auto"/>
            </w:pPr>
            <w:r>
              <w:rPr>
                <w:rFonts w:ascii="Calibri" w:hAnsi="Calibri"/>
                <w:b w:val="0"/>
                <w:i w:val="0"/>
                <w:color w:val="212121"/>
                <w:sz w:val="19"/>
              </w:rPr>
              <w:t>Result from persistent, inadequately managed disease and its interaction with psychosocial and lifestyle factors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nerve damage with muscle wasting (e.g. thenar atrophy)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syndrome with central sensitisation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work disability and loss of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surgery (e.g. carpal tunnel release, tendon procedures)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functional impairment and reduced quality of life</w:t>
            </w:r>
          </w:p>
        </w:tc>
        <w:tc>
          <w:tcPr>
            <w:tcW w:type="dxa" w:w="2980"/>
            <w:vAlign w:val="top"/>
          </w:tcPr>
          <w:p>
            <w:pPr>
              <w:spacing w:after="40" w:before="0" w:line="259" w:lineRule="auto"/>
            </w:pPr>
            <w:r>
              <w:rPr>
                <w:rFonts w:ascii="Calibri" w:hAnsi="Calibri"/>
                <w:b w:val="0"/>
                <w:i w:val="0"/>
                <w:color w:val="212121"/>
                <w:sz w:val="19"/>
              </w:rPr>
              <w:t>Irreversible or disabling outcomes of longstanding, untreated repetitive strain injury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Carpal tunnel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archetypal specific (Type 1) computer-related disorder; median-nerve compression driven by repetitive/forceful mouse and keyboard use and non-neutral wrist posture.</w:t>
            </w:r>
          </w:p>
          <w:p>
            <w:pPr>
              <w:spacing w:after="40" w:before="0" w:line="259" w:lineRule="auto"/>
            </w:pPr>
            <w:r>
              <w:rPr>
                <w:rFonts w:ascii="Calibri" w:hAnsi="Calibri"/>
                <w:b/>
                <w:i w:val="0"/>
                <w:color w:val="212121"/>
                <w:sz w:val="19"/>
              </w:rPr>
              <w:t>Mouse &gt;=20 h/wk: OR up to 3.6</w:t>
            </w:r>
          </w:p>
        </w:tc>
      </w:tr>
      <w:tr>
        <w:trPr>
          <w:cantSplit/>
        </w:trPr>
        <w:tc>
          <w:tcPr>
            <w:tcW w:type="dxa" w:w="2232"/>
            <w:vAlign w:val="top"/>
          </w:tcPr>
          <w:p>
            <w:pPr>
              <w:spacing w:after="40" w:before="0" w:line="259" w:lineRule="auto"/>
            </w:pPr>
            <w:r>
              <w:rPr>
                <w:rFonts w:ascii="Calibri" w:hAnsi="Calibri"/>
                <w:b/>
                <w:i w:val="0"/>
                <w:color w:val="212121"/>
                <w:sz w:val="19"/>
              </w:rPr>
              <w:t>Low back pain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Very common in the same prolonged-sitting, deconditioned desk population; shares sedentary and postural mechanisms and often coexists with neck disease.</w:t>
            </w:r>
          </w:p>
          <w:p>
            <w:pPr>
              <w:spacing w:after="40" w:before="0" w:line="259" w:lineRule="auto"/>
            </w:pPr>
            <w:r>
              <w:rPr>
                <w:rFonts w:ascii="Calibri" w:hAnsi="Calibri"/>
                <w:b/>
                <w:i w:val="0"/>
                <w:color w:val="212121"/>
                <w:sz w:val="19"/>
              </w:rPr>
              <w:t>Up to ~60% in IT workers</w:t>
            </w:r>
          </w:p>
        </w:tc>
      </w:tr>
      <w:tr>
        <w:trPr>
          <w:cantSplit/>
        </w:trPr>
        <w:tc>
          <w:tcPr>
            <w:tcW w:type="dxa" w:w="2232"/>
            <w:vAlign w:val="top"/>
          </w:tcPr>
          <w:p>
            <w:pPr>
              <w:spacing w:after="40" w:before="0" w:line="259" w:lineRule="auto"/>
            </w:pPr>
            <w:r>
              <w:rPr>
                <w:rFonts w:ascii="Calibri" w:hAnsi="Calibri"/>
                <w:b/>
                <w:i w:val="0"/>
                <w:color w:val="212121"/>
                <w:sz w:val="19"/>
              </w:rPr>
              <w:t>Computer vision syndrome / digital eye strain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the same prolonged-screen exposure; commonly coexists with neck-shoulder RSI and compounds symptom burden.</w:t>
            </w:r>
          </w:p>
          <w:p>
            <w:pPr>
              <w:spacing w:after="40" w:before="0" w:line="259" w:lineRule="auto"/>
            </w:pPr>
            <w:r>
              <w:rPr>
                <w:rFonts w:ascii="Calibri" w:hAnsi="Calibri"/>
                <w:b/>
                <w:i w:val="0"/>
                <w:color w:val="212121"/>
                <w:sz w:val="19"/>
              </w:rPr>
              <w:t>~65% (India)</w:t>
            </w:r>
          </w:p>
        </w:tc>
      </w:tr>
      <w:tr>
        <w:trPr>
          <w:cantSplit/>
        </w:trPr>
        <w:tc>
          <w:tcPr>
            <w:tcW w:type="dxa" w:w="2232"/>
            <w:vAlign w:val="top"/>
          </w:tcPr>
          <w:p>
            <w:pPr>
              <w:spacing w:after="40" w:before="0" w:line="259" w:lineRule="auto"/>
            </w:pPr>
            <w:r>
              <w:rPr>
                <w:rFonts w:ascii="Calibri" w:hAnsi="Calibri"/>
                <w:b/>
                <w:i w:val="0"/>
                <w:color w:val="212121"/>
                <w:sz w:val="19"/>
              </w:rPr>
              <w:t>Thoracic outlet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Neurovascular compression frequently associated with myofascial neck pain in IT professionals from sustained posture and scalene/pectoral tightness.</w:t>
            </w:r>
          </w:p>
          <w:p>
            <w:pPr>
              <w:spacing w:after="40" w:before="0" w:line="259" w:lineRule="auto"/>
            </w:pPr>
            <w:r>
              <w:rPr>
                <w:rFonts w:ascii="Calibri" w:hAnsi="Calibri"/>
                <w:b/>
                <w:i w:val="0"/>
                <w:color w:val="212121"/>
                <w:sz w:val="19"/>
              </w:rPr>
              <w:t>~40-45%</w:t>
            </w:r>
          </w:p>
        </w:tc>
      </w:tr>
      <w:tr>
        <w:trPr>
          <w:cantSplit/>
        </w:trPr>
        <w:tc>
          <w:tcPr>
            <w:tcW w:type="dxa" w:w="2232"/>
            <w:vAlign w:val="top"/>
          </w:tcPr>
          <w:p>
            <w:pPr>
              <w:spacing w:after="40" w:before="0" w:line="259" w:lineRule="auto"/>
            </w:pPr>
            <w:r>
              <w:rPr>
                <w:rFonts w:ascii="Calibri" w:hAnsi="Calibri"/>
                <w:b/>
                <w:i w:val="0"/>
                <w:color w:val="212121"/>
                <w:sz w:val="19"/>
              </w:rPr>
              <w:t>Fibromyalgia / chronic widespread pain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Overlaps with diffuse RSI through central sensitisation; commonly co-occurs with myofascial neck pain in computer workers.</w:t>
            </w:r>
          </w:p>
          <w:p>
            <w:pPr>
              <w:spacing w:after="40" w:before="0" w:line="259" w:lineRule="auto"/>
            </w:pPr>
            <w:r>
              <w:rPr>
                <w:rFonts w:ascii="Calibri" w:hAnsi="Calibri"/>
                <w:b/>
                <w:i w:val="0"/>
                <w:color w:val="212121"/>
                <w:sz w:val="19"/>
              </w:rPr>
              <w:t>~17-23%</w:t>
            </w:r>
          </w:p>
        </w:tc>
      </w:tr>
      <w:tr>
        <w:trPr>
          <w:cantSplit/>
        </w:trPr>
        <w:tc>
          <w:tcPr>
            <w:tcW w:type="dxa" w:w="2232"/>
            <w:vAlign w:val="top"/>
          </w:tcPr>
          <w:p>
            <w:pPr>
              <w:spacing w:after="40" w:before="0" w:line="259" w:lineRule="auto"/>
            </w:pPr>
            <w:r>
              <w:rPr>
                <w:rFonts w:ascii="Calibri" w:hAnsi="Calibri"/>
                <w:b/>
                <w:i w:val="0"/>
                <w:color w:val="212121"/>
                <w:sz w:val="19"/>
              </w:rPr>
              <w:t>Cervical spondylosis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Degenerative neck disease that both predisposes to and is aggravated by sustained computer posture, sharing biomechanical load.</w:t>
            </w:r>
          </w:p>
        </w:tc>
      </w:tr>
      <w:tr>
        <w:trPr>
          <w:cantSplit/>
        </w:trPr>
        <w:tc>
          <w:tcPr>
            <w:tcW w:type="dxa" w:w="2232"/>
            <w:vAlign w:val="top"/>
          </w:tcPr>
          <w:p>
            <w:pPr>
              <w:spacing w:after="40" w:before="0" w:line="259" w:lineRule="auto"/>
            </w:pPr>
            <w:r>
              <w:rPr>
                <w:rFonts w:ascii="Calibri" w:hAnsi="Calibri"/>
                <w:b/>
                <w:i w:val="0"/>
                <w:color w:val="212121"/>
                <w:sz w:val="19"/>
              </w:rPr>
              <w:t>Tension / cervicogenic headache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Referred from tight cervical and trapezius musculature; a frequent secondary consequence of neck-dominant RSI.</w:t>
            </w:r>
          </w:p>
        </w:tc>
      </w:tr>
      <w:tr>
        <w:trPr>
          <w:cantSplit/>
        </w:trPr>
        <w:tc>
          <w:tcPr>
            <w:tcW w:type="dxa" w:w="2232"/>
            <w:vAlign w:val="top"/>
          </w:tcPr>
          <w:p>
            <w:pPr>
              <w:spacing w:after="40" w:before="0" w:line="259" w:lineRule="auto"/>
            </w:pPr>
            <w:r>
              <w:rPr>
                <w:rFonts w:ascii="Calibri" w:hAnsi="Calibri"/>
                <w:b/>
                <w:i w:val="0"/>
                <w:color w:val="212121"/>
                <w:sz w:val="19"/>
              </w:rPr>
              <w:t>Depression, anxiety &amp; high job strain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with chronic musculoskeletal pain and a strong predictor of computer-related symptoms; psychosocial load amplifies pain perception.</w:t>
            </w:r>
          </w:p>
          <w:p>
            <w:pPr>
              <w:spacing w:after="40" w:before="0" w:line="259" w:lineRule="auto"/>
            </w:pPr>
            <w:r>
              <w:rPr>
                <w:rFonts w:ascii="Calibri" w:hAnsi="Calibri"/>
                <w:b/>
                <w:i w:val="0"/>
                <w:color w:val="212121"/>
                <w:sz w:val="19"/>
              </w:rPr>
              <w:t>Stress ~44% of IT workers</w:t>
            </w:r>
          </w:p>
        </w:tc>
      </w:tr>
      <w:tr>
        <w:trPr>
          <w:cantSplit/>
        </w:trPr>
        <w:tc>
          <w:tcPr>
            <w:tcW w:type="dxa" w:w="2232"/>
            <w:vAlign w:val="top"/>
          </w:tcPr>
          <w:p>
            <w:pPr>
              <w:spacing w:after="40" w:before="0" w:line="259" w:lineRule="auto"/>
            </w:pPr>
            <w:r>
              <w:rPr>
                <w:rFonts w:ascii="Calibri" w:hAnsi="Calibri"/>
                <w:b/>
                <w:i w:val="0"/>
                <w:color w:val="212121"/>
                <w:sz w:val="19"/>
              </w:rPr>
              <w:t>Sleep disturbance / insomnia</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Poor sleep and chronic musculoskeletal pain reinforce each other, worsening symptoms and recovery.</w:t>
            </w:r>
          </w:p>
          <w:p>
            <w:pPr>
              <w:spacing w:after="40" w:before="0" w:line="259" w:lineRule="auto"/>
            </w:pPr>
            <w:r>
              <w:rPr>
                <w:rFonts w:ascii="Calibri" w:hAnsi="Calibri"/>
                <w:b/>
                <w:i w:val="0"/>
                <w:color w:val="212121"/>
                <w:sz w:val="19"/>
              </w:rPr>
              <w:t>Pain-&gt;sleep OR 2.02; sleep-&gt;pain OR 1.79</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Predisposes to carpal tunnel syndrome, tenosynovitis and frozen shoulder and impairs healing, so it worsens and complicates computer-related upper-limb disorders.</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secondary cause of carpal tunnel syndrome and diffuse myalgia via fluid retention; coexistence alters work-up and management.</w:t>
            </w:r>
          </w:p>
        </w:tc>
      </w:tr>
      <w:tr>
        <w:trPr>
          <w:cantSplit/>
        </w:trPr>
        <w:tc>
          <w:tcPr>
            <w:tcW w:type="dxa" w:w="2232"/>
            <w:vAlign w:val="top"/>
          </w:tcPr>
          <w:p>
            <w:pPr>
              <w:spacing w:after="40" w:before="0" w:line="259" w:lineRule="auto"/>
            </w:pPr>
            <w:r>
              <w:rPr>
                <w:rFonts w:ascii="Calibri" w:hAnsi="Calibri"/>
                <w:b/>
                <w:i w:val="0"/>
                <w:color w:val="212121"/>
                <w:sz w:val="19"/>
              </w:rPr>
              <w:t>Overweight / obesity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Raises carpal tunnel pressure and axial spinal load, increasing susceptibility to and severity of computer-related MSK disorders.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correct workstation ergonomics: monitor top at eye level, screen an arm's length away, back supported, elbows and knees near 90°, wrists neutral and feet flat or on a footrest.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20-20-20 rule for eyes (every 20 minutes look ~20 feet away for 20 seconds) and take a short posture/movement micro-break every 20-30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task-related neck, forearm or wrist ache, hand tingling, stiffness or weakness that eases at weekends — and act early rather than working through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up the mouse close to the keyboard, use keyboard shortcuts to reduce clicking, and avoid resting the wrists on hard edges.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RSI is largely preventable and reversible when caught early, and that posture, breaks and workload pacing matter as much as equipment.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computer/desk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IT/BPO/clerical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Work-from-home &amp; hybrid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&amp; heavy device users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stand, stretch or walk for 1-2 minutes at least every 30-60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daily neck, shoulder, wrist and forearm mobility and stretching routines, especially before and after long computer sessions.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Accumulate at least 150 minutes/week of moderate activity to improve overall conditioning and pain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Alternate tasks and hands where possible to vary the load on tendons and muscles.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sit-stand option and change posture regularly rather than staying static.</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sitters (&gt;=6 h/day)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Work-from-home staff</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a progressive neck and shoulder-girdle strengthening programme — moderate-quality evidence shows it reduces pain in symptomatic office workers, with greater benefit from consistent participation.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scapular stabiliser, rotator-cuff and forearm/grip strengthening tailored to the affected region.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guided stretching and postural re-education (physiotherapy) for myofascial neck and forearm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Relatively rest and modify the aggravating task during flares, then reintroduce load gradually to avoid deconditioning.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ergonomic correction for the best and most durable symptom relief.</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with neck/shoulder RSI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(diffuse) RSI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Tendinopathy/epicondylitis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CTS (mild)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Asian-Indian BMI (18.0-22.9 kg/m2) to limit carpal tunnel pressure and spinal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anti-inflammatory, balanced diet rich in vegetables, fruit, whole grains, pulses and adequate protein to support tendon and muscle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deficiency (common in indoor workers) with sunlight and, where indicated, supplementation, as low vitamin D is linked to diffuse musculoskeletal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across the workday and avoid using sugary drinks/snacks to power through long sessions.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desk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Indoor IT/BPO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diffuse aches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as poor sleep and chronic musculoskeletal pain worsen each other.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supportive pillow that keeps the neck neutral and avoid sleeping on the affected arm.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sleep-wake times and limit late-night screen use, which aggravates both eye strain and neck posture.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night hand pain/tingling (possible carpal tunnel) with a neutral wrist splint at night and clinical review.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with poor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Night-symptom (CTS) sufferers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Shift/late-working staff</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microvascular perfusion and soft-tissue healing and reduce chronic musculoskeletal pain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and pharmacotherapy) and quitline services to improve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breaks that reinforce prolonged static desk sitting; replace them with short walks.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Slow-to-heal tendinopathy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desk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(ideally &lt;= 7 standard drinks/week) to protect sleep, nerves and tissue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to cope with work stress or pain, which worsens sleep and can perpetuate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heavy drinking contributes to peripheral neuropathy that can amplify hand/arm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neuropathic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deadline pressure and job strain through realistic workload pacing, adequate breaks and greater task control — among the strongest levers for reducing computer-related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(relaxation, mindfulness, breathing) to lower sustained trapezius and forearm muscle 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anxiety and depression, given their bidirectional link with chronic musculoskeletal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 supportive, break-friendly team culture and manager awareness of adverse workstyle risks.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psychological support or pain-coping (CBT-based) strategies in chronic or treatment-resistant cases.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Deadline-driven IT/BPO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workstyle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with anxiety/depression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sjonline.org/index.php/ijrms/article/view/8604" TargetMode="External"/><Relationship Id="rId10" Type="http://schemas.openxmlformats.org/officeDocument/2006/relationships/hyperlink" Target="https://link.springer.com/article/10.1007/s10926-011-9294-4" TargetMode="External"/><Relationship Id="rId11" Type="http://schemas.openxmlformats.org/officeDocument/2006/relationships/hyperlink" Target="https://indjst.org/articles/musculoskeletal-disorders-among-it-professionals-in-south-bangalore" TargetMode="External"/><Relationship Id="rId12" Type="http://schemas.openxmlformats.org/officeDocument/2006/relationships/hyperlink" Target="https://pmc.ncbi.nlm.nih.gov/articles/PMC9888747/" TargetMode="External"/><Relationship Id="rId13" Type="http://schemas.openxmlformats.org/officeDocument/2006/relationships/hyperlink" Target="https://link.springer.com/article/10.1186/s12889-025-21685-9" TargetMode="External"/><Relationship Id="rId14" Type="http://schemas.openxmlformats.org/officeDocument/2006/relationships/hyperlink" Target="https://academic.oup.com/ptj/article/98/1/40/4562646" TargetMode="External"/><Relationship Id="rId15" Type="http://schemas.openxmlformats.org/officeDocument/2006/relationships/hyperlink" Target="https://www.cochrane.org/evidence/CD008570_ergonomic-interventions-preventing-work-related-musculoskeletal-disorders-upper-limb-and-neck-among" TargetMode="External"/><Relationship Id="rId16" Type="http://schemas.openxmlformats.org/officeDocument/2006/relationships/hyperlink" Target="https://bmcmusculoskeletdisord.biomedcentral.com/articles/10.1186/1471-2474-9-134" TargetMode="External"/><Relationship Id="rId17" Type="http://schemas.openxmlformats.org/officeDocument/2006/relationships/hyperlink" Target="https://academic.oup.com/rheumatology/article/62/9/2951/7146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