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Tension-Type Headache</w:t>
      </w:r>
    </w:p>
    <w:p>
      <w:pPr>
        <w:spacing w:before="0" w:after="160"/>
      </w:pPr>
      <w:r>
        <w:rPr>
          <w:rFonts w:ascii="Calibri" w:hAnsi="Calibri"/>
          <w:b/>
          <w:i w:val="0"/>
          <w:color w:val="212121"/>
          <w:sz w:val="22"/>
        </w:rPr>
        <w:t xml:space="preserve">AKA </w:t>
      </w:r>
      <w:r>
        <w:rPr>
          <w:rFonts w:ascii="Calibri" w:hAnsi="Calibri"/>
          <w:b w:val="0"/>
          <w:i w:val="0"/>
          <w:color w:val="212121"/>
          <w:sz w:val="22"/>
        </w:rPr>
        <w:t>i.e., TTH, Tension headache, Muscle-contraction headache, Stress headache, Ordinary headache, Psychogenic headache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Tension-type headache (TTH) is the most common primary headache disorder, characterised by recurrent episodes of bilateral, pressing or tightening (non-pulsating) head pain of mild-to-moderate intensity that is not aggravated by routine physical activity and is not accompanied by significant nausea or vomiting. The pain is classically described as a tight band, cap or pressure around the head, often with associated tenderness of the pericranial (scalp, neck and shoulder) muscles. It is subdivided by attack frequency into infrequent episodic, frequent episodic and chronic forms; episodic TTH is thought to arise mainly from peripheral myofascial mechanisms, whereas chronic TTH involves central sensitisation and reduced pain inhibition. Although a single attack is less disabling than migraine, its very high prevalence makes TTH a leading cause of lost productivity worldwide.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Tension-type headache is the most common primary headache disorder in India. In a large Delhi and National Capital Region population study the 1-year prevalence of TTH was 34.1% and, unusually among headache types, it was almost identical in men (34.2%) and women (34.6%), within a 92.8% lifetime prevalence of any headache. A community study in Karnataka reported a 1-year TTH prevalence of 35.1% (part of an overall 63.9% headache prevalence), higher in rural than urban residents (38.4% vs 32.2%) and highest in young adults (40.1% at 18-25 years, falling to 28.7% by 56+ years). Globally, tension-type headache affects roughly one in five people at any time, with a lifetime prevalence of about 46-78% and a peak age of onset around 25-30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Tension-type headache is a clinical diagnosis made from a typical history together with a normal neurological examination; investigations are used only to exclude secondary causes when red-flag features are present. The ICHD-3 criteria require: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10 headache episodes fulfilling the criteria below, with attack frequency defining the subtype - infrequent episodic (&lt; 1 day/month, &lt; 12 days/year), frequent episodic (1-14 days/month for &gt; 3 months; ≥ 12 and &lt; 180 days/year), or chronic (≥ 15 days/month for &gt; 3 months; ≥ 180 days/year);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each episode lasting 30 minutes to 7 days in the episodic forms, or lasting hours to days or being unremitting in the chronic form;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two of four pain characteristics - bilateral location, pressing/tightening (non-pulsating) quality, mild-to-moderate intensity, and no aggravation by routine physical activity such as walking or climbing stairs;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for episodic TTH: no nausea or vomiting and no more than one of photophobia or phonophobia; for chronic TTH: no more than one of photophobia, phonophobia or mild nausea, and neither moderate/severe nausea nor vomiting;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not better accounted for by another ICHD-3 diagnosis (secondary headache excluded). Each subtype is further coded as 'associated with' or 'not associated with' pericranial tenderness on manual palpation, and a 'probable TTH' category exists for episodes missing one criterion.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ICHD-3 classifies tension-type headache primarily by attack frequency, with each category subdivided by the presence or absence of pericranial tenderness:</w:t>
      </w:r>
    </w:p>
    <w:p>
      <w:pPr>
        <w:spacing w:before="0" w:after="80"/>
      </w:pPr>
      <w:r>
        <w:rPr>
          <w:rFonts w:ascii="Calibri" w:hAnsi="Calibri"/>
          <w:b w:val="0"/>
          <w:i w:val="0"/>
          <w:color w:val="212121"/>
          <w:sz w:val="21"/>
        </w:rPr>
        <w:t>(1) Infrequent episodic TTH - headache on &lt; 1 day/month on average (&lt; 12 days/year); usually mild, self-treated and rarely brought to medical attention;</w:t>
      </w:r>
    </w:p>
    <w:p>
      <w:pPr>
        <w:spacing w:before="0" w:after="80"/>
      </w:pPr>
      <w:r>
        <w:rPr>
          <w:rFonts w:ascii="Calibri" w:hAnsi="Calibri"/>
          <w:b w:val="0"/>
          <w:i w:val="0"/>
          <w:color w:val="212121"/>
          <w:sz w:val="21"/>
        </w:rPr>
        <w:t>(2) Frequent episodic TTH - headache on 1-14 days/month for &gt; 3 months (≥ 12 and &lt; 180 days/year); can cause meaningful disability and analgesic use and may progress to the chronic form;</w:t>
      </w:r>
    </w:p>
    <w:p>
      <w:pPr>
        <w:spacing w:before="0" w:after="80"/>
      </w:pPr>
      <w:r>
        <w:rPr>
          <w:rFonts w:ascii="Calibri" w:hAnsi="Calibri"/>
          <w:b w:val="0"/>
          <w:i w:val="0"/>
          <w:color w:val="212121"/>
          <w:sz w:val="21"/>
        </w:rPr>
        <w:t>(3) Chronic TTH - headache on ≥ 15 days/month for &gt; 3 months (≥ 180 days/year), often daily or unremitting; it evolves from episodic TTH, is associated with central sensitisation, medication overuse and psychiatric comorbidity, and is the most disabling subtype;</w:t>
      </w:r>
    </w:p>
    <w:p>
      <w:pPr>
        <w:spacing w:before="0" w:after="80"/>
      </w:pPr>
      <w:r>
        <w:rPr>
          <w:rFonts w:ascii="Calibri" w:hAnsi="Calibri"/>
          <w:b w:val="0"/>
          <w:i w:val="0"/>
          <w:color w:val="212121"/>
          <w:sz w:val="21"/>
        </w:rPr>
        <w:t>(4) Each of the above is coded as 'associated with pericranial tenderness' (increased tenderness on manual palpation of pericranial muscles) or 'not associated with pericranial tenderness'. Episodes fulfilling all-but-one criterion are classified as 'probable tension-type headache'.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Psychological stress and mental tension: Emotional stress is the most frequently reported trigger and driver of TTH, provoking sustained pericranial muscle contraction and lowering central pain thresholds.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Pericranial myofascial dysfunction and poor posture: Sustained contraction of scalp, neck and shoulder muscles with forward-head posture, prolonged desk/screen work and active myofascial trigger points generates and maintains the pain, especially in episodic TTH.</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Central sensitisation: In chronic TTH, increased excitability of central pain pathways (trigeminal nucleus caudalis) and reduced descending inhibition perpetuate headache largely independent of peripheral input.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Sleep disturbance: Insufficient, irregular or poor-quality sleep both triggers attacks and promotes progression from episodic to chronic TTH.</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Medication overuse: Frequent use of analgesics (simple analgesics on ≥ 15 days/month, or combination/opioid/triptan drugs on ≥ 10 days/month) can transform episodic TTH into chronic daily headache.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Precipitating lifestyle factors: Missed meals, dehydration, eye strain, fatigue and caffeine excess or withdrawal commonly provoke individual episodes.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Micronutrient deficiency: Vitamin D and vitamin B12 deficiency - both widespread in India - are associated with chronic tension-type headache and may lower pain thresholds.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(20-49 years)</w:t>
            </w:r>
          </w:p>
        </w:tc>
        <w:tc>
          <w:tcPr>
            <w:tcW w:type="dxa" w:w="4276"/>
            <w:vAlign w:val="top"/>
          </w:tcPr>
          <w:p>
            <w:pPr>
              <w:spacing w:after="60" w:line="259" w:lineRule="auto"/>
            </w:pPr>
            <w:r>
              <w:rPr>
                <w:rFonts w:ascii="Calibri" w:hAnsi="Calibri"/>
                <w:b w:val="0"/>
                <w:i w:val="0"/>
                <w:color w:val="212121"/>
                <w:sz w:val="19"/>
              </w:rPr>
              <w:t>TTH peaks during the most stressful, screen-intensive working years; sustained mental stress, deadline pressure, prolonged desk/computer posture and irregular sleep drive pericranial muscle tension and recurrent episodic headache.</w:t>
            </w:r>
          </w:p>
          <w:p>
            <w:pPr>
              <w:spacing w:after="40" w:before="60" w:line="259" w:lineRule="auto"/>
            </w:pPr>
            <w:r>
              <w:rPr>
                <w:rFonts w:ascii="Calibri" w:hAnsi="Calibri"/>
                <w:b w:val="0"/>
                <w:i w:val="0"/>
                <w:color w:val="212121"/>
                <w:sz w:val="19"/>
              </w:rPr>
              <w:t>The mean age of onset is about 25-30 years; in the Karnataka community study TTH prevalence was highest in young adults, at 40.1% among those aged 18-25 years, declining with age.</w:t>
            </w:r>
          </w:p>
          <w:p>
            <w:pPr>
              <w:spacing w:after="40" w:line="252" w:lineRule="auto"/>
            </w:pPr>
            <w:hyperlink r:id="rId9">
              <w:r>
                <w:rPr>
                  <w:rFonts w:ascii="Calibri" w:hAnsi="Calibri" w:cs="Calibri"/>
                  <w:sz w:val="18"/>
                  <w:color w:val="1155CC"/>
                  <w:u w:val="single"/>
                </w:rPr>
                <w:t xml:space="preserve">link.springer.com — Headache disorders in Karnataka, India</w:t>
              </w:r>
            </w:hyperlink>
          </w:p>
          <w:p>
            <w:pPr>
              <w:spacing w:before="60" w:after="40"/>
            </w:pPr>
            <w:r>
              <w:rPr>
                <w:rFonts w:ascii="Calibri" w:hAnsi="Calibri"/>
                <w:b w:val="0"/>
                <w:i w:val="0"/>
                <w:color w:val="5A5A5A"/>
                <w:sz w:val="18"/>
              </w:rPr>
              <w:t>#workstress  #youngadults  #screentime  #posture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The prevalence of TTH falls with age, but it persists; importantly, a new or changed headache in an older adult must first be evaluated to exclude secondary causes such as giant cell arteritis, a mass lesion or medication effects.</w:t>
            </w:r>
          </w:p>
          <w:p>
            <w:pPr>
              <w:spacing w:after="40" w:before="60" w:line="259" w:lineRule="auto"/>
            </w:pPr>
            <w:r>
              <w:rPr>
                <w:rFonts w:ascii="Calibri" w:hAnsi="Calibri"/>
                <w:b w:val="0"/>
                <w:i w:val="0"/>
                <w:color w:val="212121"/>
                <w:sz w:val="19"/>
              </w:rPr>
              <w:t>In the Karnataka study TTH 1-year prevalence declined to 28.7% in those aged 56 years and above.</w:t>
            </w:r>
          </w:p>
          <w:p>
            <w:pPr>
              <w:spacing w:after="40" w:line="252" w:lineRule="auto"/>
            </w:pPr>
            <w:hyperlink r:id="rId9">
              <w:r>
                <w:rPr>
                  <w:rFonts w:ascii="Calibri" w:hAnsi="Calibri" w:cs="Calibri"/>
                  <w:sz w:val="18"/>
                  <w:color w:val="1155CC"/>
                  <w:u w:val="single"/>
                </w:rPr>
                <w:t xml:space="preserve">link.springer.com — Headache disorders in Karnataka, India</w:t>
              </w:r>
            </w:hyperlink>
          </w:p>
          <w:p>
            <w:pPr>
              <w:spacing w:before="60" w:after="40"/>
            </w:pPr>
            <w:r>
              <w:rPr>
                <w:rFonts w:ascii="Calibri" w:hAnsi="Calibri"/>
                <w:b w:val="0"/>
                <w:i w:val="0"/>
                <w:color w:val="5A5A5A"/>
                <w:sz w:val="18"/>
              </w:rPr>
              <w:t>#ageing  #redflags  #secondaryheadache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(especially chronic TTH)</w:t>
            </w:r>
          </w:p>
        </w:tc>
        <w:tc>
          <w:tcPr>
            <w:tcW w:type="dxa" w:w="4276"/>
            <w:vAlign w:val="top"/>
          </w:tcPr>
          <w:p>
            <w:pPr>
              <w:spacing w:after="60" w:line="259" w:lineRule="auto"/>
            </w:pPr>
            <w:r>
              <w:rPr>
                <w:rFonts w:ascii="Calibri" w:hAnsi="Calibri"/>
                <w:b w:val="0"/>
                <w:i w:val="0"/>
                <w:color w:val="212121"/>
                <w:sz w:val="19"/>
              </w:rPr>
              <w:t>Most populations show a modest female preponderance and a higher risk of the chronic form, linked to hormonal influences, higher reported stress and greater care-seeking; some Indian datasets, however, show near-equal rates between the sexes.</w:t>
            </w:r>
          </w:p>
          <w:p>
            <w:pPr>
              <w:spacing w:after="40" w:before="60" w:line="259" w:lineRule="auto"/>
            </w:pPr>
            <w:r>
              <w:rPr>
                <w:rFonts w:ascii="Calibri" w:hAnsi="Calibri"/>
                <w:b w:val="0"/>
                <w:i w:val="0"/>
                <w:color w:val="212121"/>
                <w:sz w:val="19"/>
              </w:rPr>
              <w:t>Worldwide the female-to-male ratio is roughly 3:2 up to 3:1, and chronic TTH is commoner in women; a Jammu (North India) study found TTH in 12.89% of women vs 7.68% of men.</w:t>
            </w:r>
          </w:p>
          <w:p>
            <w:pPr>
              <w:spacing w:after="40" w:line="252" w:lineRule="auto"/>
            </w:pPr>
            <w:hyperlink r:id="rId10">
              <w:r>
                <w:rPr>
                  <w:rFonts w:ascii="Calibri" w:hAnsi="Calibri" w:cs="Calibri"/>
                  <w:sz w:val="18"/>
                  <w:color w:val="1155CC"/>
                  <w:u w:val="single"/>
                </w:rPr>
                <w:t xml:space="preserve">pubmed.ncbi.nlm.nih.gov/36686511 — Headache in Jammu, North India</w:t>
              </w:r>
            </w:hyperlink>
          </w:p>
          <w:p>
            <w:pPr>
              <w:spacing w:before="60" w:after="40"/>
            </w:pPr>
            <w:r>
              <w:rPr>
                <w:rFonts w:ascii="Calibri" w:hAnsi="Calibri"/>
                <w:b w:val="0"/>
                <w:i w:val="0"/>
                <w:color w:val="5A5A5A"/>
                <w:sz w:val="18"/>
              </w:rPr>
              <w:t>#women  #hormonal  #chronicTTH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 occupation</w:t>
            </w:r>
          </w:p>
        </w:tc>
        <w:tc>
          <w:tcPr>
            <w:tcW w:type="dxa" w:w="2160"/>
            <w:vAlign w:val="top"/>
          </w:tcPr>
          <w:p>
            <w:pPr>
              <w:spacing w:after="40" w:before="0" w:line="259" w:lineRule="auto"/>
            </w:pPr>
            <w:r>
              <w:rPr>
                <w:rFonts w:ascii="Calibri" w:hAnsi="Calibri"/>
                <w:b w:val="0"/>
                <w:i w:val="0"/>
                <w:color w:val="212121"/>
                <w:sz w:val="19"/>
              </w:rPr>
              <w:t>Students and knowledge/IT/office workers</w:t>
            </w:r>
          </w:p>
        </w:tc>
        <w:tc>
          <w:tcPr>
            <w:tcW w:type="dxa" w:w="4276"/>
            <w:vAlign w:val="top"/>
          </w:tcPr>
          <w:p>
            <w:pPr>
              <w:spacing w:after="60" w:line="259" w:lineRule="auto"/>
            </w:pPr>
            <w:r>
              <w:rPr>
                <w:rFonts w:ascii="Calibri" w:hAnsi="Calibri"/>
                <w:b w:val="0"/>
                <w:i w:val="0"/>
                <w:color w:val="212121"/>
                <w:sz w:val="19"/>
              </w:rPr>
              <w:t>High cognitive load, examination and deadline stress, long hours at screens with a fixed neck posture and irregular sleep make students and office/IT workers a classic TTH group; sustained trapezius contraction is a key mechanism.</w:t>
            </w:r>
          </w:p>
          <w:p>
            <w:pPr>
              <w:spacing w:after="40" w:before="60" w:line="259" w:lineRule="auto"/>
            </w:pPr>
            <w:r>
              <w:rPr>
                <w:rFonts w:ascii="Calibri" w:hAnsi="Calibri"/>
                <w:b w:val="0"/>
                <w:i w:val="0"/>
                <w:color w:val="212121"/>
                <w:sz w:val="19"/>
              </w:rPr>
              <w:t>Trapezius muscle tenderness correlates with headache intensity and frequency in office workers, and reduced neck-extensor strength is documented in TTH sufferers.</w:t>
            </w:r>
          </w:p>
          <w:p>
            <w:pPr>
              <w:spacing w:after="40" w:line="252" w:lineRule="auto"/>
            </w:pPr>
            <w:hyperlink r:id="rId11">
              <w:r>
                <w:rPr>
                  <w:rFonts w:ascii="Calibri" w:hAnsi="Calibri" w:cs="Calibri"/>
                  <w:sz w:val="18"/>
                  <w:color w:val="1155CC"/>
                  <w:u w:val="single"/>
                </w:rPr>
                <w:t xml:space="preserve">ncbi.nlm.nih.gov — StatPearls: Muscle Contraction Tension Headache</w:t>
              </w:r>
            </w:hyperlink>
          </w:p>
          <w:p>
            <w:pPr>
              <w:spacing w:before="60" w:after="40"/>
            </w:pPr>
            <w:r>
              <w:rPr>
                <w:rFonts w:ascii="Calibri" w:hAnsi="Calibri"/>
                <w:b w:val="0"/>
                <w:i w:val="0"/>
                <w:color w:val="5A5A5A"/>
                <w:sz w:val="18"/>
              </w:rPr>
              <w:t>#students  #ITworkers  #examstress  #deskwork</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and South Indian populations</w:t>
            </w:r>
          </w:p>
        </w:tc>
        <w:tc>
          <w:tcPr>
            <w:tcW w:type="dxa" w:w="4276"/>
            <w:vAlign w:val="top"/>
          </w:tcPr>
          <w:p>
            <w:pPr>
              <w:spacing w:after="60" w:line="259" w:lineRule="auto"/>
            </w:pPr>
            <w:r>
              <w:rPr>
                <w:rFonts w:ascii="Calibri" w:hAnsi="Calibri"/>
                <w:b w:val="0"/>
                <w:i w:val="0"/>
                <w:color w:val="212121"/>
                <w:sz w:val="19"/>
              </w:rPr>
              <w:t>Community surveys report a high headache burden across India, with TTH somewhat more common in rural than urban residents, reflecting differences in occupation, physical strain, stress and healthcare access.</w:t>
            </w:r>
          </w:p>
          <w:p>
            <w:pPr>
              <w:spacing w:after="40" w:before="60" w:line="259" w:lineRule="auto"/>
            </w:pPr>
            <w:r>
              <w:rPr>
                <w:rFonts w:ascii="Calibri" w:hAnsi="Calibri"/>
                <w:b w:val="0"/>
                <w:i w:val="0"/>
                <w:color w:val="212121"/>
                <w:sz w:val="19"/>
              </w:rPr>
              <w:t>In Karnataka, TTH 1-year prevalence was 38.4% in rural vs 32.2% in urban residents, within an overall headache prevalence of 63.9%.</w:t>
            </w:r>
          </w:p>
          <w:p>
            <w:pPr>
              <w:spacing w:after="40" w:line="252" w:lineRule="auto"/>
            </w:pPr>
            <w:hyperlink r:id="rId9">
              <w:r>
                <w:rPr>
                  <w:rFonts w:ascii="Calibri" w:hAnsi="Calibri" w:cs="Calibri"/>
                  <w:sz w:val="18"/>
                  <w:color w:val="1155CC"/>
                  <w:u w:val="single"/>
                </w:rPr>
                <w:t xml:space="preserve">link.springer.com — Headache disorders in Karnataka, India</w:t>
              </w:r>
            </w:hyperlink>
          </w:p>
          <w:p>
            <w:pPr>
              <w:spacing w:before="60" w:after="40"/>
            </w:pPr>
            <w:r>
              <w:rPr>
                <w:rFonts w:ascii="Calibri" w:hAnsi="Calibri"/>
                <w:b w:val="0"/>
                <w:i w:val="0"/>
                <w:color w:val="5A5A5A"/>
                <w:sz w:val="18"/>
              </w:rPr>
              <w:t>#india  #rural  #southindia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Delhi &amp; North-Indian urban belt</w:t>
            </w:r>
          </w:p>
        </w:tc>
        <w:tc>
          <w:tcPr>
            <w:tcW w:type="dxa" w:w="4276"/>
            <w:vAlign w:val="top"/>
          </w:tcPr>
          <w:p>
            <w:pPr>
              <w:spacing w:after="60" w:line="259" w:lineRule="auto"/>
            </w:pPr>
            <w:r>
              <w:rPr>
                <w:rFonts w:ascii="Calibri" w:hAnsi="Calibri"/>
                <w:b w:val="0"/>
                <w:i w:val="0"/>
                <w:color w:val="212121"/>
                <w:sz w:val="19"/>
              </w:rPr>
              <w:t>Dense urban living, occupational and financial stress, air pollution, long commutes and heavy screen use contribute to a very high headache burden in the National Capital Region.</w:t>
            </w:r>
          </w:p>
          <w:p>
            <w:pPr>
              <w:spacing w:after="40" w:before="60" w:line="259" w:lineRule="auto"/>
            </w:pPr>
            <w:r>
              <w:rPr>
                <w:rFonts w:ascii="Calibri" w:hAnsi="Calibri"/>
                <w:b w:val="0"/>
                <w:i w:val="0"/>
                <w:color w:val="212121"/>
                <w:sz w:val="19"/>
              </w:rPr>
              <w:t>In a Delhi/NCR population study, 1-year TTH prevalence was 34.1% and lifetime prevalence of any headache was 92.8%.</w:t>
            </w:r>
          </w:p>
          <w:p>
            <w:pPr>
              <w:spacing w:after="40" w:line="252" w:lineRule="auto"/>
            </w:pPr>
            <w:hyperlink r:id="rId12">
              <w:r>
                <w:rPr>
                  <w:rFonts w:ascii="Calibri" w:hAnsi="Calibri" w:cs="Calibri"/>
                  <w:sz w:val="18"/>
                  <w:color w:val="1155CC"/>
                  <w:u w:val="single"/>
                </w:rPr>
                <w:t xml:space="preserve">thejournalofheadacheandpain.biomedcentral.com — Delhi/NCR headache prevalence</w:t>
              </w:r>
            </w:hyperlink>
          </w:p>
          <w:p>
            <w:pPr>
              <w:spacing w:before="60" w:after="40"/>
            </w:pPr>
            <w:r>
              <w:rPr>
                <w:rFonts w:ascii="Calibri" w:hAnsi="Calibri"/>
                <w:b w:val="0"/>
                <w:i w:val="0"/>
                <w:color w:val="5A5A5A"/>
                <w:sz w:val="18"/>
              </w:rPr>
              <w:t>#india  #delhi  #urbanstress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posture</w:t>
            </w:r>
          </w:p>
        </w:tc>
        <w:tc>
          <w:tcPr>
            <w:tcW w:type="dxa" w:w="2160"/>
            <w:vAlign w:val="top"/>
          </w:tcPr>
          <w:p>
            <w:pPr>
              <w:spacing w:after="40" w:before="0" w:line="259" w:lineRule="auto"/>
            </w:pPr>
            <w:r>
              <w:rPr>
                <w:rFonts w:ascii="Calibri" w:hAnsi="Calibri"/>
                <w:b w:val="0"/>
                <w:i w:val="0"/>
                <w:color w:val="212121"/>
                <w:sz w:val="19"/>
              </w:rPr>
              <w:t>Prolonged screen &amp; smartphone users with forward-head posture</w:t>
            </w:r>
          </w:p>
        </w:tc>
        <w:tc>
          <w:tcPr>
            <w:tcW w:type="dxa" w:w="4276"/>
            <w:vAlign w:val="top"/>
          </w:tcPr>
          <w:p>
            <w:pPr>
              <w:spacing w:after="60" w:line="259" w:lineRule="auto"/>
            </w:pPr>
            <w:r>
              <w:rPr>
                <w:rFonts w:ascii="Calibri" w:hAnsi="Calibri"/>
                <w:b w:val="0"/>
                <w:i w:val="0"/>
                <w:color w:val="212121"/>
                <w:sz w:val="19"/>
              </w:rPr>
              <w:t>Static loading of neck and shoulder muscles during prolonged sitting and device use, with a forward-head posture, sustains pericranial muscle tension and myofascial trigger points that generate and maintain the headache.</w:t>
            </w:r>
          </w:p>
          <w:p>
            <w:pPr>
              <w:spacing w:after="40" w:before="60" w:line="259" w:lineRule="auto"/>
            </w:pPr>
            <w:r>
              <w:rPr>
                <w:rFonts w:ascii="Calibri" w:hAnsi="Calibri"/>
                <w:b w:val="0"/>
                <w:i w:val="0"/>
                <w:color w:val="212121"/>
                <w:sz w:val="19"/>
              </w:rPr>
              <w:t>Screen time shows a strong positive correlation with headache duration (r ≈ 0.75) in young adults, and altered cervical posture is common in TTH sufferers.</w:t>
            </w:r>
          </w:p>
          <w:p>
            <w:pPr>
              <w:spacing w:after="40" w:line="252" w:lineRule="auto"/>
            </w:pPr>
            <w:hyperlink r:id="rId13">
              <w:r>
                <w:rPr>
                  <w:rFonts w:ascii="Calibri" w:hAnsi="Calibri" w:cs="Calibri"/>
                  <w:sz w:val="18"/>
                  <w:color w:val="1155CC"/>
                  <w:u w:val="single"/>
                </w:rPr>
                <w:t xml:space="preserve">ijclinmedcasereports.com — Digital-age headaches &amp; screen time</w:t>
              </w:r>
            </w:hyperlink>
          </w:p>
          <w:p>
            <w:pPr>
              <w:spacing w:before="60" w:after="40"/>
            </w:pPr>
            <w:r>
              <w:rPr>
                <w:rFonts w:ascii="Calibri" w:hAnsi="Calibri"/>
                <w:b w:val="0"/>
                <w:i w:val="0"/>
                <w:color w:val="5A5A5A"/>
                <w:sz w:val="18"/>
              </w:rPr>
              <w:t>#posture  #sedentary  #forwardhead  #screentime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w:t>
            </w:r>
          </w:p>
        </w:tc>
        <w:tc>
          <w:tcPr>
            <w:tcW w:type="dxa" w:w="2160"/>
            <w:vAlign w:val="top"/>
          </w:tcPr>
          <w:p>
            <w:pPr>
              <w:spacing w:after="40" w:before="0" w:line="259" w:lineRule="auto"/>
            </w:pPr>
            <w:r>
              <w:rPr>
                <w:rFonts w:ascii="Calibri" w:hAnsi="Calibri"/>
                <w:b w:val="0"/>
                <w:i w:val="0"/>
                <w:color w:val="212121"/>
                <w:sz w:val="19"/>
              </w:rPr>
              <w:t>Poor / irregular sleepers and shift workers</w:t>
            </w:r>
          </w:p>
        </w:tc>
        <w:tc>
          <w:tcPr>
            <w:tcW w:type="dxa" w:w="4276"/>
            <w:vAlign w:val="top"/>
          </w:tcPr>
          <w:p>
            <w:pPr>
              <w:spacing w:after="60" w:line="259" w:lineRule="auto"/>
            </w:pPr>
            <w:r>
              <w:rPr>
                <w:rFonts w:ascii="Calibri" w:hAnsi="Calibri"/>
                <w:b w:val="0"/>
                <w:i w:val="0"/>
                <w:color w:val="212121"/>
                <w:sz w:val="19"/>
              </w:rPr>
              <w:t>Insufficient, fragmented or irregular sleep is one of the commonest triggers and a key driver of progression from episodic to chronic TTH, partly through reduced orexinergic pain modulation and disinhibition of the trigeminal nucleus.</w:t>
            </w:r>
          </w:p>
          <w:p>
            <w:pPr>
              <w:spacing w:after="40" w:before="60" w:line="259" w:lineRule="auto"/>
            </w:pPr>
            <w:r>
              <w:rPr>
                <w:rFonts w:ascii="Calibri" w:hAnsi="Calibri"/>
                <w:b w:val="0"/>
                <w:i w:val="0"/>
                <w:color w:val="212121"/>
                <w:sz w:val="19"/>
              </w:rPr>
              <w:t>After stress, disturbed sleep is the most commonly reported precipitating factor for tension-type headache.</w:t>
            </w:r>
          </w:p>
          <w:p>
            <w:pPr>
              <w:spacing w:after="40" w:line="252" w:lineRule="auto"/>
            </w:pPr>
            <w:hyperlink r:id="rId11">
              <w:r>
                <w:rPr>
                  <w:rFonts w:ascii="Calibri" w:hAnsi="Calibri" w:cs="Calibri"/>
                  <w:sz w:val="18"/>
                  <w:color w:val="1155CC"/>
                  <w:u w:val="single"/>
                </w:rPr>
                <w:t xml:space="preserve">ncbi.nlm.nih.gov — StatPearls: Muscle Contraction Tension Headache</w:t>
              </w:r>
            </w:hyperlink>
          </w:p>
          <w:p>
            <w:pPr>
              <w:spacing w:before="60" w:after="40"/>
            </w:pPr>
            <w:r>
              <w:rPr>
                <w:rFonts w:ascii="Calibri" w:hAnsi="Calibri"/>
                <w:b w:val="0"/>
                <w:i w:val="0"/>
                <w:color w:val="5A5A5A"/>
                <w:sz w:val="18"/>
              </w:rPr>
              <w:t>#sleep  #shiftwork  #insomnia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 tobacco users</w:t>
            </w:r>
          </w:p>
        </w:tc>
        <w:tc>
          <w:tcPr>
            <w:tcW w:type="dxa" w:w="4276"/>
            <w:vAlign w:val="top"/>
          </w:tcPr>
          <w:p>
            <w:pPr>
              <w:spacing w:after="60" w:line="259" w:lineRule="auto"/>
            </w:pPr>
            <w:r>
              <w:rPr>
                <w:rFonts w:ascii="Calibri" w:hAnsi="Calibri"/>
                <w:b w:val="0"/>
                <w:i w:val="0"/>
                <w:color w:val="212121"/>
                <w:sz w:val="19"/>
              </w:rPr>
              <w:t>Nicotine and tobacco affect pain modulation, vascular tone and sleep; smoking is only weakly associated with TTH itself and matters more as a general health and comorbidity risk that can aggravate headache.</w:t>
            </w:r>
          </w:p>
          <w:p>
            <w:pPr>
              <w:spacing w:after="40" w:before="60" w:line="259" w:lineRule="auto"/>
            </w:pPr>
            <w:r>
              <w:rPr>
                <w:rFonts w:ascii="Calibri" w:hAnsi="Calibri"/>
                <w:b w:val="0"/>
                <w:i w:val="0"/>
                <w:color w:val="212121"/>
                <w:sz w:val="19"/>
              </w:rPr>
              <w:t>Evidence is indirect: tobacco use may influence pain thresholds and sleep quality, but it is not established as a primary cause of TTH.</w:t>
            </w:r>
          </w:p>
          <w:p>
            <w:pPr>
              <w:spacing w:before="60" w:after="40"/>
            </w:pPr>
            <w:r>
              <w:rPr>
                <w:rFonts w:ascii="Calibri" w:hAnsi="Calibri"/>
                <w:b w:val="0"/>
                <w:i w:val="0"/>
                <w:color w:val="5A5A5A"/>
                <w:sz w:val="18"/>
              </w:rPr>
              <w:t>#smoking  #tobacco</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Caffeine</w:t>
            </w:r>
          </w:p>
        </w:tc>
        <w:tc>
          <w:tcPr>
            <w:tcW w:type="dxa" w:w="2160"/>
            <w:vAlign w:val="top"/>
          </w:tcPr>
          <w:p>
            <w:pPr>
              <w:spacing w:after="40" w:before="0" w:line="259" w:lineRule="auto"/>
            </w:pPr>
            <w:r>
              <w:rPr>
                <w:rFonts w:ascii="Calibri" w:hAnsi="Calibri"/>
                <w:b w:val="0"/>
                <w:i w:val="0"/>
                <w:color w:val="212121"/>
                <w:sz w:val="19"/>
              </w:rPr>
              <w:t>Heavy tea / coffee / energy-drink users</w:t>
            </w:r>
          </w:p>
        </w:tc>
        <w:tc>
          <w:tcPr>
            <w:tcW w:type="dxa" w:w="4276"/>
            <w:vAlign w:val="top"/>
          </w:tcPr>
          <w:p>
            <w:pPr>
              <w:spacing w:after="60" w:line="259" w:lineRule="auto"/>
            </w:pPr>
            <w:r>
              <w:rPr>
                <w:rFonts w:ascii="Calibri" w:hAnsi="Calibri"/>
                <w:b w:val="0"/>
                <w:i w:val="0"/>
                <w:color w:val="212121"/>
                <w:sz w:val="19"/>
              </w:rPr>
              <w:t>Both caffeine overuse and abrupt withdrawal provoke tension-type headache; habitual heavy intake also fragments sleep and can contribute to caffeine-containing analgesic-combination overuse.</w:t>
            </w:r>
          </w:p>
          <w:p>
            <w:pPr>
              <w:spacing w:after="40" w:before="60" w:line="259" w:lineRule="auto"/>
            </w:pPr>
            <w:r>
              <w:rPr>
                <w:rFonts w:ascii="Calibri" w:hAnsi="Calibri"/>
                <w:b w:val="0"/>
                <w:i w:val="0"/>
                <w:color w:val="212121"/>
                <w:sz w:val="19"/>
              </w:rPr>
              <w:t>Caffeine excess and withdrawal are recognised precipitants of TTH, and caffeine-containing combination analgesics contribute to medication-overuse headache.</w:t>
            </w:r>
          </w:p>
          <w:p>
            <w:pPr>
              <w:spacing w:before="60" w:after="40"/>
            </w:pPr>
            <w:r>
              <w:rPr>
                <w:rFonts w:ascii="Calibri" w:hAnsi="Calibri"/>
                <w:b w:val="0"/>
                <w:i w:val="0"/>
                <w:color w:val="5A5A5A"/>
                <w:sz w:val="18"/>
              </w:rPr>
              <w:t>#caffeine  #withdrawal  #tea  #coffee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Meal &amp; fluid habits</w:t>
            </w:r>
          </w:p>
        </w:tc>
        <w:tc>
          <w:tcPr>
            <w:tcW w:type="dxa" w:w="2160"/>
            <w:vAlign w:val="top"/>
          </w:tcPr>
          <w:p>
            <w:pPr>
              <w:spacing w:after="40" w:before="0" w:line="259" w:lineRule="auto"/>
            </w:pPr>
            <w:r>
              <w:rPr>
                <w:rFonts w:ascii="Calibri" w:hAnsi="Calibri"/>
                <w:b w:val="0"/>
                <w:i w:val="0"/>
                <w:color w:val="212121"/>
                <w:sz w:val="19"/>
              </w:rPr>
              <w:t>Meal-skippers, dehydrated and fasting individuals</w:t>
            </w:r>
          </w:p>
        </w:tc>
        <w:tc>
          <w:tcPr>
            <w:tcW w:type="dxa" w:w="4276"/>
            <w:vAlign w:val="top"/>
          </w:tcPr>
          <w:p>
            <w:pPr>
              <w:spacing w:after="60" w:line="259" w:lineRule="auto"/>
            </w:pPr>
            <w:r>
              <w:rPr>
                <w:rFonts w:ascii="Calibri" w:hAnsi="Calibri"/>
                <w:b w:val="0"/>
                <w:i w:val="0"/>
                <w:color w:val="212121"/>
                <w:sz w:val="19"/>
              </w:rPr>
              <w:t>Skipped meals, low fluid intake and prolonged fasting are frequent precipitants of individual TTH episodes; busy students and workers who eat irregularly are especially prone.</w:t>
            </w:r>
          </w:p>
          <w:p>
            <w:pPr>
              <w:spacing w:after="40" w:before="60" w:line="259" w:lineRule="auto"/>
            </w:pPr>
            <w:r>
              <w:rPr>
                <w:rFonts w:ascii="Calibri" w:hAnsi="Calibri"/>
                <w:b w:val="0"/>
                <w:i w:val="0"/>
                <w:color w:val="212121"/>
                <w:sz w:val="19"/>
              </w:rPr>
              <w:t>Missed meals, fasting and dehydration are among the commonest self-reported triggers of tension-type headache.</w:t>
            </w:r>
          </w:p>
          <w:p>
            <w:pPr>
              <w:spacing w:before="60" w:after="40"/>
            </w:pPr>
            <w:r>
              <w:rPr>
                <w:rFonts w:ascii="Calibri" w:hAnsi="Calibri"/>
                <w:b w:val="0"/>
                <w:i w:val="0"/>
                <w:color w:val="5A5A5A"/>
                <w:sz w:val="18"/>
              </w:rPr>
              <w:t>#dehydration  #skippedmeals  #fasting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Vitamin D / B12-deficient individuals (common in India)</w:t>
            </w:r>
          </w:p>
        </w:tc>
        <w:tc>
          <w:tcPr>
            <w:tcW w:type="dxa" w:w="4276"/>
            <w:vAlign w:val="top"/>
          </w:tcPr>
          <w:p>
            <w:pPr>
              <w:spacing w:after="60" w:line="259" w:lineRule="auto"/>
            </w:pPr>
            <w:r>
              <w:rPr>
                <w:rFonts w:ascii="Calibri" w:hAnsi="Calibri"/>
                <w:b w:val="0"/>
                <w:i w:val="0"/>
                <w:color w:val="212121"/>
                <w:sz w:val="19"/>
              </w:rPr>
              <w:t>Deficiency of vitamin D and vitamin B12 is associated with chronic TTH and may lower pain thresholds; both deficiencies are highly prevalent in the Indian population, particularly in vegetarians and those with low sun exposure.</w:t>
            </w:r>
          </w:p>
          <w:p>
            <w:pPr>
              <w:spacing w:after="40" w:before="60" w:line="259" w:lineRule="auto"/>
            </w:pPr>
            <w:r>
              <w:rPr>
                <w:rFonts w:ascii="Calibri" w:hAnsi="Calibri"/>
                <w:b w:val="0"/>
                <w:i w:val="0"/>
                <w:color w:val="212121"/>
                <w:sz w:val="19"/>
              </w:rPr>
              <w:t>Vitamin D deficiency was found in 70% of chronic TTH patients versus 25% of controls, and 24% of one control group had vitamin B12 levels below 200 pg/mL.</w:t>
            </w:r>
          </w:p>
          <w:p>
            <w:pPr>
              <w:spacing w:after="40" w:line="252" w:lineRule="auto"/>
            </w:pPr>
            <w:hyperlink r:id="rId11">
              <w:r>
                <w:rPr>
                  <w:rFonts w:ascii="Calibri" w:hAnsi="Calibri" w:cs="Calibri"/>
                  <w:sz w:val="18"/>
                  <w:color w:val="1155CC"/>
                  <w:u w:val="single"/>
                </w:rPr>
                <w:t xml:space="preserve">ncbi.nlm.nih.gov — StatPearls: Muscle Contraction Tension Headache</w:t>
              </w:r>
            </w:hyperlink>
          </w:p>
          <w:p>
            <w:pPr>
              <w:spacing w:before="60" w:after="40"/>
            </w:pPr>
            <w:r>
              <w:rPr>
                <w:rFonts w:ascii="Calibri" w:hAnsi="Calibri"/>
                <w:b w:val="0"/>
                <w:i w:val="0"/>
                <w:color w:val="5A5A5A"/>
                <w:sz w:val="18"/>
              </w:rPr>
              <w:t>#vitaminD  #B12  #deficiency  #india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chronic TTH</w:t>
            </w:r>
          </w:p>
        </w:tc>
        <w:tc>
          <w:tcPr>
            <w:tcW w:type="dxa" w:w="4276"/>
            <w:vAlign w:val="top"/>
          </w:tcPr>
          <w:p>
            <w:pPr>
              <w:spacing w:after="60" w:line="259" w:lineRule="auto"/>
            </w:pPr>
            <w:r>
              <w:rPr>
                <w:rFonts w:ascii="Calibri" w:hAnsi="Calibri"/>
                <w:b w:val="0"/>
                <w:i w:val="0"/>
                <w:color w:val="212121"/>
                <w:sz w:val="19"/>
              </w:rPr>
              <w:t>Chronic TTH shows familial aggregation; first-degree relatives have an increased risk, reflecting shared genetic susceptibility in central pain processing together with common environmental and lifestyle factors.</w:t>
            </w:r>
          </w:p>
          <w:p>
            <w:pPr>
              <w:spacing w:after="40" w:before="60" w:line="259" w:lineRule="auto"/>
            </w:pPr>
            <w:r>
              <w:rPr>
                <w:rFonts w:ascii="Calibri" w:hAnsi="Calibri"/>
                <w:b w:val="0"/>
                <w:i w:val="0"/>
                <w:color w:val="212121"/>
                <w:sz w:val="19"/>
              </w:rPr>
              <w:t>First-degree relatives of patients with chronic TTH have a higher risk of chronic TTH than the general population, supporting a heritable component (stronger for the chronic than the episodic form).</w:t>
            </w:r>
          </w:p>
          <w:p>
            <w:pPr>
              <w:spacing w:before="60" w:after="40"/>
            </w:pPr>
            <w:r>
              <w:rPr>
                <w:rFonts w:ascii="Calibri" w:hAnsi="Calibri"/>
                <w:b w:val="0"/>
                <w:i w:val="0"/>
                <w:color w:val="5A5A5A"/>
                <w:sz w:val="18"/>
              </w:rPr>
              <w:t>#familyhistory  #heritable  #chronicTTH</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Anxiety &amp; depression</w:t>
            </w:r>
          </w:p>
        </w:tc>
        <w:tc>
          <w:tcPr>
            <w:tcW w:type="dxa" w:w="2160"/>
            <w:vAlign w:val="top"/>
          </w:tcPr>
          <w:p>
            <w:pPr>
              <w:spacing w:after="40" w:before="0" w:line="259" w:lineRule="auto"/>
            </w:pPr>
            <w:r>
              <w:rPr>
                <w:rFonts w:ascii="Calibri" w:hAnsi="Calibri"/>
                <w:b w:val="0"/>
                <w:i w:val="0"/>
                <w:color w:val="212121"/>
                <w:sz w:val="19"/>
              </w:rPr>
              <w:t>Patients with anxiety or depressive disorders</w:t>
            </w:r>
          </w:p>
        </w:tc>
        <w:tc>
          <w:tcPr>
            <w:tcW w:type="dxa" w:w="4276"/>
            <w:vAlign w:val="top"/>
          </w:tcPr>
          <w:p>
            <w:pPr>
              <w:spacing w:after="60" w:line="259" w:lineRule="auto"/>
            </w:pPr>
            <w:r>
              <w:rPr>
                <w:rFonts w:ascii="Calibri" w:hAnsi="Calibri"/>
                <w:b w:val="0"/>
                <w:i w:val="0"/>
                <w:color w:val="212121"/>
                <w:sz w:val="19"/>
              </w:rPr>
              <w:t>Anxiety and depression are strongly and bidirectionally associated with TTH; they lower pain thresholds, increase muscle tension and promote progression to the chronic form, which in turn worsens mood.</w:t>
            </w:r>
          </w:p>
          <w:p>
            <w:pPr>
              <w:spacing w:after="40" w:before="60" w:line="259" w:lineRule="auto"/>
            </w:pPr>
            <w:r>
              <w:rPr>
                <w:rFonts w:ascii="Calibri" w:hAnsi="Calibri"/>
                <w:b w:val="0"/>
                <w:i w:val="0"/>
                <w:color w:val="212121"/>
                <w:sz w:val="19"/>
              </w:rPr>
              <w:t>In a case-control study of chronic TTH, state anxiety was present in 87.5% and depression in 72.5% of patients, versus 27.5% and 40% of controls respectively.</w:t>
            </w:r>
          </w:p>
          <w:p>
            <w:pPr>
              <w:spacing w:after="40" w:line="252" w:lineRule="auto"/>
            </w:pPr>
            <w:hyperlink r:id="rId14">
              <w:r>
                <w:rPr>
                  <w:rFonts w:ascii="Calibri" w:hAnsi="Calibri" w:cs="Calibri"/>
                  <w:sz w:val="18"/>
                  <w:color w:val="1155CC"/>
                  <w:u w:val="single"/>
                </w:rPr>
                <w:t xml:space="preserve">mdpi.com — Psychiatric comorbidity in chronic TTH</w:t>
              </w:r>
            </w:hyperlink>
          </w:p>
          <w:p>
            <w:pPr>
              <w:spacing w:before="60" w:after="40"/>
            </w:pPr>
            <w:r>
              <w:rPr>
                <w:rFonts w:ascii="Calibri" w:hAnsi="Calibri"/>
                <w:b w:val="0"/>
                <w:i w:val="0"/>
                <w:color w:val="5A5A5A"/>
                <w:sz w:val="18"/>
              </w:rPr>
              <w:t>#anxiety  #depression  #centralsensitisation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Medication overuse</w:t>
            </w:r>
          </w:p>
        </w:tc>
        <w:tc>
          <w:tcPr>
            <w:tcW w:type="dxa" w:w="2160"/>
            <w:vAlign w:val="top"/>
          </w:tcPr>
          <w:p>
            <w:pPr>
              <w:spacing w:after="40" w:before="0" w:line="259" w:lineRule="auto"/>
            </w:pPr>
            <w:r>
              <w:rPr>
                <w:rFonts w:ascii="Calibri" w:hAnsi="Calibri"/>
                <w:b w:val="0"/>
                <w:i w:val="0"/>
                <w:color w:val="212121"/>
                <w:sz w:val="19"/>
              </w:rPr>
              <w:t>Frequent analgesic users</w:t>
            </w:r>
          </w:p>
        </w:tc>
        <w:tc>
          <w:tcPr>
            <w:tcW w:type="dxa" w:w="4276"/>
            <w:vAlign w:val="top"/>
          </w:tcPr>
          <w:p>
            <w:pPr>
              <w:spacing w:after="60" w:line="259" w:lineRule="auto"/>
            </w:pPr>
            <w:r>
              <w:rPr>
                <w:rFonts w:ascii="Calibri" w:hAnsi="Calibri"/>
                <w:b w:val="0"/>
                <w:i w:val="0"/>
                <w:color w:val="212121"/>
                <w:sz w:val="19"/>
              </w:rPr>
              <w:t>Regular use of simple analgesics on ≥ 15 days/month, or combination/opioid/triptan drugs on ≥ 10 days/month, for more than 3 months transforms episodic into chronic daily headache (medication-overuse headache).</w:t>
            </w:r>
          </w:p>
          <w:p>
            <w:pPr>
              <w:spacing w:after="40" w:before="60" w:line="259" w:lineRule="auto"/>
            </w:pPr>
            <w:r>
              <w:rPr>
                <w:rFonts w:ascii="Calibri" w:hAnsi="Calibri"/>
                <w:b w:val="0"/>
                <w:i w:val="0"/>
                <w:color w:val="212121"/>
                <w:sz w:val="19"/>
              </w:rPr>
              <w:t>In the Delhi/NCR study, probable medication-overuse headache affected 3.0% of adults, and far more women (4.3%) than men (0.7%).</w:t>
            </w:r>
          </w:p>
          <w:p>
            <w:pPr>
              <w:spacing w:after="40" w:line="252" w:lineRule="auto"/>
            </w:pPr>
            <w:hyperlink r:id="rId12">
              <w:r>
                <w:rPr>
                  <w:rFonts w:ascii="Calibri" w:hAnsi="Calibri" w:cs="Calibri"/>
                  <w:sz w:val="18"/>
                  <w:color w:val="1155CC"/>
                  <w:u w:val="single"/>
                </w:rPr>
                <w:t xml:space="preserve">thejournalofheadacheandpain.biomedcentral.com — Delhi/NCR headache prevalence</w:t>
              </w:r>
            </w:hyperlink>
          </w:p>
          <w:p>
            <w:pPr>
              <w:spacing w:before="60" w:after="40"/>
            </w:pPr>
            <w:r>
              <w:rPr>
                <w:rFonts w:ascii="Calibri" w:hAnsi="Calibri"/>
                <w:b w:val="0"/>
                <w:i w:val="0"/>
                <w:color w:val="5A5A5A"/>
                <w:sz w:val="18"/>
              </w:rPr>
              <w:t>#MOH  #analgesicoveruse  #chronification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Cervical &amp; temporomandibular disorders</w:t>
            </w:r>
          </w:p>
        </w:tc>
        <w:tc>
          <w:tcPr>
            <w:tcW w:type="dxa" w:w="2160"/>
            <w:vAlign w:val="top"/>
          </w:tcPr>
          <w:p>
            <w:pPr>
              <w:spacing w:after="40" w:before="0" w:line="259" w:lineRule="auto"/>
            </w:pPr>
            <w:r>
              <w:rPr>
                <w:rFonts w:ascii="Calibri" w:hAnsi="Calibri"/>
                <w:b w:val="0"/>
                <w:i w:val="0"/>
                <w:color w:val="212121"/>
                <w:sz w:val="19"/>
              </w:rPr>
              <w:t>Chronic neck pain, cervical spondylosis, TMD</w:t>
            </w:r>
          </w:p>
        </w:tc>
        <w:tc>
          <w:tcPr>
            <w:tcW w:type="dxa" w:w="4276"/>
            <w:vAlign w:val="top"/>
          </w:tcPr>
          <w:p>
            <w:pPr>
              <w:spacing w:after="60" w:line="259" w:lineRule="auto"/>
            </w:pPr>
            <w:r>
              <w:rPr>
                <w:rFonts w:ascii="Calibri" w:hAnsi="Calibri"/>
                <w:b w:val="0"/>
                <w:i w:val="0"/>
                <w:color w:val="212121"/>
                <w:sz w:val="19"/>
              </w:rPr>
              <w:t>Neck pain, cervical spondylosis and temporomandibular joint dysfunction share myofascial pain mechanisms with TTH and frequently coexist, aggravating pericranial muscle tenderness and headache frequency.</w:t>
            </w:r>
          </w:p>
          <w:p>
            <w:pPr>
              <w:spacing w:after="40" w:before="60" w:line="259" w:lineRule="auto"/>
            </w:pPr>
            <w:r>
              <w:rPr>
                <w:rFonts w:ascii="Calibri" w:hAnsi="Calibri"/>
                <w:b w:val="0"/>
                <w:i w:val="0"/>
                <w:color w:val="212121"/>
                <w:sz w:val="19"/>
              </w:rPr>
              <w:t>Coexisting neck pain and jaw-muscle (temporomandibular) dysfunction are commonly found in TTH and amplify pericranial tenderness.</w:t>
            </w:r>
          </w:p>
          <w:p>
            <w:pPr>
              <w:spacing w:before="60" w:after="40"/>
            </w:pPr>
            <w:r>
              <w:rPr>
                <w:rFonts w:ascii="Calibri" w:hAnsi="Calibri"/>
                <w:b w:val="0"/>
                <w:i w:val="0"/>
                <w:color w:val="5A5A5A"/>
                <w:sz w:val="18"/>
              </w:rPr>
              <w:t>#neckpain  #TMD  #cervical  #myofascial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Insomnia &amp; sleep disorders</w:t>
            </w:r>
          </w:p>
        </w:tc>
        <w:tc>
          <w:tcPr>
            <w:tcW w:type="dxa" w:w="2160"/>
            <w:vAlign w:val="top"/>
          </w:tcPr>
          <w:p>
            <w:pPr>
              <w:spacing w:after="40" w:before="0" w:line="259" w:lineRule="auto"/>
            </w:pPr>
            <w:r>
              <w:rPr>
                <w:rFonts w:ascii="Calibri" w:hAnsi="Calibri"/>
                <w:b w:val="0"/>
                <w:i w:val="0"/>
                <w:color w:val="212121"/>
                <w:sz w:val="19"/>
              </w:rPr>
              <w:t>Patients with insomnia or obstructive sleep apnoea</w:t>
            </w:r>
          </w:p>
        </w:tc>
        <w:tc>
          <w:tcPr>
            <w:tcW w:type="dxa" w:w="4276"/>
            <w:vAlign w:val="top"/>
          </w:tcPr>
          <w:p>
            <w:pPr>
              <w:spacing w:after="60" w:line="259" w:lineRule="auto"/>
            </w:pPr>
            <w:r>
              <w:rPr>
                <w:rFonts w:ascii="Calibri" w:hAnsi="Calibri"/>
                <w:b w:val="0"/>
                <w:i w:val="0"/>
                <w:color w:val="212121"/>
                <w:sz w:val="19"/>
              </w:rPr>
              <w:t>Primary sleep disorders perpetuate central sensitisation and are common comorbidities, particularly in chronic TTH; treating the underlying sleep disorder often reduces headache frequency.</w:t>
            </w:r>
          </w:p>
          <w:p>
            <w:pPr>
              <w:spacing w:after="40" w:before="60" w:line="259" w:lineRule="auto"/>
            </w:pPr>
            <w:r>
              <w:rPr>
                <w:rFonts w:ascii="Calibri" w:hAnsi="Calibri"/>
                <w:b w:val="0"/>
                <w:i w:val="0"/>
                <w:color w:val="212121"/>
                <w:sz w:val="19"/>
              </w:rPr>
              <w:t>Sleep disturbance and insomnia are closely linked to TTH and are especially prevalent in the chronic form.</w:t>
            </w:r>
          </w:p>
          <w:p>
            <w:pPr>
              <w:spacing w:before="60" w:after="40"/>
            </w:pPr>
            <w:r>
              <w:rPr>
                <w:rFonts w:ascii="Calibri" w:hAnsi="Calibri"/>
                <w:b w:val="0"/>
                <w:i w:val="0"/>
                <w:color w:val="5A5A5A"/>
                <w:sz w:val="18"/>
              </w:rPr>
              <w:t>#insomnia  #sleepdisorder  #chronicTTH</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Sedentary behaviour, deconditioning and reduced neck-extensor strength are associated with TTH, while supervised aerobic exercise and neck/shoulder strengthening produce modest reductions in headache frequency, intensity and duration.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food causes TTH, but missed meals, fasting and dehydration are common episode triggers, and vitamin D/B12 deficiency - widespread in India - is associated with chronic TTH.</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Insufficient, irregular or poor-quality sleep is, after stress, the leading trigger of TTH and a major driver of progression from episodic to chronic headache.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Weak and indirect association; tobacco use affects pain modulation, sleep and general health but is not an established primary cause of tension-type headache.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causal link; alcohol can act as an occasional trigger and, through disturbed sleep and dehydration, may precipitate episodes in susceptible individuals.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Psychological stress, anxiety and depression are central to TTH - they are the commonest triggers and the strongest drivers of chronification, with anxiety and depression far more prevalent in chronic TTH than in controls.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Dehydration is a recognised precipitant of tension-type headache; maintaining adequate fluid intake helps prevent episodes, especially in hot Indian climates and among people who eat and drink irregularly.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Both caffeine overuse and abrupt withdrawal can provoke TTH, and caffeine-containing analgesic combinations contribute to medication-overuse headache.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role; general self-care and eye care - correcting refractive error and taking regular screen breaks - help reduce provoking factors such as eye strain.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Highly relevant: mental stress, sleep deprivation, missed meals, dehydration, eye strain, fatigue and caffeine excess or withdrawal are classic precipitants of individual attacks and should be sought in every patient.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Forward-head posture and prolonged static neck/shoulder loading during desk, screen and smartphone use sustain pericranial muscle tension and myofascial trigger points, a core mechanism of episodic TTH.</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 minutes/week</w:t>
            </w:r>
          </w:p>
        </w:tc>
        <w:tc>
          <w:tcPr>
            <w:tcW w:type="dxa" w:w="1512"/>
            <w:vAlign w:val="top"/>
          </w:tcPr>
          <w:p>
            <w:pPr>
              <w:spacing w:after="40" w:before="0" w:line="259" w:lineRule="auto"/>
            </w:pPr>
            <w:r>
              <w:rPr>
                <w:rFonts w:ascii="Calibri" w:hAnsi="Calibri"/>
                <w:b w:val="0"/>
                <w:i w:val="0"/>
                <w:color w:val="212121"/>
                <w:sz w:val="19"/>
              </w:rPr>
              <w:t>&lt; 150 min/week or largely sedentary</w:t>
            </w:r>
          </w:p>
        </w:tc>
        <w:tc>
          <w:tcPr>
            <w:tcW w:type="dxa" w:w="1468"/>
            <w:vAlign w:val="top"/>
          </w:tcPr>
          <w:p>
            <w:pPr>
              <w:spacing w:after="60" w:line="259" w:lineRule="auto"/>
            </w:pPr>
            <w:r>
              <w:rPr>
                <w:rFonts w:ascii="Calibri" w:hAnsi="Calibri"/>
                <w:b w:val="0"/>
                <w:i w:val="0"/>
                <w:color w:val="212121"/>
                <w:sz w:val="19"/>
              </w:rPr>
              <w:t>Regular aerobic activity modestly lowers headache frequency and stress</w:t>
            </w:r>
          </w:p>
          <w:p>
            <w:pPr>
              <w:spacing w:after="40" w:line="252" w:lineRule="auto"/>
            </w:pPr>
            <w:hyperlink r:id="rId11">
              <w:r>
                <w:rPr>
                  <w:rFonts w:ascii="Calibri" w:hAnsi="Calibri" w:cs="Calibri"/>
                  <w:sz w:val="18"/>
                  <w:color w:val="1155CC"/>
                  <w:u w:val="single"/>
                </w:rPr>
                <w:t xml:space="preserve">https://www.ncbi.nlm.nih.gov/books/NBK562274/</w:t>
              </w:r>
            </w:hyperlink>
          </w:p>
        </w:tc>
      </w:tr>
      <w:tr>
        <w:trPr>
          <w:cantSplit/>
        </w:trPr>
        <w:tc>
          <w:tcPr>
            <w:tcW w:type="dxa" w:w="1512"/>
            <w:vMerge w:val="restart"/>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Continuous screen/desk time without a break</w:t>
            </w:r>
          </w:p>
        </w:tc>
        <w:tc>
          <w:tcPr>
            <w:tcW w:type="dxa" w:w="1655"/>
            <w:vAlign w:val="top"/>
          </w:tcPr>
          <w:p>
            <w:pPr>
              <w:spacing w:after="40" w:before="0" w:line="259" w:lineRule="auto"/>
            </w:pPr>
            <w:r>
              <w:rPr>
                <w:rFonts w:ascii="Calibri" w:hAnsi="Calibri"/>
                <w:b w:val="0"/>
                <w:i w:val="0"/>
                <w:color w:val="212121"/>
                <w:sz w:val="19"/>
              </w:rPr>
              <w:t>Desk &amp; IT workers, students</w:t>
            </w:r>
          </w:p>
        </w:tc>
        <w:tc>
          <w:tcPr>
            <w:tcW w:type="dxa" w:w="1512"/>
            <w:vAlign w:val="top"/>
          </w:tcPr>
          <w:p>
            <w:pPr>
              <w:spacing w:after="40" w:before="0" w:line="259" w:lineRule="auto"/>
            </w:pPr>
            <w:r>
              <w:rPr>
                <w:rFonts w:ascii="Calibri" w:hAnsi="Calibri"/>
                <w:b w:val="0"/>
                <w:i w:val="0"/>
                <w:color w:val="212121"/>
                <w:sz w:val="19"/>
              </w:rPr>
              <w:t>Micro-break every 30-50 min</w:t>
            </w:r>
          </w:p>
        </w:tc>
        <w:tc>
          <w:tcPr>
            <w:tcW w:type="dxa" w:w="1512"/>
            <w:vAlign w:val="top"/>
          </w:tcPr>
          <w:p>
            <w:pPr>
              <w:spacing w:after="40" w:before="0" w:line="259" w:lineRule="auto"/>
            </w:pPr>
            <w:r>
              <w:rPr>
                <w:rFonts w:ascii="Calibri" w:hAnsi="Calibri"/>
                <w:b w:val="0"/>
                <w:i w:val="0"/>
                <w:color w:val="212121"/>
                <w:sz w:val="19"/>
              </w:rPr>
              <w:t>&gt; 2 h continuous fixed posture</w:t>
            </w:r>
          </w:p>
        </w:tc>
        <w:tc>
          <w:tcPr>
            <w:tcW w:type="dxa" w:w="1468"/>
            <w:vAlign w:val="top"/>
          </w:tcPr>
          <w:p>
            <w:pPr>
              <w:spacing w:after="60" w:line="259" w:lineRule="auto"/>
            </w:pPr>
            <w:r>
              <w:rPr>
                <w:rFonts w:ascii="Calibri" w:hAnsi="Calibri"/>
                <w:b w:val="0"/>
                <w:i w:val="0"/>
                <w:color w:val="212121"/>
                <w:sz w:val="19"/>
              </w:rPr>
              <w:t>Sustained static neck load provokes pericranial muscle tension</w:t>
            </w:r>
          </w:p>
          <w:p>
            <w:pPr>
              <w:spacing w:after="40" w:line="252" w:lineRule="auto"/>
            </w:pPr>
            <w:hyperlink r:id="rId13">
              <w:r>
                <w:rPr>
                  <w:rFonts w:ascii="Calibri" w:hAnsi="Calibri" w:cs="Calibri"/>
                  <w:sz w:val="18"/>
                  <w:color w:val="1155CC"/>
                  <w:u w:val="single"/>
                </w:rPr>
                <w:t xml:space="preserve">https://ijclinmedcasereports.com/pdf/IJCMCR-RA-01212.pdf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Head/neck posture</w:t>
            </w:r>
          </w:p>
        </w:tc>
        <w:tc>
          <w:tcPr>
            <w:tcW w:type="dxa" w:w="1655"/>
            <w:vAlign w:val="top"/>
          </w:tcPr>
          <w:p>
            <w:pPr>
              <w:spacing w:after="40" w:before="0" w:line="259" w:lineRule="auto"/>
            </w:pPr>
            <w:r>
              <w:rPr>
                <w:rFonts w:ascii="Calibri" w:hAnsi="Calibri"/>
                <w:b w:val="0"/>
                <w:i w:val="0"/>
                <w:color w:val="212121"/>
                <w:sz w:val="19"/>
              </w:rPr>
              <w:t>Screen &amp; smartphone users</w:t>
            </w:r>
          </w:p>
        </w:tc>
        <w:tc>
          <w:tcPr>
            <w:tcW w:type="dxa" w:w="1512"/>
            <w:vAlign w:val="top"/>
          </w:tcPr>
          <w:p>
            <w:pPr>
              <w:spacing w:after="40" w:before="0" w:line="259" w:lineRule="auto"/>
            </w:pPr>
            <w:r>
              <w:rPr>
                <w:rFonts w:ascii="Calibri" w:hAnsi="Calibri"/>
                <w:b w:val="0"/>
                <w:i w:val="0"/>
                <w:color w:val="212121"/>
                <w:sz w:val="19"/>
              </w:rPr>
              <w:t>Neutral head over shoulders</w:t>
            </w:r>
          </w:p>
        </w:tc>
        <w:tc>
          <w:tcPr>
            <w:tcW w:type="dxa" w:w="1512"/>
            <w:vAlign w:val="top"/>
          </w:tcPr>
          <w:p>
            <w:pPr>
              <w:spacing w:after="40" w:before="0" w:line="259" w:lineRule="auto"/>
            </w:pPr>
            <w:r>
              <w:rPr>
                <w:rFonts w:ascii="Calibri" w:hAnsi="Calibri"/>
                <w:b w:val="0"/>
                <w:i w:val="0"/>
                <w:color w:val="212121"/>
                <w:sz w:val="19"/>
              </w:rPr>
              <w:t>Sustained forward-head posture</w:t>
            </w:r>
          </w:p>
        </w:tc>
        <w:tc>
          <w:tcPr>
            <w:tcW w:type="dxa" w:w="1468"/>
            <w:vAlign w:val="top"/>
          </w:tcPr>
          <w:p>
            <w:pPr>
              <w:spacing w:after="40" w:before="0" w:line="259" w:lineRule="auto"/>
            </w:pPr>
            <w:r>
              <w:rPr>
                <w:rFonts w:ascii="Calibri" w:hAnsi="Calibri"/>
                <w:b w:val="0"/>
                <w:i w:val="0"/>
                <w:color w:val="212121"/>
                <w:sz w:val="19"/>
              </w:rPr>
              <w:t>Increases suboccipital and trapezius load and trigger points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regularity</w:t>
            </w:r>
          </w:p>
        </w:tc>
        <w:tc>
          <w:tcPr>
            <w:tcW w:type="dxa" w:w="1655"/>
            <w:vAlign w:val="top"/>
          </w:tcPr>
          <w:p>
            <w:pPr>
              <w:spacing w:after="40" w:before="0" w:line="259" w:lineRule="auto"/>
            </w:pPr>
            <w:r>
              <w:rPr>
                <w:rFonts w:ascii="Calibri" w:hAnsi="Calibri"/>
                <w:b w:val="0"/>
                <w:i w:val="0"/>
                <w:color w:val="212121"/>
                <w:sz w:val="19"/>
              </w:rPr>
              <w:t>Adults, shift workers</w:t>
            </w:r>
          </w:p>
        </w:tc>
        <w:tc>
          <w:tcPr>
            <w:tcW w:type="dxa" w:w="1512"/>
            <w:vAlign w:val="top"/>
          </w:tcPr>
          <w:p>
            <w:pPr>
              <w:spacing w:after="40" w:before="0" w:line="259" w:lineRule="auto"/>
            </w:pPr>
            <w:r>
              <w:rPr>
                <w:rFonts w:ascii="Calibri" w:hAnsi="Calibri"/>
                <w:b w:val="0"/>
                <w:i w:val="0"/>
                <w:color w:val="212121"/>
                <w:sz w:val="19"/>
              </w:rPr>
              <w:t>7-9 hours/night, regular</w:t>
            </w:r>
          </w:p>
        </w:tc>
        <w:tc>
          <w:tcPr>
            <w:tcW w:type="dxa" w:w="1512"/>
            <w:vAlign w:val="top"/>
          </w:tcPr>
          <w:p>
            <w:pPr>
              <w:spacing w:after="40" w:before="0" w:line="259" w:lineRule="auto"/>
            </w:pPr>
            <w:r>
              <w:rPr>
                <w:rFonts w:ascii="Calibri" w:hAnsi="Calibri"/>
                <w:b w:val="0"/>
                <w:i w:val="0"/>
                <w:color w:val="212121"/>
                <w:sz w:val="19"/>
              </w:rPr>
              <w:t>&lt; 6 hours or irregular timing</w:t>
            </w:r>
          </w:p>
        </w:tc>
        <w:tc>
          <w:tcPr>
            <w:tcW w:type="dxa" w:w="1468"/>
            <w:vAlign w:val="top"/>
          </w:tcPr>
          <w:p>
            <w:pPr>
              <w:spacing w:after="60" w:line="259" w:lineRule="auto"/>
            </w:pPr>
            <w:r>
              <w:rPr>
                <w:rFonts w:ascii="Calibri" w:hAnsi="Calibri"/>
                <w:b w:val="0"/>
                <w:i w:val="0"/>
                <w:color w:val="212121"/>
                <w:sz w:val="19"/>
              </w:rPr>
              <w:t>Short/irregular sleep triggers attacks and drives chronification</w:t>
            </w:r>
          </w:p>
          <w:p>
            <w:pPr>
              <w:spacing w:after="40" w:line="252" w:lineRule="auto"/>
            </w:pPr>
            <w:hyperlink r:id="rId11">
              <w:r>
                <w:rPr>
                  <w:rFonts w:ascii="Calibri" w:hAnsi="Calibri" w:cs="Calibri"/>
                  <w:sz w:val="18"/>
                  <w:color w:val="1155CC"/>
                  <w:u w:val="single"/>
                </w:rPr>
                <w:t xml:space="preserve">https://www.ncbi.nlm.nih.gov/books/NBK562274/</w:t>
              </w:r>
            </w:hyperlink>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level</w:t>
            </w:r>
          </w:p>
        </w:tc>
        <w:tc>
          <w:tcPr>
            <w:tcW w:type="dxa" w:w="1655"/>
            <w:vAlign w:val="top"/>
          </w:tcPr>
          <w:p>
            <w:pPr>
              <w:spacing w:after="40" w:before="0" w:line="259" w:lineRule="auto"/>
            </w:pPr>
            <w:r>
              <w:rPr>
                <w:rFonts w:ascii="Calibri" w:hAnsi="Calibri"/>
                <w:b w:val="0"/>
                <w:i w:val="0"/>
                <w:color w:val="212121"/>
                <w:sz w:val="19"/>
              </w:rPr>
              <w:t>High-stress workers, students</w:t>
            </w:r>
          </w:p>
        </w:tc>
        <w:tc>
          <w:tcPr>
            <w:tcW w:type="dxa" w:w="1512"/>
            <w:vAlign w:val="top"/>
          </w:tcPr>
          <w:p>
            <w:pPr>
              <w:spacing w:after="40" w:before="0" w:line="259" w:lineRule="auto"/>
            </w:pPr>
            <w:r>
              <w:rPr>
                <w:rFonts w:ascii="Calibri" w:hAnsi="Calibri"/>
                <w:b w:val="0"/>
                <w:i w:val="0"/>
                <w:color w:val="212121"/>
                <w:sz w:val="19"/>
              </w:rPr>
              <w:t>Low-to-moderate, well managed</w:t>
            </w:r>
          </w:p>
        </w:tc>
        <w:tc>
          <w:tcPr>
            <w:tcW w:type="dxa" w:w="1512"/>
            <w:vAlign w:val="top"/>
          </w:tcPr>
          <w:p>
            <w:pPr>
              <w:spacing w:after="40" w:before="0" w:line="259" w:lineRule="auto"/>
            </w:pPr>
            <w:r>
              <w:rPr>
                <w:rFonts w:ascii="Calibri" w:hAnsi="Calibri"/>
                <w:b w:val="0"/>
                <w:i w:val="0"/>
                <w:color w:val="212121"/>
                <w:sz w:val="19"/>
              </w:rPr>
              <w:t>High, sustained psychological stress</w:t>
            </w:r>
          </w:p>
        </w:tc>
        <w:tc>
          <w:tcPr>
            <w:tcW w:type="dxa" w:w="1468"/>
            <w:vAlign w:val="top"/>
          </w:tcPr>
          <w:p>
            <w:pPr>
              <w:spacing w:after="40" w:before="0" w:line="259" w:lineRule="auto"/>
            </w:pPr>
            <w:r>
              <w:rPr>
                <w:rFonts w:ascii="Calibri" w:hAnsi="Calibri"/>
                <w:b w:val="0"/>
                <w:i w:val="0"/>
                <w:color w:val="212121"/>
                <w:sz w:val="19"/>
              </w:rPr>
              <w:t>Stress is the single most common TTH trigger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Anxiety / depression screen (GAD-7 / PHQ-9)</w:t>
            </w:r>
          </w:p>
        </w:tc>
        <w:tc>
          <w:tcPr>
            <w:tcW w:type="dxa" w:w="1655"/>
            <w:vAlign w:val="top"/>
          </w:tcPr>
          <w:p>
            <w:pPr>
              <w:spacing w:after="40" w:before="0" w:line="259" w:lineRule="auto"/>
            </w:pPr>
            <w:r>
              <w:rPr>
                <w:rFonts w:ascii="Calibri" w:hAnsi="Calibri"/>
                <w:b w:val="0"/>
                <w:i w:val="0"/>
                <w:color w:val="212121"/>
                <w:sz w:val="19"/>
              </w:rPr>
              <w:t>Frequent &amp; chronic TTH</w:t>
            </w:r>
          </w:p>
        </w:tc>
        <w:tc>
          <w:tcPr>
            <w:tcW w:type="dxa" w:w="1512"/>
            <w:vAlign w:val="top"/>
          </w:tcPr>
          <w:p>
            <w:pPr>
              <w:spacing w:after="40" w:before="0" w:line="259" w:lineRule="auto"/>
            </w:pPr>
            <w:r>
              <w:rPr>
                <w:rFonts w:ascii="Calibri" w:hAnsi="Calibri"/>
                <w:b w:val="0"/>
                <w:i w:val="0"/>
                <w:color w:val="212121"/>
                <w:sz w:val="19"/>
              </w:rPr>
              <w:t>GAD-7 &lt; 5 and PHQ-9 &lt; 5</w:t>
            </w:r>
          </w:p>
        </w:tc>
        <w:tc>
          <w:tcPr>
            <w:tcW w:type="dxa" w:w="1512"/>
            <w:vAlign w:val="top"/>
          </w:tcPr>
          <w:p>
            <w:pPr>
              <w:spacing w:after="40" w:before="0" w:line="259" w:lineRule="auto"/>
            </w:pPr>
            <w:r>
              <w:rPr>
                <w:rFonts w:ascii="Calibri" w:hAnsi="Calibri"/>
                <w:b w:val="0"/>
                <w:i w:val="0"/>
                <w:color w:val="212121"/>
                <w:sz w:val="19"/>
              </w:rPr>
              <w:t>GAD-7 ≥ 10 or PHQ-9 ≥ 10</w:t>
            </w:r>
          </w:p>
        </w:tc>
        <w:tc>
          <w:tcPr>
            <w:tcW w:type="dxa" w:w="1468"/>
            <w:vAlign w:val="top"/>
          </w:tcPr>
          <w:p>
            <w:pPr>
              <w:spacing w:after="60" w:line="259" w:lineRule="auto"/>
            </w:pPr>
            <w:r>
              <w:rPr>
                <w:rFonts w:ascii="Calibri" w:hAnsi="Calibri"/>
                <w:b w:val="0"/>
                <w:i w:val="0"/>
                <w:color w:val="212121"/>
                <w:sz w:val="19"/>
              </w:rPr>
              <w:t>Comorbid anxiety/depression drive chronic TTH</w:t>
            </w:r>
          </w:p>
          <w:p>
            <w:pPr>
              <w:spacing w:after="40" w:line="252" w:lineRule="auto"/>
            </w:pPr>
            <w:hyperlink r:id="rId14">
              <w:r>
                <w:rPr>
                  <w:rFonts w:ascii="Calibri" w:hAnsi="Calibri" w:cs="Calibri"/>
                  <w:sz w:val="18"/>
                  <w:color w:val="1155CC"/>
                  <w:u w:val="single"/>
                </w:rPr>
                <w:t xml:space="preserve">https://www.mdpi.com/2077-0383/11/17/5090</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400 mg/day, consistent</w:t>
            </w:r>
          </w:p>
        </w:tc>
        <w:tc>
          <w:tcPr>
            <w:tcW w:type="dxa" w:w="1512"/>
            <w:vAlign w:val="top"/>
          </w:tcPr>
          <w:p>
            <w:pPr>
              <w:spacing w:after="40" w:before="0" w:line="259" w:lineRule="auto"/>
            </w:pPr>
            <w:r>
              <w:rPr>
                <w:rFonts w:ascii="Calibri" w:hAnsi="Calibri"/>
                <w:b w:val="0"/>
                <w:i w:val="0"/>
                <w:color w:val="212121"/>
                <w:sz w:val="19"/>
              </w:rPr>
              <w:t>&gt; 400 mg/day or abrupt cessation</w:t>
            </w:r>
          </w:p>
        </w:tc>
        <w:tc>
          <w:tcPr>
            <w:tcW w:type="dxa" w:w="1468"/>
            <w:vAlign w:val="top"/>
          </w:tcPr>
          <w:p>
            <w:pPr>
              <w:spacing w:after="40" w:before="0" w:line="259" w:lineRule="auto"/>
            </w:pPr>
            <w:r>
              <w:rPr>
                <w:rFonts w:ascii="Calibri" w:hAnsi="Calibri"/>
                <w:b w:val="0"/>
                <w:i w:val="0"/>
                <w:color w:val="212121"/>
                <w:sz w:val="19"/>
              </w:rPr>
              <w:t>Both overuse and withdrawal provoke headache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2-3 litres/day</w:t>
            </w:r>
          </w:p>
        </w:tc>
        <w:tc>
          <w:tcPr>
            <w:tcW w:type="dxa" w:w="1512"/>
            <w:vAlign w:val="top"/>
          </w:tcPr>
          <w:p>
            <w:pPr>
              <w:spacing w:after="40" w:before="0" w:line="259" w:lineRule="auto"/>
            </w:pPr>
            <w:r>
              <w:rPr>
                <w:rFonts w:ascii="Calibri" w:hAnsi="Calibri"/>
                <w:b w:val="0"/>
                <w:i w:val="0"/>
                <w:color w:val="212121"/>
                <w:sz w:val="19"/>
              </w:rPr>
              <w:t>Inadequate intake / dehydration</w:t>
            </w:r>
          </w:p>
        </w:tc>
        <w:tc>
          <w:tcPr>
            <w:tcW w:type="dxa" w:w="1468"/>
            <w:vAlign w:val="top"/>
          </w:tcPr>
          <w:p>
            <w:pPr>
              <w:spacing w:after="40" w:before="0" w:line="259" w:lineRule="auto"/>
            </w:pPr>
            <w:r>
              <w:rPr>
                <w:rFonts w:ascii="Calibri" w:hAnsi="Calibri"/>
                <w:b w:val="0"/>
                <w:i w:val="0"/>
                <w:color w:val="212121"/>
                <w:sz w:val="19"/>
              </w:rPr>
              <w:t>Dehydration is a recognised precipitant</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Meal regularity</w:t>
            </w:r>
          </w:p>
        </w:tc>
        <w:tc>
          <w:tcPr>
            <w:tcW w:type="dxa" w:w="1655"/>
            <w:vAlign w:val="top"/>
          </w:tcPr>
          <w:p>
            <w:pPr>
              <w:spacing w:after="40" w:before="0" w:line="259" w:lineRule="auto"/>
            </w:pPr>
            <w:r>
              <w:rPr>
                <w:rFonts w:ascii="Calibri" w:hAnsi="Calibri"/>
                <w:b w:val="0"/>
                <w:i w:val="0"/>
                <w:color w:val="212121"/>
                <w:sz w:val="19"/>
              </w:rPr>
              <w:t>Students, busy workers</w:t>
            </w:r>
          </w:p>
        </w:tc>
        <w:tc>
          <w:tcPr>
            <w:tcW w:type="dxa" w:w="1512"/>
            <w:vAlign w:val="top"/>
          </w:tcPr>
          <w:p>
            <w:pPr>
              <w:spacing w:after="40" w:before="0" w:line="259" w:lineRule="auto"/>
            </w:pPr>
            <w:r>
              <w:rPr>
                <w:rFonts w:ascii="Calibri" w:hAnsi="Calibri"/>
                <w:b w:val="0"/>
                <w:i w:val="0"/>
                <w:color w:val="212121"/>
                <w:sz w:val="19"/>
              </w:rPr>
              <w:t>Regular meals, no long fasts</w:t>
            </w:r>
          </w:p>
        </w:tc>
        <w:tc>
          <w:tcPr>
            <w:tcW w:type="dxa" w:w="1512"/>
            <w:vAlign w:val="top"/>
          </w:tcPr>
          <w:p>
            <w:pPr>
              <w:spacing w:after="40" w:before="0" w:line="259" w:lineRule="auto"/>
            </w:pPr>
            <w:r>
              <w:rPr>
                <w:rFonts w:ascii="Calibri" w:hAnsi="Calibri"/>
                <w:b w:val="0"/>
                <w:i w:val="0"/>
                <w:color w:val="212121"/>
                <w:sz w:val="19"/>
              </w:rPr>
              <w:t>Skipped meals / prolonged fasting</w:t>
            </w:r>
          </w:p>
        </w:tc>
        <w:tc>
          <w:tcPr>
            <w:tcW w:type="dxa" w:w="1468"/>
            <w:vAlign w:val="top"/>
          </w:tcPr>
          <w:p>
            <w:pPr>
              <w:spacing w:after="40" w:before="0" w:line="259" w:lineRule="auto"/>
            </w:pPr>
            <w:r>
              <w:rPr>
                <w:rFonts w:ascii="Calibri" w:hAnsi="Calibri"/>
                <w:b w:val="0"/>
                <w:i w:val="0"/>
                <w:color w:val="212121"/>
                <w:sz w:val="19"/>
              </w:rPr>
              <w:t>Missed meals commonly precipitate episodes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Headache frequency</w:t>
            </w:r>
          </w:p>
        </w:tc>
        <w:tc>
          <w:tcPr>
            <w:tcW w:type="dxa" w:w="1655"/>
            <w:vAlign w:val="top"/>
          </w:tcPr>
          <w:p>
            <w:pPr>
              <w:spacing w:after="40" w:before="0" w:line="259" w:lineRule="auto"/>
            </w:pPr>
            <w:r>
              <w:rPr>
                <w:rFonts w:ascii="Calibri" w:hAnsi="Calibri"/>
                <w:b w:val="0"/>
                <w:i w:val="0"/>
                <w:color w:val="212121"/>
                <w:sz w:val="19"/>
              </w:rPr>
              <w:t>TTH patients</w:t>
            </w:r>
          </w:p>
        </w:tc>
        <w:tc>
          <w:tcPr>
            <w:tcW w:type="dxa" w:w="1512"/>
            <w:vAlign w:val="top"/>
          </w:tcPr>
          <w:p>
            <w:pPr>
              <w:spacing w:after="40" w:before="0" w:line="259" w:lineRule="auto"/>
            </w:pPr>
            <w:r>
              <w:rPr>
                <w:rFonts w:ascii="Calibri" w:hAnsi="Calibri"/>
                <w:b w:val="0"/>
                <w:i w:val="0"/>
                <w:color w:val="212121"/>
                <w:sz w:val="19"/>
              </w:rPr>
              <w:t>&lt; 1 day/month</w:t>
            </w:r>
          </w:p>
        </w:tc>
        <w:tc>
          <w:tcPr>
            <w:tcW w:type="dxa" w:w="1512"/>
            <w:vAlign w:val="top"/>
          </w:tcPr>
          <w:p>
            <w:pPr>
              <w:spacing w:after="40" w:before="0" w:line="259" w:lineRule="auto"/>
            </w:pPr>
            <w:r>
              <w:rPr>
                <w:rFonts w:ascii="Calibri" w:hAnsi="Calibri"/>
                <w:b w:val="0"/>
                <w:i w:val="0"/>
                <w:color w:val="212121"/>
                <w:sz w:val="19"/>
              </w:rPr>
              <w:t>1-14 days/month (frequent episodic); ≥ 15 (chronic)</w:t>
            </w:r>
          </w:p>
        </w:tc>
        <w:tc>
          <w:tcPr>
            <w:tcW w:type="dxa" w:w="1468"/>
            <w:vAlign w:val="top"/>
          </w:tcPr>
          <w:p>
            <w:pPr>
              <w:spacing w:after="60" w:line="259" w:lineRule="auto"/>
            </w:pPr>
            <w:r>
              <w:rPr>
                <w:rFonts w:ascii="Calibri" w:hAnsi="Calibri"/>
                <w:b w:val="0"/>
                <w:i w:val="0"/>
                <w:color w:val="212121"/>
                <w:sz w:val="19"/>
              </w:rPr>
              <w:t>Defines subtype and flags chronification</w:t>
            </w:r>
          </w:p>
          <w:p>
            <w:pPr>
              <w:spacing w:after="40" w:line="252" w:lineRule="auto"/>
            </w:pPr>
            <w:hyperlink r:id="rId15">
              <w:r>
                <w:rPr>
                  <w:rFonts w:ascii="Calibri" w:hAnsi="Calibri" w:cs="Calibri"/>
                  <w:sz w:val="18"/>
                  <w:color w:val="1155CC"/>
                  <w:u w:val="single"/>
                </w:rPr>
                <w:t xml:space="preserve">https://ichd-3.org/2-tension-type-headache/2-2-frequent-episodic-tension-type-headache/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Analgesic use</w:t>
            </w:r>
          </w:p>
        </w:tc>
        <w:tc>
          <w:tcPr>
            <w:tcW w:type="dxa" w:w="1655"/>
            <w:vAlign w:val="top"/>
          </w:tcPr>
          <w:p>
            <w:pPr>
              <w:spacing w:after="40" w:before="0" w:line="259" w:lineRule="auto"/>
            </w:pPr>
            <w:r>
              <w:rPr>
                <w:rFonts w:ascii="Calibri" w:hAnsi="Calibri"/>
                <w:b w:val="0"/>
                <w:i w:val="0"/>
                <w:color w:val="212121"/>
                <w:sz w:val="19"/>
              </w:rPr>
              <w:t>Frequent analgesic users</w:t>
            </w:r>
          </w:p>
        </w:tc>
        <w:tc>
          <w:tcPr>
            <w:tcW w:type="dxa" w:w="1512"/>
            <w:vAlign w:val="top"/>
          </w:tcPr>
          <w:p>
            <w:pPr>
              <w:spacing w:after="40" w:before="0" w:line="259" w:lineRule="auto"/>
            </w:pPr>
            <w:r>
              <w:rPr>
                <w:rFonts w:ascii="Calibri" w:hAnsi="Calibri"/>
                <w:b w:val="0"/>
                <w:i w:val="0"/>
                <w:color w:val="212121"/>
                <w:sz w:val="19"/>
              </w:rPr>
              <w:t>&lt; 10 days/month</w:t>
            </w:r>
          </w:p>
        </w:tc>
        <w:tc>
          <w:tcPr>
            <w:tcW w:type="dxa" w:w="1512"/>
            <w:vAlign w:val="top"/>
          </w:tcPr>
          <w:p>
            <w:pPr>
              <w:spacing w:after="40" w:before="0" w:line="259" w:lineRule="auto"/>
            </w:pPr>
            <w:r>
              <w:rPr>
                <w:rFonts w:ascii="Calibri" w:hAnsi="Calibri"/>
                <w:b w:val="0"/>
                <w:i w:val="0"/>
                <w:color w:val="212121"/>
                <w:sz w:val="19"/>
              </w:rPr>
              <w:t>≥ 15 days/month simple analgesics (≥ 10 combination/opioid/triptan)</w:t>
            </w:r>
          </w:p>
        </w:tc>
        <w:tc>
          <w:tcPr>
            <w:tcW w:type="dxa" w:w="1468"/>
            <w:vAlign w:val="top"/>
          </w:tcPr>
          <w:p>
            <w:pPr>
              <w:spacing w:after="60" w:line="259" w:lineRule="auto"/>
            </w:pPr>
            <w:r>
              <w:rPr>
                <w:rFonts w:ascii="Calibri" w:hAnsi="Calibri"/>
                <w:b w:val="0"/>
                <w:i w:val="0"/>
                <w:color w:val="212121"/>
                <w:sz w:val="19"/>
              </w:rPr>
              <w:t>Threshold for medication-overuse headache</w:t>
            </w:r>
          </w:p>
          <w:p>
            <w:pPr>
              <w:spacing w:after="40" w:line="252" w:lineRule="auto"/>
            </w:pPr>
            <w:hyperlink r:id="rId16">
              <w:r>
                <w:rPr>
                  <w:rFonts w:ascii="Calibri" w:hAnsi="Calibri" w:cs="Calibri"/>
                  <w:sz w:val="18"/>
                  <w:color w:val="1155CC"/>
                  <w:u w:val="single"/>
                </w:rPr>
                <w:t xml:space="preserve">https://ichd-3.org/2-tension-type-headache/2-3-chronic-tension-type-headache/</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25-OH vitamin D</w:t>
            </w:r>
          </w:p>
        </w:tc>
        <w:tc>
          <w:tcPr>
            <w:tcW w:type="dxa" w:w="1655"/>
            <w:vAlign w:val="top"/>
          </w:tcPr>
          <w:p>
            <w:pPr>
              <w:spacing w:after="40" w:before="0" w:line="259" w:lineRule="auto"/>
            </w:pPr>
            <w:r>
              <w:rPr>
                <w:rFonts w:ascii="Calibri" w:hAnsi="Calibri"/>
                <w:b w:val="0"/>
                <w:i w:val="0"/>
                <w:color w:val="212121"/>
                <w:sz w:val="19"/>
              </w:rPr>
              <w:t>Chronic TTH, low sun exposure</w:t>
            </w:r>
          </w:p>
        </w:tc>
        <w:tc>
          <w:tcPr>
            <w:tcW w:type="dxa" w:w="1512"/>
            <w:vAlign w:val="top"/>
          </w:tcPr>
          <w:p>
            <w:pPr>
              <w:spacing w:after="40" w:before="0" w:line="259" w:lineRule="auto"/>
            </w:pPr>
            <w:r>
              <w:rPr>
                <w:rFonts w:ascii="Calibri" w:hAnsi="Calibri"/>
                <w:b w:val="0"/>
                <w:i w:val="0"/>
                <w:color w:val="212121"/>
                <w:sz w:val="19"/>
              </w:rPr>
              <w:t>&gt; 20-30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Deficiency associated with chronic TTH; very common in India</w:t>
            </w:r>
          </w:p>
          <w:p>
            <w:pPr>
              <w:spacing w:after="40" w:line="252" w:lineRule="auto"/>
            </w:pPr>
            <w:hyperlink r:id="rId11">
              <w:r>
                <w:rPr>
                  <w:rFonts w:ascii="Calibri" w:hAnsi="Calibri" w:cs="Calibri"/>
                  <w:sz w:val="18"/>
                  <w:color w:val="1155CC"/>
                  <w:u w:val="single"/>
                </w:rPr>
                <w:t xml:space="preserve">https://www.ncbi.nlm.nih.gov/books/NBK562274/</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General health and comorbidity risk; may worsen sleep and headache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Structural brain lesion</w:t>
            </w:r>
          </w:p>
        </w:tc>
        <w:tc>
          <w:tcPr>
            <w:tcW w:type="dxa" w:w="892"/>
            <w:vAlign w:val="top"/>
          </w:tcPr>
          <w:p>
            <w:pPr>
              <w:spacing w:after="40" w:before="0" w:line="259" w:lineRule="auto"/>
            </w:pPr>
            <w:r>
              <w:rPr>
                <w:rFonts w:ascii="Calibri" w:hAnsi="Calibri"/>
                <w:b w:val="0"/>
                <w:i w:val="0"/>
                <w:color w:val="212121"/>
                <w:sz w:val="16"/>
              </w:rPr>
              <w:t>Neuroimaging (MRI / CT brain)</w:t>
            </w:r>
          </w:p>
        </w:tc>
        <w:tc>
          <w:tcPr>
            <w:tcW w:type="dxa" w:w="950"/>
            <w:vAlign w:val="top"/>
          </w:tcPr>
          <w:p>
            <w:pPr>
              <w:spacing w:after="40" w:before="0" w:line="259" w:lineRule="auto"/>
            </w:pPr>
            <w:r>
              <w:rPr>
                <w:rFonts w:ascii="Calibri" w:hAnsi="Calibri"/>
                <w:b w:val="0"/>
                <w:i w:val="0"/>
                <w:color w:val="212121"/>
                <w:sz w:val="16"/>
              </w:rPr>
              <w:t>No structural abnormality</w:t>
            </w:r>
          </w:p>
        </w:tc>
        <w:tc>
          <w:tcPr>
            <w:tcW w:type="dxa" w:w="950"/>
            <w:vAlign w:val="top"/>
          </w:tcPr>
          <w:p>
            <w:pPr>
              <w:spacing w:after="40" w:before="0" w:line="259" w:lineRule="auto"/>
            </w:pPr>
            <w:r>
              <w:rPr>
                <w:rFonts w:ascii="Calibri" w:hAnsi="Calibri"/>
                <w:b w:val="0"/>
                <w:i w:val="0"/>
                <w:color w:val="212121"/>
                <w:sz w:val="16"/>
              </w:rPr>
              <w:t>Mass, haemorrhage, hydrocephalus, venous thrombosis, etc.</w:t>
            </w:r>
          </w:p>
        </w:tc>
        <w:tc>
          <w:tcPr>
            <w:tcW w:type="dxa" w:w="1036"/>
            <w:vAlign w:val="top"/>
          </w:tcPr>
          <w:p>
            <w:pPr>
              <w:spacing w:after="40" w:before="0" w:line="259" w:lineRule="auto"/>
            </w:pPr>
            <w:r>
              <w:rPr>
                <w:rFonts w:ascii="Calibri" w:hAnsi="Calibri"/>
                <w:b w:val="0"/>
                <w:i w:val="0"/>
                <w:color w:val="212121"/>
                <w:sz w:val="16"/>
              </w:rPr>
              <w:t>Excludes secondary headache; indicated only when red-flag features (SNNOOP10) are present</w:t>
            </w:r>
          </w:p>
        </w:tc>
        <w:tc>
          <w:tcPr>
            <w:tcW w:type="dxa" w:w="1036"/>
            <w:vAlign w:val="top"/>
          </w:tcPr>
          <w:p>
            <w:pPr>
              <w:spacing w:after="40" w:before="0" w:line="259" w:lineRule="auto"/>
            </w:pPr>
            <w:r>
              <w:rPr>
                <w:rFonts w:ascii="Calibri" w:hAnsi="Calibri"/>
                <w:b w:val="0"/>
                <w:i w:val="0"/>
                <w:color w:val="212121"/>
                <w:sz w:val="16"/>
              </w:rPr>
              <w:t>Red-flag features, new headache after 50, abnormal neurological exam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 (red flags only)</w:t>
            </w:r>
          </w:p>
        </w:tc>
        <w:tc>
          <w:tcPr>
            <w:tcW w:type="dxa" w:w="720"/>
            <w:vAlign w:val="top"/>
          </w:tcPr>
          <w:p>
            <w:pPr>
              <w:spacing w:after="40" w:before="0" w:line="259" w:lineRule="auto"/>
            </w:pPr>
            <w:r>
              <w:rPr>
                <w:rFonts w:ascii="Calibri" w:hAnsi="Calibri"/>
                <w:b w:val="0"/>
                <w:i w:val="0"/>
                <w:color w:val="212121"/>
                <w:sz w:val="16"/>
              </w:rPr>
              <w:t>Not required for typical TTH with a normal examination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ESR / CRP</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Screens for giant cell arteritis and systemic causes of new headache in older adults</w:t>
            </w:r>
          </w:p>
        </w:tc>
        <w:tc>
          <w:tcPr>
            <w:tcW w:type="dxa" w:w="1036"/>
            <w:vAlign w:val="top"/>
          </w:tcPr>
          <w:p>
            <w:pPr>
              <w:spacing w:after="40" w:before="0" w:line="259" w:lineRule="auto"/>
            </w:pPr>
            <w:r>
              <w:rPr>
                <w:rFonts w:ascii="Calibri" w:hAnsi="Calibri"/>
                <w:b w:val="0"/>
                <w:i w:val="0"/>
                <w:color w:val="212121"/>
                <w:sz w:val="16"/>
              </w:rPr>
              <w:t>Age &gt; 50 with new headache, scalp tenderness, jaw claudication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GCA is a treatable, sight-threatening secondary cause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Serum 25-OH vitamin D</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&gt; 20-30 ng/mL</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Deficiency is linked to chronic TTH and is highly prevalent in India</w:t>
            </w:r>
          </w:p>
        </w:tc>
        <w:tc>
          <w:tcPr>
            <w:tcW w:type="dxa" w:w="1036"/>
            <w:vAlign w:val="top"/>
          </w:tcPr>
          <w:p>
            <w:pPr>
              <w:spacing w:after="40" w:before="0" w:line="259" w:lineRule="auto"/>
            </w:pPr>
            <w:r>
              <w:rPr>
                <w:rFonts w:ascii="Calibri" w:hAnsi="Calibri"/>
                <w:b w:val="0"/>
                <w:i w:val="0"/>
                <w:color w:val="212121"/>
                <w:sz w:val="16"/>
              </w:rPr>
              <w:t>Chronic TTH, indoor/veiled workers, low sun exposure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Correct if deficient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Serum vitamin B12</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&gt; 200-300 pg/mL</w:t>
            </w:r>
          </w:p>
        </w:tc>
        <w:tc>
          <w:tcPr>
            <w:tcW w:type="dxa" w:w="950"/>
            <w:vAlign w:val="top"/>
          </w:tcPr>
          <w:p>
            <w:pPr>
              <w:spacing w:after="40" w:before="0" w:line="259" w:lineRule="auto"/>
            </w:pPr>
            <w:r>
              <w:rPr>
                <w:rFonts w:ascii="Calibri" w:hAnsi="Calibri"/>
                <w:b w:val="0"/>
                <w:i w:val="0"/>
                <w:color w:val="212121"/>
                <w:sz w:val="16"/>
              </w:rPr>
              <w:t>&lt; 200 pg/mL (deficient)</w:t>
            </w:r>
          </w:p>
        </w:tc>
        <w:tc>
          <w:tcPr>
            <w:tcW w:type="dxa" w:w="1036"/>
            <w:vAlign w:val="top"/>
          </w:tcPr>
          <w:p>
            <w:pPr>
              <w:spacing w:after="40" w:before="0" w:line="259" w:lineRule="auto"/>
            </w:pPr>
            <w:r>
              <w:rPr>
                <w:rFonts w:ascii="Calibri" w:hAnsi="Calibri"/>
                <w:b w:val="0"/>
                <w:i w:val="0"/>
                <w:color w:val="212121"/>
                <w:sz w:val="16"/>
              </w:rPr>
              <w:t>Deficiency is associated with headache and common in Indian vegetarian diets</w:t>
            </w:r>
          </w:p>
        </w:tc>
        <w:tc>
          <w:tcPr>
            <w:tcW w:type="dxa" w:w="1036"/>
            <w:vAlign w:val="top"/>
          </w:tcPr>
          <w:p>
            <w:pPr>
              <w:spacing w:after="40" w:before="0" w:line="259" w:lineRule="auto"/>
            </w:pPr>
            <w:r>
              <w:rPr>
                <w:rFonts w:ascii="Calibri" w:hAnsi="Calibri"/>
                <w:b w:val="0"/>
                <w:i w:val="0"/>
                <w:color w:val="212121"/>
                <w:sz w:val="16"/>
              </w:rPr>
              <w:t>Chronic TTH, vegetarians,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Low B12 is very common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 (CBC)</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Anaemia, leucocytosis</w:t>
            </w:r>
          </w:p>
        </w:tc>
        <w:tc>
          <w:tcPr>
            <w:tcW w:type="dxa" w:w="1036"/>
            <w:vAlign w:val="top"/>
          </w:tcPr>
          <w:p>
            <w:pPr>
              <w:spacing w:after="40" w:before="0" w:line="259" w:lineRule="auto"/>
            </w:pPr>
            <w:r>
              <w:rPr>
                <w:rFonts w:ascii="Calibri" w:hAnsi="Calibri"/>
                <w:b w:val="0"/>
                <w:i w:val="0"/>
                <w:color w:val="212121"/>
                <w:sz w:val="16"/>
              </w:rPr>
              <w:t>Screens for anaemia (a headache contributor) and infection</w:t>
            </w:r>
          </w:p>
        </w:tc>
        <w:tc>
          <w:tcPr>
            <w:tcW w:type="dxa" w:w="1036"/>
            <w:vAlign w:val="top"/>
          </w:tcPr>
          <w:p>
            <w:pPr>
              <w:spacing w:after="40" w:before="0" w:line="259" w:lineRule="auto"/>
            </w:pPr>
            <w:r>
              <w:rPr>
                <w:rFonts w:ascii="Calibri" w:hAnsi="Calibri"/>
                <w:b w:val="0"/>
                <w:i w:val="0"/>
                <w:color w:val="212121"/>
                <w:sz w:val="16"/>
              </w:rPr>
              <w:t>Fatigue, pallor, chronic headache, menorrhagia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Iron-deficiency anaemia is common in Indian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Elevated (hypothyroid)</w:t>
            </w:r>
          </w:p>
        </w:tc>
        <w:tc>
          <w:tcPr>
            <w:tcW w:type="dxa" w:w="1036"/>
            <w:vAlign w:val="top"/>
          </w:tcPr>
          <w:p>
            <w:pPr>
              <w:spacing w:after="40" w:before="0" w:line="259" w:lineRule="auto"/>
            </w:pPr>
            <w:r>
              <w:rPr>
                <w:rFonts w:ascii="Calibri" w:hAnsi="Calibri"/>
                <w:b w:val="0"/>
                <w:i w:val="0"/>
                <w:color w:val="212121"/>
                <w:sz w:val="16"/>
              </w:rPr>
              <w:t>Hypothyroidism can cause secondary headache with fatigue and low mood</w:t>
            </w:r>
          </w:p>
        </w:tc>
        <w:tc>
          <w:tcPr>
            <w:tcW w:type="dxa" w:w="1036"/>
            <w:vAlign w:val="top"/>
          </w:tcPr>
          <w:p>
            <w:pPr>
              <w:spacing w:after="40" w:before="0" w:line="259" w:lineRule="auto"/>
            </w:pPr>
            <w:r>
              <w:rPr>
                <w:rFonts w:ascii="Calibri" w:hAnsi="Calibri"/>
                <w:b w:val="0"/>
                <w:i w:val="0"/>
                <w:color w:val="212121"/>
                <w:sz w:val="16"/>
              </w:rPr>
              <w:t>Women, fatigue, weight change, mood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Order when clinically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Cervical spine</w:t>
            </w:r>
          </w:p>
        </w:tc>
        <w:tc>
          <w:tcPr>
            <w:tcW w:type="dxa" w:w="892"/>
            <w:vAlign w:val="top"/>
          </w:tcPr>
          <w:p>
            <w:pPr>
              <w:spacing w:after="40" w:before="0" w:line="259" w:lineRule="auto"/>
            </w:pPr>
            <w:r>
              <w:rPr>
                <w:rFonts w:ascii="Calibri" w:hAnsi="Calibri"/>
                <w:b w:val="0"/>
                <w:i w:val="0"/>
                <w:color w:val="212121"/>
                <w:sz w:val="16"/>
              </w:rPr>
              <w:t>Cervical spine X-ray / MRI</w:t>
            </w:r>
          </w:p>
        </w:tc>
        <w:tc>
          <w:tcPr>
            <w:tcW w:type="dxa" w:w="950"/>
            <w:vAlign w:val="top"/>
          </w:tcPr>
          <w:p>
            <w:pPr>
              <w:spacing w:after="40" w:before="0" w:line="259" w:lineRule="auto"/>
            </w:pPr>
            <w:r>
              <w:rPr>
                <w:rFonts w:ascii="Calibri" w:hAnsi="Calibri"/>
                <w:b w:val="0"/>
                <w:i w:val="0"/>
                <w:color w:val="212121"/>
                <w:sz w:val="16"/>
              </w:rPr>
              <w:t>No significant degenerative change</w:t>
            </w:r>
          </w:p>
        </w:tc>
        <w:tc>
          <w:tcPr>
            <w:tcW w:type="dxa" w:w="950"/>
            <w:vAlign w:val="top"/>
          </w:tcPr>
          <w:p>
            <w:pPr>
              <w:spacing w:after="40" w:before="0" w:line="259" w:lineRule="auto"/>
            </w:pPr>
            <w:r>
              <w:rPr>
                <w:rFonts w:ascii="Calibri" w:hAnsi="Calibri"/>
                <w:b w:val="0"/>
                <w:i w:val="0"/>
                <w:color w:val="212121"/>
                <w:sz w:val="16"/>
              </w:rPr>
              <w:t>Cervical spondylosis, disc/root involvement</w:t>
            </w:r>
          </w:p>
        </w:tc>
        <w:tc>
          <w:tcPr>
            <w:tcW w:type="dxa" w:w="1036"/>
            <w:vAlign w:val="top"/>
          </w:tcPr>
          <w:p>
            <w:pPr>
              <w:spacing w:after="40" w:before="0" w:line="259" w:lineRule="auto"/>
            </w:pPr>
            <w:r>
              <w:rPr>
                <w:rFonts w:ascii="Calibri" w:hAnsi="Calibri"/>
                <w:b w:val="0"/>
                <w:i w:val="0"/>
                <w:color w:val="212121"/>
                <w:sz w:val="16"/>
              </w:rPr>
              <w:t>Evaluates a cervicogenic contribution when neck signs dominate</w:t>
            </w:r>
          </w:p>
        </w:tc>
        <w:tc>
          <w:tcPr>
            <w:tcW w:type="dxa" w:w="1036"/>
            <w:vAlign w:val="top"/>
          </w:tcPr>
          <w:p>
            <w:pPr>
              <w:spacing w:after="40" w:before="0" w:line="259" w:lineRule="auto"/>
            </w:pPr>
            <w:r>
              <w:rPr>
                <w:rFonts w:ascii="Calibri" w:hAnsi="Calibri"/>
                <w:b w:val="0"/>
                <w:i w:val="0"/>
                <w:color w:val="212121"/>
                <w:sz w:val="16"/>
              </w:rPr>
              <w:t>Neck pain, restricted cervical ROM, older adults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Helps distinguish cervicogenic headache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Headache characteristics</w:t>
            </w:r>
          </w:p>
        </w:tc>
        <w:tc>
          <w:tcPr>
            <w:tcW w:type="dxa" w:w="979"/>
            <w:vAlign w:val="top"/>
          </w:tcPr>
          <w:p>
            <w:pPr>
              <w:spacing w:after="40" w:before="0" w:line="259" w:lineRule="auto"/>
            </w:pPr>
            <w:r>
              <w:rPr>
                <w:rFonts w:ascii="Calibri" w:hAnsi="Calibri"/>
                <w:b w:val="0"/>
                <w:i w:val="0"/>
                <w:color w:val="212121"/>
                <w:sz w:val="16"/>
              </w:rPr>
              <w:t>Bilateral, pressing/tightening, mild-moderate, not activity-aggravated</w:t>
            </w:r>
          </w:p>
        </w:tc>
        <w:tc>
          <w:tcPr>
            <w:tcW w:type="dxa" w:w="950"/>
            <w:vAlign w:val="top"/>
          </w:tcPr>
          <w:p>
            <w:pPr>
              <w:spacing w:after="40" w:before="0" w:line="259" w:lineRule="auto"/>
            </w:pPr>
            <w:r>
              <w:rPr>
                <w:rFonts w:ascii="Calibri" w:hAnsi="Calibri"/>
                <w:b w:val="0"/>
                <w:i w:val="0"/>
                <w:color w:val="212121"/>
                <w:sz w:val="16"/>
              </w:rPr>
              <w:t>No headache</w:t>
            </w:r>
          </w:p>
        </w:tc>
        <w:tc>
          <w:tcPr>
            <w:tcW w:type="dxa" w:w="950"/>
            <w:vAlign w:val="top"/>
          </w:tcPr>
          <w:p>
            <w:pPr>
              <w:spacing w:after="40" w:before="0" w:line="259" w:lineRule="auto"/>
            </w:pPr>
            <w:r>
              <w:rPr>
                <w:rFonts w:ascii="Calibri" w:hAnsi="Calibri"/>
                <w:b w:val="0"/>
                <w:i w:val="0"/>
                <w:color w:val="212121"/>
                <w:sz w:val="16"/>
              </w:rPr>
              <w:t>Fulfils ≥ 2 of 4 TTH pain features</w:t>
            </w:r>
          </w:p>
        </w:tc>
        <w:tc>
          <w:tcPr>
            <w:tcW w:type="dxa" w:w="1036"/>
            <w:vAlign w:val="top"/>
          </w:tcPr>
          <w:p>
            <w:pPr>
              <w:spacing w:after="40" w:before="0" w:line="259" w:lineRule="auto"/>
            </w:pPr>
            <w:r>
              <w:rPr>
                <w:rFonts w:ascii="Calibri" w:hAnsi="Calibri"/>
                <w:b w:val="0"/>
                <w:i w:val="0"/>
                <w:color w:val="212121"/>
                <w:sz w:val="16"/>
              </w:rPr>
              <w:t>Core diagnostic history of tension-type headache</w:t>
            </w:r>
          </w:p>
        </w:tc>
        <w:tc>
          <w:tcPr>
            <w:tcW w:type="dxa" w:w="1036"/>
            <w:vAlign w:val="top"/>
          </w:tcPr>
          <w:p>
            <w:pPr>
              <w:spacing w:after="40" w:before="0" w:line="259" w:lineRule="auto"/>
            </w:pPr>
            <w:r>
              <w:rPr>
                <w:rFonts w:ascii="Calibri" w:hAnsi="Calibri"/>
                <w:b w:val="0"/>
                <w:i w:val="0"/>
                <w:color w:val="212121"/>
                <w:sz w:val="16"/>
              </w:rPr>
              <w:t>All suspected TTH</w:t>
            </w:r>
          </w:p>
        </w:tc>
        <w:tc>
          <w:tcPr>
            <w:tcW w:type="dxa" w:w="720"/>
            <w:vAlign w:val="top"/>
          </w:tcPr>
          <w:p>
            <w:pPr>
              <w:spacing w:after="40" w:before="0" w:line="259" w:lineRule="auto"/>
            </w:pPr>
            <w:r>
              <w:rPr>
                <w:rFonts w:ascii="Calibri" w:hAnsi="Calibri"/>
                <w:b w:val="0"/>
                <w:i w:val="0"/>
                <w:color w:val="212121"/>
                <w:sz w:val="16"/>
              </w:rPr>
              <w:t>Mental health; 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Distinguishes from migraine (pulsating, unilateral, activity-worsened, nausea)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Headache frequency &amp; diary</w:t>
            </w:r>
          </w:p>
        </w:tc>
        <w:tc>
          <w:tcPr>
            <w:tcW w:type="dxa" w:w="979"/>
            <w:vAlign w:val="top"/>
          </w:tcPr>
          <w:p>
            <w:pPr>
              <w:spacing w:after="40" w:before="0" w:line="259" w:lineRule="auto"/>
            </w:pPr>
            <w:r>
              <w:rPr>
                <w:rFonts w:ascii="Calibri" w:hAnsi="Calibri"/>
                <w:b w:val="0"/>
                <w:i w:val="0"/>
                <w:color w:val="212121"/>
                <w:sz w:val="16"/>
              </w:rPr>
              <w:t>Days/month and days/year</w:t>
            </w:r>
          </w:p>
        </w:tc>
        <w:tc>
          <w:tcPr>
            <w:tcW w:type="dxa" w:w="950"/>
            <w:vAlign w:val="top"/>
          </w:tcPr>
          <w:p>
            <w:pPr>
              <w:spacing w:after="40" w:before="0" w:line="259" w:lineRule="auto"/>
            </w:pPr>
            <w:r>
              <w:rPr>
                <w:rFonts w:ascii="Calibri" w:hAnsi="Calibri"/>
                <w:b w:val="0"/>
                <w:i w:val="0"/>
                <w:color w:val="212121"/>
                <w:sz w:val="16"/>
              </w:rPr>
              <w:t>&lt; 1 day/month</w:t>
            </w:r>
          </w:p>
        </w:tc>
        <w:tc>
          <w:tcPr>
            <w:tcW w:type="dxa" w:w="950"/>
            <w:vAlign w:val="top"/>
          </w:tcPr>
          <w:p>
            <w:pPr>
              <w:spacing w:after="40" w:before="0" w:line="259" w:lineRule="auto"/>
            </w:pPr>
            <w:r>
              <w:rPr>
                <w:rFonts w:ascii="Calibri" w:hAnsi="Calibri"/>
                <w:b w:val="0"/>
                <w:i w:val="0"/>
                <w:color w:val="212121"/>
                <w:sz w:val="16"/>
              </w:rPr>
              <w:t>1-14 (frequent episodic) or ≥ 15 (chronic) days/month</w:t>
            </w:r>
          </w:p>
        </w:tc>
        <w:tc>
          <w:tcPr>
            <w:tcW w:type="dxa" w:w="1036"/>
            <w:vAlign w:val="top"/>
          </w:tcPr>
          <w:p>
            <w:pPr>
              <w:spacing w:after="40" w:before="0" w:line="259" w:lineRule="auto"/>
            </w:pPr>
            <w:r>
              <w:rPr>
                <w:rFonts w:ascii="Calibri" w:hAnsi="Calibri"/>
                <w:b w:val="0"/>
                <w:i w:val="0"/>
                <w:color w:val="212121"/>
                <w:sz w:val="16"/>
              </w:rPr>
              <w:t>Defines the subtype and tracks chronification</w:t>
            </w:r>
          </w:p>
        </w:tc>
        <w:tc>
          <w:tcPr>
            <w:tcW w:type="dxa" w:w="1036"/>
            <w:vAlign w:val="top"/>
          </w:tcPr>
          <w:p>
            <w:pPr>
              <w:spacing w:after="40" w:before="0" w:line="259" w:lineRule="auto"/>
            </w:pPr>
            <w:r>
              <w:rPr>
                <w:rFonts w:ascii="Calibri" w:hAnsi="Calibri"/>
                <w:b w:val="0"/>
                <w:i w:val="0"/>
                <w:color w:val="212121"/>
                <w:sz w:val="16"/>
              </w:rPr>
              <w:t>All TTH</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prospective headache diary is the most reliable tool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Pericranial muscle palpation</w:t>
            </w:r>
          </w:p>
        </w:tc>
        <w:tc>
          <w:tcPr>
            <w:tcW w:type="dxa" w:w="979"/>
            <w:vAlign w:val="top"/>
          </w:tcPr>
          <w:p>
            <w:pPr>
              <w:spacing w:after="40" w:before="0" w:line="259" w:lineRule="auto"/>
            </w:pPr>
            <w:r>
              <w:rPr>
                <w:rFonts w:ascii="Calibri" w:hAnsi="Calibri"/>
                <w:b w:val="0"/>
                <w:i w:val="0"/>
                <w:color w:val="212121"/>
                <w:sz w:val="16"/>
              </w:rPr>
              <w:t>Tenderness of frontalis, temporalis, masseter, trapezius, SCM, suboccipital muscles</w:t>
            </w:r>
          </w:p>
        </w:tc>
        <w:tc>
          <w:tcPr>
            <w:tcW w:type="dxa" w:w="950"/>
            <w:vAlign w:val="top"/>
          </w:tcPr>
          <w:p>
            <w:pPr>
              <w:spacing w:after="40" w:before="0" w:line="259" w:lineRule="auto"/>
            </w:pPr>
            <w:r>
              <w:rPr>
                <w:rFonts w:ascii="Calibri" w:hAnsi="Calibri"/>
                <w:b w:val="0"/>
                <w:i w:val="0"/>
                <w:color w:val="212121"/>
                <w:sz w:val="16"/>
              </w:rPr>
              <w:t>Non-tender, low total tenderness score</w:t>
            </w:r>
          </w:p>
        </w:tc>
        <w:tc>
          <w:tcPr>
            <w:tcW w:type="dxa" w:w="950"/>
            <w:vAlign w:val="top"/>
          </w:tcPr>
          <w:p>
            <w:pPr>
              <w:spacing w:after="40" w:before="0" w:line="259" w:lineRule="auto"/>
            </w:pPr>
            <w:r>
              <w:rPr>
                <w:rFonts w:ascii="Calibri" w:hAnsi="Calibri"/>
                <w:b w:val="0"/>
                <w:i w:val="0"/>
                <w:color w:val="212121"/>
                <w:sz w:val="16"/>
              </w:rPr>
              <w:t>Increased pericranial tenderness / trigger points</w:t>
            </w:r>
          </w:p>
        </w:tc>
        <w:tc>
          <w:tcPr>
            <w:tcW w:type="dxa" w:w="1036"/>
            <w:vAlign w:val="top"/>
          </w:tcPr>
          <w:p>
            <w:pPr>
              <w:spacing w:after="40" w:before="0" w:line="259" w:lineRule="auto"/>
            </w:pPr>
            <w:r>
              <w:rPr>
                <w:rFonts w:ascii="Calibri" w:hAnsi="Calibri"/>
                <w:b w:val="0"/>
                <w:i w:val="0"/>
                <w:color w:val="212121"/>
                <w:sz w:val="16"/>
              </w:rPr>
              <w:t>Most characteristic examination finding; defines 'associated with pericranial tenderness'</w:t>
            </w:r>
          </w:p>
        </w:tc>
        <w:tc>
          <w:tcPr>
            <w:tcW w:type="dxa" w:w="1036"/>
            <w:vAlign w:val="top"/>
          </w:tcPr>
          <w:p>
            <w:pPr>
              <w:spacing w:after="40" w:before="0" w:line="259" w:lineRule="auto"/>
            </w:pPr>
            <w:r>
              <w:rPr>
                <w:rFonts w:ascii="Calibri" w:hAnsi="Calibri"/>
                <w:b w:val="0"/>
                <w:i w:val="0"/>
                <w:color w:val="212121"/>
                <w:sz w:val="16"/>
              </w:rPr>
              <w:t>All TTH</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Manual palpation with small rotating pressure, scored 0-3 per muscle (± palpometer)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w:t>
            </w:r>
          </w:p>
        </w:tc>
        <w:tc>
          <w:tcPr>
            <w:tcW w:type="dxa" w:w="950"/>
            <w:vAlign w:val="top"/>
          </w:tcPr>
          <w:p>
            <w:pPr>
              <w:spacing w:after="40" w:before="0" w:line="259" w:lineRule="auto"/>
            </w:pPr>
            <w:r>
              <w:rPr>
                <w:rFonts w:ascii="Calibri" w:hAnsi="Calibri"/>
                <w:b w:val="0"/>
                <w:i w:val="0"/>
                <w:color w:val="212121"/>
                <w:sz w:val="16"/>
              </w:rPr>
              <w:t>Full neurological examination</w:t>
            </w:r>
          </w:p>
        </w:tc>
        <w:tc>
          <w:tcPr>
            <w:tcW w:type="dxa" w:w="979"/>
            <w:vAlign w:val="top"/>
          </w:tcPr>
          <w:p>
            <w:pPr>
              <w:spacing w:after="40" w:before="0" w:line="259" w:lineRule="auto"/>
            </w:pPr>
            <w:r>
              <w:rPr>
                <w:rFonts w:ascii="Calibri" w:hAnsi="Calibri"/>
                <w:b w:val="0"/>
                <w:i w:val="0"/>
                <w:color w:val="212121"/>
                <w:sz w:val="16"/>
              </w:rPr>
              <w:t>Cranial nerves, fundi, power, sensation, coordination, gait</w:t>
            </w:r>
          </w:p>
        </w:tc>
        <w:tc>
          <w:tcPr>
            <w:tcW w:type="dxa" w:w="950"/>
            <w:vAlign w:val="top"/>
          </w:tcPr>
          <w:p>
            <w:pPr>
              <w:spacing w:after="40" w:before="0" w:line="259" w:lineRule="auto"/>
            </w:pPr>
            <w:r>
              <w:rPr>
                <w:rFonts w:ascii="Calibri" w:hAnsi="Calibri"/>
                <w:b w:val="0"/>
                <w:i w:val="0"/>
                <w:color w:val="212121"/>
                <w:sz w:val="16"/>
              </w:rPr>
              <w:t>Entirely normal</w:t>
            </w:r>
          </w:p>
        </w:tc>
        <w:tc>
          <w:tcPr>
            <w:tcW w:type="dxa" w:w="950"/>
            <w:vAlign w:val="top"/>
          </w:tcPr>
          <w:p>
            <w:pPr>
              <w:spacing w:after="40" w:before="0" w:line="259" w:lineRule="auto"/>
            </w:pPr>
            <w:r>
              <w:rPr>
                <w:rFonts w:ascii="Calibri" w:hAnsi="Calibri"/>
                <w:b w:val="0"/>
                <w:i w:val="0"/>
                <w:color w:val="212121"/>
                <w:sz w:val="16"/>
              </w:rPr>
              <w:t>Any focal deficit or papilloedema</w:t>
            </w:r>
          </w:p>
        </w:tc>
        <w:tc>
          <w:tcPr>
            <w:tcW w:type="dxa" w:w="1036"/>
            <w:vAlign w:val="top"/>
          </w:tcPr>
          <w:p>
            <w:pPr>
              <w:spacing w:after="40" w:before="0" w:line="259" w:lineRule="auto"/>
            </w:pPr>
            <w:r>
              <w:rPr>
                <w:rFonts w:ascii="Calibri" w:hAnsi="Calibri"/>
                <w:b w:val="0"/>
                <w:i w:val="0"/>
                <w:color w:val="212121"/>
                <w:sz w:val="16"/>
              </w:rPr>
              <w:t>A normal exam supports primary TTH; any abnormality mandates neuroimaging</w:t>
            </w:r>
          </w:p>
        </w:tc>
        <w:tc>
          <w:tcPr>
            <w:tcW w:type="dxa" w:w="1036"/>
            <w:vAlign w:val="top"/>
          </w:tcPr>
          <w:p>
            <w:pPr>
              <w:spacing w:after="40" w:before="0" w:line="259" w:lineRule="auto"/>
            </w:pPr>
            <w:r>
              <w:rPr>
                <w:rFonts w:ascii="Calibri" w:hAnsi="Calibri"/>
                <w:b w:val="0"/>
                <w:i w:val="0"/>
                <w:color w:val="212121"/>
                <w:sz w:val="16"/>
              </w:rPr>
              <w:t>All headache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 (exclusion)</w:t>
            </w:r>
          </w:p>
        </w:tc>
        <w:tc>
          <w:tcPr>
            <w:tcW w:type="dxa" w:w="720"/>
            <w:vAlign w:val="top"/>
          </w:tcPr>
          <w:p>
            <w:pPr>
              <w:spacing w:after="40" w:before="0" w:line="259" w:lineRule="auto"/>
            </w:pPr>
            <w:r>
              <w:rPr>
                <w:rFonts w:ascii="Calibri" w:hAnsi="Calibri"/>
                <w:b w:val="0"/>
                <w:i w:val="0"/>
                <w:color w:val="212121"/>
                <w:sz w:val="16"/>
              </w:rPr>
              <w:t>Fundoscopy to exclude raised intracranial pressure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screen (SNNOOP10)</w:t>
            </w:r>
          </w:p>
        </w:tc>
        <w:tc>
          <w:tcPr>
            <w:tcW w:type="dxa" w:w="979"/>
            <w:vAlign w:val="top"/>
          </w:tcPr>
          <w:p>
            <w:pPr>
              <w:spacing w:after="40" w:before="0" w:line="259" w:lineRule="auto"/>
            </w:pPr>
            <w:r>
              <w:rPr>
                <w:rFonts w:ascii="Calibri" w:hAnsi="Calibri"/>
                <w:b w:val="0"/>
                <w:i w:val="0"/>
                <w:color w:val="212121"/>
                <w:sz w:val="16"/>
              </w:rPr>
              <w:t>Systemic symptoms, neuro deficit, sudden/thunderclap onset, age &gt; 50, pattern change, positional, Valsalva-precipitated, papilloedema, pregnancy, painful eye, post-trauma, immunosuppression/analgesic use</w:t>
            </w:r>
          </w:p>
        </w:tc>
        <w:tc>
          <w:tcPr>
            <w:tcW w:type="dxa" w:w="950"/>
            <w:vAlign w:val="top"/>
          </w:tcPr>
          <w:p>
            <w:pPr>
              <w:spacing w:after="40" w:before="0" w:line="259" w:lineRule="auto"/>
            </w:pPr>
            <w:r>
              <w:rPr>
                <w:rFonts w:ascii="Calibri" w:hAnsi="Calibri"/>
                <w:b w:val="0"/>
                <w:i w:val="0"/>
                <w:color w:val="212121"/>
                <w:sz w:val="16"/>
              </w:rPr>
              <w:t>No red flags</w:t>
            </w:r>
          </w:p>
        </w:tc>
        <w:tc>
          <w:tcPr>
            <w:tcW w:type="dxa" w:w="950"/>
            <w:vAlign w:val="top"/>
          </w:tcPr>
          <w:p>
            <w:pPr>
              <w:spacing w:after="40" w:before="0" w:line="259" w:lineRule="auto"/>
            </w:pPr>
            <w:r>
              <w:rPr>
                <w:rFonts w:ascii="Calibri" w:hAnsi="Calibri"/>
                <w:b w:val="0"/>
                <w:i w:val="0"/>
                <w:color w:val="212121"/>
                <w:sz w:val="16"/>
              </w:rPr>
              <w:t>Any red flag present</w:t>
            </w:r>
          </w:p>
        </w:tc>
        <w:tc>
          <w:tcPr>
            <w:tcW w:type="dxa" w:w="1036"/>
            <w:vAlign w:val="top"/>
          </w:tcPr>
          <w:p>
            <w:pPr>
              <w:spacing w:after="40" w:before="0" w:line="259" w:lineRule="auto"/>
            </w:pPr>
            <w:r>
              <w:rPr>
                <w:rFonts w:ascii="Calibri" w:hAnsi="Calibri"/>
                <w:b w:val="0"/>
                <w:i w:val="0"/>
                <w:color w:val="212121"/>
                <w:sz w:val="16"/>
              </w:rPr>
              <w:t>Identifies possible secondary headache requiring investigation</w:t>
            </w:r>
          </w:p>
        </w:tc>
        <w:tc>
          <w:tcPr>
            <w:tcW w:type="dxa" w:w="1036"/>
            <w:vAlign w:val="top"/>
          </w:tcPr>
          <w:p>
            <w:pPr>
              <w:spacing w:after="40" w:before="0" w:line="259" w:lineRule="auto"/>
            </w:pPr>
            <w:r>
              <w:rPr>
                <w:rFonts w:ascii="Calibri" w:hAnsi="Calibri"/>
                <w:b w:val="0"/>
                <w:i w:val="0"/>
                <w:color w:val="212121"/>
                <w:sz w:val="16"/>
              </w:rPr>
              <w:t>All headache patients, especially the elderly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Determines the need for neuroimaging and further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Cervical spine &amp; posture assessment</w:t>
            </w:r>
          </w:p>
        </w:tc>
        <w:tc>
          <w:tcPr>
            <w:tcW w:type="dxa" w:w="979"/>
            <w:vAlign w:val="top"/>
          </w:tcPr>
          <w:p>
            <w:pPr>
              <w:spacing w:after="40" w:before="0" w:line="259" w:lineRule="auto"/>
            </w:pPr>
            <w:r>
              <w:rPr>
                <w:rFonts w:ascii="Calibri" w:hAnsi="Calibri"/>
                <w:b w:val="0"/>
                <w:i w:val="0"/>
                <w:color w:val="212121"/>
                <w:sz w:val="16"/>
              </w:rPr>
              <w:t>Cervical ROM, forward-head posture, neck-extensor strength, trigger points</w:t>
            </w:r>
          </w:p>
        </w:tc>
        <w:tc>
          <w:tcPr>
            <w:tcW w:type="dxa" w:w="950"/>
            <w:vAlign w:val="top"/>
          </w:tcPr>
          <w:p>
            <w:pPr>
              <w:spacing w:after="40" w:before="0" w:line="259" w:lineRule="auto"/>
            </w:pPr>
            <w:r>
              <w:rPr>
                <w:rFonts w:ascii="Calibri" w:hAnsi="Calibri"/>
                <w:b w:val="0"/>
                <w:i w:val="0"/>
                <w:color w:val="212121"/>
                <w:sz w:val="16"/>
              </w:rPr>
              <w:t>Full ROM, neutral posture, normal strength</w:t>
            </w:r>
          </w:p>
        </w:tc>
        <w:tc>
          <w:tcPr>
            <w:tcW w:type="dxa" w:w="950"/>
            <w:vAlign w:val="top"/>
          </w:tcPr>
          <w:p>
            <w:pPr>
              <w:spacing w:after="40" w:before="0" w:line="259" w:lineRule="auto"/>
            </w:pPr>
            <w:r>
              <w:rPr>
                <w:rFonts w:ascii="Calibri" w:hAnsi="Calibri"/>
                <w:b w:val="0"/>
                <w:i w:val="0"/>
                <w:color w:val="212121"/>
                <w:sz w:val="16"/>
              </w:rPr>
              <w:t>Restricted ROM, forward-head posture, reduced extensor strength</w:t>
            </w:r>
          </w:p>
        </w:tc>
        <w:tc>
          <w:tcPr>
            <w:tcW w:type="dxa" w:w="1036"/>
            <w:vAlign w:val="top"/>
          </w:tcPr>
          <w:p>
            <w:pPr>
              <w:spacing w:after="40" w:before="0" w:line="259" w:lineRule="auto"/>
            </w:pPr>
            <w:r>
              <w:rPr>
                <w:rFonts w:ascii="Calibri" w:hAnsi="Calibri"/>
                <w:b w:val="0"/>
                <w:i w:val="0"/>
                <w:color w:val="212121"/>
                <w:sz w:val="16"/>
              </w:rPr>
              <w:t>Identifies postural/cervicogenic contributors amenable to physiotherapy</w:t>
            </w:r>
          </w:p>
        </w:tc>
        <w:tc>
          <w:tcPr>
            <w:tcW w:type="dxa" w:w="1036"/>
            <w:vAlign w:val="top"/>
          </w:tcPr>
          <w:p>
            <w:pPr>
              <w:spacing w:after="40" w:before="0" w:line="259" w:lineRule="auto"/>
            </w:pPr>
            <w:r>
              <w:rPr>
                <w:rFonts w:ascii="Calibri" w:hAnsi="Calibri"/>
                <w:b w:val="0"/>
                <w:i w:val="0"/>
                <w:color w:val="212121"/>
                <w:sz w:val="16"/>
              </w:rPr>
              <w:t>Desk/screen workers, patients with neck pain</w:t>
            </w:r>
          </w:p>
        </w:tc>
        <w:tc>
          <w:tcPr>
            <w:tcW w:type="dxa" w:w="720"/>
            <w:vAlign w:val="top"/>
          </w:tcPr>
          <w:p>
            <w:pPr>
              <w:spacing w:after="40" w:before="0" w:line="259" w:lineRule="auto"/>
            </w:pPr>
            <w:r>
              <w:rPr>
                <w:rFonts w:ascii="Calibri" w:hAnsi="Calibri"/>
                <w:b w:val="0"/>
                <w:i w:val="0"/>
                <w:color w:val="212121"/>
                <w:sz w:val="16"/>
              </w:rPr>
              <w:t>Posture; 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posture correction and exercise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&amp; stress history</w:t>
            </w:r>
          </w:p>
        </w:tc>
        <w:tc>
          <w:tcPr>
            <w:tcW w:type="dxa" w:w="979"/>
            <w:vAlign w:val="top"/>
          </w:tcPr>
          <w:p>
            <w:pPr>
              <w:spacing w:after="40" w:before="0" w:line="259" w:lineRule="auto"/>
            </w:pPr>
            <w:r>
              <w:rPr>
                <w:rFonts w:ascii="Calibri" w:hAnsi="Calibri"/>
                <w:b w:val="0"/>
                <w:i w:val="0"/>
                <w:color w:val="212121"/>
                <w:sz w:val="16"/>
              </w:rPr>
              <w:t>Stress, anxiety, depression, sleep, work pattern (GAD-7 / PHQ-9)</w:t>
            </w:r>
          </w:p>
        </w:tc>
        <w:tc>
          <w:tcPr>
            <w:tcW w:type="dxa" w:w="950"/>
            <w:vAlign w:val="top"/>
          </w:tcPr>
          <w:p>
            <w:pPr>
              <w:spacing w:after="40" w:before="0" w:line="259" w:lineRule="auto"/>
            </w:pPr>
            <w:r>
              <w:rPr>
                <w:rFonts w:ascii="Calibri" w:hAnsi="Calibri"/>
                <w:b w:val="0"/>
                <w:i w:val="0"/>
                <w:color w:val="212121"/>
                <w:sz w:val="16"/>
              </w:rPr>
              <w:t>No significant distress</w:t>
            </w:r>
          </w:p>
        </w:tc>
        <w:tc>
          <w:tcPr>
            <w:tcW w:type="dxa" w:w="950"/>
            <w:vAlign w:val="top"/>
          </w:tcPr>
          <w:p>
            <w:pPr>
              <w:spacing w:after="40" w:before="0" w:line="259" w:lineRule="auto"/>
            </w:pPr>
            <w:r>
              <w:rPr>
                <w:rFonts w:ascii="Calibri" w:hAnsi="Calibri"/>
                <w:b w:val="0"/>
                <w:i w:val="0"/>
                <w:color w:val="212121"/>
                <w:sz w:val="16"/>
              </w:rPr>
              <w:t>High stress, anxiety or depression, poor sleep</w:t>
            </w:r>
          </w:p>
        </w:tc>
        <w:tc>
          <w:tcPr>
            <w:tcW w:type="dxa" w:w="1036"/>
            <w:vAlign w:val="top"/>
          </w:tcPr>
          <w:p>
            <w:pPr>
              <w:spacing w:after="40" w:before="0" w:line="259" w:lineRule="auto"/>
            </w:pPr>
            <w:r>
              <w:rPr>
                <w:rFonts w:ascii="Calibri" w:hAnsi="Calibri"/>
                <w:b w:val="0"/>
                <w:i w:val="0"/>
                <w:color w:val="212121"/>
                <w:sz w:val="16"/>
              </w:rPr>
              <w:t>Detects comorbid and driving psychological factors</w:t>
            </w:r>
          </w:p>
        </w:tc>
        <w:tc>
          <w:tcPr>
            <w:tcW w:type="dxa" w:w="1036"/>
            <w:vAlign w:val="top"/>
          </w:tcPr>
          <w:p>
            <w:pPr>
              <w:spacing w:after="40" w:before="0" w:line="259" w:lineRule="auto"/>
            </w:pPr>
            <w:r>
              <w:rPr>
                <w:rFonts w:ascii="Calibri" w:hAnsi="Calibri"/>
                <w:b w:val="0"/>
                <w:i w:val="0"/>
                <w:color w:val="212121"/>
                <w:sz w:val="16"/>
              </w:rPr>
              <w:t>Frequent / chronic TTH</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Central to the management of chronic TTH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Medication &amp; caffeine use history</w:t>
            </w:r>
          </w:p>
        </w:tc>
        <w:tc>
          <w:tcPr>
            <w:tcW w:type="dxa" w:w="979"/>
            <w:vAlign w:val="top"/>
          </w:tcPr>
          <w:p>
            <w:pPr>
              <w:spacing w:after="40" w:before="0" w:line="259" w:lineRule="auto"/>
            </w:pPr>
            <w:r>
              <w:rPr>
                <w:rFonts w:ascii="Calibri" w:hAnsi="Calibri"/>
                <w:b w:val="0"/>
                <w:i w:val="0"/>
                <w:color w:val="212121"/>
                <w:sz w:val="16"/>
              </w:rPr>
              <w:t>Analgesic days/month, caffeine intake</w:t>
            </w:r>
          </w:p>
        </w:tc>
        <w:tc>
          <w:tcPr>
            <w:tcW w:type="dxa" w:w="950"/>
            <w:vAlign w:val="top"/>
          </w:tcPr>
          <w:p>
            <w:pPr>
              <w:spacing w:after="40" w:before="0" w:line="259" w:lineRule="auto"/>
            </w:pPr>
            <w:r>
              <w:rPr>
                <w:rFonts w:ascii="Calibri" w:hAnsi="Calibri"/>
                <w:b w:val="0"/>
                <w:i w:val="0"/>
                <w:color w:val="212121"/>
                <w:sz w:val="16"/>
              </w:rPr>
              <w:t>Analgesics &lt; 10 days/month</w:t>
            </w:r>
          </w:p>
        </w:tc>
        <w:tc>
          <w:tcPr>
            <w:tcW w:type="dxa" w:w="950"/>
            <w:vAlign w:val="top"/>
          </w:tcPr>
          <w:p>
            <w:pPr>
              <w:spacing w:after="40" w:before="0" w:line="259" w:lineRule="auto"/>
            </w:pPr>
            <w:r>
              <w:rPr>
                <w:rFonts w:ascii="Calibri" w:hAnsi="Calibri"/>
                <w:b w:val="0"/>
                <w:i w:val="0"/>
                <w:color w:val="212121"/>
                <w:sz w:val="16"/>
              </w:rPr>
              <w:t>Analgesics ≥ 15 (or ≥ 10 combination) days/month; high caffeine</w:t>
            </w:r>
          </w:p>
        </w:tc>
        <w:tc>
          <w:tcPr>
            <w:tcW w:type="dxa" w:w="1036"/>
            <w:vAlign w:val="top"/>
          </w:tcPr>
          <w:p>
            <w:pPr>
              <w:spacing w:after="40" w:before="0" w:line="259" w:lineRule="auto"/>
            </w:pPr>
            <w:r>
              <w:rPr>
                <w:rFonts w:ascii="Calibri" w:hAnsi="Calibri"/>
                <w:b w:val="0"/>
                <w:i w:val="0"/>
                <w:color w:val="212121"/>
                <w:sz w:val="16"/>
              </w:rPr>
              <w:t>Detects medication overuse driving chronic daily headache</w:t>
            </w:r>
          </w:p>
        </w:tc>
        <w:tc>
          <w:tcPr>
            <w:tcW w:type="dxa" w:w="1036"/>
            <w:vAlign w:val="top"/>
          </w:tcPr>
          <w:p>
            <w:pPr>
              <w:spacing w:after="40" w:before="0" w:line="259" w:lineRule="auto"/>
            </w:pPr>
            <w:r>
              <w:rPr>
                <w:rFonts w:ascii="Calibri" w:hAnsi="Calibri"/>
                <w:b w:val="0"/>
                <w:i w:val="0"/>
                <w:color w:val="212121"/>
                <w:sz w:val="16"/>
              </w:rPr>
              <w:t>Chronic daily headache, frequent analgesic users</w:t>
            </w:r>
          </w:p>
        </w:tc>
        <w:tc>
          <w:tcPr>
            <w:tcW w:type="dxa" w:w="720"/>
            <w:vAlign w:val="top"/>
          </w:tcPr>
          <w:p>
            <w:pPr>
              <w:spacing w:after="40" w:before="0" w:line="259" w:lineRule="auto"/>
            </w:pPr>
            <w:r>
              <w:rPr>
                <w:rFonts w:ascii="Calibri" w:hAnsi="Calibri"/>
                <w:b w:val="0"/>
                <w:i w:val="0"/>
                <w:color w:val="212121"/>
                <w:sz w:val="16"/>
              </w:rPr>
              <w:t>Caffeine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Overuse must be identified and withdrawn to treat MOH</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Bilateral, band-like pressing/tightening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non-pulsating pressure or tightness felt on both sides, often described as a tight band or cap around the head.</w:t>
            </w:r>
          </w:p>
        </w:tc>
      </w:tr>
      <w:tr>
        <w:trPr>
          <w:cantSplit/>
        </w:trPr>
        <w:tc>
          <w:tcPr>
            <w:tcW w:type="dxa" w:w="2304"/>
            <w:vAlign w:val="top"/>
          </w:tcPr>
          <w:p>
            <w:pPr>
              <w:spacing w:after="40" w:before="0" w:line="259" w:lineRule="auto"/>
            </w:pPr>
            <w:r>
              <w:rPr>
                <w:rFonts w:ascii="Calibri" w:hAnsi="Calibri"/>
                <w:b/>
                <w:i w:val="0"/>
                <w:color w:val="212121"/>
                <w:sz w:val="19"/>
              </w:rPr>
              <w:t>Mild-to-moderate intensity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is usually annoying rather than disabling and does not stop most daily activities.</w:t>
            </w:r>
          </w:p>
        </w:tc>
      </w:tr>
      <w:tr>
        <w:trPr>
          <w:cantSplit/>
        </w:trPr>
        <w:tc>
          <w:tcPr>
            <w:tcW w:type="dxa" w:w="2304"/>
            <w:vAlign w:val="top"/>
          </w:tcPr>
          <w:p>
            <w:pPr>
              <w:spacing w:after="40" w:before="0" w:line="259" w:lineRule="auto"/>
            </w:pPr>
            <w:r>
              <w:rPr>
                <w:rFonts w:ascii="Calibri" w:hAnsi="Calibri"/>
                <w:b/>
                <w:i w:val="0"/>
                <w:color w:val="212121"/>
                <w:sz w:val="19"/>
              </w:rPr>
              <w:t>Pain not worsened by routine activity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Unlike migraine, walking or climbing stairs does not aggravate the headache.</w:t>
            </w:r>
          </w:p>
        </w:tc>
      </w:tr>
      <w:tr>
        <w:trPr>
          <w:cantSplit/>
        </w:trPr>
        <w:tc>
          <w:tcPr>
            <w:tcW w:type="dxa" w:w="2304"/>
            <w:vAlign w:val="top"/>
          </w:tcPr>
          <w:p>
            <w:pPr>
              <w:spacing w:after="40" w:before="0" w:line="259" w:lineRule="auto"/>
            </w:pPr>
            <w:r>
              <w:rPr>
                <w:rFonts w:ascii="Calibri" w:hAnsi="Calibri"/>
                <w:b/>
                <w:i w:val="0"/>
                <w:color w:val="212121"/>
                <w:sz w:val="19"/>
              </w:rPr>
              <w:t>Pericranial / neck-shoulder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Associated tightness, ache and tenderness of the scalp, neck and shoulder (trapezius) muscles.</w:t>
            </w:r>
          </w:p>
        </w:tc>
      </w:tr>
      <w:tr>
        <w:trPr>
          <w:cantSplit/>
        </w:trPr>
        <w:tc>
          <w:tcPr>
            <w:tcW w:type="dxa" w:w="2304"/>
            <w:vAlign w:val="top"/>
          </w:tcPr>
          <w:p>
            <w:pPr>
              <w:spacing w:after="40" w:before="0" w:line="259" w:lineRule="auto"/>
            </w:pPr>
            <w:r>
              <w:rPr>
                <w:rFonts w:ascii="Calibri" w:hAnsi="Calibri"/>
                <w:b/>
                <w:i w:val="0"/>
                <w:color w:val="212121"/>
                <w:sz w:val="19"/>
              </w:rPr>
              <w:t>Gradual onset, worse through the day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mild on waking and building through the day, typically worst in the late afternoon or evening.</w:t>
            </w:r>
          </w:p>
        </w:tc>
      </w:tr>
      <w:tr>
        <w:trPr>
          <w:cantSplit/>
        </w:trPr>
        <w:tc>
          <w:tcPr>
            <w:tcW w:type="dxa" w:w="2304"/>
            <w:vAlign w:val="top"/>
          </w:tcPr>
          <w:p>
            <w:pPr>
              <w:spacing w:after="40" w:before="0" w:line="259" w:lineRule="auto"/>
            </w:pPr>
            <w:r>
              <w:rPr>
                <w:rFonts w:ascii="Calibri" w:hAnsi="Calibri"/>
                <w:b/>
                <w:i w:val="0"/>
                <w:color w:val="212121"/>
                <w:sz w:val="19"/>
              </w:rPr>
              <w:t>Sensation of pressure or heaviness in the head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feeling of fullness, pressure or a heavy head rather than throbbing.</w:t>
            </w:r>
          </w:p>
        </w:tc>
      </w:tr>
      <w:tr>
        <w:trPr>
          <w:cantSplit/>
        </w:trPr>
        <w:tc>
          <w:tcPr>
            <w:tcW w:type="dxa" w:w="2304"/>
            <w:vAlign w:val="top"/>
          </w:tcPr>
          <w:p>
            <w:pPr>
              <w:spacing w:after="40" w:before="0" w:line="259" w:lineRule="auto"/>
            </w:pPr>
            <w:r>
              <w:rPr>
                <w:rFonts w:ascii="Calibri" w:hAnsi="Calibri"/>
                <w:b/>
                <w:i w:val="0"/>
                <w:color w:val="212121"/>
                <w:sz w:val="19"/>
              </w:rPr>
              <w:t>Scalp / temple tenderness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Tenderness on touching or combing the hair, reflecting pericranial muscle involvement.</w:t>
            </w:r>
          </w:p>
        </w:tc>
      </w:tr>
      <w:tr>
        <w:trPr>
          <w:cantSplit/>
        </w:trPr>
        <w:tc>
          <w:tcPr>
            <w:tcW w:type="dxa" w:w="2304"/>
            <w:vAlign w:val="top"/>
          </w:tcPr>
          <w:p>
            <w:pPr>
              <w:spacing w:after="40" w:before="0" w:line="259" w:lineRule="auto"/>
            </w:pPr>
            <w:r>
              <w:rPr>
                <w:rFonts w:ascii="Calibri" w:hAnsi="Calibri"/>
                <w:b/>
                <w:i w:val="0"/>
                <w:color w:val="212121"/>
                <w:sz w:val="19"/>
              </w:rPr>
              <w:t>Difficulty concentrating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Mental fatigue and reduced concentration during attacks.</w:t>
            </w:r>
          </w:p>
        </w:tc>
      </w:tr>
      <w:tr>
        <w:trPr>
          <w:cantSplit/>
        </w:trPr>
        <w:tc>
          <w:tcPr>
            <w:tcW w:type="dxa" w:w="2304"/>
            <w:vAlign w:val="top"/>
          </w:tcPr>
          <w:p>
            <w:pPr>
              <w:spacing w:after="40" w:before="0" w:line="259" w:lineRule="auto"/>
            </w:pPr>
            <w:r>
              <w:rPr>
                <w:rFonts w:ascii="Calibri" w:hAnsi="Calibri"/>
                <w:b/>
                <w:i w:val="0"/>
                <w:color w:val="212121"/>
                <w:sz w:val="19"/>
              </w:rPr>
              <w:t>Mild photophobia OR phonophobia (only one)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Slight sensitivity to light or sound may occur, but not both together - a key contrast with migraine.</w:t>
            </w:r>
          </w:p>
        </w:tc>
      </w:tr>
      <w:tr>
        <w:trPr>
          <w:cantSplit/>
        </w:trPr>
        <w:tc>
          <w:tcPr>
            <w:tcW w:type="dxa" w:w="2304"/>
            <w:vAlign w:val="top"/>
          </w:tcPr>
          <w:p>
            <w:pPr>
              <w:spacing w:after="40" w:before="0" w:line="259" w:lineRule="auto"/>
            </w:pPr>
            <w:r>
              <w:rPr>
                <w:rFonts w:ascii="Calibri" w:hAnsi="Calibri"/>
                <w:b/>
                <w:i w:val="0"/>
                <w:color w:val="212121"/>
                <w:sz w:val="19"/>
              </w:rPr>
              <w:t>Mild loss of appetite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Slight anorexia may occur; significant nausea and vomiting are absent.</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Difficulty falling or staying asleep, which both results from and worsens the headache.</w:t>
            </w:r>
          </w:p>
        </w:tc>
      </w:tr>
      <w:tr>
        <w:trPr>
          <w:cantSplit/>
        </w:trPr>
        <w:tc>
          <w:tcPr>
            <w:tcW w:type="dxa" w:w="2304"/>
            <w:vAlign w:val="top"/>
          </w:tcPr>
          <w:p>
            <w:pPr>
              <w:spacing w:after="40" w:before="0" w:line="259" w:lineRule="auto"/>
            </w:pPr>
            <w:r>
              <w:rPr>
                <w:rFonts w:ascii="Calibri" w:hAnsi="Calibri"/>
                <w:b/>
                <w:i w:val="0"/>
                <w:color w:val="212121"/>
                <w:sz w:val="19"/>
              </w:rPr>
              <w:t>Mild nausea (chronic form only)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Only mild nausea may occur in chronic TTH; moderate/severe nausea or vomiting points to migraine instead.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Increased pericranial muscle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Tenderness on manual palpation of pericranial muscles is the most significant abnormal finding and correlates with headache intensity and frequency.</w:t>
            </w:r>
          </w:p>
        </w:tc>
      </w:tr>
      <w:tr>
        <w:trPr>
          <w:cantSplit/>
        </w:trPr>
        <w:tc>
          <w:tcPr>
            <w:tcW w:type="dxa" w:w="3456"/>
            <w:vAlign w:val="top"/>
          </w:tcPr>
          <w:p>
            <w:pPr>
              <w:spacing w:after="40" w:before="0" w:line="259" w:lineRule="auto"/>
            </w:pPr>
            <w:r>
              <w:rPr>
                <w:rFonts w:ascii="Calibri" w:hAnsi="Calibri"/>
                <w:b/>
                <w:i w:val="0"/>
                <w:color w:val="212121"/>
                <w:sz w:val="19"/>
              </w:rPr>
              <w:t>Myofascial trigger points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taut bands and tender points in the trapezius, temporalis, sternocleidomastoid and suboccipital muscles.</w:t>
            </w:r>
          </w:p>
        </w:tc>
      </w:tr>
      <w:tr>
        <w:trPr>
          <w:cantSplit/>
        </w:trPr>
        <w:tc>
          <w:tcPr>
            <w:tcW w:type="dxa" w:w="3456"/>
            <w:vAlign w:val="top"/>
          </w:tcPr>
          <w:p>
            <w:pPr>
              <w:spacing w:after="40" w:before="0" w:line="259" w:lineRule="auto"/>
            </w:pPr>
            <w:r>
              <w:rPr>
                <w:rFonts w:ascii="Calibri" w:hAnsi="Calibri"/>
                <w:b/>
                <w:i w:val="0"/>
                <w:color w:val="212121"/>
                <w:sz w:val="19"/>
              </w:rPr>
              <w:t>Tight, tender neck and shoulder muscles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Muscle tightness and tenderness across the cervical and shoulder-girdle muscles.</w:t>
            </w:r>
          </w:p>
        </w:tc>
      </w:tr>
      <w:tr>
        <w:trPr>
          <w:cantSplit/>
        </w:trPr>
        <w:tc>
          <w:tcPr>
            <w:tcW w:type="dxa" w:w="3456"/>
            <w:vAlign w:val="top"/>
          </w:tcPr>
          <w:p>
            <w:pPr>
              <w:spacing w:after="40" w:before="0" w:line="259" w:lineRule="auto"/>
            </w:pPr>
            <w:r>
              <w:rPr>
                <w:rFonts w:ascii="Calibri" w:hAnsi="Calibri"/>
                <w:b/>
                <w:i w:val="0"/>
                <w:color w:val="212121"/>
                <w:sz w:val="19"/>
              </w:rPr>
              <w:t>Forward-head posture / reduced cervical ROM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Postural abnormality and restricted neck movement, especially in habitual screen and desk users.</w:t>
            </w:r>
          </w:p>
        </w:tc>
      </w:tr>
      <w:tr>
        <w:trPr>
          <w:cantSplit/>
        </w:trPr>
        <w:tc>
          <w:tcPr>
            <w:tcW w:type="dxa" w:w="3456"/>
            <w:vAlign w:val="top"/>
          </w:tcPr>
          <w:p>
            <w:pPr>
              <w:spacing w:after="40" w:before="0" w:line="259" w:lineRule="auto"/>
            </w:pPr>
            <w:r>
              <w:rPr>
                <w:rFonts w:ascii="Calibri" w:hAnsi="Calibri"/>
                <w:b/>
                <w:i w:val="0"/>
                <w:color w:val="212121"/>
                <w:sz w:val="19"/>
              </w:rPr>
              <w:t>Normal neurological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Cranial nerve, motor, sensory and coordination examination are normal - a reassuring hallmark of primary TTH.</w:t>
            </w:r>
          </w:p>
        </w:tc>
      </w:tr>
      <w:tr>
        <w:trPr>
          <w:cantSplit/>
        </w:trPr>
        <w:tc>
          <w:tcPr>
            <w:tcW w:type="dxa" w:w="3456"/>
            <w:vAlign w:val="top"/>
          </w:tcPr>
          <w:p>
            <w:pPr>
              <w:spacing w:after="40" w:before="0" w:line="259" w:lineRule="auto"/>
            </w:pPr>
            <w:r>
              <w:rPr>
                <w:rFonts w:ascii="Calibri" w:hAnsi="Calibri"/>
                <w:b/>
                <w:i w:val="0"/>
                <w:color w:val="212121"/>
                <w:sz w:val="19"/>
              </w:rPr>
              <w:t>Normal fundoscopy (no papilloedema)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 optic disc swelling, arguing against raised intracranial pressure.</w:t>
            </w:r>
          </w:p>
        </w:tc>
      </w:tr>
      <w:tr>
        <w:trPr>
          <w:cantSplit/>
        </w:trPr>
        <w:tc>
          <w:tcPr>
            <w:tcW w:type="dxa" w:w="3456"/>
            <w:vAlign w:val="top"/>
          </w:tcPr>
          <w:p>
            <w:pPr>
              <w:spacing w:after="40" w:before="0" w:line="259" w:lineRule="auto"/>
            </w:pPr>
            <w:r>
              <w:rPr>
                <w:rFonts w:ascii="Calibri" w:hAnsi="Calibri"/>
                <w:b/>
                <w:i w:val="0"/>
                <w:color w:val="212121"/>
                <w:sz w:val="19"/>
              </w:rPr>
              <w:t>Normal vital signs and blood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Absence of fever or markedly raised blood pressure helps exclude secondary causes.</w:t>
            </w:r>
          </w:p>
        </w:tc>
      </w:tr>
      <w:tr>
        <w:trPr>
          <w:cantSplit/>
        </w:trPr>
        <w:tc>
          <w:tcPr>
            <w:tcW w:type="dxa" w:w="3456"/>
            <w:vAlign w:val="top"/>
          </w:tcPr>
          <w:p>
            <w:pPr>
              <w:spacing w:after="40" w:before="0" w:line="259" w:lineRule="auto"/>
            </w:pPr>
            <w:r>
              <w:rPr>
                <w:rFonts w:ascii="Calibri" w:hAnsi="Calibri"/>
                <w:b/>
                <w:i w:val="0"/>
                <w:color w:val="212121"/>
                <w:sz w:val="19"/>
              </w:rPr>
              <w:t>Elevated total pericranial tenderness score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raised summed tenderness score on palpometry, particularly in chronic TTH.</w:t>
            </w:r>
          </w:p>
        </w:tc>
      </w:tr>
      <w:tr>
        <w:trPr>
          <w:cantSplit/>
        </w:trPr>
        <w:tc>
          <w:tcPr>
            <w:tcW w:type="dxa" w:w="3456"/>
            <w:vAlign w:val="top"/>
          </w:tcPr>
          <w:p>
            <w:pPr>
              <w:spacing w:after="40" w:before="0" w:line="259" w:lineRule="auto"/>
            </w:pPr>
            <w:r>
              <w:rPr>
                <w:rFonts w:ascii="Calibri" w:hAnsi="Calibri"/>
                <w:b/>
                <w:i w:val="0"/>
                <w:color w:val="212121"/>
                <w:sz w:val="19"/>
              </w:rPr>
              <w:t>Reduced neck-extensor strength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Decreased strength and an altered flexion/extension ratio of neck muscles compared with healthy individuals.</w:t>
            </w:r>
          </w:p>
        </w:tc>
      </w:tr>
      <w:tr>
        <w:trPr>
          <w:cantSplit/>
        </w:trPr>
        <w:tc>
          <w:tcPr>
            <w:tcW w:type="dxa" w:w="3456"/>
            <w:vAlign w:val="top"/>
          </w:tcPr>
          <w:p>
            <w:pPr>
              <w:spacing w:after="40" w:before="0" w:line="259" w:lineRule="auto"/>
            </w:pPr>
            <w:r>
              <w:rPr>
                <w:rFonts w:ascii="Calibri" w:hAnsi="Calibri"/>
                <w:b/>
                <w:i w:val="0"/>
                <w:color w:val="212121"/>
                <w:sz w:val="19"/>
              </w:rPr>
              <w:t>Signs of medication overuse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 medication-overuse headache patients may appear anxious and restless, with early-morning headache transiently relieved by analgesics.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from episodic to chronic tension-type headache (about 15% of episodic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daily or near-daily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Central sensitisation with increased pericranial tenderness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Escalating analgesic use</w:t>
            </w:r>
          </w:p>
        </w:tc>
        <w:tc>
          <w:tcPr>
            <w:tcW w:type="dxa" w:w="2980"/>
            <w:vAlign w:val="top"/>
          </w:tcPr>
          <w:p>
            <w:pPr>
              <w:spacing w:after="40" w:before="0" w:line="259" w:lineRule="auto"/>
            </w:pPr>
            <w:r>
              <w:rPr>
                <w:rFonts w:ascii="Calibri" w:hAnsi="Calibri"/>
                <w:b w:val="0"/>
                <w:i w:val="0"/>
                <w:color w:val="212121"/>
                <w:sz w:val="19"/>
              </w:rPr>
              <w:t>Direct consequences of recurrent, poorly-controlled tension-type headache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Medication-overuse (rebound) headache from frequent analgesic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Analgesic-related gastritis, peptic ulcer, and renal or hepatic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anxiety and depression (bidirectional)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Insomnia and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work productivity, absenteeism and presenteeism</w:t>
            </w:r>
          </w:p>
        </w:tc>
        <w:tc>
          <w:tcPr>
            <w:tcW w:type="dxa" w:w="2980"/>
            <w:vAlign w:val="top"/>
          </w:tcPr>
          <w:p>
            <w:pPr>
              <w:spacing w:after="40" w:before="0" w:line="259" w:lineRule="auto"/>
            </w:pPr>
            <w:r>
              <w:rPr>
                <w:rFonts w:ascii="Calibri" w:hAnsi="Calibri"/>
                <w:b w:val="0"/>
                <w:i w:val="0"/>
                <w:color w:val="212121"/>
                <w:sz w:val="19"/>
              </w:rPr>
              <w:t>Arise from chronification, self-medication and the stress-sleep-pain cycle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intractable chronic daily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reduction in quality of life and daily functioning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Analgesic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Substantial socioeconomic burden from lost productivity</w:t>
            </w:r>
          </w:p>
        </w:tc>
        <w:tc>
          <w:tcPr>
            <w:tcW w:type="dxa" w:w="2980"/>
            <w:vAlign w:val="top"/>
          </w:tcPr>
          <w:p>
            <w:pPr>
              <w:spacing w:after="40" w:before="0" w:line="259" w:lineRule="auto"/>
            </w:pPr>
            <w:r>
              <w:rPr>
                <w:rFonts w:ascii="Calibri" w:hAnsi="Calibri"/>
                <w:b w:val="0"/>
                <w:i w:val="0"/>
                <w:color w:val="212121"/>
                <w:sz w:val="19"/>
              </w:rPr>
              <w:t>Disabling, hard-to-reverse outcomes of longstanding chronic TTH and medication overuse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Strongly comorbid and bidirectional; anxiety lowers pain thresholds, increases muscle tension and drives chronification.</w:t>
            </w:r>
          </w:p>
          <w:p>
            <w:pPr>
              <w:spacing w:after="40" w:before="0" w:line="259" w:lineRule="auto"/>
            </w:pPr>
            <w:r>
              <w:rPr>
                <w:rFonts w:ascii="Calibri" w:hAnsi="Calibri"/>
                <w:b/>
                <w:i w:val="0"/>
                <w:color w:val="212121"/>
                <w:sz w:val="19"/>
              </w:rPr>
              <w:t>Up to ~87.5% (state anxiety) in chronic TTH</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Common comorbidity that both results from and worsens chronic headache.</w:t>
            </w:r>
          </w:p>
          <w:p>
            <w:pPr>
              <w:spacing w:after="40" w:before="0" w:line="259" w:lineRule="auto"/>
            </w:pPr>
            <w:r>
              <w:rPr>
                <w:rFonts w:ascii="Calibri" w:hAnsi="Calibri"/>
                <w:b/>
                <w:i w:val="0"/>
                <w:color w:val="212121"/>
                <w:sz w:val="19"/>
              </w:rPr>
              <w:t>Up to ~72.5% in chronic TTH</w:t>
            </w:r>
          </w:p>
        </w:tc>
      </w:tr>
      <w:tr>
        <w:trPr>
          <w:cantSplit/>
        </w:trPr>
        <w:tc>
          <w:tcPr>
            <w:tcW w:type="dxa" w:w="2232"/>
            <w:vAlign w:val="top"/>
          </w:tcPr>
          <w:p>
            <w:pPr>
              <w:spacing w:after="40" w:before="0" w:line="259" w:lineRule="auto"/>
            </w:pPr>
            <w:r>
              <w:rPr>
                <w:rFonts w:ascii="Calibri" w:hAnsi="Calibri"/>
                <w:b/>
                <w:i w:val="0"/>
                <w:color w:val="212121"/>
                <w:sz w:val="19"/>
              </w:rPr>
              <w:t>Migraine</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Frequently coexists with TTH; the overlap complicates diagnosis and treatment and increases overall headache burden.</w:t>
            </w:r>
          </w:p>
        </w:tc>
      </w:tr>
      <w:tr>
        <w:trPr>
          <w:cantSplit/>
        </w:trPr>
        <w:tc>
          <w:tcPr>
            <w:tcW w:type="dxa" w:w="2232"/>
            <w:vAlign w:val="top"/>
          </w:tcPr>
          <w:p>
            <w:pPr>
              <w:spacing w:after="40" w:before="0" w:line="259" w:lineRule="auto"/>
            </w:pPr>
            <w:r>
              <w:rPr>
                <w:rFonts w:ascii="Calibri" w:hAnsi="Calibri"/>
                <w:b/>
                <w:i w:val="0"/>
                <w:color w:val="212121"/>
                <w:sz w:val="19"/>
              </w:rPr>
              <w:t>Medication-overuse headache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Develops from frequent analgesic use and perpetuates chronic daily headache.</w:t>
            </w:r>
          </w:p>
          <w:p>
            <w:pPr>
              <w:spacing w:after="40" w:before="0" w:line="259" w:lineRule="auto"/>
            </w:pPr>
            <w:r>
              <w:rPr>
                <w:rFonts w:ascii="Calibri" w:hAnsi="Calibri"/>
                <w:b/>
                <w:i w:val="0"/>
                <w:color w:val="212121"/>
                <w:sz w:val="19"/>
              </w:rPr>
              <w:t>~3.0% of adults (Delhi/NCR)</w:t>
            </w:r>
          </w:p>
        </w:tc>
      </w:tr>
      <w:tr>
        <w:trPr>
          <w:cantSplit/>
        </w:trPr>
        <w:tc>
          <w:tcPr>
            <w:tcW w:type="dxa" w:w="2232"/>
            <w:vAlign w:val="top"/>
          </w:tcPr>
          <w:p>
            <w:pPr>
              <w:spacing w:after="40" w:before="0" w:line="259" w:lineRule="auto"/>
            </w:pPr>
            <w:r>
              <w:rPr>
                <w:rFonts w:ascii="Calibri" w:hAnsi="Calibri"/>
                <w:b/>
                <w:i w:val="0"/>
                <w:color w:val="212121"/>
                <w:sz w:val="19"/>
              </w:rPr>
              <w:t>Insomnia / sleep disorders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Poor and disordered sleep triggers attacks and sustains central sensitisation, especially in chronic TTH.</w:t>
            </w:r>
          </w:p>
        </w:tc>
      </w:tr>
      <w:tr>
        <w:trPr>
          <w:cantSplit/>
        </w:trPr>
        <w:tc>
          <w:tcPr>
            <w:tcW w:type="dxa" w:w="2232"/>
            <w:vAlign w:val="top"/>
          </w:tcPr>
          <w:p>
            <w:pPr>
              <w:spacing w:after="40" w:before="0" w:line="259" w:lineRule="auto"/>
            </w:pPr>
            <w:r>
              <w:rPr>
                <w:rFonts w:ascii="Calibri" w:hAnsi="Calibri"/>
                <w:b/>
                <w:i w:val="0"/>
                <w:color w:val="212121"/>
                <w:sz w:val="19"/>
              </w:rPr>
              <w:t>Chronic neck pain / cervical spondylosis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a myofascial pain mechanism with TTH and aggravates pericranial tenderness.</w:t>
            </w:r>
          </w:p>
        </w:tc>
      </w:tr>
      <w:tr>
        <w:trPr>
          <w:cantSplit/>
        </w:trPr>
        <w:tc>
          <w:tcPr>
            <w:tcW w:type="dxa" w:w="2232"/>
            <w:vAlign w:val="top"/>
          </w:tcPr>
          <w:p>
            <w:pPr>
              <w:spacing w:after="40" w:before="0" w:line="259" w:lineRule="auto"/>
            </w:pPr>
            <w:r>
              <w:rPr>
                <w:rFonts w:ascii="Calibri" w:hAnsi="Calibri"/>
                <w:b/>
                <w:i w:val="0"/>
                <w:color w:val="212121"/>
                <w:sz w:val="19"/>
              </w:rPr>
              <w:t>Temporomandibular disorder (TMD)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Jaw-muscle dysfunction overlaps with and worsens pericranial pain and headache frequency.</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Associated with chronic TTH and highly prevalent in India; correction may aid control.</w:t>
            </w:r>
          </w:p>
          <w:p>
            <w:pPr>
              <w:spacing w:after="40" w:before="0" w:line="259" w:lineRule="auto"/>
            </w:pPr>
            <w:r>
              <w:rPr>
                <w:rFonts w:ascii="Calibri" w:hAnsi="Calibri"/>
                <w:b/>
                <w:i w:val="0"/>
                <w:color w:val="212121"/>
                <w:sz w:val="19"/>
              </w:rPr>
              <w:t>~70% of chronic TTH patients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TTH is a common, non-dangerous primary headache, but learn the red-flag features (sudden 'thunderclap' onset, fever with neck stiffness, new headache after age 50, progressive or positional headache, weakness, vision loss, headache after head injury) that need urgent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headache diary recording frequency, triggers, sleep, stress and medication use to spot patterns and detect chronification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limit personal triggers - mental stress, missed meals, dehydration, poor sleep, eye strain and caffeine excess.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taking pain-relievers on more than 10-15 days per month to prevent medication-overuse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breaks from screens and correct workstation ergonomics and posture.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vision checked and correct refractive errors, and use adequate lighting for reading and screen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IT/office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analgesic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frequent episodic TTH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Screen-intensive users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aerobic exercise (brisk walking, cycling, swimming) for at least 150 minutes/week, which modestly reduces headache frequency and intensity.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neck and shoulder-girdle strengthening and stretching (trapezius, suboccipital) under physiotherapy guidance.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postural correction and take a movement or stretch break every 30-50 minutes of desk or screen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relaxation-based movement such as yoga and pranayama, which lower stress and muscle 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massage, trigger-point release and local heat over tight pericranial and neck muscles to relieve acute episodes.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Desk/screen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episodic or chronic TTH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neck/shoulder 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balanced meals and avoid skipping meals or prolonged fasting, which commonly trigger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(about 2-3 litres/day), as dehydration is a recognised trigger, especially in hot weather.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caffeine intake moderate and consistent (&lt; 400 mg/day) and avoid abrupt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and vitamin B12 deficiency - both common in India, particularly in vegetarians and those with low sun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and use the headache diary to identify any individual dietary triggers.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Meal-skippers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busy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tea/coffee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 low sun exposure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with 7-9 hours per night, as short or irregular sleep triggers and chronifies TTH.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consistent bed and wake times, a dark quiet room, and no screens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late-evening caffeine and heavy meals that fragment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coexisting insomnia or obstructive sleep apnoea, which perpetuate central sensitisation.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TTH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insomnia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avoid all tobacco, which affects pain modulation, sleep and overall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 general headache and respiratory irritant.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brief counselling and nicotine-replacement or pharmacotherapy where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TTH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as it can act as a headache trigger in susceptible people.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and the dehydration and poor sleep that follow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the headache diary to check whether alcohol is a personal trigger.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episodic TTH</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and practise stress-management techniques - relaxation training, mindfulness, deep breathing and progressive muscle relaxation.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cognitive-behavioural therapy and biofeedback (especially EMG biofeedback), which have good evidence in TTH.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comorbid anxiety and depression, which are highly prevalent in chronic TTH and drive chronification.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workload pacing and regular breaks to reduce mental tension during study or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to mental-health services for persistent, disabling chronic TTH.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TTH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workers and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anxiety/depression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186/s10194-015-0549-x" TargetMode="External"/><Relationship Id="rId10" Type="http://schemas.openxmlformats.org/officeDocument/2006/relationships/hyperlink" Target="https://pubmed.ncbi.nlm.nih.gov/36686511/" TargetMode="External"/><Relationship Id="rId11" Type="http://schemas.openxmlformats.org/officeDocument/2006/relationships/hyperlink" Target="https://www.ncbi.nlm.nih.gov/books/NBK562274/" TargetMode="External"/><Relationship Id="rId12" Type="http://schemas.openxmlformats.org/officeDocument/2006/relationships/hyperlink" Target="https://thejournalofheadacheandpain.biomedcentral.com/articles/10.1186/s10194-024-01814-2" TargetMode="External"/><Relationship Id="rId13" Type="http://schemas.openxmlformats.org/officeDocument/2006/relationships/hyperlink" Target="https://ijclinmedcasereports.com/pdf/IJCMCR-RA-01212.pdf" TargetMode="External"/><Relationship Id="rId14" Type="http://schemas.openxmlformats.org/officeDocument/2006/relationships/hyperlink" Target="https://www.mdpi.com/2077-0383/11/17/5090" TargetMode="External"/><Relationship Id="rId15" Type="http://schemas.openxmlformats.org/officeDocument/2006/relationships/hyperlink" Target="https://ichd-3.org/2-tension-type-headache/2-2-frequent-episodic-tension-type-headache/" TargetMode="External"/><Relationship Id="rId16" Type="http://schemas.openxmlformats.org/officeDocument/2006/relationships/hyperlink" Target="https://ichd-3.org/2-tension-type-headache/2-3-chronic-tension-type-headac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