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Cluster Headache</w:t>
      </w:r>
    </w:p>
    <w:p>
      <w:pPr>
        <w:spacing w:before="0" w:after="160"/>
      </w:pPr>
      <w:r>
        <w:rPr>
          <w:rFonts w:ascii="Calibri" w:hAnsi="Calibri"/>
          <w:b/>
          <w:i w:val="0"/>
          <w:color w:val="212121"/>
          <w:sz w:val="22"/>
        </w:rPr>
        <w:t xml:space="preserve">AKA </w:t>
      </w:r>
      <w:r>
        <w:rPr>
          <w:rFonts w:ascii="Calibri" w:hAnsi="Calibri"/>
          <w:b w:val="0"/>
          <w:i w:val="0"/>
          <w:color w:val="212121"/>
          <w:sz w:val="22"/>
        </w:rPr>
        <w:t>i.e., CH, Trigeminal autonomic cephalalgia (TAC), Histaminic/Horton's headache, “Suicide headache”, “Alarm-clock headache”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Cluster headache is a primary neurovascular headache and the commonest of the trigeminal autonomic cephalalgias (TACs). It is characterised by attacks of excruciating, strictly unilateral orbital, supraorbital and/or temporal pain lasting 15–180 minutes, accompanied by ipsilateral cranial autonomic features (lacrimation, conjunctival injection, nasal congestion/rhinorrhoea, ptosis/miosis) and a sense of restlessness or agitation. Attacks recur with striking circadian and circannual (seasonal) rhythmicity, grouping into bouts (“clusters”) that are driven by posterior hypothalamic activation. It ranks among the most severe pain syndromes known, earning the label “suicide headache.”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Cluster headache affects roughly 0.1% of the population (about 1 in 1,000), making it far less common than migraine or tension-type headache yet one of the most disabling primary headaches. It shows a strong male predominance; Indian tertiary hospital series report male-to-female ratios as high as 9:1 and a heavy burden of tobacco use. Dedicated Indian population estimates are lacking—most Indian data derive from neurology/headache clinics, where diagnostic delays average around 3–5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Cluster headache is a clinical diagnosis based on the International Classification of Headache Disorders, 3rd edition (ICHD-3). Contrast-enhanced MRI of the brain (with attention to the pituitary and cavernous sinus) is used at least once to exclude a symptomatic “cluster-like” headache. ICHD-3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five attacks fulfilling the criteria below;</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or very severe strictly unilateral orbital, supraorbital and/or temporal pain lasting 15–180 minutes when untreated;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during attacks, at least one ipsilateral cranial autonomic feature (conjunctival injection and/or lacrimation, nasal congestion and/or rhinorrhoea, eyelid oedema, forehead/facial sweating, miosis and/or ptosis) and/or a sense of restlessness or agitation;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attack frequency between one every other day and 8 per day during the active bout;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not better accounted for by another ICHD-3 diagnosis—a normal contrast MRI brain (with pituitary/cavernous-sinus views) helps exclude secondary causes such as pituitary tumour or arteriovenous malformation.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Cluster headache is classified (ICHD-3) by the temporal pattern of bouts and remissions:</w:t>
      </w:r>
    </w:p>
    <w:p>
      <w:pPr>
        <w:spacing w:before="0" w:after="80"/>
      </w:pPr>
      <w:r>
        <w:rPr>
          <w:rFonts w:ascii="Calibri" w:hAnsi="Calibri"/>
          <w:b w:val="0"/>
          <w:i w:val="0"/>
          <w:color w:val="212121"/>
          <w:sz w:val="21"/>
        </w:rPr>
        <w:t>(1) Episodic cluster headache (3.1.1) — the commonest form (~80–90%): attacks occur in cluster periods (bouts) lasting 7 days to one year, separated by pain-free remission periods of at least 3 months. In practice bouts usually last 2 weeks to 3 months and often recur seasonally (spring/autumn);</w:t>
      </w:r>
    </w:p>
    <w:p>
      <w:pPr>
        <w:spacing w:before="0" w:after="80"/>
      </w:pPr>
      <w:r>
        <w:rPr>
          <w:rFonts w:ascii="Calibri" w:hAnsi="Calibri"/>
          <w:b w:val="0"/>
          <w:i w:val="0"/>
          <w:color w:val="212121"/>
          <w:sz w:val="21"/>
        </w:rPr>
        <w:t>(2) Chronic cluster headache (3.1.2) — about 10–15%: attacks recur for one year or longer without remission, or with remission periods shorter than 3 months. It is more treatment-refractory and, in some cohorts, disproportionately affects women;</w:t>
      </w:r>
    </w:p>
    <w:p>
      <w:pPr>
        <w:spacing w:before="0" w:after="80"/>
      </w:pPr>
      <w:r>
        <w:rPr>
          <w:rFonts w:ascii="Calibri" w:hAnsi="Calibri"/>
          <w:b w:val="0"/>
          <w:i w:val="0"/>
          <w:color w:val="212121"/>
          <w:sz w:val="21"/>
        </w:rPr>
        <w:t>(3) Probable cluster headache — attacks fulfilling all but one of the full criteria; and secondary (symptomatic) “cluster-like” headache attributed to a structural lesion (e.g., pituitary adenoma, cavernous-sinus or posterior-fossa pathology), which must be excluded by neuroimaging, especially for strictly side-locked attacks, atypical features, or an abnormal examination.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Hypothalamic dysfunction: Posterior (grey-matter) hypothalamic activation is the pathophysiologic hub, acting as the biological “clock” that generates the circadian and circannual rhythmicity of bouts.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Trigemino-autonomic reflex activation: Trigeminovascular discharge with reflex cranial parasympathetic outflow via the sphenopalatine ganglion produces the severe pain plus ipsilateral autonomic features.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Tobacco/smoking: The large majority of patients are current or former smokers; international genetic studies now support smoking as a causal contributor rather than a mere association.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First-degree relatives carry a markedly elevated risk, and genome-wide association studies have identified multiple susceptibility loci, including genes expressed in brain and arteries.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Alcohol (in-bout trigger): During an active cluster period alcohol reliably provokes an attack within about an hour; it is not a trigger during remission—a feature useful diagnostically.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Circadian and environmental cues: Sleep timing (REM sleep, napping), seasonal light change, and hypoxia (high altitude, air travel, sleep apnoea) can precipitate attacks during a bout.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to middle-aged adults (20–40 years)</w:t>
            </w:r>
          </w:p>
        </w:tc>
        <w:tc>
          <w:tcPr>
            <w:tcW w:type="dxa" w:w="4276"/>
            <w:vAlign w:val="top"/>
          </w:tcPr>
          <w:p>
            <w:pPr>
              <w:spacing w:after="60" w:line="259" w:lineRule="auto"/>
            </w:pPr>
            <w:r>
              <w:rPr>
                <w:rFonts w:ascii="Calibri" w:hAnsi="Calibri"/>
                <w:b w:val="0"/>
                <w:i w:val="0"/>
                <w:color w:val="212121"/>
                <w:sz w:val="19"/>
              </w:rPr>
              <w:t>Onset peaks in early-to-middle adult life, when trigemino-hypothalamic vulnerability and cumulative tobacco exposure converge; the first bout is frequently misattributed to sinusitis or dental pain, delaying diagnosis.</w:t>
            </w:r>
          </w:p>
          <w:p>
            <w:pPr>
              <w:spacing w:after="40" w:before="60" w:line="259" w:lineRule="auto"/>
            </w:pPr>
            <w:r>
              <w:rPr>
                <w:rFonts w:ascii="Calibri" w:hAnsi="Calibri"/>
                <w:b w:val="0"/>
                <w:i w:val="0"/>
                <w:color w:val="212121"/>
                <w:sz w:val="19"/>
              </w:rPr>
              <w:t>Mean age at onset is about 30.2 ± 13.8 years globally; in an Indian hospital series the mean age at onset was 35.1 ± 14 years (range 20–67).</w:t>
            </w:r>
          </w:p>
          <w:p>
            <w:pPr>
              <w:spacing w:after="40" w:line="252" w:lineRule="auto"/>
            </w:pPr>
            <w:hyperlink r:id="rId9">
              <w:r>
                <w:rPr>
                  <w:rFonts w:ascii="Calibri" w:hAnsi="Calibri" w:cs="Calibri"/>
                  <w:sz w:val="18"/>
                  <w:color w:val="1155CC"/>
                  <w:u w:val="single"/>
                </w:rPr>
                <w:t xml:space="preserve">ruralneuropractice.com — Study of cluster headache (India)</w:t>
              </w:r>
            </w:hyperlink>
          </w:p>
          <w:p>
            <w:pPr>
              <w:spacing w:before="60" w:after="40"/>
            </w:pPr>
            <w:r>
              <w:rPr>
                <w:rFonts w:ascii="Calibri" w:hAnsi="Calibri"/>
                <w:b w:val="0"/>
                <w:i w:val="0"/>
                <w:color w:val="5A5A5A"/>
                <w:sz w:val="18"/>
              </w:rPr>
              <w:t>#clusterheadache  #youngadults  #onset  #TAC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(new-onset &gt;60 years)</w:t>
            </w:r>
          </w:p>
        </w:tc>
        <w:tc>
          <w:tcPr>
            <w:tcW w:type="dxa" w:w="4276"/>
            <w:vAlign w:val="top"/>
          </w:tcPr>
          <w:p>
            <w:pPr>
              <w:spacing w:after="60" w:line="259" w:lineRule="auto"/>
            </w:pPr>
            <w:r>
              <w:rPr>
                <w:rFonts w:ascii="Calibri" w:hAnsi="Calibri"/>
                <w:b w:val="0"/>
                <w:i w:val="0"/>
                <w:color w:val="212121"/>
                <w:sz w:val="19"/>
              </w:rPr>
              <w:t>New-onset late-life attacks are less typical of primary CH and raise concern for a secondary (symptomatic) cause, mandating imaging; chronic cluster headache may also persist into older age.</w:t>
            </w:r>
          </w:p>
          <w:p>
            <w:pPr>
              <w:spacing w:after="40" w:before="60" w:line="259" w:lineRule="auto"/>
            </w:pPr>
            <w:r>
              <w:rPr>
                <w:rFonts w:ascii="Calibri" w:hAnsi="Calibri"/>
                <w:b w:val="0"/>
                <w:i w:val="0"/>
                <w:color w:val="212121"/>
                <w:sz w:val="19"/>
              </w:rPr>
              <w:t>Cluster headache most often begins in the third decade; new onset after 60 is uncommon and warrants MRI to exclude structural lesions.</w:t>
            </w:r>
          </w:p>
          <w:p>
            <w:pPr>
              <w:spacing w:after="40" w:line="252" w:lineRule="auto"/>
            </w:pPr>
            <w:hyperlink r:id="rId10">
              <w:r>
                <w:rPr>
                  <w:rFonts w:ascii="Calibri" w:hAnsi="Calibri" w:cs="Calibri"/>
                  <w:sz w:val="18"/>
                  <w:color w:val="1155CC"/>
                  <w:u w:val="single"/>
                </w:rPr>
                <w:t xml:space="preserve">StatPearls (NCBI) — Cluster Headache</w:t>
              </w:r>
            </w:hyperlink>
          </w:p>
          <w:p>
            <w:pPr>
              <w:spacing w:before="60" w:after="40"/>
            </w:pPr>
            <w:r>
              <w:rPr>
                <w:rFonts w:ascii="Calibri" w:hAnsi="Calibri"/>
                <w:b w:val="0"/>
                <w:i w:val="0"/>
                <w:color w:val="5A5A5A"/>
                <w:sz w:val="18"/>
              </w:rPr>
              <w:t>#lateonset  #redflag  #secondarycause  #neuroimaging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Cluster headache is one of the few headaches with clear male predominance, linked to testosterone/hypothalamic factors and higher smoking rates in men; male predominance is even more marked in Indian clinic cohorts.</w:t>
            </w:r>
          </w:p>
          <w:p>
            <w:pPr>
              <w:spacing w:after="40" w:before="60" w:line="259" w:lineRule="auto"/>
            </w:pPr>
            <w:r>
              <w:rPr>
                <w:rFonts w:ascii="Calibri" w:hAnsi="Calibri"/>
                <w:b w:val="0"/>
                <w:i w:val="0"/>
                <w:color w:val="212121"/>
                <w:sz w:val="19"/>
              </w:rPr>
              <w:t>Men are affected roughly 3× more than women overall (historical ratios 3–4:1); an Indian hospital series reported a male-to-female ratio of 9:1 (27 of 30 patients male).</w:t>
            </w:r>
          </w:p>
          <w:p>
            <w:pPr>
              <w:spacing w:after="40" w:line="252" w:lineRule="auto"/>
            </w:pPr>
            <w:hyperlink r:id="rId9">
              <w:r>
                <w:rPr>
                  <w:rFonts w:ascii="Calibri" w:hAnsi="Calibri" w:cs="Calibri"/>
                  <w:sz w:val="18"/>
                  <w:color w:val="1155CC"/>
                  <w:u w:val="single"/>
                </w:rPr>
                <w:t xml:space="preserve">ruralneuropractice.com — Study of cluster headache (India)</w:t>
              </w:r>
            </w:hyperlink>
          </w:p>
          <w:p>
            <w:pPr>
              <w:spacing w:before="60" w:after="40"/>
            </w:pPr>
            <w:r>
              <w:rPr>
                <w:rFonts w:ascii="Calibri" w:hAnsi="Calibri"/>
                <w:b w:val="0"/>
                <w:i w:val="0"/>
                <w:color w:val="5A5A5A"/>
                <w:sz w:val="18"/>
              </w:rPr>
              <w:t>#malepredominance  #sexratio  #testosterone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workers, low-awareness / low-access groups</w:t>
            </w:r>
          </w:p>
        </w:tc>
        <w:tc>
          <w:tcPr>
            <w:tcW w:type="dxa" w:w="4276"/>
            <w:vAlign w:val="top"/>
          </w:tcPr>
          <w:p>
            <w:pPr>
              <w:spacing w:after="60" w:line="259" w:lineRule="auto"/>
            </w:pPr>
            <w:r>
              <w:rPr>
                <w:rFonts w:ascii="Calibri" w:hAnsi="Calibri"/>
                <w:b w:val="0"/>
                <w:i w:val="0"/>
                <w:color w:val="212121"/>
                <w:sz w:val="19"/>
              </w:rPr>
              <w:t>Limited headache awareness and access to neurology care lead to prolonged mislabelling (sinusitis, dental, refractive error), unnecessary procedures, and years of untreated agony before correct diagnosis.</w:t>
            </w:r>
          </w:p>
          <w:p>
            <w:pPr>
              <w:spacing w:after="40" w:before="60" w:line="259" w:lineRule="auto"/>
            </w:pPr>
            <w:r>
              <w:rPr>
                <w:rFonts w:ascii="Calibri" w:hAnsi="Calibri"/>
                <w:b w:val="0"/>
                <w:i w:val="0"/>
                <w:color w:val="212121"/>
                <w:sz w:val="19"/>
              </w:rPr>
              <w:t>In the Indian series the interval before correct diagnosis ranged from 3 months to 12 years (mean ~3.5 years); global diagnostic delay averages about 5 years.</w:t>
            </w:r>
          </w:p>
          <w:p>
            <w:pPr>
              <w:spacing w:after="40" w:line="252" w:lineRule="auto"/>
            </w:pPr>
            <w:hyperlink r:id="rId9">
              <w:r>
                <w:rPr>
                  <w:rFonts w:ascii="Calibri" w:hAnsi="Calibri" w:cs="Calibri"/>
                  <w:sz w:val="18"/>
                  <w:color w:val="1155CC"/>
                  <w:u w:val="single"/>
                </w:rPr>
                <w:t xml:space="preserve">ruralneuropractice.com — Study of cluster headache (India)</w:t>
              </w:r>
            </w:hyperlink>
          </w:p>
          <w:p>
            <w:pPr>
              <w:spacing w:before="60" w:after="40"/>
            </w:pPr>
            <w:r>
              <w:rPr>
                <w:rFonts w:ascii="Calibri" w:hAnsi="Calibri"/>
                <w:b w:val="0"/>
                <w:i w:val="0"/>
                <w:color w:val="5A5A5A"/>
                <w:sz w:val="18"/>
              </w:rPr>
              <w:t>#diagnosticdelay  #awareness  #access  #misdiagnosis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clinic population</w:t>
            </w:r>
          </w:p>
        </w:tc>
        <w:tc>
          <w:tcPr>
            <w:tcW w:type="dxa" w:w="2160"/>
            <w:vAlign w:val="top"/>
          </w:tcPr>
          <w:p>
            <w:pPr>
              <w:spacing w:after="40" w:before="0" w:line="259" w:lineRule="auto"/>
            </w:pPr>
            <w:r>
              <w:rPr>
                <w:rFonts w:ascii="Calibri" w:hAnsi="Calibri"/>
                <w:b w:val="0"/>
                <w:i w:val="0"/>
                <w:color w:val="212121"/>
                <w:sz w:val="19"/>
              </w:rPr>
              <w:t>Indian tertiary headache-clinic patients</w:t>
            </w:r>
          </w:p>
        </w:tc>
        <w:tc>
          <w:tcPr>
            <w:tcW w:type="dxa" w:w="4276"/>
            <w:vAlign w:val="top"/>
          </w:tcPr>
          <w:p>
            <w:pPr>
              <w:spacing w:after="60" w:line="259" w:lineRule="auto"/>
            </w:pPr>
            <w:r>
              <w:rPr>
                <w:rFonts w:ascii="Calibri" w:hAnsi="Calibri"/>
                <w:b w:val="0"/>
                <w:i w:val="0"/>
                <w:color w:val="212121"/>
                <w:sz w:val="19"/>
              </w:rPr>
              <w:t>Indian hospital cohorts are overwhelmingly male, predominantly episodic, and carry a high burden of smoking and smokeless tobacco—mirroring national tobacco-use patterns and shaping the local clinical picture.</w:t>
            </w:r>
          </w:p>
          <w:p>
            <w:pPr>
              <w:spacing w:after="40" w:before="60" w:line="259" w:lineRule="auto"/>
            </w:pPr>
            <w:r>
              <w:rPr>
                <w:rFonts w:ascii="Calibri" w:hAnsi="Calibri"/>
                <w:b w:val="0"/>
                <w:i w:val="0"/>
                <w:color w:val="212121"/>
                <w:sz w:val="19"/>
              </w:rPr>
              <w:t>In an Indian series all patients had episodic CH; 53.4% were smokers and a further 27% used chewing tobacco, with strong circadian periodicity in ~80–83%.</w:t>
            </w:r>
          </w:p>
          <w:p>
            <w:pPr>
              <w:spacing w:after="40" w:line="252" w:lineRule="auto"/>
            </w:pPr>
            <w:hyperlink r:id="rId9">
              <w:r>
                <w:rPr>
                  <w:rFonts w:ascii="Calibri" w:hAnsi="Calibri" w:cs="Calibri"/>
                  <w:sz w:val="18"/>
                  <w:color w:val="1155CC"/>
                  <w:u w:val="single"/>
                </w:rPr>
                <w:t xml:space="preserve">ruralneuropractice.com — Study of cluster headache (India)</w:t>
              </w:r>
            </w:hyperlink>
          </w:p>
          <w:p>
            <w:pPr>
              <w:spacing w:before="60" w:after="40"/>
            </w:pPr>
            <w:r>
              <w:rPr>
                <w:rFonts w:ascii="Calibri" w:hAnsi="Calibri"/>
                <w:b w:val="0"/>
                <w:i w:val="0"/>
                <w:color w:val="5A5A5A"/>
                <w:sz w:val="18"/>
              </w:rPr>
              <w:t>#india  #tobacco  #episodic  #circadian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altitude</w:t>
            </w:r>
          </w:p>
        </w:tc>
        <w:tc>
          <w:tcPr>
            <w:tcW w:type="dxa" w:w="2160"/>
            <w:vAlign w:val="top"/>
          </w:tcPr>
          <w:p>
            <w:pPr>
              <w:spacing w:after="40" w:before="0" w:line="259" w:lineRule="auto"/>
            </w:pPr>
            <w:r>
              <w:rPr>
                <w:rFonts w:ascii="Calibri" w:hAnsi="Calibri"/>
                <w:b w:val="0"/>
                <w:i w:val="0"/>
                <w:color w:val="212121"/>
                <w:sz w:val="19"/>
              </w:rPr>
              <w:t>High-altitude residents &amp; air travellers</w:t>
            </w:r>
          </w:p>
        </w:tc>
        <w:tc>
          <w:tcPr>
            <w:tcW w:type="dxa" w:w="4276"/>
            <w:vAlign w:val="top"/>
          </w:tcPr>
          <w:p>
            <w:pPr>
              <w:spacing w:after="60" w:line="259" w:lineRule="auto"/>
            </w:pPr>
            <w:r>
              <w:rPr>
                <w:rFonts w:ascii="Calibri" w:hAnsi="Calibri"/>
                <w:b w:val="0"/>
                <w:i w:val="0"/>
                <w:color w:val="212121"/>
                <w:sz w:val="19"/>
              </w:rPr>
              <w:t>Hypoxia is a recognised precipitant during a bout; reduced ambient oxygen at altitude, during flights, or from nocturnal apnoea can trigger attacks—consistent with the dramatic abortive effect of 100% oxygen.</w:t>
            </w:r>
          </w:p>
          <w:p>
            <w:pPr>
              <w:spacing w:after="40" w:before="60" w:line="259" w:lineRule="auto"/>
            </w:pPr>
            <w:r>
              <w:rPr>
                <w:rFonts w:ascii="Calibri" w:hAnsi="Calibri"/>
                <w:b w:val="0"/>
                <w:i w:val="0"/>
                <w:color w:val="212121"/>
                <w:sz w:val="19"/>
              </w:rPr>
              <w:t>High-flow 100% oxygen aborts attacks in roughly 62–100% of patients (within ~15 minutes), underscoring the role of oxygenation in attack physiology.</w:t>
            </w:r>
          </w:p>
          <w:p>
            <w:pPr>
              <w:spacing w:after="40" w:line="252" w:lineRule="auto"/>
            </w:pPr>
            <w:hyperlink r:id="rId11">
              <w:r>
                <w:rPr>
                  <w:rFonts w:ascii="Calibri" w:hAnsi="Calibri" w:cs="Calibri"/>
                  <w:sz w:val="18"/>
                  <w:color w:val="1155CC"/>
                  <w:u w:val="single"/>
                </w:rPr>
                <w:t xml:space="preserve">Frontiers in Pain Research (2024) — Cluster headache update</w:t>
              </w:r>
            </w:hyperlink>
          </w:p>
          <w:p>
            <w:pPr>
              <w:spacing w:before="60" w:after="40"/>
            </w:pPr>
            <w:r>
              <w:rPr>
                <w:rFonts w:ascii="Calibri" w:hAnsi="Calibri"/>
                <w:b w:val="0"/>
                <w:i w:val="0"/>
                <w:color w:val="5A5A5A"/>
                <w:sz w:val="18"/>
              </w:rPr>
              <w:t>#hypoxia  #altitude  #airtravel  #oxygen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Heavy smokers / bidi &amp; cigarette users</w:t>
            </w:r>
          </w:p>
        </w:tc>
        <w:tc>
          <w:tcPr>
            <w:tcW w:type="dxa" w:w="4276"/>
            <w:vAlign w:val="top"/>
          </w:tcPr>
          <w:p>
            <w:pPr>
              <w:spacing w:after="60" w:line="259" w:lineRule="auto"/>
            </w:pPr>
            <w:r>
              <w:rPr>
                <w:rFonts w:ascii="Calibri" w:hAnsi="Calibri"/>
                <w:b w:val="0"/>
                <w:i w:val="0"/>
                <w:color w:val="212121"/>
                <w:sz w:val="19"/>
              </w:rPr>
              <w:t>Smoking is the strongest lifestyle association and now supported as causal; the vast majority of patients are current or ex-smokers, and tobacco exposure is linked with earlier onset.</w:t>
            </w:r>
          </w:p>
          <w:p>
            <w:pPr>
              <w:spacing w:after="40" w:before="60" w:line="259" w:lineRule="auto"/>
            </w:pPr>
            <w:r>
              <w:rPr>
                <w:rFonts w:ascii="Calibri" w:hAnsi="Calibri"/>
                <w:b w:val="0"/>
                <w:i w:val="0"/>
                <w:color w:val="212121"/>
                <w:sz w:val="19"/>
              </w:rPr>
              <w:t>About 80% of cluster-headache patients smoke; a genome-wide study of 4,777 patients and 31,575 controls confirmed smoking as a cause and flagged smoking-related expression of MERTK and CFTR genes.</w:t>
            </w:r>
          </w:p>
          <w:p>
            <w:pPr>
              <w:spacing w:after="40" w:line="252" w:lineRule="auto"/>
            </w:pPr>
            <w:hyperlink r:id="rId12">
              <w:r>
                <w:rPr>
                  <w:rFonts w:ascii="Calibri" w:hAnsi="Calibri" w:cs="Calibri"/>
                  <w:sz w:val="18"/>
                  <w:color w:val="1155CC"/>
                  <w:u w:val="single"/>
                </w:rPr>
                <w:t xml:space="preserve">Vall d'Hebron / VHIR — smoking is a cause of cluster headache</w:t>
              </w:r>
            </w:hyperlink>
          </w:p>
          <w:p>
            <w:pPr>
              <w:spacing w:before="60" w:after="40"/>
            </w:pPr>
            <w:r>
              <w:rPr>
                <w:rFonts w:ascii="Calibri" w:hAnsi="Calibri"/>
                <w:b w:val="0"/>
                <w:i w:val="0"/>
                <w:color w:val="5A5A5A"/>
                <w:sz w:val="18"/>
              </w:rPr>
              <w:t>#smoking  #tobacco  #causal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Drinkers during an active bout</w:t>
            </w:r>
          </w:p>
        </w:tc>
        <w:tc>
          <w:tcPr>
            <w:tcW w:type="dxa" w:w="4276"/>
            <w:vAlign w:val="top"/>
          </w:tcPr>
          <w:p>
            <w:pPr>
              <w:spacing w:after="60" w:line="259" w:lineRule="auto"/>
            </w:pPr>
            <w:r>
              <w:rPr>
                <w:rFonts w:ascii="Calibri" w:hAnsi="Calibri"/>
                <w:b w:val="0"/>
                <w:i w:val="0"/>
                <w:color w:val="212121"/>
                <w:sz w:val="19"/>
              </w:rPr>
              <w:t>Alcohol is a vasodilator that reliably provokes an attack within ~1 hour when a bout is active; the same person tolerates alcohol freely during remission, making this an almost pathognomonic feature.</w:t>
            </w:r>
          </w:p>
          <w:p>
            <w:pPr>
              <w:spacing w:after="40" w:before="60" w:line="259" w:lineRule="auto"/>
            </w:pPr>
            <w:r>
              <w:rPr>
                <w:rFonts w:ascii="Calibri" w:hAnsi="Calibri"/>
                <w:b w:val="0"/>
                <w:i w:val="0"/>
                <w:color w:val="212121"/>
                <w:sz w:val="19"/>
              </w:rPr>
              <w:t>Alcohol is the most consistently reported acute in-bout trigger; abstinence during clusters is standard advice.</w:t>
            </w:r>
          </w:p>
          <w:p>
            <w:pPr>
              <w:spacing w:after="40" w:line="252" w:lineRule="auto"/>
            </w:pPr>
            <w:hyperlink r:id="rId10">
              <w:r>
                <w:rPr>
                  <w:rFonts w:ascii="Calibri" w:hAnsi="Calibri" w:cs="Calibri"/>
                  <w:sz w:val="18"/>
                  <w:color w:val="1155CC"/>
                  <w:u w:val="single"/>
                </w:rPr>
                <w:t xml:space="preserve">StatPearls (NCBI) — Cluster Headache</w:t>
              </w:r>
            </w:hyperlink>
          </w:p>
          <w:p>
            <w:pPr>
              <w:spacing w:before="60" w:after="40"/>
            </w:pPr>
            <w:r>
              <w:rPr>
                <w:rFonts w:ascii="Calibri" w:hAnsi="Calibri"/>
                <w:b w:val="0"/>
                <w:i w:val="0"/>
                <w:color w:val="5A5A5A"/>
                <w:sz w:val="18"/>
              </w:rPr>
              <w:t>#alcohol  #trigger  #vasodilation  #inbout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pattern</w:t>
            </w:r>
          </w:p>
        </w:tc>
        <w:tc>
          <w:tcPr>
            <w:tcW w:type="dxa" w:w="2160"/>
            <w:vAlign w:val="top"/>
          </w:tcPr>
          <w:p>
            <w:pPr>
              <w:spacing w:after="40" w:before="0" w:line="259" w:lineRule="auto"/>
            </w:pPr>
            <w:r>
              <w:rPr>
                <w:rFonts w:ascii="Calibri" w:hAnsi="Calibri"/>
                <w:b w:val="0"/>
                <w:i w:val="0"/>
                <w:color w:val="212121"/>
                <w:sz w:val="19"/>
              </w:rPr>
              <w:t>Shift workers &amp; irregular sleepers</w:t>
            </w:r>
          </w:p>
        </w:tc>
        <w:tc>
          <w:tcPr>
            <w:tcW w:type="dxa" w:w="4276"/>
            <w:vAlign w:val="top"/>
          </w:tcPr>
          <w:p>
            <w:pPr>
              <w:spacing w:after="60" w:line="259" w:lineRule="auto"/>
            </w:pPr>
            <w:r>
              <w:rPr>
                <w:rFonts w:ascii="Calibri" w:hAnsi="Calibri"/>
                <w:b w:val="0"/>
                <w:i w:val="0"/>
                <w:color w:val="212121"/>
                <w:sz w:val="19"/>
              </w:rPr>
              <w:t>Attacks are tightly coupled to the sleep–wake cycle, often waking patients 1–2 hours into sleep (REM-linked); disrupted or shifted sleep and daytime napping can precipitate attacks during a bout.</w:t>
            </w:r>
          </w:p>
          <w:p>
            <w:pPr>
              <w:spacing w:after="40" w:before="60" w:line="259" w:lineRule="auto"/>
            </w:pPr>
            <w:r>
              <w:rPr>
                <w:rFonts w:ascii="Calibri" w:hAnsi="Calibri"/>
                <w:b w:val="0"/>
                <w:i w:val="0"/>
                <w:color w:val="212121"/>
                <w:sz w:val="19"/>
              </w:rPr>
              <w:t>Circadian periodicity was documented in ~80–83% of an Indian series, with clusters around 12–4 AM and mid-afternoon.</w:t>
            </w:r>
          </w:p>
          <w:p>
            <w:pPr>
              <w:spacing w:after="40" w:line="252" w:lineRule="auto"/>
            </w:pPr>
            <w:hyperlink r:id="rId9">
              <w:r>
                <w:rPr>
                  <w:rFonts w:ascii="Calibri" w:hAnsi="Calibri" w:cs="Calibri"/>
                  <w:sz w:val="18"/>
                  <w:color w:val="1155CC"/>
                  <w:u w:val="single"/>
                </w:rPr>
                <w:t xml:space="preserve">ruralneuropractice.com — Study of cluster headache (India)</w:t>
              </w:r>
            </w:hyperlink>
          </w:p>
          <w:p>
            <w:pPr>
              <w:spacing w:before="60" w:after="40"/>
            </w:pPr>
            <w:r>
              <w:rPr>
                <w:rFonts w:ascii="Calibri" w:hAnsi="Calibri"/>
                <w:b w:val="0"/>
                <w:i w:val="0"/>
                <w:color w:val="5A5A5A"/>
                <w:sz w:val="18"/>
              </w:rPr>
              <w:t>#circadian  #sleep  #nocturnal  #shiftwork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Alcohol &amp; vasodilators</w:t>
            </w:r>
          </w:p>
        </w:tc>
        <w:tc>
          <w:tcPr>
            <w:tcW w:type="dxa" w:w="2160"/>
            <w:vAlign w:val="top"/>
          </w:tcPr>
          <w:p>
            <w:pPr>
              <w:spacing w:after="40" w:before="0" w:line="259" w:lineRule="auto"/>
            </w:pPr>
            <w:r>
              <w:rPr>
                <w:rFonts w:ascii="Calibri" w:hAnsi="Calibri"/>
                <w:b w:val="0"/>
                <w:i w:val="0"/>
                <w:color w:val="212121"/>
                <w:sz w:val="19"/>
              </w:rPr>
              <w:t>Consumers of alcohol / nitrate-rich foods in a bout</w:t>
            </w:r>
          </w:p>
        </w:tc>
        <w:tc>
          <w:tcPr>
            <w:tcW w:type="dxa" w:w="4276"/>
            <w:vAlign w:val="top"/>
          </w:tcPr>
          <w:p>
            <w:pPr>
              <w:spacing w:after="60" w:line="259" w:lineRule="auto"/>
            </w:pPr>
            <w:r>
              <w:rPr>
                <w:rFonts w:ascii="Calibri" w:hAnsi="Calibri"/>
                <w:b w:val="0"/>
                <w:i w:val="0"/>
                <w:color w:val="212121"/>
                <w:sz w:val="19"/>
              </w:rPr>
              <w:t>Vasodilatory exposures—alcohol, nitrate/nitrite-containing foods, and glyceryl trinitrate—can trigger attacks during active periods through trigemino-vascular and nitric-oxide pathways.</w:t>
            </w:r>
          </w:p>
          <w:p>
            <w:pPr>
              <w:spacing w:after="40" w:before="60" w:line="259" w:lineRule="auto"/>
            </w:pPr>
            <w:r>
              <w:rPr>
                <w:rFonts w:ascii="Calibri" w:hAnsi="Calibri"/>
                <w:b w:val="0"/>
                <w:i w:val="0"/>
                <w:color w:val="212121"/>
                <w:sz w:val="19"/>
              </w:rPr>
              <w:t>Nitroglycerin (a nitric-oxide donor) has long been used to experimentally provoke cluster attacks during bouts.</w:t>
            </w:r>
          </w:p>
          <w:p>
            <w:pPr>
              <w:spacing w:after="40" w:line="252" w:lineRule="auto"/>
            </w:pPr>
            <w:hyperlink r:id="rId10">
              <w:r>
                <w:rPr>
                  <w:rFonts w:ascii="Calibri" w:hAnsi="Calibri" w:cs="Calibri"/>
                  <w:sz w:val="18"/>
                  <w:color w:val="1155CC"/>
                  <w:u w:val="single"/>
                </w:rPr>
                <w:t xml:space="preserve">StatPearls (NCBI) — Cluster Headache</w:t>
              </w:r>
            </w:hyperlink>
          </w:p>
          <w:p>
            <w:pPr>
              <w:spacing w:before="60" w:after="40"/>
            </w:pPr>
            <w:r>
              <w:rPr>
                <w:rFonts w:ascii="Calibri" w:hAnsi="Calibri"/>
                <w:b w:val="0"/>
                <w:i w:val="0"/>
                <w:color w:val="5A5A5A"/>
                <w:sz w:val="18"/>
              </w:rPr>
              <w:t>#nitrates  #vasodilators  #nitricoxide  #dietarytrigger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Stimulants / strong odours</w:t>
            </w:r>
          </w:p>
        </w:tc>
        <w:tc>
          <w:tcPr>
            <w:tcW w:type="dxa" w:w="2160"/>
            <w:vAlign w:val="top"/>
          </w:tcPr>
          <w:p>
            <w:pPr>
              <w:spacing w:after="40" w:before="0" w:line="259" w:lineRule="auto"/>
            </w:pPr>
            <w:r>
              <w:rPr>
                <w:rFonts w:ascii="Calibri" w:hAnsi="Calibri"/>
                <w:b w:val="0"/>
                <w:i w:val="0"/>
                <w:color w:val="212121"/>
                <w:sz w:val="19"/>
              </w:rPr>
              <w:t>Exposure to strong smells, solvents, volatile odours</w:t>
            </w:r>
          </w:p>
        </w:tc>
        <w:tc>
          <w:tcPr>
            <w:tcW w:type="dxa" w:w="4276"/>
            <w:vAlign w:val="top"/>
          </w:tcPr>
          <w:p>
            <w:pPr>
              <w:spacing w:after="60" w:line="259" w:lineRule="auto"/>
            </w:pPr>
            <w:r>
              <w:rPr>
                <w:rFonts w:ascii="Calibri" w:hAnsi="Calibri"/>
                <w:b w:val="0"/>
                <w:i w:val="0"/>
                <w:color w:val="212121"/>
                <w:sz w:val="19"/>
              </w:rPr>
              <w:t>Strong odours (solvents, perfume, petrol) and other environmental irritants are reported by some patients as bout-period precipitants, likely via trigeminal afferent activation.</w:t>
            </w:r>
          </w:p>
          <w:p>
            <w:pPr>
              <w:spacing w:after="40" w:before="60" w:line="259" w:lineRule="auto"/>
            </w:pPr>
            <w:r>
              <w:rPr>
                <w:rFonts w:ascii="Calibri" w:hAnsi="Calibri"/>
                <w:b w:val="0"/>
                <w:i w:val="0"/>
                <w:color w:val="212121"/>
                <w:sz w:val="19"/>
              </w:rPr>
              <w:t>Odour and volatile-chemical exposure are among the environmental precipitants patients are counselled to avoid during clusters.</w:t>
            </w:r>
          </w:p>
          <w:p>
            <w:pPr>
              <w:spacing w:before="60" w:after="40"/>
            </w:pPr>
            <w:r>
              <w:rPr>
                <w:rFonts w:ascii="Calibri" w:hAnsi="Calibri"/>
                <w:b w:val="0"/>
                <w:i w:val="0"/>
                <w:color w:val="5A5A5A"/>
                <w:sz w:val="18"/>
              </w:rPr>
              <w:t>#odours  #solvents  #trigeminal  #environment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CH patient</w:t>
            </w:r>
          </w:p>
        </w:tc>
        <w:tc>
          <w:tcPr>
            <w:tcW w:type="dxa" w:w="4276"/>
            <w:vAlign w:val="top"/>
          </w:tcPr>
          <w:p>
            <w:pPr>
              <w:spacing w:after="60" w:line="259" w:lineRule="auto"/>
            </w:pPr>
            <w:r>
              <w:rPr>
                <w:rFonts w:ascii="Calibri" w:hAnsi="Calibri"/>
                <w:b w:val="0"/>
                <w:i w:val="0"/>
                <w:color w:val="212121"/>
                <w:sz w:val="19"/>
              </w:rPr>
              <w:t>Heritable susceptibility is well established; having an affected first-degree relative multiplies risk several-fold, and GWAS has mapped multiple risk loci in brain- and artery-expressed genes.</w:t>
            </w:r>
          </w:p>
          <w:p>
            <w:pPr>
              <w:spacing w:after="40" w:before="60" w:line="259" w:lineRule="auto"/>
            </w:pPr>
            <w:r>
              <w:rPr>
                <w:rFonts w:ascii="Calibri" w:hAnsi="Calibri"/>
                <w:b w:val="0"/>
                <w:i w:val="0"/>
                <w:color w:val="212121"/>
                <w:sz w:val="19"/>
              </w:rPr>
              <w:t>Positive family history is reported in a median ~8.2% (range 0–22%); first-degree relatives are about 5–18× more likely to develop cluster headache.</w:t>
            </w:r>
          </w:p>
          <w:p>
            <w:pPr>
              <w:spacing w:after="40" w:line="252" w:lineRule="auto"/>
            </w:pPr>
            <w:hyperlink r:id="rId11">
              <w:r>
                <w:rPr>
                  <w:rFonts w:ascii="Calibri" w:hAnsi="Calibri" w:cs="Calibri"/>
                  <w:sz w:val="18"/>
                  <w:color w:val="1155CC"/>
                  <w:u w:val="single"/>
                </w:rPr>
                <w:t xml:space="preserve">Frontiers in Pain Research (2024) — Cluster headache update</w:t>
              </w:r>
            </w:hyperlink>
          </w:p>
          <w:p>
            <w:pPr>
              <w:spacing w:before="60" w:after="40"/>
            </w:pPr>
            <w:r>
              <w:rPr>
                <w:rFonts w:ascii="Calibri" w:hAnsi="Calibri"/>
                <w:b w:val="0"/>
                <w:i w:val="0"/>
                <w:color w:val="5A5A5A"/>
                <w:sz w:val="18"/>
              </w:rPr>
              <w:t>#familyhistory  #genetics  #heritability  #GWAS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Obstructive sleep apnea</w:t>
            </w:r>
          </w:p>
        </w:tc>
        <w:tc>
          <w:tcPr>
            <w:tcW w:type="dxa" w:w="2160"/>
            <w:vAlign w:val="top"/>
          </w:tcPr>
          <w:p>
            <w:pPr>
              <w:spacing w:after="40" w:before="0" w:line="259" w:lineRule="auto"/>
            </w:pPr>
            <w:r>
              <w:rPr>
                <w:rFonts w:ascii="Calibri" w:hAnsi="Calibri"/>
                <w:b w:val="0"/>
                <w:i w:val="0"/>
                <w:color w:val="212121"/>
                <w:sz w:val="19"/>
              </w:rPr>
              <w:t>Patients with OSA / heavy snorers</w:t>
            </w:r>
          </w:p>
        </w:tc>
        <w:tc>
          <w:tcPr>
            <w:tcW w:type="dxa" w:w="4276"/>
            <w:vAlign w:val="top"/>
          </w:tcPr>
          <w:p>
            <w:pPr>
              <w:spacing w:after="60" w:line="259" w:lineRule="auto"/>
            </w:pPr>
            <w:r>
              <w:rPr>
                <w:rFonts w:ascii="Calibri" w:hAnsi="Calibri"/>
                <w:b w:val="0"/>
                <w:i w:val="0"/>
                <w:color w:val="212121"/>
                <w:sz w:val="19"/>
              </w:rPr>
              <w:t>Nocturnal hypoxaemia and sleep fragmentation from OSA can precipitate nocturnal cluster attacks; treating coexisting OSA (CPAP) may reduce attack frequency in some patients.</w:t>
            </w:r>
          </w:p>
          <w:p>
            <w:pPr>
              <w:spacing w:after="40" w:before="60" w:line="259" w:lineRule="auto"/>
            </w:pPr>
            <w:r>
              <w:rPr>
                <w:rFonts w:ascii="Calibri" w:hAnsi="Calibri"/>
                <w:b w:val="0"/>
                <w:i w:val="0"/>
                <w:color w:val="212121"/>
                <w:sz w:val="19"/>
              </w:rPr>
              <w:t>Headache is common in OSA (about a third of patients in a systematic review); OSA should be screened for in patients with prominent nocturnal attacks.</w:t>
            </w:r>
          </w:p>
          <w:p>
            <w:pPr>
              <w:spacing w:after="40" w:line="252" w:lineRule="auto"/>
            </w:pPr>
            <w:hyperlink r:id="rId13">
              <w:r>
                <w:rPr>
                  <w:rFonts w:ascii="Calibri" w:hAnsi="Calibri" w:cs="Calibri"/>
                  <w:sz w:val="18"/>
                  <w:color w:val="1155CC"/>
                  <w:u w:val="single"/>
                </w:rPr>
                <w:t xml:space="preserve">Scientific Reports (2025) — headache phenotypes in OSA</w:t>
              </w:r>
            </w:hyperlink>
          </w:p>
          <w:p>
            <w:pPr>
              <w:spacing w:before="60" w:after="40"/>
            </w:pPr>
            <w:r>
              <w:rPr>
                <w:rFonts w:ascii="Calibri" w:hAnsi="Calibri"/>
                <w:b w:val="0"/>
                <w:i w:val="0"/>
                <w:color w:val="5A5A5A"/>
                <w:sz w:val="18"/>
              </w:rPr>
              <w:t>#OSA  #nocturnalhypoxia  #CPAP  #sleep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depression / suicidality</w:t>
            </w:r>
          </w:p>
        </w:tc>
        <w:tc>
          <w:tcPr>
            <w:tcW w:type="dxa" w:w="4276"/>
            <w:vAlign w:val="top"/>
          </w:tcPr>
          <w:p>
            <w:pPr>
              <w:spacing w:after="60" w:line="259" w:lineRule="auto"/>
            </w:pPr>
            <w:r>
              <w:rPr>
                <w:rFonts w:ascii="Calibri" w:hAnsi="Calibri"/>
                <w:b w:val="0"/>
                <w:i w:val="0"/>
                <w:color w:val="212121"/>
                <w:sz w:val="19"/>
              </w:rPr>
              <w:t>The extreme pain, sleep loss and unpredictability drive high rates of mood disorder and suicidal ideation (“suicide headache”); depression in turn worsens coping and adherence—a bidirectional burden.</w:t>
            </w:r>
          </w:p>
          <w:p>
            <w:pPr>
              <w:spacing w:after="40" w:before="60" w:line="259" w:lineRule="auto"/>
            </w:pPr>
            <w:r>
              <w:rPr>
                <w:rFonts w:ascii="Calibri" w:hAnsi="Calibri"/>
                <w:b w:val="0"/>
                <w:i w:val="0"/>
                <w:color w:val="212121"/>
                <w:sz w:val="19"/>
              </w:rPr>
              <w:t>Up to ~55% of patients report suicidal ideation, and depression occurs roughly three times more often than in controls.</w:t>
            </w:r>
          </w:p>
          <w:p>
            <w:pPr>
              <w:spacing w:after="40" w:line="252" w:lineRule="auto"/>
            </w:pPr>
            <w:hyperlink r:id="rId11">
              <w:r>
                <w:rPr>
                  <w:rFonts w:ascii="Calibri" w:hAnsi="Calibri" w:cs="Calibri"/>
                  <w:sz w:val="18"/>
                  <w:color w:val="1155CC"/>
                  <w:u w:val="single"/>
                </w:rPr>
                <w:t xml:space="preserve">Frontiers in Pain Research (2024) — Cluster headache update</w:t>
              </w:r>
            </w:hyperlink>
          </w:p>
          <w:p>
            <w:pPr>
              <w:spacing w:before="60" w:after="40"/>
            </w:pPr>
            <w:r>
              <w:rPr>
                <w:rFonts w:ascii="Calibri" w:hAnsi="Calibri"/>
                <w:b w:val="0"/>
                <w:i w:val="0"/>
                <w:color w:val="5A5A5A"/>
                <w:sz w:val="18"/>
              </w:rPr>
              <w:t>#depression  #suicidality  #suicideheadache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Migraine</w:t>
            </w:r>
          </w:p>
        </w:tc>
        <w:tc>
          <w:tcPr>
            <w:tcW w:type="dxa" w:w="2160"/>
            <w:vAlign w:val="top"/>
          </w:tcPr>
          <w:p>
            <w:pPr>
              <w:spacing w:after="40" w:before="0" w:line="259" w:lineRule="auto"/>
            </w:pPr>
            <w:r>
              <w:rPr>
                <w:rFonts w:ascii="Calibri" w:hAnsi="Calibri"/>
                <w:b w:val="0"/>
                <w:i w:val="0"/>
                <w:color w:val="212121"/>
                <w:sz w:val="19"/>
              </w:rPr>
              <w:t>Patients with coexisting migraine</w:t>
            </w:r>
          </w:p>
        </w:tc>
        <w:tc>
          <w:tcPr>
            <w:tcW w:type="dxa" w:w="4276"/>
            <w:vAlign w:val="top"/>
          </w:tcPr>
          <w:p>
            <w:pPr>
              <w:spacing w:after="60" w:line="259" w:lineRule="auto"/>
            </w:pPr>
            <w:r>
              <w:rPr>
                <w:rFonts w:ascii="Calibri" w:hAnsi="Calibri"/>
                <w:b w:val="0"/>
                <w:i w:val="0"/>
                <w:color w:val="212121"/>
                <w:sz w:val="19"/>
              </w:rPr>
              <w:t>Migraine is highly prevalent in India and shares trigemino-vascular mechanisms with CH; overlap or coexistence complicates diagnosis, and some CH attacks carry migrainous features (nausea, photophobia).</w:t>
            </w:r>
          </w:p>
          <w:p>
            <w:pPr>
              <w:spacing w:after="40" w:before="60" w:line="259" w:lineRule="auto"/>
            </w:pPr>
            <w:r>
              <w:rPr>
                <w:rFonts w:ascii="Calibri" w:hAnsi="Calibri"/>
                <w:b w:val="0"/>
                <w:i w:val="0"/>
                <w:color w:val="212121"/>
                <w:sz w:val="19"/>
              </w:rPr>
              <w:t>Migraine 1-year prevalence in a Karnataka population study was 25.2% (any headache 63.9%), so coexistence with CH is not rare in Indian practice.</w:t>
            </w:r>
          </w:p>
          <w:p>
            <w:pPr>
              <w:spacing w:after="40" w:line="252" w:lineRule="auto"/>
            </w:pPr>
            <w:hyperlink r:id="rId14">
              <w:r>
                <w:rPr>
                  <w:rFonts w:ascii="Calibri" w:hAnsi="Calibri" w:cs="Calibri"/>
                  <w:sz w:val="18"/>
                  <w:color w:val="1155CC"/>
                  <w:u w:val="single"/>
                </w:rPr>
                <w:t xml:space="preserve">J Headache Pain (2015) — Karnataka headache prevalence</w:t>
              </w:r>
            </w:hyperlink>
          </w:p>
          <w:p>
            <w:pPr>
              <w:spacing w:before="60" w:after="40"/>
            </w:pPr>
            <w:r>
              <w:rPr>
                <w:rFonts w:ascii="Calibri" w:hAnsi="Calibri"/>
                <w:b w:val="0"/>
                <w:i w:val="0"/>
                <w:color w:val="5A5A5A"/>
                <w:sz w:val="18"/>
              </w:rPr>
              <w:t>#migraine  #overlap  #trigeminovascular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use disorder</w:t>
            </w:r>
          </w:p>
        </w:tc>
        <w:tc>
          <w:tcPr>
            <w:tcW w:type="dxa" w:w="2160"/>
            <w:vAlign w:val="top"/>
          </w:tcPr>
          <w:p>
            <w:pPr>
              <w:spacing w:after="40" w:before="0" w:line="259" w:lineRule="auto"/>
            </w:pPr>
            <w:r>
              <w:rPr>
                <w:rFonts w:ascii="Calibri" w:hAnsi="Calibri"/>
                <w:b w:val="0"/>
                <w:i w:val="0"/>
                <w:color w:val="212121"/>
                <w:sz w:val="19"/>
              </w:rPr>
              <w:t>Patients with tobacco/nicotine dependence</w:t>
            </w:r>
          </w:p>
        </w:tc>
        <w:tc>
          <w:tcPr>
            <w:tcW w:type="dxa" w:w="4276"/>
            <w:vAlign w:val="top"/>
          </w:tcPr>
          <w:p>
            <w:pPr>
              <w:spacing w:after="60" w:line="259" w:lineRule="auto"/>
            </w:pPr>
            <w:r>
              <w:rPr>
                <w:rFonts w:ascii="Calibri" w:hAnsi="Calibri"/>
                <w:b w:val="0"/>
                <w:i w:val="0"/>
                <w:color w:val="212121"/>
                <w:sz w:val="19"/>
              </w:rPr>
              <w:t>Near-universal tobacco exposure links CH to nicotine dependence and its downstream cardiovascular and respiratory risks; heavy tobacco use also constrains vasoactive treatment choices.</w:t>
            </w:r>
          </w:p>
          <w:p>
            <w:pPr>
              <w:spacing w:after="40" w:before="60" w:line="259" w:lineRule="auto"/>
            </w:pPr>
            <w:r>
              <w:rPr>
                <w:rFonts w:ascii="Calibri" w:hAnsi="Calibri"/>
                <w:b w:val="0"/>
                <w:i w:val="0"/>
                <w:color w:val="212121"/>
                <w:sz w:val="19"/>
              </w:rPr>
              <w:t>Around 80% of patients smoke; in Indian cohorts 53.4% smoked and 27% used chewing tobacco.</w:t>
            </w:r>
          </w:p>
          <w:p>
            <w:pPr>
              <w:spacing w:after="40" w:line="252" w:lineRule="auto"/>
            </w:pPr>
            <w:hyperlink r:id="rId12">
              <w:r>
                <w:rPr>
                  <w:rFonts w:ascii="Calibri" w:hAnsi="Calibri" w:cs="Calibri"/>
                  <w:sz w:val="18"/>
                  <w:color w:val="1155CC"/>
                  <w:u w:val="single"/>
                </w:rPr>
                <w:t xml:space="preserve">Vall d'Hebron / VHIR — smoking is a cause of cluster headache</w:t>
              </w:r>
            </w:hyperlink>
          </w:p>
          <w:p>
            <w:pPr>
              <w:spacing w:before="60" w:after="40"/>
            </w:pPr>
            <w:r>
              <w:rPr>
                <w:rFonts w:ascii="Calibri" w:hAnsi="Calibri"/>
                <w:b w:val="0"/>
                <w:i w:val="0"/>
                <w:color w:val="5A5A5A"/>
                <w:sz w:val="18"/>
              </w:rPr>
              <w:t>#tobaccouse  #nicotine  #dependence  #cardiovascular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Unlike migraine, routine exertion is not a typical trigger; during an attack patients are agitated and pace rather than lie still. Regular activity in remission supports general and mood health but does not modify bout frequency.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dietary cause; specific foods are minor. The key dietary issue is alcohol and other vasodilators (nitrates), which provoke attacks only during an active bout.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Attacks are tightly coupled to the sleep–wake cycle, often striking during REM sleep 1–2 h after falling asleep; irregular sleep, napping and comorbid OSA precipitate nocturnal attacks.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About 80% of patients smoke, and genome-wide data support smoking as a causal contributor with earlier onset; smokeless tobacco is also frequent in Indian cohorts.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reliably provokes an attack within ~1 hour during an active bout while being tolerated in remission—one of the most characteristic triggers of cluster headache.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disorder carries very high rates of depression, anxiety and suicidal ideation (up to ~55%); mood disorder is largely a consequence and modifier rather than a cause.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link between hydration status and cluster-headache attacks; adequate hydration is general good practice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caffeine (often combined with an abortive) may give minor acute benefit for some, but it is neither a reliable trigger nor a proven preventive.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Exposure to strong odours, solvents or volatile chemicals is a bout-period environmental precipitant for some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During an active bout attacks are provoked by alcohol, nitroglycerin/nitrates, histamine, strong odours, hypoxia (altitude, air travel, sleep apnoea) and napping; these do not trigger attacks in remission.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Lying flat may aggravate pain, and patients characteristically prefer to sit up, rock or pace—behaviour that helps distinguish cluster headache from migraine, in which patients seek stillness.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male patients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 1/day; heavy or long pack-year use</w:t>
            </w:r>
          </w:p>
        </w:tc>
        <w:tc>
          <w:tcPr>
            <w:tcW w:type="dxa" w:w="1468"/>
            <w:vAlign w:val="top"/>
          </w:tcPr>
          <w:p>
            <w:pPr>
              <w:spacing w:after="60" w:line="259" w:lineRule="auto"/>
            </w:pPr>
            <w:r>
              <w:rPr>
                <w:rFonts w:ascii="Calibri" w:hAnsi="Calibri"/>
                <w:b w:val="0"/>
                <w:i w:val="0"/>
                <w:color w:val="212121"/>
                <w:sz w:val="19"/>
              </w:rPr>
              <w:t>~80% of patients smoke; cessation advised though bouts may persist after quitting</w:t>
            </w:r>
          </w:p>
          <w:p>
            <w:pPr>
              <w:spacing w:after="40" w:line="252" w:lineRule="auto"/>
            </w:pPr>
            <w:hyperlink r:id="rId12">
              <w:r>
                <w:rPr>
                  <w:rFonts w:ascii="Calibri" w:hAnsi="Calibri" w:cs="Calibri"/>
                  <w:sz w:val="18"/>
                  <w:color w:val="1155CC"/>
                  <w:u w:val="single"/>
                </w:rPr>
                <w:t xml:space="preserve">https://www.vallhebron.com/en/news/news/smoking-one-causes-cluster-headache-international-genetic-study-participation-vall-dhebron-shows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during an active bout</w:t>
            </w:r>
          </w:p>
        </w:tc>
        <w:tc>
          <w:tcPr>
            <w:tcW w:type="dxa" w:w="1655"/>
            <w:vAlign w:val="top"/>
          </w:tcPr>
          <w:p>
            <w:pPr>
              <w:spacing w:after="40" w:before="0" w:line="259" w:lineRule="auto"/>
            </w:pPr>
            <w:r>
              <w:rPr>
                <w:rFonts w:ascii="Calibri" w:hAnsi="Calibri"/>
                <w:b w:val="0"/>
                <w:i w:val="0"/>
                <w:color w:val="212121"/>
                <w:sz w:val="19"/>
              </w:rPr>
              <w:t>CH patients in a bout</w:t>
            </w:r>
          </w:p>
        </w:tc>
        <w:tc>
          <w:tcPr>
            <w:tcW w:type="dxa" w:w="1512"/>
            <w:vAlign w:val="top"/>
          </w:tcPr>
          <w:p>
            <w:pPr>
              <w:spacing w:after="40" w:before="0" w:line="259" w:lineRule="auto"/>
            </w:pPr>
            <w:r>
              <w:rPr>
                <w:rFonts w:ascii="Calibri" w:hAnsi="Calibri"/>
                <w:b w:val="0"/>
                <w:i w:val="0"/>
                <w:color w:val="212121"/>
                <w:sz w:val="19"/>
              </w:rPr>
              <w:t>0 during active cluster periods</w:t>
            </w:r>
          </w:p>
        </w:tc>
        <w:tc>
          <w:tcPr>
            <w:tcW w:type="dxa" w:w="1512"/>
            <w:vAlign w:val="top"/>
          </w:tcPr>
          <w:p>
            <w:pPr>
              <w:spacing w:after="40" w:before="0" w:line="259" w:lineRule="auto"/>
            </w:pPr>
            <w:r>
              <w:rPr>
                <w:rFonts w:ascii="Calibri" w:hAnsi="Calibri"/>
                <w:b w:val="0"/>
                <w:i w:val="0"/>
                <w:color w:val="212121"/>
                <w:sz w:val="19"/>
              </w:rPr>
              <w:t>Any amount (attack typically within ~1 h)</w:t>
            </w:r>
          </w:p>
        </w:tc>
        <w:tc>
          <w:tcPr>
            <w:tcW w:type="dxa" w:w="1468"/>
            <w:vAlign w:val="top"/>
          </w:tcPr>
          <w:p>
            <w:pPr>
              <w:spacing w:after="60" w:line="259" w:lineRule="auto"/>
            </w:pPr>
            <w:r>
              <w:rPr>
                <w:rFonts w:ascii="Calibri" w:hAnsi="Calibri"/>
                <w:b w:val="0"/>
                <w:i w:val="0"/>
                <w:color w:val="212121"/>
                <w:sz w:val="19"/>
              </w:rPr>
              <w:t>Abstain entirely while in a bout; usually tolerated during remission</w:t>
            </w:r>
          </w:p>
          <w:p>
            <w:pPr>
              <w:spacing w:after="40" w:line="252" w:lineRule="auto"/>
            </w:pPr>
            <w:hyperlink r:id="rId10">
              <w:r>
                <w:rPr>
                  <w:rFonts w:ascii="Calibri" w:hAnsi="Calibri" w:cs="Calibri"/>
                  <w:sz w:val="18"/>
                  <w:color w:val="1155CC"/>
                  <w:u w:val="single"/>
                </w:rPr>
                <w:t xml:space="preserve">https://www.ncbi.nlm.nih.gov/books/NBK544241/</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regularity</w:t>
            </w:r>
          </w:p>
        </w:tc>
        <w:tc>
          <w:tcPr>
            <w:tcW w:type="dxa" w:w="1655"/>
            <w:vAlign w:val="top"/>
          </w:tcPr>
          <w:p>
            <w:pPr>
              <w:spacing w:after="40" w:before="0" w:line="259" w:lineRule="auto"/>
            </w:pPr>
            <w:r>
              <w:rPr>
                <w:rFonts w:ascii="Calibri" w:hAnsi="Calibri"/>
                <w:b w:val="0"/>
                <w:i w:val="0"/>
                <w:color w:val="212121"/>
                <w:sz w:val="19"/>
              </w:rPr>
              <w:t>Adults, shift workers</w:t>
            </w:r>
          </w:p>
        </w:tc>
        <w:tc>
          <w:tcPr>
            <w:tcW w:type="dxa" w:w="1512"/>
            <w:vAlign w:val="top"/>
          </w:tcPr>
          <w:p>
            <w:pPr>
              <w:spacing w:after="40" w:before="0" w:line="259" w:lineRule="auto"/>
            </w:pPr>
            <w:r>
              <w:rPr>
                <w:rFonts w:ascii="Calibri" w:hAnsi="Calibri"/>
                <w:b w:val="0"/>
                <w:i w:val="0"/>
                <w:color w:val="212121"/>
                <w:sz w:val="19"/>
              </w:rPr>
              <w:t>7–9 h, regular schedule</w:t>
            </w:r>
          </w:p>
        </w:tc>
        <w:tc>
          <w:tcPr>
            <w:tcW w:type="dxa" w:w="1512"/>
            <w:vAlign w:val="top"/>
          </w:tcPr>
          <w:p>
            <w:pPr>
              <w:spacing w:after="40" w:before="0" w:line="259" w:lineRule="auto"/>
            </w:pPr>
            <w:r>
              <w:rPr>
                <w:rFonts w:ascii="Calibri" w:hAnsi="Calibri"/>
                <w:b w:val="0"/>
                <w:i w:val="0"/>
                <w:color w:val="212121"/>
                <w:sz w:val="19"/>
              </w:rPr>
              <w:t>Irregular timing, daytime naps, late-night sleep</w:t>
            </w:r>
          </w:p>
        </w:tc>
        <w:tc>
          <w:tcPr>
            <w:tcW w:type="dxa" w:w="1468"/>
            <w:vAlign w:val="top"/>
          </w:tcPr>
          <w:p>
            <w:pPr>
              <w:spacing w:after="40" w:before="0" w:line="259" w:lineRule="auto"/>
            </w:pPr>
            <w:r>
              <w:rPr>
                <w:rFonts w:ascii="Calibri" w:hAnsi="Calibri"/>
                <w:b w:val="0"/>
                <w:i w:val="0"/>
                <w:color w:val="212121"/>
                <w:sz w:val="19"/>
              </w:rPr>
              <w:t>Attacks cluster around sleep onset/REM; keep a fixed sleep–wake time during bouts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OSA screen (Apnoea–Hypopnoea Index, AHI)</w:t>
            </w:r>
          </w:p>
        </w:tc>
        <w:tc>
          <w:tcPr>
            <w:tcW w:type="dxa" w:w="1655"/>
            <w:vAlign w:val="top"/>
          </w:tcPr>
          <w:p>
            <w:pPr>
              <w:spacing w:after="40" w:before="0" w:line="259" w:lineRule="auto"/>
            </w:pPr>
            <w:r>
              <w:rPr>
                <w:rFonts w:ascii="Calibri" w:hAnsi="Calibri"/>
                <w:b w:val="0"/>
                <w:i w:val="0"/>
                <w:color w:val="212121"/>
                <w:sz w:val="19"/>
              </w:rPr>
              <w:t>Snorers, obese patients, nocturnal attacks</w:t>
            </w:r>
          </w:p>
        </w:tc>
        <w:tc>
          <w:tcPr>
            <w:tcW w:type="dxa" w:w="1512"/>
            <w:vAlign w:val="top"/>
          </w:tcPr>
          <w:p>
            <w:pPr>
              <w:spacing w:after="40" w:before="0" w:line="259" w:lineRule="auto"/>
            </w:pPr>
            <w:r>
              <w:rPr>
                <w:rFonts w:ascii="Calibri" w:hAnsi="Calibri"/>
                <w:b w:val="0"/>
                <w:i w:val="0"/>
                <w:color w:val="212121"/>
                <w:sz w:val="19"/>
              </w:rPr>
              <w:t>AHI &lt; 5 /h</w:t>
            </w:r>
          </w:p>
        </w:tc>
        <w:tc>
          <w:tcPr>
            <w:tcW w:type="dxa" w:w="1512"/>
            <w:vAlign w:val="top"/>
          </w:tcPr>
          <w:p>
            <w:pPr>
              <w:spacing w:after="40" w:before="0" w:line="259" w:lineRule="auto"/>
            </w:pPr>
            <w:r>
              <w:rPr>
                <w:rFonts w:ascii="Calibri" w:hAnsi="Calibri"/>
                <w:b w:val="0"/>
                <w:i w:val="0"/>
                <w:color w:val="212121"/>
                <w:sz w:val="19"/>
              </w:rPr>
              <w:t>AHI ≥ 5 /h (≥ 15 moderate)</w:t>
            </w:r>
          </w:p>
        </w:tc>
        <w:tc>
          <w:tcPr>
            <w:tcW w:type="dxa" w:w="1468"/>
            <w:vAlign w:val="top"/>
          </w:tcPr>
          <w:p>
            <w:pPr>
              <w:spacing w:after="60" w:line="259" w:lineRule="auto"/>
            </w:pPr>
            <w:r>
              <w:rPr>
                <w:rFonts w:ascii="Calibri" w:hAnsi="Calibri"/>
                <w:b w:val="0"/>
                <w:i w:val="0"/>
                <w:color w:val="212121"/>
                <w:sz w:val="19"/>
              </w:rPr>
              <w:t>Treat coexisting OSA (CPAP); nocturnal hypoxia can precipitate attacks</w:t>
            </w:r>
          </w:p>
          <w:p>
            <w:pPr>
              <w:spacing w:after="40" w:line="252" w:lineRule="auto"/>
            </w:pPr>
            <w:hyperlink r:id="rId13">
              <w:r>
                <w:rPr>
                  <w:rFonts w:ascii="Calibri" w:hAnsi="Calibri" w:cs="Calibri"/>
                  <w:sz w:val="18"/>
                  <w:color w:val="1155CC"/>
                  <w:u w:val="single"/>
                </w:rPr>
                <w:t xml:space="preserve">https://www.nature.com/articles/s41598-025-89538-4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Attack frequency</w:t>
            </w:r>
          </w:p>
        </w:tc>
        <w:tc>
          <w:tcPr>
            <w:tcW w:type="dxa" w:w="1655"/>
            <w:vAlign w:val="top"/>
          </w:tcPr>
          <w:p>
            <w:pPr>
              <w:spacing w:after="40" w:before="0" w:line="259" w:lineRule="auto"/>
            </w:pPr>
            <w:r>
              <w:rPr>
                <w:rFonts w:ascii="Calibri" w:hAnsi="Calibri"/>
                <w:b w:val="0"/>
                <w:i w:val="0"/>
                <w:color w:val="212121"/>
                <w:sz w:val="19"/>
              </w:rPr>
              <w:t>Active-bout patients</w:t>
            </w:r>
          </w:p>
        </w:tc>
        <w:tc>
          <w:tcPr>
            <w:tcW w:type="dxa" w:w="1512"/>
            <w:vAlign w:val="top"/>
          </w:tcPr>
          <w:p>
            <w:pPr>
              <w:spacing w:after="40" w:before="0" w:line="259" w:lineRule="auto"/>
            </w:pPr>
            <w:r>
              <w:rPr>
                <w:rFonts w:ascii="Calibri" w:hAnsi="Calibri"/>
                <w:b w:val="0"/>
                <w:i w:val="0"/>
                <w:color w:val="212121"/>
                <w:sz w:val="19"/>
              </w:rPr>
              <w:t>0 (remission)</w:t>
            </w:r>
          </w:p>
        </w:tc>
        <w:tc>
          <w:tcPr>
            <w:tcW w:type="dxa" w:w="1512"/>
            <w:vAlign w:val="top"/>
          </w:tcPr>
          <w:p>
            <w:pPr>
              <w:spacing w:after="40" w:before="0" w:line="259" w:lineRule="auto"/>
            </w:pPr>
            <w:r>
              <w:rPr>
                <w:rFonts w:ascii="Calibri" w:hAnsi="Calibri"/>
                <w:b w:val="0"/>
                <w:i w:val="0"/>
                <w:color w:val="212121"/>
                <w:sz w:val="19"/>
              </w:rPr>
              <w:t>1 every other day up to 8 per day</w:t>
            </w:r>
          </w:p>
        </w:tc>
        <w:tc>
          <w:tcPr>
            <w:tcW w:type="dxa" w:w="1468"/>
            <w:vAlign w:val="top"/>
          </w:tcPr>
          <w:p>
            <w:pPr>
              <w:spacing w:after="60" w:line="259" w:lineRule="auto"/>
            </w:pPr>
            <w:r>
              <w:rPr>
                <w:rFonts w:ascii="Calibri" w:hAnsi="Calibri"/>
                <w:b w:val="0"/>
                <w:i w:val="0"/>
                <w:color w:val="212121"/>
                <w:sz w:val="19"/>
              </w:rPr>
              <w:t>Defines an active bout per ICHD-3; tracks disease activity</w:t>
            </w:r>
          </w:p>
          <w:p>
            <w:pPr>
              <w:spacing w:after="40" w:line="252" w:lineRule="auto"/>
            </w:pPr>
            <w:hyperlink r:id="rId15">
              <w:r>
                <w:rPr>
                  <w:rFonts w:ascii="Calibri" w:hAnsi="Calibri" w:cs="Calibri"/>
                  <w:sz w:val="18"/>
                  <w:color w:val="1155CC"/>
                  <w:u w:val="single"/>
                </w:rPr>
                <w:t xml:space="preserve">https://ichd-3.org/3-trigeminal-autonomic-cephalalgias/3-1-cluster-headache/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Attack duration (untreated)</w:t>
            </w:r>
          </w:p>
        </w:tc>
        <w:tc>
          <w:tcPr>
            <w:tcW w:type="dxa" w:w="1655"/>
            <w:vAlign w:val="top"/>
          </w:tcPr>
          <w:p>
            <w:pPr>
              <w:spacing w:after="40" w:before="0" w:line="259" w:lineRule="auto"/>
            </w:pPr>
            <w:r>
              <w:rPr>
                <w:rFonts w:ascii="Calibri" w:hAnsi="Calibri"/>
                <w:b w:val="0"/>
                <w:i w:val="0"/>
                <w:color w:val="212121"/>
                <w:sz w:val="19"/>
              </w:rPr>
              <w:t>CH patients</w:t>
            </w:r>
          </w:p>
        </w:tc>
        <w:tc>
          <w:tcPr>
            <w:tcW w:type="dxa" w:w="1512"/>
            <w:vAlign w:val="top"/>
          </w:tcPr>
          <w:p>
            <w:pPr>
              <w:spacing w:after="40" w:before="0" w:line="259" w:lineRule="auto"/>
            </w:pPr>
            <w:r>
              <w:rPr>
                <w:rFonts w:ascii="Calibri" w:hAnsi="Calibri"/>
                <w:b w:val="0"/>
                <w:i w:val="0"/>
                <w:color w:val="212121"/>
                <w:sz w:val="19"/>
              </w:rPr>
              <w:t>—</w:t>
            </w:r>
          </w:p>
        </w:tc>
        <w:tc>
          <w:tcPr>
            <w:tcW w:type="dxa" w:w="1512"/>
            <w:vAlign w:val="top"/>
          </w:tcPr>
          <w:p>
            <w:pPr>
              <w:spacing w:after="40" w:before="0" w:line="259" w:lineRule="auto"/>
            </w:pPr>
            <w:r>
              <w:rPr>
                <w:rFonts w:ascii="Calibri" w:hAnsi="Calibri"/>
                <w:b w:val="0"/>
                <w:i w:val="0"/>
                <w:color w:val="212121"/>
                <w:sz w:val="19"/>
              </w:rPr>
              <w:t>15–180 minutes</w:t>
            </w:r>
          </w:p>
        </w:tc>
        <w:tc>
          <w:tcPr>
            <w:tcW w:type="dxa" w:w="1468"/>
            <w:vAlign w:val="top"/>
          </w:tcPr>
          <w:p>
            <w:pPr>
              <w:spacing w:after="60" w:line="259" w:lineRule="auto"/>
            </w:pPr>
            <w:r>
              <w:rPr>
                <w:rFonts w:ascii="Calibri" w:hAnsi="Calibri"/>
                <w:b w:val="0"/>
                <w:i w:val="0"/>
                <w:color w:val="212121"/>
                <w:sz w:val="19"/>
              </w:rPr>
              <w:t>Distinguishes CH from paroxysmal hemicrania (2–30 min) and migraine (4–72 h)</w:t>
            </w:r>
          </w:p>
          <w:p>
            <w:pPr>
              <w:spacing w:after="40" w:line="252" w:lineRule="auto"/>
            </w:pPr>
            <w:hyperlink r:id="rId15">
              <w:r>
                <w:rPr>
                  <w:rFonts w:ascii="Calibri" w:hAnsi="Calibri" w:cs="Calibri"/>
                  <w:sz w:val="18"/>
                  <w:color w:val="1155CC"/>
                  <w:u w:val="single"/>
                </w:rPr>
                <w:t xml:space="preserve">https://ichd-3.org/3-trigeminal-autonomic-cephalalgias/3-1-cluster-headache/</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suicidality screen (e.g., PHQ-9)</w:t>
            </w:r>
          </w:p>
        </w:tc>
        <w:tc>
          <w:tcPr>
            <w:tcW w:type="dxa" w:w="1655"/>
            <w:vAlign w:val="top"/>
          </w:tcPr>
          <w:p>
            <w:pPr>
              <w:spacing w:after="40" w:before="0" w:line="259" w:lineRule="auto"/>
            </w:pPr>
            <w:r>
              <w:rPr>
                <w:rFonts w:ascii="Calibri" w:hAnsi="Calibri"/>
                <w:b w:val="0"/>
                <w:i w:val="0"/>
                <w:color w:val="212121"/>
                <w:sz w:val="19"/>
              </w:rPr>
              <w:t>All CH patients</w:t>
            </w:r>
          </w:p>
        </w:tc>
        <w:tc>
          <w:tcPr>
            <w:tcW w:type="dxa" w:w="1512"/>
            <w:vAlign w:val="top"/>
          </w:tcPr>
          <w:p>
            <w:pPr>
              <w:spacing w:after="40" w:before="0" w:line="259" w:lineRule="auto"/>
            </w:pPr>
            <w:r>
              <w:rPr>
                <w:rFonts w:ascii="Calibri" w:hAnsi="Calibri"/>
                <w:b w:val="0"/>
                <w:i w:val="0"/>
                <w:color w:val="212121"/>
                <w:sz w:val="19"/>
              </w:rPr>
              <w:t>&lt; 5 (minimal); no suicidal ideation</w:t>
            </w:r>
          </w:p>
        </w:tc>
        <w:tc>
          <w:tcPr>
            <w:tcW w:type="dxa" w:w="1512"/>
            <w:vAlign w:val="top"/>
          </w:tcPr>
          <w:p>
            <w:pPr>
              <w:spacing w:after="40" w:before="0" w:line="259" w:lineRule="auto"/>
            </w:pPr>
            <w:r>
              <w:rPr>
                <w:rFonts w:ascii="Calibri" w:hAnsi="Calibri"/>
                <w:b w:val="0"/>
                <w:i w:val="0"/>
                <w:color w:val="212121"/>
                <w:sz w:val="19"/>
              </w:rPr>
              <w:t>≥ 10, or any suicidal ideation</w:t>
            </w:r>
          </w:p>
        </w:tc>
        <w:tc>
          <w:tcPr>
            <w:tcW w:type="dxa" w:w="1468"/>
            <w:vAlign w:val="top"/>
          </w:tcPr>
          <w:p>
            <w:pPr>
              <w:spacing w:after="60" w:line="259" w:lineRule="auto"/>
            </w:pPr>
            <w:r>
              <w:rPr>
                <w:rFonts w:ascii="Calibri" w:hAnsi="Calibri"/>
                <w:b w:val="0"/>
                <w:i w:val="0"/>
                <w:color w:val="212121"/>
                <w:sz w:val="19"/>
              </w:rPr>
              <w:t>Screen actively—up to ~55% report suicidal ideation during bouts</w:t>
            </w:r>
          </w:p>
          <w:p>
            <w:pPr>
              <w:spacing w:after="40" w:line="252" w:lineRule="auto"/>
            </w:pPr>
            <w:hyperlink r:id="rId11">
              <w:r>
                <w:rPr>
                  <w:rFonts w:ascii="Calibri" w:hAnsi="Calibri" w:cs="Calibri"/>
                  <w:sz w:val="18"/>
                  <w:color w:val="1155CC"/>
                  <w:u w:val="single"/>
                </w:rPr>
                <w:t xml:space="preserve">https://www.frontiersin.org/journals/pain-research/articles/10.3389/fpain.2024.1373528/full</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Hypoxia exposure (altitude / SpO₂)</w:t>
            </w:r>
          </w:p>
        </w:tc>
        <w:tc>
          <w:tcPr>
            <w:tcW w:type="dxa" w:w="1655"/>
            <w:vAlign w:val="top"/>
          </w:tcPr>
          <w:p>
            <w:pPr>
              <w:spacing w:after="40" w:before="0" w:line="259" w:lineRule="auto"/>
            </w:pPr>
            <w:r>
              <w:rPr>
                <w:rFonts w:ascii="Calibri" w:hAnsi="Calibri"/>
                <w:b w:val="0"/>
                <w:i w:val="0"/>
                <w:color w:val="212121"/>
                <w:sz w:val="19"/>
              </w:rPr>
              <w:t>Travellers, altitude residents</w:t>
            </w:r>
          </w:p>
        </w:tc>
        <w:tc>
          <w:tcPr>
            <w:tcW w:type="dxa" w:w="1512"/>
            <w:vAlign w:val="top"/>
          </w:tcPr>
          <w:p>
            <w:pPr>
              <w:spacing w:after="40" w:before="0" w:line="259" w:lineRule="auto"/>
            </w:pPr>
            <w:r>
              <w:rPr>
                <w:rFonts w:ascii="Calibri" w:hAnsi="Calibri"/>
                <w:b w:val="0"/>
                <w:i w:val="0"/>
                <w:color w:val="212121"/>
                <w:sz w:val="19"/>
              </w:rPr>
              <w:t>Normoxia (SpO₂ ≥ 95%)</w:t>
            </w:r>
          </w:p>
        </w:tc>
        <w:tc>
          <w:tcPr>
            <w:tcW w:type="dxa" w:w="1512"/>
            <w:vAlign w:val="top"/>
          </w:tcPr>
          <w:p>
            <w:pPr>
              <w:spacing w:after="40" w:before="0" w:line="259" w:lineRule="auto"/>
            </w:pPr>
            <w:r>
              <w:rPr>
                <w:rFonts w:ascii="Calibri" w:hAnsi="Calibri"/>
                <w:b w:val="0"/>
                <w:i w:val="0"/>
                <w:color w:val="212121"/>
                <w:sz w:val="19"/>
              </w:rPr>
              <w:t>Altitude, flights, nocturnal desaturation</w:t>
            </w:r>
          </w:p>
        </w:tc>
        <w:tc>
          <w:tcPr>
            <w:tcW w:type="dxa" w:w="1468"/>
            <w:vAlign w:val="top"/>
          </w:tcPr>
          <w:p>
            <w:pPr>
              <w:spacing w:after="60" w:line="259" w:lineRule="auto"/>
            </w:pPr>
            <w:r>
              <w:rPr>
                <w:rFonts w:ascii="Calibri" w:hAnsi="Calibri"/>
                <w:b w:val="0"/>
                <w:i w:val="0"/>
                <w:color w:val="212121"/>
                <w:sz w:val="19"/>
              </w:rPr>
              <w:t>Hypoxia is a bout trigger; 100% oxygen conversely aborts attacks</w:t>
            </w:r>
          </w:p>
          <w:p>
            <w:pPr>
              <w:spacing w:after="40" w:line="252" w:lineRule="auto"/>
            </w:pPr>
            <w:hyperlink r:id="rId11">
              <w:r>
                <w:rPr>
                  <w:rFonts w:ascii="Calibri" w:hAnsi="Calibri" w:cs="Calibri"/>
                  <w:sz w:val="18"/>
                  <w:color w:val="1155CC"/>
                  <w:u w:val="single"/>
                </w:rPr>
                <w:t xml:space="preserve">https://www.frontiersin.org/journals/pain-research/articles/10.3389/fpain.2024.1373528/full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Nitrate / vasodilator exposure</w:t>
            </w:r>
          </w:p>
        </w:tc>
        <w:tc>
          <w:tcPr>
            <w:tcW w:type="dxa" w:w="1655"/>
            <w:vAlign w:val="top"/>
          </w:tcPr>
          <w:p>
            <w:pPr>
              <w:spacing w:after="40" w:before="0" w:line="259" w:lineRule="auto"/>
            </w:pPr>
            <w:r>
              <w:rPr>
                <w:rFonts w:ascii="Calibri" w:hAnsi="Calibri"/>
                <w:b w:val="0"/>
                <w:i w:val="0"/>
                <w:color w:val="212121"/>
                <w:sz w:val="19"/>
              </w:rPr>
              <w:t>CH patients in a bout</w:t>
            </w:r>
          </w:p>
        </w:tc>
        <w:tc>
          <w:tcPr>
            <w:tcW w:type="dxa" w:w="1512"/>
            <w:vAlign w:val="top"/>
          </w:tcPr>
          <w:p>
            <w:pPr>
              <w:spacing w:after="40" w:before="0" w:line="259" w:lineRule="auto"/>
            </w:pPr>
            <w:r>
              <w:rPr>
                <w:rFonts w:ascii="Calibri" w:hAnsi="Calibri"/>
                <w:b w:val="0"/>
                <w:i w:val="0"/>
                <w:color w:val="212121"/>
                <w:sz w:val="19"/>
              </w:rPr>
              <w:t>Avoid during bouts</w:t>
            </w:r>
          </w:p>
        </w:tc>
        <w:tc>
          <w:tcPr>
            <w:tcW w:type="dxa" w:w="1512"/>
            <w:vAlign w:val="top"/>
          </w:tcPr>
          <w:p>
            <w:pPr>
              <w:spacing w:after="40" w:before="0" w:line="259" w:lineRule="auto"/>
            </w:pPr>
            <w:r>
              <w:rPr>
                <w:rFonts w:ascii="Calibri" w:hAnsi="Calibri"/>
                <w:b w:val="0"/>
                <w:i w:val="0"/>
                <w:color w:val="212121"/>
                <w:sz w:val="19"/>
              </w:rPr>
              <w:t>Nitrates, glyceryl trinitrate, histamine</w:t>
            </w:r>
          </w:p>
        </w:tc>
        <w:tc>
          <w:tcPr>
            <w:tcW w:type="dxa" w:w="1468"/>
            <w:vAlign w:val="top"/>
          </w:tcPr>
          <w:p>
            <w:pPr>
              <w:spacing w:after="60" w:line="259" w:lineRule="auto"/>
            </w:pPr>
            <w:r>
              <w:rPr>
                <w:rFonts w:ascii="Calibri" w:hAnsi="Calibri"/>
                <w:b w:val="0"/>
                <w:i w:val="0"/>
                <w:color w:val="212121"/>
                <w:sz w:val="19"/>
              </w:rPr>
              <w:t>Nitric-oxide donors provoke attacks; relevant if on cardiac nitrates</w:t>
            </w:r>
          </w:p>
          <w:p>
            <w:pPr>
              <w:spacing w:after="40" w:line="252" w:lineRule="auto"/>
            </w:pPr>
            <w:hyperlink r:id="rId10">
              <w:r>
                <w:rPr>
                  <w:rFonts w:ascii="Calibri" w:hAnsi="Calibri" w:cs="Calibri"/>
                  <w:sz w:val="18"/>
                  <w:color w:val="1155CC"/>
                  <w:u w:val="single"/>
                </w:rPr>
                <w:t xml:space="preserve">https://www.ncbi.nlm.nih.gov/books/NBK544241/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Structural brain / pituitary imaging</w:t>
            </w:r>
          </w:p>
        </w:tc>
        <w:tc>
          <w:tcPr>
            <w:tcW w:type="dxa" w:w="892"/>
            <w:vAlign w:val="top"/>
          </w:tcPr>
          <w:p>
            <w:pPr>
              <w:spacing w:after="40" w:before="0" w:line="259" w:lineRule="auto"/>
            </w:pPr>
            <w:r>
              <w:rPr>
                <w:rFonts w:ascii="Calibri" w:hAnsi="Calibri"/>
                <w:b w:val="0"/>
                <w:i w:val="0"/>
                <w:color w:val="212121"/>
                <w:sz w:val="16"/>
              </w:rPr>
              <w:t>Contrast-enhanced MRI brain (pituitary &amp; cavernous-sinus views)</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Pituitary adenoma, cavernous-sinus lesion, AVM or posterior-fossa mass</w:t>
            </w:r>
          </w:p>
        </w:tc>
        <w:tc>
          <w:tcPr>
            <w:tcW w:type="dxa" w:w="1036"/>
            <w:vAlign w:val="top"/>
          </w:tcPr>
          <w:p>
            <w:pPr>
              <w:spacing w:after="40" w:before="0" w:line="259" w:lineRule="auto"/>
            </w:pPr>
            <w:r>
              <w:rPr>
                <w:rFonts w:ascii="Calibri" w:hAnsi="Calibri"/>
                <w:b w:val="0"/>
                <w:i w:val="0"/>
                <w:color w:val="212121"/>
                <w:sz w:val="16"/>
              </w:rPr>
              <w:t>Excludes symptomatic (secondary) cluster-like headache</w:t>
            </w:r>
          </w:p>
        </w:tc>
        <w:tc>
          <w:tcPr>
            <w:tcW w:type="dxa" w:w="1036"/>
            <w:vAlign w:val="top"/>
          </w:tcPr>
          <w:p>
            <w:pPr>
              <w:spacing w:after="40" w:before="0" w:line="259" w:lineRule="auto"/>
            </w:pPr>
            <w:r>
              <w:rPr>
                <w:rFonts w:ascii="Calibri" w:hAnsi="Calibri"/>
                <w:b w:val="0"/>
                <w:i w:val="0"/>
                <w:color w:val="212121"/>
                <w:sz w:val="16"/>
              </w:rPr>
              <w:t>First bout, atypical/side-locked attacks, abnormal exam, late onset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(to exclude secondary cause)</w:t>
            </w:r>
          </w:p>
        </w:tc>
        <w:tc>
          <w:tcPr>
            <w:tcW w:type="dxa" w:w="720"/>
            <w:vAlign w:val="top"/>
          </w:tcPr>
          <w:p>
            <w:pPr>
              <w:spacing w:after="40" w:before="0" w:line="259" w:lineRule="auto"/>
            </w:pPr>
            <w:r>
              <w:rPr>
                <w:rFonts w:ascii="Calibri" w:hAnsi="Calibri"/>
                <w:b w:val="0"/>
                <w:i w:val="0"/>
                <w:color w:val="212121"/>
                <w:sz w:val="16"/>
              </w:rPr>
              <w:t>Recommended at least once in every patient; mandatory if red flags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ESR within age-adjusted limits; CRP normal</w:t>
            </w:r>
          </w:p>
        </w:tc>
        <w:tc>
          <w:tcPr>
            <w:tcW w:type="dxa" w:w="950"/>
            <w:vAlign w:val="top"/>
          </w:tcPr>
          <w:p>
            <w:pPr>
              <w:spacing w:after="40" w:before="0" w:line="259" w:lineRule="auto"/>
            </w:pPr>
            <w:r>
              <w:rPr>
                <w:rFonts w:ascii="Calibri" w:hAnsi="Calibri"/>
                <w:b w:val="0"/>
                <w:i w:val="0"/>
                <w:color w:val="212121"/>
                <w:sz w:val="16"/>
              </w:rPr>
              <w:t>Markedly raised</w:t>
            </w:r>
          </w:p>
        </w:tc>
        <w:tc>
          <w:tcPr>
            <w:tcW w:type="dxa" w:w="1036"/>
            <w:vAlign w:val="top"/>
          </w:tcPr>
          <w:p>
            <w:pPr>
              <w:spacing w:after="40" w:before="0" w:line="259" w:lineRule="auto"/>
            </w:pPr>
            <w:r>
              <w:rPr>
                <w:rFonts w:ascii="Calibri" w:hAnsi="Calibri"/>
                <w:b w:val="0"/>
                <w:i w:val="0"/>
                <w:color w:val="212121"/>
                <w:sz w:val="16"/>
              </w:rPr>
              <w:t>Screens for giant-cell (temporal) arteritis and inflammatory mimics, especially in older-onset headache</w:t>
            </w:r>
          </w:p>
        </w:tc>
        <w:tc>
          <w:tcPr>
            <w:tcW w:type="dxa" w:w="1036"/>
            <w:vAlign w:val="top"/>
          </w:tcPr>
          <w:p>
            <w:pPr>
              <w:spacing w:after="40" w:before="0" w:line="259" w:lineRule="auto"/>
            </w:pPr>
            <w:r>
              <w:rPr>
                <w:rFonts w:ascii="Calibri" w:hAnsi="Calibri"/>
                <w:b w:val="0"/>
                <w:i w:val="0"/>
                <w:color w:val="212121"/>
                <w:sz w:val="16"/>
              </w:rPr>
              <w:t>New onset &gt; 50–60 years, scalp/jaw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(exclude mimics)</w:t>
            </w:r>
          </w:p>
        </w:tc>
        <w:tc>
          <w:tcPr>
            <w:tcW w:type="dxa" w:w="720"/>
            <w:vAlign w:val="top"/>
          </w:tcPr>
          <w:p>
            <w:pPr>
              <w:spacing w:after="40" w:before="0" w:line="259" w:lineRule="auto"/>
            </w:pPr>
            <w:r>
              <w:rPr>
                <w:rFonts w:ascii="Calibri" w:hAnsi="Calibri"/>
                <w:b w:val="0"/>
                <w:i w:val="0"/>
                <w:color w:val="212121"/>
                <w:sz w:val="16"/>
              </w:rPr>
              <w:t>Not needed in classic young-onset CH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Pituitary hormone panel (prolactin, IGF-1, cortisol)</w:t>
            </w:r>
          </w:p>
        </w:tc>
        <w:tc>
          <w:tcPr>
            <w:tcW w:type="dxa" w:w="892"/>
            <w:vAlign w:val="top"/>
          </w:tcPr>
          <w:p>
            <w:pPr>
              <w:spacing w:after="40" w:before="0" w:line="259" w:lineRule="auto"/>
            </w:pPr>
            <w:r>
              <w:rPr>
                <w:rFonts w:ascii="Calibri" w:hAnsi="Calibri"/>
                <w:b w:val="0"/>
                <w:i w:val="0"/>
                <w:color w:val="212121"/>
                <w:sz w:val="16"/>
              </w:rPr>
              <w:t>Neuroendocrine work-up</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Hyperprolactinaemia / GH excess suggesting pituitary tumour</w:t>
            </w:r>
          </w:p>
        </w:tc>
        <w:tc>
          <w:tcPr>
            <w:tcW w:type="dxa" w:w="1036"/>
            <w:vAlign w:val="top"/>
          </w:tcPr>
          <w:p>
            <w:pPr>
              <w:spacing w:after="40" w:before="0" w:line="259" w:lineRule="auto"/>
            </w:pPr>
            <w:r>
              <w:rPr>
                <w:rFonts w:ascii="Calibri" w:hAnsi="Calibri"/>
                <w:b w:val="0"/>
                <w:i w:val="0"/>
                <w:color w:val="212121"/>
                <w:sz w:val="16"/>
              </w:rPr>
              <w:t>Secondary TAC from a pituitary lesion when MRI is abnormal or features atypical</w:t>
            </w:r>
          </w:p>
        </w:tc>
        <w:tc>
          <w:tcPr>
            <w:tcW w:type="dxa" w:w="1036"/>
            <w:vAlign w:val="top"/>
          </w:tcPr>
          <w:p>
            <w:pPr>
              <w:spacing w:after="40" w:before="0" w:line="259" w:lineRule="auto"/>
            </w:pPr>
            <w:r>
              <w:rPr>
                <w:rFonts w:ascii="Calibri" w:hAnsi="Calibri"/>
                <w:b w:val="0"/>
                <w:i w:val="0"/>
                <w:color w:val="212121"/>
                <w:sz w:val="16"/>
              </w:rPr>
              <w:t>Atypical TAC, abnormal pituitary MRI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Order only when imaging/features suggest pituitary pathology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Polysomnography (AHI)</w:t>
            </w:r>
          </w:p>
        </w:tc>
        <w:tc>
          <w:tcPr>
            <w:tcW w:type="dxa" w:w="892"/>
            <w:vAlign w:val="top"/>
          </w:tcPr>
          <w:p>
            <w:pPr>
              <w:spacing w:after="40" w:before="0" w:line="259" w:lineRule="auto"/>
            </w:pPr>
            <w:r>
              <w:rPr>
                <w:rFonts w:ascii="Calibri" w:hAnsi="Calibri"/>
                <w:b w:val="0"/>
                <w:i w:val="0"/>
                <w:color w:val="212121"/>
                <w:sz w:val="16"/>
              </w:rPr>
              <w:t>Overnight sleep study</w:t>
            </w:r>
          </w:p>
        </w:tc>
        <w:tc>
          <w:tcPr>
            <w:tcW w:type="dxa" w:w="950"/>
            <w:vAlign w:val="top"/>
          </w:tcPr>
          <w:p>
            <w:pPr>
              <w:spacing w:after="40" w:before="0" w:line="259" w:lineRule="auto"/>
            </w:pPr>
            <w:r>
              <w:rPr>
                <w:rFonts w:ascii="Calibri" w:hAnsi="Calibri"/>
                <w:b w:val="0"/>
                <w:i w:val="0"/>
                <w:color w:val="212121"/>
                <w:sz w:val="16"/>
              </w:rPr>
              <w:t>AHI &lt; 5 /h</w:t>
            </w:r>
          </w:p>
        </w:tc>
        <w:tc>
          <w:tcPr>
            <w:tcW w:type="dxa" w:w="950"/>
            <w:vAlign w:val="top"/>
          </w:tcPr>
          <w:p>
            <w:pPr>
              <w:spacing w:after="40" w:before="0" w:line="259" w:lineRule="auto"/>
            </w:pPr>
            <w:r>
              <w:rPr>
                <w:rFonts w:ascii="Calibri" w:hAnsi="Calibri"/>
                <w:b w:val="0"/>
                <w:i w:val="0"/>
                <w:color w:val="212121"/>
                <w:sz w:val="16"/>
              </w:rPr>
              <w:t>AHI ≥ 5 /h (OSA)</w:t>
            </w:r>
          </w:p>
        </w:tc>
        <w:tc>
          <w:tcPr>
            <w:tcW w:type="dxa" w:w="1036"/>
            <w:vAlign w:val="top"/>
          </w:tcPr>
          <w:p>
            <w:pPr>
              <w:spacing w:after="40" w:before="0" w:line="259" w:lineRule="auto"/>
            </w:pPr>
            <w:r>
              <w:rPr>
                <w:rFonts w:ascii="Calibri" w:hAnsi="Calibri"/>
                <w:b w:val="0"/>
                <w:i w:val="0"/>
                <w:color w:val="212121"/>
                <w:sz w:val="16"/>
              </w:rPr>
              <w:t>Identifies comorbid OSA that may precipitate nocturnal attacks</w:t>
            </w:r>
          </w:p>
        </w:tc>
        <w:tc>
          <w:tcPr>
            <w:tcW w:type="dxa" w:w="1036"/>
            <w:vAlign w:val="top"/>
          </w:tcPr>
          <w:p>
            <w:pPr>
              <w:spacing w:after="40" w:before="0" w:line="259" w:lineRule="auto"/>
            </w:pPr>
            <w:r>
              <w:rPr>
                <w:rFonts w:ascii="Calibri" w:hAnsi="Calibri"/>
                <w:b w:val="0"/>
                <w:i w:val="0"/>
                <w:color w:val="212121"/>
                <w:sz w:val="16"/>
              </w:rPr>
              <w:t>Snorers, obese, prominent nocturnal attacks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Treating OSA can reduce nocturnal cluster attacks in some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 therapeutic-diagnostic</w:t>
            </w:r>
          </w:p>
        </w:tc>
        <w:tc>
          <w:tcPr>
            <w:tcW w:type="dxa" w:w="1036"/>
            <w:vAlign w:val="top"/>
          </w:tcPr>
          <w:p>
            <w:pPr>
              <w:spacing w:after="40" w:before="0" w:line="259" w:lineRule="auto"/>
            </w:pPr>
            <w:r>
              <w:rPr>
                <w:rFonts w:ascii="Calibri" w:hAnsi="Calibri"/>
                <w:b w:val="0"/>
                <w:i w:val="0"/>
                <w:color w:val="212121"/>
                <w:sz w:val="16"/>
              </w:rPr>
              <w:t>Response to 100% oxygen</w:t>
            </w:r>
          </w:p>
        </w:tc>
        <w:tc>
          <w:tcPr>
            <w:tcW w:type="dxa" w:w="892"/>
            <w:vAlign w:val="top"/>
          </w:tcPr>
          <w:p>
            <w:pPr>
              <w:spacing w:after="40" w:before="0" w:line="259" w:lineRule="auto"/>
            </w:pPr>
            <w:r>
              <w:rPr>
                <w:rFonts w:ascii="Calibri" w:hAnsi="Calibri"/>
                <w:b w:val="0"/>
                <w:i w:val="0"/>
                <w:color w:val="212121"/>
                <w:sz w:val="16"/>
              </w:rPr>
              <w:t>High-flow oxygen trial (12–15 L/min, non-rebreather)</w:t>
            </w:r>
          </w:p>
        </w:tc>
        <w:tc>
          <w:tcPr>
            <w:tcW w:type="dxa" w:w="950"/>
            <w:vAlign w:val="top"/>
          </w:tcPr>
          <w:p>
            <w:pPr>
              <w:spacing w:after="40" w:before="0" w:line="259" w:lineRule="auto"/>
            </w:pPr>
            <w:r>
              <w:rPr>
                <w:rFonts w:ascii="Calibri" w:hAnsi="Calibri"/>
                <w:b w:val="0"/>
                <w:i w:val="0"/>
                <w:color w:val="212121"/>
                <w:sz w:val="16"/>
              </w:rPr>
              <w:t>—</w:t>
            </w:r>
          </w:p>
        </w:tc>
        <w:tc>
          <w:tcPr>
            <w:tcW w:type="dxa" w:w="950"/>
            <w:vAlign w:val="top"/>
          </w:tcPr>
          <w:p>
            <w:pPr>
              <w:spacing w:after="40" w:before="0" w:line="259" w:lineRule="auto"/>
            </w:pPr>
            <w:r>
              <w:rPr>
                <w:rFonts w:ascii="Calibri" w:hAnsi="Calibri"/>
                <w:b w:val="0"/>
                <w:i w:val="0"/>
                <w:color w:val="212121"/>
                <w:sz w:val="16"/>
              </w:rPr>
              <w:t>Attack aborts within ~15 minutes</w:t>
            </w:r>
          </w:p>
        </w:tc>
        <w:tc>
          <w:tcPr>
            <w:tcW w:type="dxa" w:w="1036"/>
            <w:vAlign w:val="top"/>
          </w:tcPr>
          <w:p>
            <w:pPr>
              <w:spacing w:after="40" w:before="0" w:line="259" w:lineRule="auto"/>
            </w:pPr>
            <w:r>
              <w:rPr>
                <w:rFonts w:ascii="Calibri" w:hAnsi="Calibri"/>
                <w:b w:val="0"/>
                <w:i w:val="0"/>
                <w:color w:val="212121"/>
                <w:sz w:val="16"/>
              </w:rPr>
              <w:t>Rapid relief with high-flow oxygen strongly supports cluster headache</w:t>
            </w:r>
          </w:p>
        </w:tc>
        <w:tc>
          <w:tcPr>
            <w:tcW w:type="dxa" w:w="1036"/>
            <w:vAlign w:val="top"/>
          </w:tcPr>
          <w:p>
            <w:pPr>
              <w:spacing w:after="40" w:before="0" w:line="259" w:lineRule="auto"/>
            </w:pPr>
            <w:r>
              <w:rPr>
                <w:rFonts w:ascii="Calibri" w:hAnsi="Calibri"/>
                <w:b w:val="0"/>
                <w:i w:val="0"/>
                <w:color w:val="212121"/>
                <w:sz w:val="16"/>
              </w:rPr>
              <w:t>Suspected CH during an attack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&amp; therapeutic</w:t>
            </w:r>
          </w:p>
        </w:tc>
        <w:tc>
          <w:tcPr>
            <w:tcW w:type="dxa" w:w="720"/>
            <w:vAlign w:val="top"/>
          </w:tcPr>
          <w:p>
            <w:pPr>
              <w:spacing w:after="40" w:before="0" w:line="259" w:lineRule="auto"/>
            </w:pPr>
            <w:r>
              <w:rPr>
                <w:rFonts w:ascii="Calibri" w:hAnsi="Calibri"/>
                <w:b w:val="0"/>
                <w:i w:val="0"/>
                <w:color w:val="212121"/>
                <w:sz w:val="16"/>
              </w:rPr>
              <w:t>Oxygen aborts attacks in ~62–100% of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Chief-complaint characterisation</w:t>
            </w:r>
          </w:p>
        </w:tc>
        <w:tc>
          <w:tcPr>
            <w:tcW w:type="dxa" w:w="979"/>
            <w:vAlign w:val="top"/>
          </w:tcPr>
          <w:p>
            <w:pPr>
              <w:spacing w:after="40" w:before="0" w:line="259" w:lineRule="auto"/>
            </w:pPr>
            <w:r>
              <w:rPr>
                <w:rFonts w:ascii="Calibri" w:hAnsi="Calibri"/>
                <w:b w:val="0"/>
                <w:i w:val="0"/>
                <w:color w:val="212121"/>
                <w:sz w:val="16"/>
              </w:rPr>
              <w:t>Strictly unilateral orbital/temporal pain, 15–180 min, with autonomic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Typical pattern present</w:t>
            </w:r>
          </w:p>
        </w:tc>
        <w:tc>
          <w:tcPr>
            <w:tcW w:type="dxa" w:w="1036"/>
            <w:vAlign w:val="top"/>
          </w:tcPr>
          <w:p>
            <w:pPr>
              <w:spacing w:after="40" w:before="0" w:line="259" w:lineRule="auto"/>
            </w:pPr>
            <w:r>
              <w:rPr>
                <w:rFonts w:ascii="Calibri" w:hAnsi="Calibri"/>
                <w:b w:val="0"/>
                <w:i w:val="0"/>
                <w:color w:val="212121"/>
                <w:sz w:val="16"/>
              </w:rPr>
              <w:t>Cardinal ICHD-3 phenotype of cluster headache</w:t>
            </w:r>
          </w:p>
        </w:tc>
        <w:tc>
          <w:tcPr>
            <w:tcW w:type="dxa" w:w="1036"/>
            <w:vAlign w:val="top"/>
          </w:tcPr>
          <w:p>
            <w:pPr>
              <w:spacing w:after="40" w:before="0" w:line="259" w:lineRule="auto"/>
            </w:pPr>
            <w:r>
              <w:rPr>
                <w:rFonts w:ascii="Calibri" w:hAnsi="Calibri"/>
                <w:b w:val="0"/>
                <w:i w:val="0"/>
                <w:color w:val="212121"/>
                <w:sz w:val="16"/>
              </w:rPr>
              <w:t>All suspected CH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Side-locked pain with cranial autonomic signs is the hallmark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Temporal pattern</w:t>
            </w:r>
          </w:p>
        </w:tc>
        <w:tc>
          <w:tcPr>
            <w:tcW w:type="dxa" w:w="979"/>
            <w:vAlign w:val="top"/>
          </w:tcPr>
          <w:p>
            <w:pPr>
              <w:spacing w:after="40" w:before="0" w:line="259" w:lineRule="auto"/>
            </w:pPr>
            <w:r>
              <w:rPr>
                <w:rFonts w:ascii="Calibri" w:hAnsi="Calibri"/>
                <w:b w:val="0"/>
                <w:i w:val="0"/>
                <w:color w:val="212121"/>
                <w:sz w:val="16"/>
              </w:rPr>
              <w:t>Circadian (“alarm-clock” nocturnal) &amp; circannual/seasonal clustering; bout vs remission</w:t>
            </w:r>
          </w:p>
        </w:tc>
        <w:tc>
          <w:tcPr>
            <w:tcW w:type="dxa" w:w="950"/>
            <w:vAlign w:val="top"/>
          </w:tcPr>
          <w:p>
            <w:pPr>
              <w:spacing w:after="40" w:before="0" w:line="259" w:lineRule="auto"/>
            </w:pPr>
            <w:r>
              <w:rPr>
                <w:rFonts w:ascii="Calibri" w:hAnsi="Calibri"/>
                <w:b w:val="0"/>
                <w:i w:val="0"/>
                <w:color w:val="212121"/>
                <w:sz w:val="16"/>
              </w:rPr>
              <w:t>No periodicity</w:t>
            </w:r>
          </w:p>
        </w:tc>
        <w:tc>
          <w:tcPr>
            <w:tcW w:type="dxa" w:w="950"/>
            <w:vAlign w:val="top"/>
          </w:tcPr>
          <w:p>
            <w:pPr>
              <w:spacing w:after="40" w:before="0" w:line="259" w:lineRule="auto"/>
            </w:pPr>
            <w:r>
              <w:rPr>
                <w:rFonts w:ascii="Calibri" w:hAnsi="Calibri"/>
                <w:b w:val="0"/>
                <w:i w:val="0"/>
                <w:color w:val="212121"/>
                <w:sz w:val="16"/>
              </w:rPr>
              <w:t>Clockwork daily and seasonal clustering</w:t>
            </w:r>
          </w:p>
        </w:tc>
        <w:tc>
          <w:tcPr>
            <w:tcW w:type="dxa" w:w="1036"/>
            <w:vAlign w:val="top"/>
          </w:tcPr>
          <w:p>
            <w:pPr>
              <w:spacing w:after="40" w:before="0" w:line="259" w:lineRule="auto"/>
            </w:pPr>
            <w:r>
              <w:rPr>
                <w:rFonts w:ascii="Calibri" w:hAnsi="Calibri"/>
                <w:b w:val="0"/>
                <w:i w:val="0"/>
                <w:color w:val="212121"/>
                <w:sz w:val="16"/>
              </w:rPr>
              <w:t>Supports CH and separates episodic (bouts with ≥3-month remission) from chronic</w:t>
            </w:r>
          </w:p>
        </w:tc>
        <w:tc>
          <w:tcPr>
            <w:tcW w:type="dxa" w:w="1036"/>
            <w:vAlign w:val="top"/>
          </w:tcPr>
          <w:p>
            <w:pPr>
              <w:spacing w:after="40" w:before="0" w:line="259" w:lineRule="auto"/>
            </w:pPr>
            <w:r>
              <w:rPr>
                <w:rFonts w:ascii="Calibri" w:hAnsi="Calibri"/>
                <w:b w:val="0"/>
                <w:i w:val="0"/>
                <w:color w:val="212121"/>
                <w:sz w:val="16"/>
              </w:rPr>
              <w:t>CH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Circadian periodicity seen in ~80–83% of an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lifestyle history</w:t>
            </w:r>
          </w:p>
        </w:tc>
        <w:tc>
          <w:tcPr>
            <w:tcW w:type="dxa" w:w="979"/>
            <w:vAlign w:val="top"/>
          </w:tcPr>
          <w:p>
            <w:pPr>
              <w:spacing w:after="40" w:before="0" w:line="259" w:lineRule="auto"/>
            </w:pPr>
            <w:r>
              <w:rPr>
                <w:rFonts w:ascii="Calibri" w:hAnsi="Calibri"/>
                <w:b w:val="0"/>
                <w:i w:val="0"/>
                <w:color w:val="212121"/>
                <w:sz w:val="16"/>
              </w:rPr>
              <w:t>Alcohol in-bout, smoking/tobacco, sleep timing, altitude/travel</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Alcohol-provoked attacks, heavy tobacco use</w:t>
            </w:r>
          </w:p>
        </w:tc>
        <w:tc>
          <w:tcPr>
            <w:tcW w:type="dxa" w:w="1036"/>
            <w:vAlign w:val="top"/>
          </w:tcPr>
          <w:p>
            <w:pPr>
              <w:spacing w:after="40" w:before="0" w:line="259" w:lineRule="auto"/>
            </w:pPr>
            <w:r>
              <w:rPr>
                <w:rFonts w:ascii="Calibri" w:hAnsi="Calibri"/>
                <w:b w:val="0"/>
                <w:i w:val="0"/>
                <w:color w:val="212121"/>
                <w:sz w:val="16"/>
              </w:rPr>
              <w:t>Confirms characteristic in-bout triggers and modifiable risk</w:t>
            </w:r>
          </w:p>
        </w:tc>
        <w:tc>
          <w:tcPr>
            <w:tcW w:type="dxa" w:w="1036"/>
            <w:vAlign w:val="top"/>
          </w:tcPr>
          <w:p>
            <w:pPr>
              <w:spacing w:after="40" w:before="0" w:line="259" w:lineRule="auto"/>
            </w:pPr>
            <w:r>
              <w:rPr>
                <w:rFonts w:ascii="Calibri" w:hAnsi="Calibri"/>
                <w:b w:val="0"/>
                <w:i w:val="0"/>
                <w:color w:val="212121"/>
                <w:sz w:val="16"/>
              </w:rPr>
              <w:t>Smokers, drinkers, shift workers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Alcohol triggering only during bouts is near-pathognomonic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Cranial autonomic examination</w:t>
            </w:r>
          </w:p>
        </w:tc>
        <w:tc>
          <w:tcPr>
            <w:tcW w:type="dxa" w:w="979"/>
            <w:vAlign w:val="top"/>
          </w:tcPr>
          <w:p>
            <w:pPr>
              <w:spacing w:after="40" w:before="0" w:line="259" w:lineRule="auto"/>
            </w:pPr>
            <w:r>
              <w:rPr>
                <w:rFonts w:ascii="Calibri" w:hAnsi="Calibri"/>
                <w:b w:val="0"/>
                <w:i w:val="0"/>
                <w:color w:val="212121"/>
                <w:sz w:val="16"/>
              </w:rPr>
              <w:t>Lacrimation, conjunctival injection, rhinorrhoea, ptosis/miosis (partial Horner's)</w:t>
            </w:r>
          </w:p>
        </w:tc>
        <w:tc>
          <w:tcPr>
            <w:tcW w:type="dxa" w:w="950"/>
            <w:vAlign w:val="top"/>
          </w:tcPr>
          <w:p>
            <w:pPr>
              <w:spacing w:after="40" w:before="0" w:line="259" w:lineRule="auto"/>
            </w:pPr>
            <w:r>
              <w:rPr>
                <w:rFonts w:ascii="Calibri" w:hAnsi="Calibri"/>
                <w:b w:val="0"/>
                <w:i w:val="0"/>
                <w:color w:val="212121"/>
                <w:sz w:val="16"/>
              </w:rPr>
              <w:t>No autonomic signs interictally</w:t>
            </w:r>
          </w:p>
        </w:tc>
        <w:tc>
          <w:tcPr>
            <w:tcW w:type="dxa" w:w="950"/>
            <w:vAlign w:val="top"/>
          </w:tcPr>
          <w:p>
            <w:pPr>
              <w:spacing w:after="40" w:before="0" w:line="259" w:lineRule="auto"/>
            </w:pPr>
            <w:r>
              <w:rPr>
                <w:rFonts w:ascii="Calibri" w:hAnsi="Calibri"/>
                <w:b w:val="0"/>
                <w:i w:val="0"/>
                <w:color w:val="212121"/>
                <w:sz w:val="16"/>
              </w:rPr>
              <w:t>Ipsilateral autonomic signs during attack</w:t>
            </w:r>
          </w:p>
        </w:tc>
        <w:tc>
          <w:tcPr>
            <w:tcW w:type="dxa" w:w="1036"/>
            <w:vAlign w:val="top"/>
          </w:tcPr>
          <w:p>
            <w:pPr>
              <w:spacing w:after="40" w:before="0" w:line="259" w:lineRule="auto"/>
            </w:pPr>
            <w:r>
              <w:rPr>
                <w:rFonts w:ascii="Calibri" w:hAnsi="Calibri"/>
                <w:b w:val="0"/>
                <w:i w:val="0"/>
                <w:color w:val="212121"/>
                <w:sz w:val="16"/>
              </w:rPr>
              <w:t>Objective confirmation of the trigemino-autonomic reflex</w:t>
            </w:r>
          </w:p>
        </w:tc>
        <w:tc>
          <w:tcPr>
            <w:tcW w:type="dxa" w:w="1036"/>
            <w:vAlign w:val="top"/>
          </w:tcPr>
          <w:p>
            <w:pPr>
              <w:spacing w:after="40" w:before="0" w:line="259" w:lineRule="auto"/>
            </w:pPr>
            <w:r>
              <w:rPr>
                <w:rFonts w:ascii="Calibri" w:hAnsi="Calibri"/>
                <w:b w:val="0"/>
                <w:i w:val="0"/>
                <w:color w:val="212121"/>
                <w:sz w:val="16"/>
              </w:rPr>
              <w:t>CH patients observed during an attack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Lacrimation (~83%) and conjunctival injection (~77%) were commonest in an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Behavioural observation</w:t>
            </w:r>
          </w:p>
        </w:tc>
        <w:tc>
          <w:tcPr>
            <w:tcW w:type="dxa" w:w="979"/>
            <w:vAlign w:val="top"/>
          </w:tcPr>
          <w:p>
            <w:pPr>
              <w:spacing w:after="40" w:before="0" w:line="259" w:lineRule="auto"/>
            </w:pPr>
            <w:r>
              <w:rPr>
                <w:rFonts w:ascii="Calibri" w:hAnsi="Calibri"/>
                <w:b w:val="0"/>
                <w:i w:val="0"/>
                <w:color w:val="212121"/>
                <w:sz w:val="16"/>
              </w:rPr>
              <w:t>Restlessness / agitation, pacing or rocking</w:t>
            </w:r>
          </w:p>
        </w:tc>
        <w:tc>
          <w:tcPr>
            <w:tcW w:type="dxa" w:w="950"/>
            <w:vAlign w:val="top"/>
          </w:tcPr>
          <w:p>
            <w:pPr>
              <w:spacing w:after="40" w:before="0" w:line="259" w:lineRule="auto"/>
            </w:pPr>
            <w:r>
              <w:rPr>
                <w:rFonts w:ascii="Calibri" w:hAnsi="Calibri"/>
                <w:b w:val="0"/>
                <w:i w:val="0"/>
                <w:color w:val="212121"/>
                <w:sz w:val="16"/>
              </w:rPr>
              <w:t>Calm, seeks stillness</w:t>
            </w:r>
          </w:p>
        </w:tc>
        <w:tc>
          <w:tcPr>
            <w:tcW w:type="dxa" w:w="950"/>
            <w:vAlign w:val="top"/>
          </w:tcPr>
          <w:p>
            <w:pPr>
              <w:spacing w:after="40" w:before="0" w:line="259" w:lineRule="auto"/>
            </w:pPr>
            <w:r>
              <w:rPr>
                <w:rFonts w:ascii="Calibri" w:hAnsi="Calibri"/>
                <w:b w:val="0"/>
                <w:i w:val="0"/>
                <w:color w:val="212121"/>
                <w:sz w:val="16"/>
              </w:rPr>
              <w:t>Marked agitation, cannot lie still</w:t>
            </w:r>
          </w:p>
        </w:tc>
        <w:tc>
          <w:tcPr>
            <w:tcW w:type="dxa" w:w="1036"/>
            <w:vAlign w:val="top"/>
          </w:tcPr>
          <w:p>
            <w:pPr>
              <w:spacing w:after="40" w:before="0" w:line="259" w:lineRule="auto"/>
            </w:pPr>
            <w:r>
              <w:rPr>
                <w:rFonts w:ascii="Calibri" w:hAnsi="Calibri"/>
                <w:b w:val="0"/>
                <w:i w:val="0"/>
                <w:color w:val="212121"/>
                <w:sz w:val="16"/>
              </w:rPr>
              <w:t>Distinguishes CH (restless) from migraine (patient lies still in a dark room)</w:t>
            </w:r>
          </w:p>
        </w:tc>
        <w:tc>
          <w:tcPr>
            <w:tcW w:type="dxa" w:w="1036"/>
            <w:vAlign w:val="top"/>
          </w:tcPr>
          <w:p>
            <w:pPr>
              <w:spacing w:after="40" w:before="0" w:line="259" w:lineRule="auto"/>
            </w:pPr>
            <w:r>
              <w:rPr>
                <w:rFonts w:ascii="Calibri" w:hAnsi="Calibri"/>
                <w:b w:val="0"/>
                <w:i w:val="0"/>
                <w:color w:val="212121"/>
                <w:sz w:val="16"/>
              </w:rPr>
              <w:t>CH patients during attack</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Restlessness reported in ~80% of an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cluster headache</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predisposition; first-degree relatives 5–18× higher risk</w:t>
            </w:r>
          </w:p>
        </w:tc>
        <w:tc>
          <w:tcPr>
            <w:tcW w:type="dxa" w:w="1036"/>
            <w:vAlign w:val="top"/>
          </w:tcPr>
          <w:p>
            <w:pPr>
              <w:spacing w:after="40" w:before="0" w:line="259" w:lineRule="auto"/>
            </w:pPr>
            <w:r>
              <w:rPr>
                <w:rFonts w:ascii="Calibri" w:hAnsi="Calibri"/>
                <w:b w:val="0"/>
                <w:i w:val="0"/>
                <w:color w:val="212121"/>
                <w:sz w:val="16"/>
              </w:rPr>
              <w:t>Relatives of CH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Median positive family history ~8.2%</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Interictal neurological exam</w:t>
            </w:r>
          </w:p>
        </w:tc>
        <w:tc>
          <w:tcPr>
            <w:tcW w:type="dxa" w:w="979"/>
            <w:vAlign w:val="top"/>
          </w:tcPr>
          <w:p>
            <w:pPr>
              <w:spacing w:after="40" w:before="0" w:line="259" w:lineRule="auto"/>
            </w:pPr>
            <w:r>
              <w:rPr>
                <w:rFonts w:ascii="Calibri" w:hAnsi="Calibri"/>
                <w:b w:val="0"/>
                <w:i w:val="0"/>
                <w:color w:val="212121"/>
                <w:sz w:val="16"/>
              </w:rPr>
              <w:t>Cranial nerves, fundi, focal deficits</w:t>
            </w:r>
          </w:p>
        </w:tc>
        <w:tc>
          <w:tcPr>
            <w:tcW w:type="dxa" w:w="950"/>
            <w:vAlign w:val="top"/>
          </w:tcPr>
          <w:p>
            <w:pPr>
              <w:spacing w:after="40" w:before="0" w:line="259" w:lineRule="auto"/>
            </w:pPr>
            <w:r>
              <w:rPr>
                <w:rFonts w:ascii="Calibri" w:hAnsi="Calibri"/>
                <w:b w:val="0"/>
                <w:i w:val="0"/>
                <w:color w:val="212121"/>
                <w:sz w:val="16"/>
              </w:rPr>
              <w:t>Normal between attacks</w:t>
            </w:r>
          </w:p>
        </w:tc>
        <w:tc>
          <w:tcPr>
            <w:tcW w:type="dxa" w:w="950"/>
            <w:vAlign w:val="top"/>
          </w:tcPr>
          <w:p>
            <w:pPr>
              <w:spacing w:after="40" w:before="0" w:line="259" w:lineRule="auto"/>
            </w:pPr>
            <w:r>
              <w:rPr>
                <w:rFonts w:ascii="Calibri" w:hAnsi="Calibri"/>
                <w:b w:val="0"/>
                <w:i w:val="0"/>
                <w:color w:val="212121"/>
                <w:sz w:val="16"/>
              </w:rPr>
              <w:t>Persistent Horner's, papilloedema or focal deficit</w:t>
            </w:r>
          </w:p>
        </w:tc>
        <w:tc>
          <w:tcPr>
            <w:tcW w:type="dxa" w:w="1036"/>
            <w:vAlign w:val="top"/>
          </w:tcPr>
          <w:p>
            <w:pPr>
              <w:spacing w:after="40" w:before="0" w:line="259" w:lineRule="auto"/>
            </w:pPr>
            <w:r>
              <w:rPr>
                <w:rFonts w:ascii="Calibri" w:hAnsi="Calibri"/>
                <w:b w:val="0"/>
                <w:i w:val="0"/>
                <w:color w:val="212121"/>
                <w:sz w:val="16"/>
              </w:rPr>
              <w:t>Red flags mandate imaging to exclude a secondary cause</w:t>
            </w:r>
          </w:p>
        </w:tc>
        <w:tc>
          <w:tcPr>
            <w:tcW w:type="dxa" w:w="1036"/>
            <w:vAlign w:val="top"/>
          </w:tcPr>
          <w:p>
            <w:pPr>
              <w:spacing w:after="40" w:before="0" w:line="259" w:lineRule="auto"/>
            </w:pPr>
            <w:r>
              <w:rPr>
                <w:rFonts w:ascii="Calibri" w:hAnsi="Calibri"/>
                <w:b w:val="0"/>
                <w:i w:val="0"/>
                <w:color w:val="212121"/>
                <w:sz w:val="16"/>
              </w:rPr>
              <w:t>Atypical or late-onset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w:t>
            </w:r>
          </w:p>
        </w:tc>
        <w:tc>
          <w:tcPr>
            <w:tcW w:type="dxa" w:w="720"/>
            <w:vAlign w:val="top"/>
          </w:tcPr>
          <w:p>
            <w:pPr>
              <w:spacing w:after="40" w:before="0" w:line="259" w:lineRule="auto"/>
            </w:pPr>
            <w:r>
              <w:rPr>
                <w:rFonts w:ascii="Calibri" w:hAnsi="Calibri"/>
                <w:b w:val="0"/>
                <w:i w:val="0"/>
                <w:color w:val="212121"/>
                <w:sz w:val="16"/>
              </w:rPr>
              <w:t>A normal interictal exam is expected in primary CH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Excruciating, strictly unilateral orbital/temporal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Boring, stabbing “hot-poker” pain around/behind one eye or the temple; among the most severe pains known.</w:t>
            </w:r>
          </w:p>
        </w:tc>
      </w:tr>
      <w:tr>
        <w:trPr>
          <w:cantSplit/>
        </w:trPr>
        <w:tc>
          <w:tcPr>
            <w:tcW w:type="dxa" w:w="2304"/>
            <w:vAlign w:val="top"/>
          </w:tcPr>
          <w:p>
            <w:pPr>
              <w:spacing w:after="40" w:before="0" w:line="259" w:lineRule="auto"/>
            </w:pPr>
            <w:r>
              <w:rPr>
                <w:rFonts w:ascii="Calibri" w:hAnsi="Calibri"/>
                <w:b/>
                <w:i w:val="0"/>
                <w:color w:val="212121"/>
                <w:sz w:val="19"/>
              </w:rPr>
              <w:t>Restlessness / agitation (pacing, rocking)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cannot keep still during an attack—the opposite of migraine; may hit the head or pace the floor.</w:t>
            </w:r>
          </w:p>
        </w:tc>
      </w:tr>
      <w:tr>
        <w:trPr>
          <w:cantSplit/>
        </w:trPr>
        <w:tc>
          <w:tcPr>
            <w:tcW w:type="dxa" w:w="2304"/>
            <w:vAlign w:val="top"/>
          </w:tcPr>
          <w:p>
            <w:pPr>
              <w:spacing w:after="40" w:before="0" w:line="259" w:lineRule="auto"/>
            </w:pPr>
            <w:r>
              <w:rPr>
                <w:rFonts w:ascii="Calibri" w:hAnsi="Calibri"/>
                <w:b/>
                <w:i w:val="0"/>
                <w:color w:val="212121"/>
                <w:sz w:val="19"/>
              </w:rPr>
              <w:t>Ipsilateral lacrimation (watering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Cranial parasympathetic overactivity; commonest autonomic feature (~83% in an Indian series).</w:t>
            </w:r>
          </w:p>
        </w:tc>
      </w:tr>
      <w:tr>
        <w:trPr>
          <w:cantSplit/>
        </w:trPr>
        <w:tc>
          <w:tcPr>
            <w:tcW w:type="dxa" w:w="2304"/>
            <w:vAlign w:val="top"/>
          </w:tcPr>
          <w:p>
            <w:pPr>
              <w:spacing w:after="40" w:before="0" w:line="259" w:lineRule="auto"/>
            </w:pPr>
            <w:r>
              <w:rPr>
                <w:rFonts w:ascii="Calibri" w:hAnsi="Calibri"/>
                <w:b/>
                <w:i w:val="0"/>
                <w:color w:val="212121"/>
                <w:sz w:val="19"/>
              </w:rPr>
              <w:t>Ipsilateral conjunctival injection (red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autonomic vasodilation on the painful side (~77% in an Indian series).</w:t>
            </w:r>
          </w:p>
        </w:tc>
      </w:tr>
      <w:tr>
        <w:trPr>
          <w:cantSplit/>
        </w:trPr>
        <w:tc>
          <w:tcPr>
            <w:tcW w:type="dxa" w:w="2304"/>
            <w:vAlign w:val="top"/>
          </w:tcPr>
          <w:p>
            <w:pPr>
              <w:spacing w:after="40" w:before="0" w:line="259" w:lineRule="auto"/>
            </w:pPr>
            <w:r>
              <w:rPr>
                <w:rFonts w:ascii="Calibri" w:hAnsi="Calibri"/>
                <w:b/>
                <w:i w:val="0"/>
                <w:color w:val="212121"/>
                <w:sz w:val="19"/>
              </w:rPr>
              <w:t>Nasal congestion / rhinorrhoea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Ipsilateral blocked or running nostril—often misdiagnosed as sinusitis.</w:t>
            </w:r>
          </w:p>
        </w:tc>
      </w:tr>
      <w:tr>
        <w:trPr>
          <w:cantSplit/>
        </w:trPr>
        <w:tc>
          <w:tcPr>
            <w:tcW w:type="dxa" w:w="2304"/>
            <w:vAlign w:val="top"/>
          </w:tcPr>
          <w:p>
            <w:pPr>
              <w:spacing w:after="40" w:before="0" w:line="259" w:lineRule="auto"/>
            </w:pPr>
            <w:r>
              <w:rPr>
                <w:rFonts w:ascii="Calibri" w:hAnsi="Calibri"/>
                <w:b/>
                <w:i w:val="0"/>
                <w:color w:val="212121"/>
                <w:sz w:val="19"/>
              </w:rPr>
              <w:t>Ptosis / drooping eyelid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 of an ipsilateral partial Horner's syndrome; may persist between attacks in long-standing disease.</w:t>
            </w:r>
          </w:p>
        </w:tc>
      </w:tr>
      <w:tr>
        <w:trPr>
          <w:cantSplit/>
        </w:trPr>
        <w:tc>
          <w:tcPr>
            <w:tcW w:type="dxa" w:w="2304"/>
            <w:vAlign w:val="top"/>
          </w:tcPr>
          <w:p>
            <w:pPr>
              <w:spacing w:after="40" w:before="0" w:line="259" w:lineRule="auto"/>
            </w:pPr>
            <w:r>
              <w:rPr>
                <w:rFonts w:ascii="Calibri" w:hAnsi="Calibri"/>
                <w:b/>
                <w:i w:val="0"/>
                <w:color w:val="212121"/>
                <w:sz w:val="19"/>
              </w:rPr>
              <w:t>Forehead &amp; facial sweating / flushing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Localised autonomic sweating on the affected side of the face/forehead.</w:t>
            </w:r>
          </w:p>
        </w:tc>
      </w:tr>
      <w:tr>
        <w:trPr>
          <w:cantSplit/>
        </w:trPr>
        <w:tc>
          <w:tcPr>
            <w:tcW w:type="dxa" w:w="2304"/>
            <w:vAlign w:val="top"/>
          </w:tcPr>
          <w:p>
            <w:pPr>
              <w:spacing w:after="40" w:before="0" w:line="259" w:lineRule="auto"/>
            </w:pPr>
            <w:r>
              <w:rPr>
                <w:rFonts w:ascii="Calibri" w:hAnsi="Calibri"/>
                <w:b/>
                <w:i w:val="0"/>
                <w:color w:val="212121"/>
                <w:sz w:val="19"/>
              </w:rPr>
              <w:t>Photophobia / phonophobia (usually unilateral)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present, tends to be ipsilateral, unlike the bilateral sensitivity of migraine.</w:t>
            </w:r>
          </w:p>
        </w:tc>
      </w:tr>
      <w:tr>
        <w:trPr>
          <w:cantSplit/>
        </w:trPr>
        <w:tc>
          <w:tcPr>
            <w:tcW w:type="dxa" w:w="2304"/>
            <w:vAlign w:val="top"/>
          </w:tcPr>
          <w:p>
            <w:pPr>
              <w:spacing w:after="40" w:before="0" w:line="259" w:lineRule="auto"/>
            </w:pPr>
            <w:r>
              <w:rPr>
                <w:rFonts w:ascii="Calibri" w:hAnsi="Calibri"/>
                <w:b/>
                <w:i w:val="0"/>
                <w:color w:val="212121"/>
                <w:sz w:val="19"/>
              </w:rPr>
              <w:t>Nausea (occasionally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Migrainous features overlap in a minority (~30% nausea in an Indian series).</w:t>
            </w:r>
          </w:p>
        </w:tc>
      </w:tr>
      <w:tr>
        <w:trPr>
          <w:cantSplit/>
        </w:trPr>
        <w:tc>
          <w:tcPr>
            <w:tcW w:type="dxa" w:w="2304"/>
            <w:vAlign w:val="top"/>
          </w:tcPr>
          <w:p>
            <w:pPr>
              <w:spacing w:after="40" w:before="0" w:line="259" w:lineRule="auto"/>
            </w:pPr>
            <w:r>
              <w:rPr>
                <w:rFonts w:ascii="Calibri" w:hAnsi="Calibri"/>
                <w:b/>
                <w:i w:val="0"/>
                <w:color w:val="212121"/>
                <w:sz w:val="19"/>
              </w:rPr>
              <w:t>Sense of impending doom / suicidal thoughts during attack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the extreme severity; up to ~55% report suicidal ideation, hence “suicide headache.”</w:t>
            </w:r>
          </w:p>
        </w:tc>
      </w:tr>
      <w:tr>
        <w:trPr>
          <w:cantSplit/>
        </w:trPr>
        <w:tc>
          <w:tcPr>
            <w:tcW w:type="dxa" w:w="2304"/>
            <w:vAlign w:val="top"/>
          </w:tcPr>
          <w:p>
            <w:pPr>
              <w:spacing w:after="40" w:before="0" w:line="259" w:lineRule="auto"/>
            </w:pPr>
            <w:r>
              <w:rPr>
                <w:rFonts w:ascii="Calibri" w:hAnsi="Calibri"/>
                <w:b/>
                <w:i w:val="0"/>
                <w:color w:val="212121"/>
                <w:sz w:val="19"/>
              </w:rPr>
              <w:t>Visual aura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Aura is not a feature of cluster headache; its presence suggests migraine or another diagnosis.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Ipsilateral partial Horner's syndrome (ptosis + miosis)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dysfunction on the painful side; may become permanent with chronicity.</w:t>
            </w:r>
          </w:p>
        </w:tc>
      </w:tr>
      <w:tr>
        <w:trPr>
          <w:cantSplit/>
        </w:trPr>
        <w:tc>
          <w:tcPr>
            <w:tcW w:type="dxa" w:w="3456"/>
            <w:vAlign w:val="top"/>
          </w:tcPr>
          <w:p>
            <w:pPr>
              <w:spacing w:after="40" w:before="0" w:line="259" w:lineRule="auto"/>
            </w:pPr>
            <w:r>
              <w:rPr>
                <w:rFonts w:ascii="Calibri" w:hAnsi="Calibri"/>
                <w:b/>
                <w:i w:val="0"/>
                <w:color w:val="212121"/>
                <w:sz w:val="19"/>
              </w:rPr>
              <w:t>Conjunctival injection &amp; lacrimation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red, watering eye ipsilateral to the pain during an attack.</w:t>
            </w:r>
          </w:p>
        </w:tc>
      </w:tr>
      <w:tr>
        <w:trPr>
          <w:cantSplit/>
        </w:trPr>
        <w:tc>
          <w:tcPr>
            <w:tcW w:type="dxa" w:w="3456"/>
            <w:vAlign w:val="top"/>
          </w:tcPr>
          <w:p>
            <w:pPr>
              <w:spacing w:after="40" w:before="0" w:line="259" w:lineRule="auto"/>
            </w:pPr>
            <w:r>
              <w:rPr>
                <w:rFonts w:ascii="Calibri" w:hAnsi="Calibri"/>
                <w:b/>
                <w:i w:val="0"/>
                <w:color w:val="212121"/>
                <w:sz w:val="19"/>
              </w:rPr>
              <w:t>Rhinorrhoea / nasal congestion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Unilateral nasal signs on the affected side, mimicking sinus disease.</w:t>
            </w:r>
          </w:p>
        </w:tc>
      </w:tr>
      <w:tr>
        <w:trPr>
          <w:cantSplit/>
        </w:trPr>
        <w:tc>
          <w:tcPr>
            <w:tcW w:type="dxa" w:w="3456"/>
            <w:vAlign w:val="top"/>
          </w:tcPr>
          <w:p>
            <w:pPr>
              <w:spacing w:after="40" w:before="0" w:line="259" w:lineRule="auto"/>
            </w:pPr>
            <w:r>
              <w:rPr>
                <w:rFonts w:ascii="Calibri" w:hAnsi="Calibri"/>
                <w:b/>
                <w:i w:val="0"/>
                <w:color w:val="212121"/>
                <w:sz w:val="19"/>
              </w:rPr>
              <w:t>Motor restlessness / agitation during attack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pacing, rocking or head-holding—key differentiator from migraine.</w:t>
            </w:r>
          </w:p>
        </w:tc>
      </w:tr>
      <w:tr>
        <w:trPr>
          <w:cantSplit/>
        </w:trPr>
        <w:tc>
          <w:tcPr>
            <w:tcW w:type="dxa" w:w="3456"/>
            <w:vAlign w:val="top"/>
          </w:tcPr>
          <w:p>
            <w:pPr>
              <w:spacing w:after="40" w:before="0" w:line="259" w:lineRule="auto"/>
            </w:pPr>
            <w:r>
              <w:rPr>
                <w:rFonts w:ascii="Calibri" w:hAnsi="Calibri"/>
                <w:b/>
                <w:i w:val="0"/>
                <w:color w:val="212121"/>
                <w:sz w:val="19"/>
              </w:rPr>
              <w:t>Eyelid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Ipsilateral periorbital swelling from autonomic activation.</w:t>
            </w:r>
          </w:p>
        </w:tc>
      </w:tr>
      <w:tr>
        <w:trPr>
          <w:cantSplit/>
        </w:trPr>
        <w:tc>
          <w:tcPr>
            <w:tcW w:type="dxa" w:w="3456"/>
            <w:vAlign w:val="top"/>
          </w:tcPr>
          <w:p>
            <w:pPr>
              <w:spacing w:after="40" w:before="0" w:line="259" w:lineRule="auto"/>
            </w:pPr>
            <w:r>
              <w:rPr>
                <w:rFonts w:ascii="Calibri" w:hAnsi="Calibri"/>
                <w:b/>
                <w:i w:val="0"/>
                <w:color w:val="212121"/>
                <w:sz w:val="19"/>
              </w:rPr>
              <w:t>Forehead / facial sweating &amp; flushing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Segmental autonomic changes over the affected hemiface.</w:t>
            </w:r>
          </w:p>
        </w:tc>
      </w:tr>
      <w:tr>
        <w:trPr>
          <w:cantSplit/>
        </w:trPr>
        <w:tc>
          <w:tcPr>
            <w:tcW w:type="dxa" w:w="3456"/>
            <w:vAlign w:val="top"/>
          </w:tcPr>
          <w:p>
            <w:pPr>
              <w:spacing w:after="40" w:before="0" w:line="259" w:lineRule="auto"/>
            </w:pPr>
            <w:r>
              <w:rPr>
                <w:rFonts w:ascii="Calibri" w:hAnsi="Calibri"/>
                <w:b/>
                <w:i w:val="0"/>
                <w:color w:val="212121"/>
                <w:sz w:val="19"/>
              </w:rPr>
              <w:t>Normal interictal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Between attacks the exam is typically normal; a persistent focal deficit is a red flag for a secondary cause.</w:t>
            </w:r>
          </w:p>
        </w:tc>
      </w:tr>
      <w:tr>
        <w:trPr>
          <w:cantSplit/>
        </w:trPr>
        <w:tc>
          <w:tcPr>
            <w:tcW w:type="dxa" w:w="3456"/>
            <w:vAlign w:val="top"/>
          </w:tcPr>
          <w:p>
            <w:pPr>
              <w:spacing w:after="40" w:before="0" w:line="259" w:lineRule="auto"/>
            </w:pPr>
            <w:r>
              <w:rPr>
                <w:rFonts w:ascii="Calibri" w:hAnsi="Calibri"/>
                <w:b/>
                <w:i w:val="0"/>
                <w:color w:val="212121"/>
                <w:sz w:val="19"/>
              </w:rPr>
              <w:t>Bradycardia / transient autonomic cardiovascular changes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 autonomic instability during severe attacks.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Extreme, recurrent acute pain (“suicide headache”) with attacks up to 8 times daily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sleep deprivation from nocturnal (“alarm-clock”)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“Status clusterus” — unrelenting, closely spaced attacks refractory to acute therapy</w:t>
            </w:r>
          </w:p>
        </w:tc>
        <w:tc>
          <w:tcPr>
            <w:tcW w:type="dxa" w:w="2980"/>
            <w:vAlign w:val="top"/>
          </w:tcPr>
          <w:p>
            <w:pPr>
              <w:spacing w:after="40" w:before="0" w:line="259" w:lineRule="auto"/>
            </w:pPr>
            <w:r>
              <w:rPr>
                <w:rFonts w:ascii="Calibri" w:hAnsi="Calibri"/>
                <w:b w:val="0"/>
                <w:i w:val="0"/>
                <w:color w:val="212121"/>
                <w:sz w:val="19"/>
              </w:rPr>
              <w:t>Direct consequences of the attacks themselves and their circadian nocturnal timing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and suicide attempts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Medication-overuse headache and analgesic/opioid dependence from frequent acute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impairment, absenteeism and job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Transformation of episodic to chronic cluster headache</w:t>
            </w:r>
          </w:p>
        </w:tc>
        <w:tc>
          <w:tcPr>
            <w:tcW w:type="dxa" w:w="2980"/>
            <w:vAlign w:val="top"/>
          </w:tcPr>
          <w:p>
            <w:pPr>
              <w:spacing w:after="40" w:before="0" w:line="259" w:lineRule="auto"/>
            </w:pPr>
            <w:r>
              <w:rPr>
                <w:rFonts w:ascii="Calibri" w:hAnsi="Calibri"/>
                <w:b w:val="0"/>
                <w:i w:val="0"/>
                <w:color w:val="212121"/>
                <w:sz w:val="19"/>
              </w:rPr>
              <w:t>Result from the psychological toll, self-medication and chronification of severe recurrent pain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treatment-refractory cluster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social/relationship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 in severe refractory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harm (e.g., verapamil-induced bradycardia/heart block, corticosteroid adverse effects, ergot/triptan vascular risk)</w:t>
            </w:r>
          </w:p>
        </w:tc>
        <w:tc>
          <w:tcPr>
            <w:tcW w:type="dxa" w:w="2980"/>
            <w:vAlign w:val="top"/>
          </w:tcPr>
          <w:p>
            <w:pPr>
              <w:spacing w:after="40" w:before="0" w:line="259" w:lineRule="auto"/>
            </w:pPr>
            <w:r>
              <w:rPr>
                <w:rFonts w:ascii="Calibri" w:hAnsi="Calibri"/>
                <w:b w:val="0"/>
                <w:i w:val="0"/>
                <w:color w:val="212121"/>
                <w:sz w:val="19"/>
              </w:rPr>
              <w:t>Irreversible or high-impact outcomes of long-standing, poorly controlled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Tobacco use disorder / smoking</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Near-universal in cluster headache and now supported as a causal contributor; also drives cardiovascular and respiratory risk and constrains vasoactive drug choices.</w:t>
            </w:r>
          </w:p>
          <w:p>
            <w:pPr>
              <w:spacing w:after="40" w:before="0" w:line="259" w:lineRule="auto"/>
            </w:pPr>
            <w:r>
              <w:rPr>
                <w:rFonts w:ascii="Calibri" w:hAnsi="Calibri"/>
                <w:b/>
                <w:i w:val="0"/>
                <w:color w:val="212121"/>
                <w:sz w:val="19"/>
              </w:rPr>
              <w:t>~80% smoke (India: 53.4% smokers + 27% smokeless tobacco)</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extreme pain, sleep loss and unpredictability provoke mood disorder, which in turn worsens coping and adherence.</w:t>
            </w:r>
          </w:p>
          <w:p>
            <w:pPr>
              <w:spacing w:after="40" w:before="0" w:line="259" w:lineRule="auto"/>
            </w:pPr>
            <w:r>
              <w:rPr>
                <w:rFonts w:ascii="Calibri" w:hAnsi="Calibri"/>
                <w:b/>
                <w:i w:val="0"/>
                <w:color w:val="212121"/>
                <w:sz w:val="19"/>
              </w:rPr>
              <w:t>~3× more common than in controls</w:t>
            </w:r>
          </w:p>
        </w:tc>
      </w:tr>
      <w:tr>
        <w:trPr>
          <w:cantSplit/>
        </w:trPr>
        <w:tc>
          <w:tcPr>
            <w:tcW w:type="dxa" w:w="2232"/>
            <w:vAlign w:val="top"/>
          </w:tcPr>
          <w:p>
            <w:pPr>
              <w:spacing w:after="40" w:before="0" w:line="259" w:lineRule="auto"/>
            </w:pPr>
            <w:r>
              <w:rPr>
                <w:rFonts w:ascii="Calibri" w:hAnsi="Calibri"/>
                <w:b/>
                <w:i w:val="0"/>
                <w:color w:val="212121"/>
                <w:sz w:val="19"/>
              </w:rPr>
              <w:t>Suicidality (ideation / attempts)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Direct consequence of attack severity—the basis of the term “suicide headache”; demands active screening and safety planning.</w:t>
            </w:r>
          </w:p>
          <w:p>
            <w:pPr>
              <w:spacing w:after="40" w:before="0" w:line="259" w:lineRule="auto"/>
            </w:pPr>
            <w:r>
              <w:rPr>
                <w:rFonts w:ascii="Calibri" w:hAnsi="Calibri"/>
                <w:b/>
                <w:i w:val="0"/>
                <w:color w:val="212121"/>
                <w:sz w:val="19"/>
              </w:rPr>
              <w:t>Up to ~55% report suicidal ideation</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Anticipatory anxiety about the next attack is common and can amplify distress and healthcare-seeking during bouts.</w:t>
            </w:r>
          </w:p>
        </w:tc>
      </w:tr>
      <w:tr>
        <w:trPr>
          <w:cantSplit/>
        </w:trPr>
        <w:tc>
          <w:tcPr>
            <w:tcW w:type="dxa" w:w="2232"/>
            <w:vAlign w:val="top"/>
          </w:tcPr>
          <w:p>
            <w:pPr>
              <w:spacing w:after="40" w:before="0" w:line="259" w:lineRule="auto"/>
            </w:pPr>
            <w:r>
              <w:rPr>
                <w:rFonts w:ascii="Calibri" w:hAnsi="Calibri"/>
                <w:b/>
                <w:i w:val="0"/>
                <w:color w:val="212121"/>
                <w:sz w:val="19"/>
              </w:rPr>
              <w:t>Obstructive sleep apnea (OSA)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Nocturnal hypoxaemia and sleep fragmentation can precipitate night-time attacks; treating OSA (CPAP) may reduce attack burden in some patients.</w:t>
            </w:r>
          </w:p>
          <w:p>
            <w:pPr>
              <w:spacing w:after="40" w:before="0" w:line="259" w:lineRule="auto"/>
            </w:pPr>
            <w:r>
              <w:rPr>
                <w:rFonts w:ascii="Calibri" w:hAnsi="Calibri"/>
                <w:b/>
                <w:i w:val="0"/>
                <w:color w:val="212121"/>
                <w:sz w:val="19"/>
              </w:rPr>
              <w:t>Headache in ~33% of OSA patients</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trigemino-vascular mechanisms and is highly prevalent in India; coexistence or overlap complicates diagnosis and treatment.</w:t>
            </w:r>
          </w:p>
          <w:p>
            <w:pPr>
              <w:spacing w:after="40" w:before="0" w:line="259" w:lineRule="auto"/>
            </w:pPr>
            <w:r>
              <w:rPr>
                <w:rFonts w:ascii="Calibri" w:hAnsi="Calibri"/>
                <w:b/>
                <w:i w:val="0"/>
                <w:color w:val="212121"/>
                <w:sz w:val="19"/>
              </w:rPr>
              <w:t>Migraine ~25% (India, population)</w:t>
            </w:r>
          </w:p>
        </w:tc>
      </w:tr>
      <w:tr>
        <w:trPr>
          <w:cantSplit/>
        </w:trPr>
        <w:tc>
          <w:tcPr>
            <w:tcW w:type="dxa" w:w="2232"/>
            <w:vAlign w:val="top"/>
          </w:tcPr>
          <w:p>
            <w:pPr>
              <w:spacing w:after="40" w:before="0" w:line="259" w:lineRule="auto"/>
            </w:pPr>
            <w:r>
              <w:rPr>
                <w:rFonts w:ascii="Calibri" w:hAnsi="Calibri"/>
                <w:b/>
                <w:i w:val="0"/>
                <w:color w:val="212121"/>
                <w:sz w:val="19"/>
              </w:rPr>
              <w:t>Medication-overuse headache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from frequent acute analgesic/triptan use and perpetuates a chronic daily headache pattern.</w:t>
            </w:r>
          </w:p>
          <w:p>
            <w:pPr>
              <w:spacing w:after="40" w:before="0" w:line="259" w:lineRule="auto"/>
            </w:pPr>
            <w:r>
              <w:rPr>
                <w:rFonts w:ascii="Calibri" w:hAnsi="Calibri"/>
                <w:b/>
                <w:i w:val="0"/>
                <w:color w:val="212121"/>
                <w:sz w:val="19"/>
              </w:rPr>
              <w:t>~1.2% of adults (India, population)</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Heavy smoking raises cardiovascular risk, and this risk plus verapamil's cardiac effects and triptan/ergot vasoconstriction shape safe treatment selection.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pattern early: strictly one-sided severe eye/temple pain lasting 15–180 minutes with a red, watering eye and a blocked nostril is cluster headache, not sinusitis or a dental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difference between a bout (active cluster period) and remission, and that triggers only apply during a bout.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neurology referral and at least one brain MRI to exclude secondary causes; keep a headache diary of timing, duration and autonomic features.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abortive options in advance—high-flow 100% oxygen and subcutaneous/nasal triptans work within minutes—and have them ready before a bout escalates.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(new onset after 60, persistent one-sided droopy eye between attacks, any weakness) that need urgent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misdiagnosed as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tobacco—cigarettes, bidis and smokeless/chewing tobacco—as smoking is a causal contributor and worsens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(behavioural counselling, nicotine replacement or pharmacotherapy) and India's quit-tobacco helpline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is relevant even in the minority of never-smoking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quitting improves overall health and may reduce burden, though established bouts can persist after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from alcohol during an active bout, as it can trigger an attack within about an hour.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is usually tolerated during remission, so lifelong abstinence is not required for most.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other vasodilatory triggers during bouts—nitrate-rich foods and glyceryl trinitrate where clinically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prescribed cardiac nitrates, discuss timing and alternatives with the treating physician during active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an active bout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nitrates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fixed sleep–wake schedule during bouts and avoid daytime naps, which can precipitate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apnea (snoring, witnessed apnoeas, daytime sleepiness); use CPAP if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the sleep environment and manage nocturnal attacks with rapid abortives (oxygen at the bedside).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short-term night-time preventive strategies (e.g., bedtime verapamil or transitional therapy) with the physician for nocturnal clusters.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during remission to support cardiovascular health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attempt to “push through” an attack with exertion; instead use the prescribed abortive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high altitude travel or flights, anticipate hypoxia as a possible trigger and carry abortive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smoking cessation and weight management to lower overall 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altitude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patient for depression and suicidal ideation—both are common and potentially life-threatening in cluster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rapid access to effective abortive and preventive therapy, since good pain control is the most powerful antidepressant here.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patient support groups and safety planning; involve mental-health services for active suicidality.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anticipatory anxiety with education about the self-limiting nature of bouts and reliable abortive options.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suicidal ideation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specific “cluster diet”; focus on avoiding alcohol and nitrate/nitrite-rich processed foods during bouts.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meals and hydration regular to support overall sleep and wellbeing during active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or late meals that disrupt sleep, since sleep disruption can precipitate nocturnal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and avoid strong volatile odours (solvents, petrol, perfume) during bouts if identified as personal precipitants.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an active bout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attacks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attacks fast: high-flow 100% oxygen (12–15 L/min via non-rebreather) and subcutaneous/intranasal triptans abort attacks within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a preventive early in the bout—verapamil is first-line (with baseline and follow-up ECG for heart block) ± a short steroid taper or greater occipital nerve block as a bridge.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simple oral analgesics and opioids, which are slow and ineffective and risk medication-overuse headache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follow-up to taper preventives after the bout resolves and to reassess in chronic or refractory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an active bout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cluster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uralneuropractice.com/study-of-cluster-headache-a-hospital-based-study/" TargetMode="External"/><Relationship Id="rId10" Type="http://schemas.openxmlformats.org/officeDocument/2006/relationships/hyperlink" Target="https://www.ncbi.nlm.nih.gov/books/NBK544241/" TargetMode="External"/><Relationship Id="rId11" Type="http://schemas.openxmlformats.org/officeDocument/2006/relationships/hyperlink" Target="https://www.frontiersin.org/journals/pain-research/articles/10.3389/fpain.2024.1373528/full" TargetMode="External"/><Relationship Id="rId12" Type="http://schemas.openxmlformats.org/officeDocument/2006/relationships/hyperlink" Target="https://www.vallhebron.com/en/news/news/smoking-one-causes-cluster-headache-international-genetic-study-participation-vall-dhebron-shows" TargetMode="External"/><Relationship Id="rId13" Type="http://schemas.openxmlformats.org/officeDocument/2006/relationships/hyperlink" Target="https://www.nature.com/articles/s41598-025-89538-4" TargetMode="External"/><Relationship Id="rId14" Type="http://schemas.openxmlformats.org/officeDocument/2006/relationships/hyperlink" Target="https://link.springer.com/article/10.1186/s10194-015-0549-x" TargetMode="External"/><Relationship Id="rId15" Type="http://schemas.openxmlformats.org/officeDocument/2006/relationships/hyperlink" Target="https://ichd-3.org/3-trigeminal-autonomic-cephalalgias/3-1-cluster-head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