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Mild Cognitive Impairment</w:t>
      </w:r>
    </w:p>
    <w:p>
      <w:pPr>
        <w:spacing w:before="0" w:after="160"/>
      </w:pPr>
      <w:r>
        <w:rPr>
          <w:rFonts w:ascii="Calibri" w:hAnsi="Calibri"/>
          <w:b/>
          <w:i w:val="0"/>
          <w:color w:val="212121"/>
          <w:sz w:val="22"/>
        </w:rPr>
        <w:t xml:space="preserve">AKA </w:t>
      </w:r>
      <w:r>
        <w:rPr>
          <w:rFonts w:ascii="Calibri" w:hAnsi="Calibri"/>
          <w:b w:val="0"/>
          <w:i w:val="0"/>
          <w:color w:val="212121"/>
          <w:sz w:val="22"/>
        </w:rPr>
        <w:t>i.e., MCI, Mild neurocognitive disorder (DSM-5), Cognitive impairment no dementia (CIND), Predementia, Incipient / prodromal dementia, Isolated memory impairment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Mild cognitive impairment (MCI) is an intermediate stage of cognitive decline that lies between the normal changes of ageing and the more serious decline of dementia. There is an objective, measurable decline from a person's previous level in one or more cognitive domains — memory, complex attention, executive function (planning/judgement), language, learning or visuospatial ability — that is greater than expected for the person's age and education. Crucially, the person still remains functionally independent in everyday activities (they may take longer or use strategies, but do not need help), which distinguishes MCI from dementia. MCI is not a single disease but a clinical syndrome: it may be amnestic (memory-led, often prodromal Alzheimer's disease) or non-amnestic, and each year roughly 10–15% of people with MCI progress to dementia, while a minority revert to normal cognition.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MCI is common but greatly under-recognised in India. The nationally representative Longitudinal Ageing Study in India–Diagnostic Assessment of Dementia (LASI-DAD, N=4,096 across 36 states/UTs) found a weighted prevalence of DSM-5 mild neurocognitive disorder (MCI) of 17.6% among adults aged 60 and above — more than double the 7.2% prevalence of dementia (major neurocognitive disorder) in the same population. Mild NCD was slightly commoner in women (18.5%) than men (16.6%), rose steeply with age, and showed a strong inverse gradient with education, being far more frequent in illiterate, rural and low-income elders. Because roughly one in six older Indians is affected and a substantial share of the risk is driven by treatable vascular and lifestyle factors, MCI represents a large, largely modifiable window for delaying or preventing dementia.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MCI is a clinical diagnosis that combines a cognitive concern with objective testing while confirming that day-to-day independence is preserved. It applies the Petersen/NIA-AA criteria and the DSM-5 definition of mild neurocognitive disorder, and always includes a search for reversible contributors: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cognitive concern — reported by the patient, a knowledgeable informant, or noticed by the clinician — reflecting a decline from a previously higher level of function.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impairment in one or more cognitive domains (typically 1–1.5 standard deviations below age- and education-adjusted norms) on bedside or formal neuropsychological testing (MoCA, MMSE, or a validated vernacular tool such as the Hindi Mental State Examination / HMSE).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Essentially preserved independence in functional (instrumental) activities of daily living — the person may need more time or effort or make minor errors, but does not require assistance; significant loss of independence indicates dementia rather than MCI.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cognitive decline does not meet criteria for dementia (major neurocognitive disorder).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deficits are not better explained by delirium or another psychiatric disorder (e.g., major depression), and reversible medical causes are actively excluded (vitamin B12 deficiency, hypothyroidism, depression, obstructive sleep apnoea, sedating/anticholinergic medications).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MCI is classified first by the pattern of cognitive deficit and then by the number of domains involved, because these features predict the likely underlying disease and the risk of progression:</w:t>
      </w:r>
    </w:p>
    <w:p>
      <w:pPr>
        <w:spacing w:before="0" w:after="80"/>
      </w:pPr>
      <w:r>
        <w:rPr>
          <w:rFonts w:ascii="Calibri" w:hAnsi="Calibri"/>
          <w:b w:val="0"/>
          <w:i w:val="0"/>
          <w:color w:val="212121"/>
          <w:sz w:val="21"/>
        </w:rPr>
        <w:t>(1) Amnestic MCI, single-domain — isolated impairment of memory with other domains intact; the commonest subtype and the classic prodrome of Alzheimer's disease.</w:t>
      </w:r>
    </w:p>
    <w:p>
      <w:pPr>
        <w:spacing w:before="0" w:after="80"/>
      </w:pPr>
      <w:r>
        <w:rPr>
          <w:rFonts w:ascii="Calibri" w:hAnsi="Calibri"/>
          <w:b w:val="0"/>
          <w:i w:val="0"/>
          <w:color w:val="212121"/>
          <w:sz w:val="21"/>
        </w:rPr>
        <w:t>(2) Amnestic MCI, multiple-domain — memory impairment plus deficits in one or more other domains (executive function, language, visuospatial skills); carries the highest risk of progression to Alzheimer's or mixed dementia.</w:t>
      </w:r>
    </w:p>
    <w:p>
      <w:pPr>
        <w:spacing w:before="0" w:after="80"/>
      </w:pPr>
      <w:r>
        <w:rPr>
          <w:rFonts w:ascii="Calibri" w:hAnsi="Calibri"/>
          <w:b w:val="0"/>
          <w:i w:val="0"/>
          <w:color w:val="212121"/>
          <w:sz w:val="21"/>
        </w:rPr>
        <w:t>(3) Non-amnestic MCI, single-domain — impairment confined to one non-memory domain, such as executive function, language or visuospatial ability, with memory preserved; may herald frontotemporal, Lewy body or vascular dementia.</w:t>
      </w:r>
    </w:p>
    <w:p>
      <w:pPr>
        <w:spacing w:before="0" w:after="80"/>
      </w:pPr>
      <w:r>
        <w:rPr>
          <w:rFonts w:ascii="Calibri" w:hAnsi="Calibri"/>
          <w:b w:val="0"/>
          <w:i w:val="0"/>
          <w:color w:val="212121"/>
          <w:sz w:val="21"/>
        </w:rPr>
        <w:t>(4) Non-amnestic MCI, multiple-domain — several non-memory domains affected without prominent memory loss.</w:t>
      </w:r>
    </w:p>
    <w:p>
      <w:pPr>
        <w:spacing w:before="0" w:after="80"/>
      </w:pPr>
      <w:r>
        <w:rPr>
          <w:rFonts w:ascii="Calibri" w:hAnsi="Calibri"/>
          <w:b w:val="0"/>
          <w:i w:val="0"/>
          <w:color w:val="212121"/>
          <w:sz w:val="21"/>
        </w:rPr>
        <w:t>By underlying cause MCI is also grouped as degenerative (prodromal Alzheimer's, Lewy body or frontotemporal disease), vascular (small-vessel disease, post-stroke), mixed, or secondary/reversible (due to B12 deficiency, thyroid disease, depression, sleep apnoea, medication or systemic illness) — the last group being potentially curable if identified early.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Alzheimer's disease pathology (prodromal): Amyloid-β plaques and tau tangles accumulating in medial temporal/hippocampal regions are the commonest cause of amnestic MCI, years before dementia is clinically evident.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Cerebrovascular disease: Hypertension, diabetes and small-vessel ischaemia produce lacunes and white-matter damage, giving vascular MCI with early executive and attention deficits; India's high vascular-risk burden makes this contribution large and preventable.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Other neurodegenerative disease: Lewy body disease, Parkinson's disease and frontotemporal degeneration cause non-amnestic (executive, visuospatial or behavioural) MCI.</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Reversible medical and metabolic causes: Vitamin B12 deficiency (very common in Indian vegetarian diets), hypothyroidism, depression, obstructive sleep apnoea, chronic alcohol use and polypharmacy (anticholinergics, benzodiazepines, opioids) impair cognition and may be correctable.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susceptibility: The APOE ε4 allele and a family history of dementia increase the risk of amnestic MCI and its progression to Alzheimer's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Advancing age with low cognitive reserve: Age is the strongest risk factor; low education and illiteracy reduce cognitive reserve and lower the threshold at which pathology becomes clinically apparent, a major factor among older Indians.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(midlife, 45–64 years)</w:t>
            </w:r>
          </w:p>
        </w:tc>
        <w:tc>
          <w:tcPr>
            <w:tcW w:type="dxa" w:w="4276"/>
            <w:vAlign w:val="top"/>
          </w:tcPr>
          <w:p>
            <w:pPr>
              <w:spacing w:after="60" w:line="259" w:lineRule="auto"/>
            </w:pPr>
            <w:r>
              <w:rPr>
                <w:rFonts w:ascii="Calibri" w:hAnsi="Calibri"/>
                <w:b w:val="0"/>
                <w:i w:val="0"/>
                <w:color w:val="212121"/>
                <w:sz w:val="19"/>
              </w:rPr>
              <w:t>Midlife is when the modifiable vascular and metabolic risks that later drive MCI take hold — hypertension, diabetes, dyslipidaemia, obesity, smoking, hearing loss and physical inactivity. Brain injury accumulates silently for years before cognition measurably declines.</w:t>
            </w:r>
          </w:p>
          <w:p>
            <w:pPr>
              <w:spacing w:after="40" w:before="60" w:line="259" w:lineRule="auto"/>
            </w:pPr>
            <w:r>
              <w:rPr>
                <w:rFonts w:ascii="Calibri" w:hAnsi="Calibri"/>
                <w:b w:val="0"/>
                <w:i w:val="0"/>
                <w:color w:val="212121"/>
                <w:sz w:val="19"/>
              </w:rPr>
              <w:t>The 2024 Lancet Commission estimates that up to 45% of dementia is potentially preventable by addressing 14 modifiable risk factors, most of which act from midlife.</w:t>
            </w:r>
          </w:p>
          <w:p>
            <w:pPr>
              <w:spacing w:after="40" w:line="252" w:lineRule="auto"/>
            </w:pPr>
            <w:hyperlink r:id="rId9">
              <w:r>
                <w:rPr>
                  <w:rFonts w:ascii="Calibri" w:hAnsi="Calibri" w:cs="Calibri"/>
                  <w:sz w:val="18"/>
                  <w:color w:val="1155CC"/>
                  <w:u w:val="single"/>
                </w:rPr>
                <w:t xml:space="preserve">alzheimer-europe.org — 2024 Lancet Commission (45% preventable)</w:t>
              </w:r>
            </w:hyperlink>
          </w:p>
          <w:p>
            <w:pPr>
              <w:spacing w:before="60" w:after="40"/>
            </w:pPr>
            <w:r>
              <w:rPr>
                <w:rFonts w:ascii="Calibri" w:hAnsi="Calibri"/>
                <w:b w:val="0"/>
                <w:i w:val="0"/>
                <w:color w:val="5A5A5A"/>
                <w:sz w:val="18"/>
              </w:rPr>
              <w:t>#midlife  #modifiable  #vascularrisk  #prevention  #cognitivereserve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Risk rises steeply with age as neurodegenerative and vascular pathology accumulate and cognitive reserve falls. The elderly carry by far the highest burden of MCI and the greatest risk of progression to dementia.</w:t>
            </w:r>
          </w:p>
          <w:p>
            <w:pPr>
              <w:spacing w:after="40" w:before="60" w:line="259" w:lineRule="auto"/>
            </w:pPr>
            <w:r>
              <w:rPr>
                <w:rFonts w:ascii="Calibri" w:hAnsi="Calibri"/>
                <w:b w:val="0"/>
                <w:i w:val="0"/>
                <w:color w:val="212121"/>
                <w:sz w:val="19"/>
              </w:rPr>
              <w:t>In India, DSM-5 mild neurocognitive disorder (MCI) affects 17.6% of adults aged 60+ (LASI-DAD), roughly double the 7.2% prevalence of dementia.</w:t>
            </w:r>
          </w:p>
          <w:p>
            <w:pPr>
              <w:spacing w:after="40" w:line="252" w:lineRule="auto"/>
            </w:pPr>
            <w:hyperlink r:id="rId10">
              <w:r>
                <w:rPr>
                  <w:rFonts w:ascii="Calibri" w:hAnsi="Calibri" w:cs="Calibri"/>
                  <w:sz w:val="18"/>
                  <w:color w:val="1155CC"/>
                  <w:u w:val="single"/>
                </w:rPr>
                <w:t xml:space="preserve">journals.plos.org — LASI-DAD (mild NCD 17.6% in 60+)</w:t>
              </w:r>
            </w:hyperlink>
          </w:p>
          <w:p>
            <w:pPr>
              <w:spacing w:before="60" w:after="40"/>
            </w:pPr>
            <w:r>
              <w:rPr>
                <w:rFonts w:ascii="Calibri" w:hAnsi="Calibri"/>
                <w:b w:val="0"/>
                <w:i w:val="0"/>
                <w:color w:val="5A5A5A"/>
                <w:sz w:val="18"/>
              </w:rPr>
              <w:t>#elderly  #ageing  #17point6percent  #LASIDAD  #predementia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Older women in India show a slightly higher prevalence of MCI, reflecting longer life expectancy together with lower literacy, less schooling and reduced cognitive reserve, plus post-menopausal vascular risk.</w:t>
            </w:r>
          </w:p>
          <w:p>
            <w:pPr>
              <w:spacing w:after="40" w:before="60" w:line="259" w:lineRule="auto"/>
            </w:pPr>
            <w:r>
              <w:rPr>
                <w:rFonts w:ascii="Calibri" w:hAnsi="Calibri"/>
                <w:b w:val="0"/>
                <w:i w:val="0"/>
                <w:color w:val="212121"/>
                <w:sz w:val="19"/>
              </w:rPr>
              <w:t>LASI-DAD found mild neurocognitive disorder in 18.5% of older women versus 16.6% of older men.</w:t>
            </w:r>
          </w:p>
          <w:p>
            <w:pPr>
              <w:spacing w:after="40" w:line="252" w:lineRule="auto"/>
            </w:pPr>
            <w:hyperlink r:id="rId10">
              <w:r>
                <w:rPr>
                  <w:rFonts w:ascii="Calibri" w:hAnsi="Calibri" w:cs="Calibri"/>
                  <w:sz w:val="18"/>
                  <w:color w:val="1155CC"/>
                  <w:u w:val="single"/>
                </w:rPr>
                <w:t xml:space="preserve">journals.plos.org — LASI-DAD (women 18.5% vs men 16.6%)</w:t>
              </w:r>
            </w:hyperlink>
          </w:p>
          <w:p>
            <w:pPr>
              <w:spacing w:before="60" w:after="40"/>
            </w:pPr>
            <w:r>
              <w:rPr>
                <w:rFonts w:ascii="Calibri" w:hAnsi="Calibri"/>
                <w:b w:val="0"/>
                <w:i w:val="0"/>
                <w:color w:val="5A5A5A"/>
                <w:sz w:val="18"/>
              </w:rPr>
              <w:t>#female  #women  #loweducation  #cognitivereserve  #menopause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income / low literacy</w:t>
            </w:r>
          </w:p>
        </w:tc>
        <w:tc>
          <w:tcPr>
            <w:tcW w:type="dxa" w:w="4276"/>
            <w:vAlign w:val="top"/>
          </w:tcPr>
          <w:p>
            <w:pPr>
              <w:spacing w:after="60" w:line="259" w:lineRule="auto"/>
            </w:pPr>
            <w:r>
              <w:rPr>
                <w:rFonts w:ascii="Calibri" w:hAnsi="Calibri"/>
                <w:b w:val="0"/>
                <w:i w:val="0"/>
                <w:color w:val="212121"/>
                <w:sz w:val="19"/>
              </w:rPr>
              <w:t>Low education reduces cognitive reserve, and poverty limits detection and control of hypertension, diabetes and hearing/vision loss, so brain injury goes unchecked. These gaps are wide in India, especially for women and rural elders.</w:t>
            </w:r>
          </w:p>
          <w:p>
            <w:pPr>
              <w:spacing w:after="40" w:before="60" w:line="259" w:lineRule="auto"/>
            </w:pPr>
            <w:r>
              <w:rPr>
                <w:rFonts w:ascii="Calibri" w:hAnsi="Calibri"/>
                <w:b w:val="0"/>
                <w:i w:val="0"/>
                <w:color w:val="212121"/>
                <w:sz w:val="19"/>
              </w:rPr>
              <w:t>In LASI, about 68% of older Indians had no schooling or incomplete primary education, and low education was one of the strongest correlates of late-life cognitive impairment.</w:t>
            </w:r>
          </w:p>
          <w:p>
            <w:pPr>
              <w:spacing w:after="40" w:line="252" w:lineRule="auto"/>
            </w:pPr>
            <w:hyperlink r:id="rId11">
              <w:r>
                <w:rPr>
                  <w:rFonts w:ascii="Calibri" w:hAnsi="Calibri" w:cs="Calibri"/>
                  <w:sz w:val="18"/>
                  <w:color w:val="1155CC"/>
                  <w:u w:val="single"/>
                </w:rPr>
                <w:t xml:space="preserve">nature.com — LASI (68% no/incomplete primary education)</w:t>
              </w:r>
            </w:hyperlink>
          </w:p>
          <w:p>
            <w:pPr>
              <w:spacing w:before="60" w:after="40"/>
            </w:pPr>
            <w:r>
              <w:rPr>
                <w:rFonts w:ascii="Calibri" w:hAnsi="Calibri"/>
                <w:b w:val="0"/>
                <w:i w:val="0"/>
                <w:color w:val="5A5A5A"/>
                <w:sz w:val="18"/>
              </w:rPr>
              <w:t>#lowincome  #loweducation  #illiteracy  #healthaccess  #cognitivereserve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Asian (Indian) populations</w:t>
            </w:r>
          </w:p>
        </w:tc>
        <w:tc>
          <w:tcPr>
            <w:tcW w:type="dxa" w:w="4276"/>
            <w:vAlign w:val="top"/>
          </w:tcPr>
          <w:p>
            <w:pPr>
              <w:spacing w:after="60" w:line="259" w:lineRule="auto"/>
            </w:pPr>
            <w:r>
              <w:rPr>
                <w:rFonts w:ascii="Calibri" w:hAnsi="Calibri"/>
                <w:b w:val="0"/>
                <w:i w:val="0"/>
                <w:color w:val="212121"/>
                <w:sz w:val="19"/>
              </w:rPr>
              <w:t>South Asians develop hypertension, diabetes, central obesity and vitamin B12 deficiency earlier and at lower BMI than Western populations, giving a high and premature burden of the vascular and metabolic disease that underlies much MCI.</w:t>
            </w:r>
          </w:p>
          <w:p>
            <w:pPr>
              <w:spacing w:after="40" w:before="60" w:line="259" w:lineRule="auto"/>
            </w:pPr>
            <w:r>
              <w:rPr>
                <w:rFonts w:ascii="Calibri" w:hAnsi="Calibri"/>
                <w:b w:val="0"/>
                <w:i w:val="0"/>
                <w:color w:val="212121"/>
                <w:sz w:val="19"/>
              </w:rPr>
              <w:t>India's high burden of hypertension and over 100 million adults with diabetes amplifies the population risk of vascular cognitive impairment underlying MCI.</w:t>
            </w:r>
          </w:p>
          <w:p>
            <w:pPr>
              <w:spacing w:after="40" w:line="252" w:lineRule="auto"/>
            </w:pPr>
            <w:hyperlink r:id="rId9">
              <w:r>
                <w:rPr>
                  <w:rFonts w:ascii="Calibri" w:hAnsi="Calibri" w:cs="Calibri"/>
                  <w:sz w:val="18"/>
                  <w:color w:val="1155CC"/>
                  <w:u w:val="single"/>
                </w:rPr>
                <w:t xml:space="preserve">alzheimer-europe.org — hypertension &amp; diabetes as dementia risk factors</w:t>
              </w:r>
            </w:hyperlink>
          </w:p>
          <w:p>
            <w:pPr>
              <w:spacing w:before="60" w:after="40"/>
            </w:pPr>
            <w:r>
              <w:rPr>
                <w:rFonts w:ascii="Calibri" w:hAnsi="Calibri"/>
                <w:b w:val="0"/>
                <w:i w:val="0"/>
                <w:color w:val="5A5A5A"/>
                <w:sz w:val="18"/>
              </w:rPr>
              <w:t>#southasian  #prematureCVD  #diabetes  #hypertension  #B12deficiency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Rural India</w:t>
            </w:r>
          </w:p>
        </w:tc>
        <w:tc>
          <w:tcPr>
            <w:tcW w:type="dxa" w:w="4276"/>
            <w:vAlign w:val="top"/>
          </w:tcPr>
          <w:p>
            <w:pPr>
              <w:spacing w:after="60" w:line="259" w:lineRule="auto"/>
            </w:pPr>
            <w:r>
              <w:rPr>
                <w:rFonts w:ascii="Calibri" w:hAnsi="Calibri"/>
                <w:b w:val="0"/>
                <w:i w:val="0"/>
                <w:color w:val="212121"/>
                <w:sz w:val="19"/>
              </w:rPr>
              <w:t>Rural elders show higher rates of cognitive impairment, reflecting lower literacy, untreated hypertension and diabetes, nutritional deficiency and poor access to memory-care and hearing services.</w:t>
            </w:r>
          </w:p>
          <w:p>
            <w:pPr>
              <w:spacing w:after="40" w:before="60" w:line="259" w:lineRule="auto"/>
            </w:pPr>
            <w:r>
              <w:rPr>
                <w:rFonts w:ascii="Calibri" w:hAnsi="Calibri"/>
                <w:b w:val="0"/>
                <w:i w:val="0"/>
                <w:color w:val="212121"/>
                <w:sz w:val="19"/>
              </w:rPr>
              <w:t>LASI-DAD found neurocognitive disorder markedly commoner in rural than urban older adults (for dementia, 10.3% rural vs 4.9% urban), mirroring the same rural excess for MCI.</w:t>
            </w:r>
          </w:p>
          <w:p>
            <w:pPr>
              <w:spacing w:after="40" w:line="252" w:lineRule="auto"/>
            </w:pPr>
            <w:hyperlink r:id="rId10">
              <w:r>
                <w:rPr>
                  <w:rFonts w:ascii="Calibri" w:hAnsi="Calibri" w:cs="Calibri"/>
                  <w:sz w:val="18"/>
                  <w:color w:val="1155CC"/>
                  <w:u w:val="single"/>
                </w:rPr>
                <w:t xml:space="preserve">journals.plos.org — LASI-DAD (rural &gt; urban prevalence)</w:t>
              </w:r>
            </w:hyperlink>
          </w:p>
          <w:p>
            <w:pPr>
              <w:spacing w:before="60" w:after="40"/>
            </w:pPr>
            <w:r>
              <w:rPr>
                <w:rFonts w:ascii="Calibri" w:hAnsi="Calibri"/>
                <w:b w:val="0"/>
                <w:i w:val="0"/>
                <w:color w:val="5A5A5A"/>
                <w:sz w:val="18"/>
              </w:rPr>
              <w:t>#ruralindia  #untreatedHTN  #accessgap  #nutrition  #lowliteracy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 desk-bound adults</w:t>
            </w:r>
          </w:p>
        </w:tc>
        <w:tc>
          <w:tcPr>
            <w:tcW w:type="dxa" w:w="4276"/>
            <w:vAlign w:val="top"/>
          </w:tcPr>
          <w:p>
            <w:pPr>
              <w:spacing w:after="60" w:line="259" w:lineRule="auto"/>
            </w:pPr>
            <w:r>
              <w:rPr>
                <w:rFonts w:ascii="Calibri" w:hAnsi="Calibri"/>
                <w:b w:val="0"/>
                <w:i w:val="0"/>
                <w:color w:val="212121"/>
                <w:sz w:val="19"/>
              </w:rPr>
              <w:t>Physical inactivity worsens hypertension, diabetes, obesity and mood, reduces cerebral perfusion and neurotrophic signalling, and is independently linked to faster cognitive decline. Exercise improves attention, executive function and memory.</w:t>
            </w:r>
          </w:p>
          <w:p>
            <w:pPr>
              <w:spacing w:after="40" w:before="60" w:line="259" w:lineRule="auto"/>
            </w:pPr>
            <w:r>
              <w:rPr>
                <w:rFonts w:ascii="Calibri" w:hAnsi="Calibri"/>
                <w:b w:val="0"/>
                <w:i w:val="0"/>
                <w:color w:val="212121"/>
                <w:sz w:val="19"/>
              </w:rPr>
              <w:t>In LASI, about 69% of older Indians reported never doing any physical activity, and physical inactivity is one of the 14 modifiable dementia risk factors in the 2024 Lancet Commission.</w:t>
            </w:r>
          </w:p>
          <w:p>
            <w:pPr>
              <w:spacing w:after="40" w:line="252" w:lineRule="auto"/>
            </w:pPr>
            <w:hyperlink r:id="rId11">
              <w:r>
                <w:rPr>
                  <w:rFonts w:ascii="Calibri" w:hAnsi="Calibri" w:cs="Calibri"/>
                  <w:sz w:val="18"/>
                  <w:color w:val="1155CC"/>
                  <w:u w:val="single"/>
                </w:rPr>
                <w:t xml:space="preserve">nature.com — LASI (~69% never physically active)</w:t>
              </w:r>
            </w:hyperlink>
          </w:p>
          <w:p>
            <w:pPr>
              <w:spacing w:before="60" w:after="40"/>
            </w:pPr>
            <w:r>
              <w:rPr>
                <w:rFonts w:ascii="Calibri" w:hAnsi="Calibri"/>
                <w:b w:val="0"/>
                <w:i w:val="0"/>
                <w:color w:val="5A5A5A"/>
                <w:sz w:val="18"/>
              </w:rPr>
              <w:t>#sedentary  #inactivity  #deskbound  #cerebralperfusion  #exercise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users (cigarette, bidi, smokeless)</w:t>
            </w:r>
          </w:p>
        </w:tc>
        <w:tc>
          <w:tcPr>
            <w:tcW w:type="dxa" w:w="4276"/>
            <w:vAlign w:val="top"/>
          </w:tcPr>
          <w:p>
            <w:pPr>
              <w:spacing w:after="60" w:line="259" w:lineRule="auto"/>
            </w:pPr>
            <w:r>
              <w:rPr>
                <w:rFonts w:ascii="Calibri" w:hAnsi="Calibri"/>
                <w:b w:val="0"/>
                <w:i w:val="0"/>
                <w:color w:val="212121"/>
                <w:sz w:val="19"/>
              </w:rPr>
              <w:t>Smoking causes endothelial injury, accelerates atherosclerosis and oxidative brain damage, promoting the small-vessel disease and strokes that cause vascular MCI. India's bidi and smokeless-tobacco use adds to the burden.</w:t>
            </w:r>
          </w:p>
          <w:p>
            <w:pPr>
              <w:spacing w:after="40" w:before="60" w:line="259" w:lineRule="auto"/>
            </w:pPr>
            <w:r>
              <w:rPr>
                <w:rFonts w:ascii="Calibri" w:hAnsi="Calibri"/>
                <w:b w:val="0"/>
                <w:i w:val="0"/>
                <w:color w:val="212121"/>
                <w:sz w:val="19"/>
              </w:rPr>
              <w:t>Smoking is one of the 14 modifiable dementia risk factors highlighted by the 2024 Lancet Commission.</w:t>
            </w:r>
          </w:p>
          <w:p>
            <w:pPr>
              <w:spacing w:after="40" w:line="252" w:lineRule="auto"/>
            </w:pPr>
            <w:hyperlink r:id="rId9">
              <w:r>
                <w:rPr>
                  <w:rFonts w:ascii="Calibri" w:hAnsi="Calibri" w:cs="Calibri"/>
                  <w:sz w:val="18"/>
                  <w:color w:val="1155CC"/>
                  <w:u w:val="single"/>
                </w:rPr>
                <w:t xml:space="preserve">alzheimer-europe.org — smoking as modifiable factor</w:t>
              </w:r>
            </w:hyperlink>
          </w:p>
          <w:p>
            <w:pPr>
              <w:spacing w:before="60" w:after="40"/>
            </w:pPr>
            <w:r>
              <w:rPr>
                <w:rFonts w:ascii="Calibri" w:hAnsi="Calibri"/>
                <w:b w:val="0"/>
                <w:i w:val="0"/>
                <w:color w:val="5A5A5A"/>
                <w:sz w:val="18"/>
              </w:rPr>
              <w:t>#smoking  #bidi  #smokeless  #endothelium  #oxidativestress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harmful drinkers</w:t>
            </w:r>
          </w:p>
        </w:tc>
        <w:tc>
          <w:tcPr>
            <w:tcW w:type="dxa" w:w="4276"/>
            <w:vAlign w:val="top"/>
          </w:tcPr>
          <w:p>
            <w:pPr>
              <w:spacing w:after="60" w:line="259" w:lineRule="auto"/>
            </w:pPr>
            <w:r>
              <w:rPr>
                <w:rFonts w:ascii="Calibri" w:hAnsi="Calibri"/>
                <w:b w:val="0"/>
                <w:i w:val="0"/>
                <w:color w:val="212121"/>
                <w:sz w:val="19"/>
              </w:rPr>
              <w:t>Heavy alcohol use is directly neurotoxic, causes thiamine and B-vitamin deficiency, raises blood pressure and stroke risk, and can produce a partially reversible alcohol-related cognitive impairment.</w:t>
            </w:r>
          </w:p>
          <w:p>
            <w:pPr>
              <w:spacing w:after="40" w:before="60" w:line="259" w:lineRule="auto"/>
            </w:pPr>
            <w:r>
              <w:rPr>
                <w:rFonts w:ascii="Calibri" w:hAnsi="Calibri"/>
                <w:b w:val="0"/>
                <w:i w:val="0"/>
                <w:color w:val="212121"/>
                <w:sz w:val="19"/>
              </w:rPr>
              <w:t>Excessive alcohol consumption is one of the 14 modifiable dementia risk factors in the 2024 Lancet Commission report.</w:t>
            </w:r>
          </w:p>
          <w:p>
            <w:pPr>
              <w:spacing w:after="40" w:line="252" w:lineRule="auto"/>
            </w:pPr>
            <w:hyperlink r:id="rId9">
              <w:r>
                <w:rPr>
                  <w:rFonts w:ascii="Calibri" w:hAnsi="Calibri" w:cs="Calibri"/>
                  <w:sz w:val="18"/>
                  <w:color w:val="1155CC"/>
                  <w:u w:val="single"/>
                </w:rPr>
                <w:t xml:space="preserve">alzheimer-europe.org — alcohol as modifiable factor</w:t>
              </w:r>
            </w:hyperlink>
          </w:p>
          <w:p>
            <w:pPr>
              <w:spacing w:before="60" w:after="40"/>
            </w:pPr>
            <w:r>
              <w:rPr>
                <w:rFonts w:ascii="Calibri" w:hAnsi="Calibri"/>
                <w:b w:val="0"/>
                <w:i w:val="0"/>
                <w:color w:val="5A5A5A"/>
                <w:sz w:val="18"/>
              </w:rPr>
              <w:t>#alcohol  #neurotoxic  #thiamine  #hypertension  #reversible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 BMI ≥ 23)</w:t>
            </w:r>
          </w:p>
        </w:tc>
        <w:tc>
          <w:tcPr>
            <w:tcW w:type="dxa" w:w="4276"/>
            <w:vAlign w:val="top"/>
          </w:tcPr>
          <w:p>
            <w:pPr>
              <w:spacing w:after="60" w:line="259" w:lineRule="auto"/>
            </w:pPr>
            <w:r>
              <w:rPr>
                <w:rFonts w:ascii="Calibri" w:hAnsi="Calibri"/>
                <w:b w:val="0"/>
                <w:i w:val="0"/>
                <w:color w:val="212121"/>
                <w:sz w:val="19"/>
              </w:rPr>
              <w:t>Excess weight, even at BMI levels considered normal in the West, drives insulin resistance, hypertension and dyslipidaemia in South Asians, increasing the cerebrovascular and metabolic risk that underlies MCI.</w:t>
            </w:r>
          </w:p>
          <w:p>
            <w:pPr>
              <w:spacing w:after="40" w:before="60" w:line="259" w:lineRule="auto"/>
            </w:pPr>
            <w:r>
              <w:rPr>
                <w:rFonts w:ascii="Calibri" w:hAnsi="Calibri"/>
                <w:b w:val="0"/>
                <w:i w:val="0"/>
                <w:color w:val="212121"/>
                <w:sz w:val="19"/>
              </w:rPr>
              <w:t>Midlife obesity is among the 14 modifiable factors underlying up to 45% of preventable dementia; Asian BMI thresholds are lower (≥ 23 overweight, ≥ 25 obese).</w:t>
            </w:r>
          </w:p>
          <w:p>
            <w:pPr>
              <w:spacing w:after="40" w:line="252" w:lineRule="auto"/>
            </w:pPr>
            <w:hyperlink r:id="rId9">
              <w:r>
                <w:rPr>
                  <w:rFonts w:ascii="Calibri" w:hAnsi="Calibri" w:cs="Calibri"/>
                  <w:sz w:val="18"/>
                  <w:color w:val="1155CC"/>
                  <w:u w:val="single"/>
                </w:rPr>
                <w:t xml:space="preserve">alzheimer-europe.org — obesity as modifiable factor</w:t>
              </w:r>
            </w:hyperlink>
          </w:p>
          <w:p>
            <w:pPr>
              <w:spacing w:before="60" w:after="40"/>
            </w:pPr>
            <w:r>
              <w:rPr>
                <w:rFonts w:ascii="Calibri" w:hAnsi="Calibri"/>
                <w:b w:val="0"/>
                <w:i w:val="0"/>
                <w:color w:val="5A5A5A"/>
                <w:sz w:val="18"/>
              </w:rPr>
              <w:t>#overweight  #asianBMI  #insulinresistance  #metabolicsyndrome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Central / abdominal obesity</w:t>
            </w:r>
          </w:p>
        </w:tc>
        <w:tc>
          <w:tcPr>
            <w:tcW w:type="dxa" w:w="4276"/>
            <w:vAlign w:val="top"/>
          </w:tcPr>
          <w:p>
            <w:pPr>
              <w:spacing w:after="60" w:line="259" w:lineRule="auto"/>
            </w:pPr>
            <w:r>
              <w:rPr>
                <w:rFonts w:ascii="Calibri" w:hAnsi="Calibri"/>
                <w:b w:val="0"/>
                <w:i w:val="0"/>
                <w:color w:val="212121"/>
                <w:sz w:val="19"/>
              </w:rPr>
              <w:t>Visceral adiposity produces a pro-inflammatory, pro-thrombotic state with hypertension and diabetes, all of which injure cerebral vessels and are linked to accelerated cognitive decline.</w:t>
            </w:r>
          </w:p>
          <w:p>
            <w:pPr>
              <w:spacing w:after="40" w:before="60" w:line="259" w:lineRule="auto"/>
            </w:pPr>
            <w:r>
              <w:rPr>
                <w:rFonts w:ascii="Calibri" w:hAnsi="Calibri"/>
                <w:b w:val="0"/>
                <w:i w:val="0"/>
                <w:color w:val="212121"/>
                <w:sz w:val="19"/>
              </w:rPr>
              <w:t>Central obesity clusters with hypertension, diabetes and dyslipidaemia (metabolic syndrome), the core drivers of vascular cognitive impairment.</w:t>
            </w:r>
          </w:p>
          <w:p>
            <w:pPr>
              <w:spacing w:before="60" w:after="40"/>
            </w:pPr>
            <w:r>
              <w:rPr>
                <w:rFonts w:ascii="Calibri" w:hAnsi="Calibri"/>
                <w:b w:val="0"/>
                <w:i w:val="0"/>
                <w:color w:val="5A5A5A"/>
                <w:sz w:val="18"/>
              </w:rPr>
              <w:t>#obesity  #visceralfat  #inflammation  #metabolicsyndrome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Vegetarian / low-B12, high refined-carb diets</w:t>
            </w:r>
          </w:p>
        </w:tc>
        <w:tc>
          <w:tcPr>
            <w:tcW w:type="dxa" w:w="4276"/>
            <w:vAlign w:val="top"/>
          </w:tcPr>
          <w:p>
            <w:pPr>
              <w:spacing w:after="60" w:line="259" w:lineRule="auto"/>
            </w:pPr>
            <w:r>
              <w:rPr>
                <w:rFonts w:ascii="Calibri" w:hAnsi="Calibri"/>
                <w:b w:val="0"/>
                <w:i w:val="0"/>
                <w:color w:val="212121"/>
                <w:sz w:val="19"/>
              </w:rPr>
              <w:t>Predominantly vegetarian Indian diets are frequently deficient in vitamin B12, a correctable cause of cognitive impairment, while diets high in salt, sugar and refined carbohydrate and low in fruit, vegetables and fish worsen vascular risk and provide few neuroprotective nutrients.</w:t>
            </w:r>
          </w:p>
          <w:p>
            <w:pPr>
              <w:spacing w:after="40" w:before="60" w:line="259" w:lineRule="auto"/>
            </w:pPr>
            <w:r>
              <w:rPr>
                <w:rFonts w:ascii="Calibri" w:hAnsi="Calibri"/>
                <w:b w:val="0"/>
                <w:i w:val="0"/>
                <w:color w:val="212121"/>
                <w:sz w:val="19"/>
              </w:rPr>
              <w:t>Vitamin B12 deficiency is a recognised reversible cause of cognitive impairment and is highly prevalent in Indian vegetarians; correcting it can improve or stabilise cognition.</w:t>
            </w:r>
          </w:p>
          <w:p>
            <w:pPr>
              <w:spacing w:after="40" w:line="252" w:lineRule="auto"/>
            </w:pPr>
            <w:hyperlink r:id="rId12">
              <w:r>
                <w:rPr>
                  <w:rFonts w:ascii="Calibri" w:hAnsi="Calibri" w:cs="Calibri"/>
                  <w:sz w:val="18"/>
                  <w:color w:val="1155CC"/>
                  <w:u w:val="single"/>
                </w:rPr>
                <w:t xml:space="preserve">ncbi.nlm.nih.gov (StatPearls) — B12 deficiency as reversible cause</w:t>
              </w:r>
            </w:hyperlink>
          </w:p>
          <w:p>
            <w:pPr>
              <w:spacing w:before="60" w:after="40"/>
            </w:pPr>
            <w:r>
              <w:rPr>
                <w:rFonts w:ascii="Calibri" w:hAnsi="Calibri"/>
                <w:b w:val="0"/>
                <w:i w:val="0"/>
                <w:color w:val="5A5A5A"/>
                <w:sz w:val="18"/>
              </w:rPr>
              <w:t>#B12deficiency  #vegetarian  #refinedcarbs  #lowfibre  #MINDdiet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dementia</w:t>
            </w:r>
          </w:p>
        </w:tc>
        <w:tc>
          <w:tcPr>
            <w:tcW w:type="dxa" w:w="4276"/>
            <w:vAlign w:val="top"/>
          </w:tcPr>
          <w:p>
            <w:pPr>
              <w:spacing w:after="60" w:line="259" w:lineRule="auto"/>
            </w:pPr>
            <w:r>
              <w:rPr>
                <w:rFonts w:ascii="Calibri" w:hAnsi="Calibri"/>
                <w:b w:val="0"/>
                <w:i w:val="0"/>
                <w:color w:val="212121"/>
                <w:sz w:val="19"/>
              </w:rPr>
              <w:t>A family history of Alzheimer's or other dementia reflects shared genetic and lifestyle risk and raises the likelihood of amnestic MCI and of its progression to dementia.</w:t>
            </w:r>
          </w:p>
          <w:p>
            <w:pPr>
              <w:spacing w:after="40" w:before="60" w:line="259" w:lineRule="auto"/>
            </w:pPr>
            <w:r>
              <w:rPr>
                <w:rFonts w:ascii="Calibri" w:hAnsi="Calibri"/>
                <w:b w:val="0"/>
                <w:i w:val="0"/>
                <w:color w:val="212121"/>
                <w:sz w:val="19"/>
              </w:rPr>
              <w:t>Family history of cognitive impairment is a recognised non-modifiable risk factor for MCI.</w:t>
            </w:r>
          </w:p>
          <w:p>
            <w:pPr>
              <w:spacing w:after="40" w:line="252" w:lineRule="auto"/>
            </w:pPr>
            <w:hyperlink r:id="rId12">
              <w:r>
                <w:rPr>
                  <w:rFonts w:ascii="Calibri" w:hAnsi="Calibri" w:cs="Calibri"/>
                  <w:sz w:val="18"/>
                  <w:color w:val="1155CC"/>
                  <w:u w:val="single"/>
                </w:rPr>
                <w:t xml:space="preserve">ncbi.nlm.nih.gov (StatPearls) — family history as risk factor</w:t>
              </w:r>
            </w:hyperlink>
          </w:p>
          <w:p>
            <w:pPr>
              <w:spacing w:before="60" w:after="40"/>
            </w:pPr>
            <w:r>
              <w:rPr>
                <w:rFonts w:ascii="Calibri" w:hAnsi="Calibri"/>
                <w:b w:val="0"/>
                <w:i w:val="0"/>
                <w:color w:val="5A5A5A"/>
                <w:sz w:val="18"/>
              </w:rPr>
              <w:t>#familyhistory  #inherited  #alzheimers  #amnesticMCI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APOE genotype</w:t>
            </w:r>
          </w:p>
        </w:tc>
        <w:tc>
          <w:tcPr>
            <w:tcW w:type="dxa" w:w="2160"/>
            <w:vAlign w:val="top"/>
          </w:tcPr>
          <w:p>
            <w:pPr>
              <w:spacing w:after="40" w:before="0" w:line="259" w:lineRule="auto"/>
            </w:pPr>
            <w:r>
              <w:rPr>
                <w:rFonts w:ascii="Calibri" w:hAnsi="Calibri"/>
                <w:b w:val="0"/>
                <w:i w:val="0"/>
                <w:color w:val="212121"/>
                <w:sz w:val="19"/>
              </w:rPr>
              <w:t>APOE ε4 carriers</w:t>
            </w:r>
          </w:p>
        </w:tc>
        <w:tc>
          <w:tcPr>
            <w:tcW w:type="dxa" w:w="4276"/>
            <w:vAlign w:val="top"/>
          </w:tcPr>
          <w:p>
            <w:pPr>
              <w:spacing w:after="60" w:line="259" w:lineRule="auto"/>
            </w:pPr>
            <w:r>
              <w:rPr>
                <w:rFonts w:ascii="Calibri" w:hAnsi="Calibri"/>
                <w:b w:val="0"/>
                <w:i w:val="0"/>
                <w:color w:val="212121"/>
                <w:sz w:val="19"/>
              </w:rPr>
              <w:t>The APOE ε4 allele increases amyloid deposition and is the strongest common genetic risk factor for amnestic MCI and its conversion to Alzheimer's dementia; effect is greatest in homozygotes.</w:t>
            </w:r>
          </w:p>
          <w:p>
            <w:pPr>
              <w:spacing w:after="40" w:before="60" w:line="259" w:lineRule="auto"/>
            </w:pPr>
            <w:r>
              <w:rPr>
                <w:rFonts w:ascii="Calibri" w:hAnsi="Calibri"/>
                <w:b w:val="0"/>
                <w:i w:val="0"/>
                <w:color w:val="212121"/>
                <w:sz w:val="19"/>
              </w:rPr>
              <w:t>APOE ε4 presence increases the risk of Alzheimer's-type dementia and faster progression from amnestic MCI.</w:t>
            </w:r>
          </w:p>
          <w:p>
            <w:pPr>
              <w:spacing w:after="40" w:line="252" w:lineRule="auto"/>
            </w:pPr>
            <w:hyperlink r:id="rId12">
              <w:r>
                <w:rPr>
                  <w:rFonts w:ascii="Calibri" w:hAnsi="Calibri" w:cs="Calibri"/>
                  <w:sz w:val="18"/>
                  <w:color w:val="1155CC"/>
                  <w:u w:val="single"/>
                </w:rPr>
                <w:t xml:space="preserve">ncbi.nlm.nih.gov (StatPearls) — APOE ε4 and MCI progression</w:t>
              </w:r>
            </w:hyperlink>
          </w:p>
          <w:p>
            <w:pPr>
              <w:spacing w:before="60" w:after="40"/>
            </w:pPr>
            <w:r>
              <w:rPr>
                <w:rFonts w:ascii="Calibri" w:hAnsi="Calibri"/>
                <w:b w:val="0"/>
                <w:i w:val="0"/>
                <w:color w:val="5A5A5A"/>
                <w:sz w:val="18"/>
              </w:rPr>
              <w:t>#APOE4  #amyloid  #genetics  #amnesticMCI  #alzheimers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Adults with chronic / poorly controlled hypertension</w:t>
            </w:r>
          </w:p>
        </w:tc>
        <w:tc>
          <w:tcPr>
            <w:tcW w:type="dxa" w:w="4276"/>
            <w:vAlign w:val="top"/>
          </w:tcPr>
          <w:p>
            <w:pPr>
              <w:spacing w:after="60" w:line="259" w:lineRule="auto"/>
            </w:pPr>
            <w:r>
              <w:rPr>
                <w:rFonts w:ascii="Calibri" w:hAnsi="Calibri"/>
                <w:b w:val="0"/>
                <w:i w:val="0"/>
                <w:color w:val="212121"/>
                <w:sz w:val="19"/>
              </w:rPr>
              <w:t>Hypertension damages small cerebral vessels, producing white-matter disease and lacunes that impair attention and executive function; midlife hypertension is especially damaging and is a leading modifiable driver of MCI.</w:t>
            </w:r>
          </w:p>
          <w:p>
            <w:pPr>
              <w:spacing w:after="40" w:before="60" w:line="259" w:lineRule="auto"/>
            </w:pPr>
            <w:r>
              <w:rPr>
                <w:rFonts w:ascii="Calibri" w:hAnsi="Calibri"/>
                <w:b w:val="0"/>
                <w:i w:val="0"/>
                <w:color w:val="212121"/>
                <w:sz w:val="19"/>
              </w:rPr>
              <w:t>Hypertension is one of the highest-impact modifiable dementia risk factors in the 2024 Lancet Commission; intensive blood-pressure control reduces the incidence of MCI.</w:t>
            </w:r>
          </w:p>
          <w:p>
            <w:pPr>
              <w:spacing w:after="40" w:line="252" w:lineRule="auto"/>
            </w:pPr>
            <w:hyperlink r:id="rId9">
              <w:r>
                <w:rPr>
                  <w:rFonts w:ascii="Calibri" w:hAnsi="Calibri" w:cs="Calibri"/>
                  <w:sz w:val="18"/>
                  <w:color w:val="1155CC"/>
                  <w:u w:val="single"/>
                </w:rPr>
                <w:t xml:space="preserve">alzheimer-europe.org — hypertension as modifiable factor</w:t>
              </w:r>
            </w:hyperlink>
          </w:p>
          <w:p>
            <w:pPr>
              <w:spacing w:before="60" w:after="40"/>
            </w:pPr>
            <w:r>
              <w:rPr>
                <w:rFonts w:ascii="Calibri" w:hAnsi="Calibri"/>
                <w:b w:val="0"/>
                <w:i w:val="0"/>
                <w:color w:val="5A5A5A"/>
                <w:sz w:val="18"/>
              </w:rPr>
              <w:t>#hypertension  #smallvesseldisease  #whitematter  #executivedysfunction  #BPcontrol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type 2 diabetes</w:t>
            </w:r>
          </w:p>
        </w:tc>
        <w:tc>
          <w:tcPr>
            <w:tcW w:type="dxa" w:w="4276"/>
            <w:vAlign w:val="top"/>
          </w:tcPr>
          <w:p>
            <w:pPr>
              <w:spacing w:after="60" w:line="259" w:lineRule="auto"/>
            </w:pPr>
            <w:r>
              <w:rPr>
                <w:rFonts w:ascii="Calibri" w:hAnsi="Calibri"/>
                <w:b w:val="0"/>
                <w:i w:val="0"/>
                <w:color w:val="212121"/>
                <w:sz w:val="19"/>
              </w:rPr>
              <w:t>Chronic hyperglycaemia damages large and small cerebral vessels, promotes lacunar stroke and accelerates neurodegeneration, roughly doubling the risk of cognitive impairment and dementia.</w:t>
            </w:r>
          </w:p>
          <w:p>
            <w:pPr>
              <w:spacing w:after="40" w:before="60" w:line="259" w:lineRule="auto"/>
            </w:pPr>
            <w:r>
              <w:rPr>
                <w:rFonts w:ascii="Calibri" w:hAnsi="Calibri"/>
                <w:b w:val="0"/>
                <w:i w:val="0"/>
                <w:color w:val="212121"/>
                <w:sz w:val="19"/>
              </w:rPr>
              <w:t>Diabetes is one of the 14 modifiable dementia risk factors; India carries one of the world's largest diabetes burdens, amplifying population MCI risk.</w:t>
            </w:r>
          </w:p>
          <w:p>
            <w:pPr>
              <w:spacing w:after="40" w:line="252" w:lineRule="auto"/>
            </w:pPr>
            <w:hyperlink r:id="rId9">
              <w:r>
                <w:rPr>
                  <w:rFonts w:ascii="Calibri" w:hAnsi="Calibri" w:cs="Calibri"/>
                  <w:sz w:val="18"/>
                  <w:color w:val="1155CC"/>
                  <w:u w:val="single"/>
                </w:rPr>
                <w:t xml:space="preserve">alzheimer-europe.org — diabetes as modifiable factor</w:t>
              </w:r>
            </w:hyperlink>
          </w:p>
          <w:p>
            <w:pPr>
              <w:spacing w:before="60" w:after="40"/>
            </w:pPr>
            <w:r>
              <w:rPr>
                <w:rFonts w:ascii="Calibri" w:hAnsi="Calibri"/>
                <w:b w:val="0"/>
                <w:i w:val="0"/>
                <w:color w:val="5A5A5A"/>
                <w:sz w:val="18"/>
              </w:rPr>
              <w:t>#diabetes  #hyperglycaemia  #microvascular  #insulinresistance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Hearing loss</w:t>
            </w:r>
          </w:p>
        </w:tc>
        <w:tc>
          <w:tcPr>
            <w:tcW w:type="dxa" w:w="2160"/>
            <w:vAlign w:val="top"/>
          </w:tcPr>
          <w:p>
            <w:pPr>
              <w:spacing w:after="40" w:before="0" w:line="259" w:lineRule="auto"/>
            </w:pPr>
            <w:r>
              <w:rPr>
                <w:rFonts w:ascii="Calibri" w:hAnsi="Calibri"/>
                <w:b w:val="0"/>
                <w:i w:val="0"/>
                <w:color w:val="212121"/>
                <w:sz w:val="19"/>
              </w:rPr>
              <w:t>Adults with untreated hearing loss</w:t>
            </w:r>
          </w:p>
        </w:tc>
        <w:tc>
          <w:tcPr>
            <w:tcW w:type="dxa" w:w="4276"/>
            <w:vAlign w:val="top"/>
          </w:tcPr>
          <w:p>
            <w:pPr>
              <w:spacing w:after="60" w:line="259" w:lineRule="auto"/>
            </w:pPr>
            <w:r>
              <w:rPr>
                <w:rFonts w:ascii="Calibri" w:hAnsi="Calibri"/>
                <w:b w:val="0"/>
                <w:i w:val="0"/>
                <w:color w:val="212121"/>
                <w:sz w:val="19"/>
              </w:rPr>
              <w:t>Uncorrected hearing loss increases cognitive load, reduces stimulation and hastens cognitive decline; it is the single largest modifiable dementia risk factor and is readily treatable with hearing aids.</w:t>
            </w:r>
          </w:p>
          <w:p>
            <w:pPr>
              <w:spacing w:after="40" w:before="60" w:line="259" w:lineRule="auto"/>
            </w:pPr>
            <w:r>
              <w:rPr>
                <w:rFonts w:ascii="Calibri" w:hAnsi="Calibri"/>
                <w:b w:val="0"/>
                <w:i w:val="0"/>
                <w:color w:val="212121"/>
                <w:sz w:val="19"/>
              </w:rPr>
              <w:t>Hearing loss is the largest single modifiable dementia risk factor identified by the 2024 Lancet Commission, which lists 14 factors accounting for up to 45% of dementia.</w:t>
            </w:r>
          </w:p>
          <w:p>
            <w:pPr>
              <w:spacing w:after="40" w:line="252" w:lineRule="auto"/>
            </w:pPr>
            <w:hyperlink r:id="rId9">
              <w:r>
                <w:rPr>
                  <w:rFonts w:ascii="Calibri" w:hAnsi="Calibri" w:cs="Calibri"/>
                  <w:sz w:val="18"/>
                  <w:color w:val="1155CC"/>
                  <w:u w:val="single"/>
                </w:rPr>
                <w:t xml:space="preserve">alzheimer-europe.org — hearing loss (largest modifiable factor)</w:t>
              </w:r>
            </w:hyperlink>
          </w:p>
          <w:p>
            <w:pPr>
              <w:spacing w:before="60" w:after="40"/>
            </w:pPr>
            <w:r>
              <w:rPr>
                <w:rFonts w:ascii="Calibri" w:hAnsi="Calibri"/>
                <w:b w:val="0"/>
                <w:i w:val="0"/>
                <w:color w:val="5A5A5A"/>
                <w:sz w:val="18"/>
              </w:rPr>
              <w:t>#hearingloss  #hearingaids  #cognitiveload  #modifiable  #sensoryimpairment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Older adults with depression / late-life anxiety</w:t>
            </w:r>
          </w:p>
        </w:tc>
        <w:tc>
          <w:tcPr>
            <w:tcW w:type="dxa" w:w="4276"/>
            <w:vAlign w:val="top"/>
          </w:tcPr>
          <w:p>
            <w:pPr>
              <w:spacing w:after="60" w:line="259" w:lineRule="auto"/>
            </w:pPr>
            <w:r>
              <w:rPr>
                <w:rFonts w:ascii="Calibri" w:hAnsi="Calibri"/>
                <w:b w:val="0"/>
                <w:i w:val="0"/>
                <w:color w:val="212121"/>
                <w:sz w:val="19"/>
              </w:rPr>
              <w:t>Depression and late-life anxiety impair attention, motivation and memory, can mimic or unmask MCI, and share a bidirectional relationship with cognitive decline; they are common and treatable.</w:t>
            </w:r>
          </w:p>
          <w:p>
            <w:pPr>
              <w:spacing w:after="40" w:before="60" w:line="259" w:lineRule="auto"/>
            </w:pPr>
            <w:r>
              <w:rPr>
                <w:rFonts w:ascii="Calibri" w:hAnsi="Calibri"/>
                <w:b w:val="0"/>
                <w:i w:val="0"/>
                <w:color w:val="212121"/>
                <w:sz w:val="19"/>
              </w:rPr>
              <w:t>Between 35% and 85% of people with MCI have at least one neuropsychiatric symptom, most commonly depression, apathy or anxiety, and these predict faster progression.</w:t>
            </w:r>
          </w:p>
          <w:p>
            <w:pPr>
              <w:spacing w:after="40" w:line="252" w:lineRule="auto"/>
            </w:pPr>
            <w:hyperlink r:id="rId12">
              <w:r>
                <w:rPr>
                  <w:rFonts w:ascii="Calibri" w:hAnsi="Calibri" w:cs="Calibri"/>
                  <w:sz w:val="18"/>
                  <w:color w:val="1155CC"/>
                  <w:u w:val="single"/>
                </w:rPr>
                <w:t xml:space="preserve">ncbi.nlm.nih.gov (StatPearls) — neuropsychiatric symptoms in MCI (35–85%)</w:t>
              </w:r>
            </w:hyperlink>
          </w:p>
          <w:p>
            <w:pPr>
              <w:spacing w:before="60" w:after="40"/>
            </w:pPr>
            <w:r>
              <w:rPr>
                <w:rFonts w:ascii="Calibri" w:hAnsi="Calibri"/>
                <w:b w:val="0"/>
                <w:i w:val="0"/>
                <w:color w:val="5A5A5A"/>
                <w:sz w:val="18"/>
              </w:rPr>
              <w:t>#depression  #anxiety  #apathy  #bidirectional  #neuropsychiatric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B12 / thyroid</w:t>
            </w:r>
          </w:p>
        </w:tc>
        <w:tc>
          <w:tcPr>
            <w:tcW w:type="dxa" w:w="2160"/>
            <w:vAlign w:val="top"/>
          </w:tcPr>
          <w:p>
            <w:pPr>
              <w:spacing w:after="40" w:before="0" w:line="259" w:lineRule="auto"/>
            </w:pPr>
            <w:r>
              <w:rPr>
                <w:rFonts w:ascii="Calibri" w:hAnsi="Calibri"/>
                <w:b w:val="0"/>
                <w:i w:val="0"/>
                <w:color w:val="212121"/>
                <w:sz w:val="19"/>
              </w:rPr>
              <w:t>B12 deficiency or hypothyroidism</w:t>
            </w:r>
          </w:p>
        </w:tc>
        <w:tc>
          <w:tcPr>
            <w:tcW w:type="dxa" w:w="4276"/>
            <w:vAlign w:val="top"/>
          </w:tcPr>
          <w:p>
            <w:pPr>
              <w:spacing w:after="60" w:line="259" w:lineRule="auto"/>
            </w:pPr>
            <w:r>
              <w:rPr>
                <w:rFonts w:ascii="Calibri" w:hAnsi="Calibri"/>
                <w:b w:val="0"/>
                <w:i w:val="0"/>
                <w:color w:val="212121"/>
                <w:sz w:val="19"/>
              </w:rPr>
              <w:t>Vitamin B12 deficiency and hypothyroidism are classic reversible causes of cognitive impairment; both are common in older Indians and, if identified and treated early, cognition can improve or stabilise.</w:t>
            </w:r>
          </w:p>
          <w:p>
            <w:pPr>
              <w:spacing w:after="40" w:before="60" w:line="259" w:lineRule="auto"/>
            </w:pPr>
            <w:r>
              <w:rPr>
                <w:rFonts w:ascii="Calibri" w:hAnsi="Calibri"/>
                <w:b w:val="0"/>
                <w:i w:val="0"/>
                <w:color w:val="212121"/>
                <w:sz w:val="19"/>
              </w:rPr>
              <w:t>StatPearls lists B12 deficiency and hypothyroidism among the reversible/treatable causes that must be screened for in every MCI work-up.</w:t>
            </w:r>
          </w:p>
          <w:p>
            <w:pPr>
              <w:spacing w:after="40" w:line="252" w:lineRule="auto"/>
            </w:pPr>
            <w:hyperlink r:id="rId12">
              <w:r>
                <w:rPr>
                  <w:rFonts w:ascii="Calibri" w:hAnsi="Calibri" w:cs="Calibri"/>
                  <w:sz w:val="18"/>
                  <w:color w:val="1155CC"/>
                  <w:u w:val="single"/>
                </w:rPr>
                <w:t xml:space="preserve">ncbi.nlm.nih.gov (StatPearls) — reversible causes (B12, thyroid)</w:t>
              </w:r>
            </w:hyperlink>
          </w:p>
          <w:p>
            <w:pPr>
              <w:spacing w:before="60" w:after="40"/>
            </w:pPr>
            <w:r>
              <w:rPr>
                <w:rFonts w:ascii="Calibri" w:hAnsi="Calibri"/>
                <w:b w:val="0"/>
                <w:i w:val="0"/>
                <w:color w:val="5A5A5A"/>
                <w:sz w:val="18"/>
              </w:rPr>
              <w:t>#B12deficiency  #hypothyroidism  #reversible  #treatable  #screening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aerobic and resistance exercise improves attention, executive function and memory, lowers blood pressure and glucose and enhances cerebral perfusion; physical inactivity is one of the 14 modifiable factors behind up to 45% of dementia (Lancet Commission 2024), and ~69% of older Indians report never exercising.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MIND/Mediterranean-style, plant-rich diets are associated with slower cognitive decline, while high-salt, high-sugar, low-fibre diets and vitamin B12 deficiency (common in Indian vegetarians) worsen vascular risk and cognition.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Obstructive sleep apnoea and chronic short/fragmented sleep impair attention, executive function and memory and promote amyloid accumulation; treating OSA can improve cognition.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(including bidi and smokeless tobacco) causes endothelial injury, oxidative stress and stroke, accelerating vascular cognitive impairment; it is a WHO- and Lancet-listed modifiable dementia factor.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Heavy drinking is directly neurotoxic, causes thiamine/B12 deficiency and raises stroke risk; alcohol-related cognitive impairment is partly reversible with abstinence, and excess alcohol is a recognised modifiable dementia factor.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late-life anxiety and social isolation are bidirectionally linked with cognitive decline, are present in 35–85% of MCI patients and predict faster progression; they are treatable modifiable factors.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avoids dehydration-related confusion, especially in the elderly, but direct evidence linking water intake to MCI prevention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Moderate coffee/tea intake has inconsistent, possibly neutral-to-mildly-favourable associations with cognition; effects on MCI are not established.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periodontal disease and poor oral hygiene are weakly associated with systemic inflammation and cognitive decline; the link to MCI is indirect.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illness, delirium, hospitalisation, surgery/general anaesthesia, uncorrected hearing/vision loss, sedating and anticholinergic medications, B12 deficiency and thyroid disease can precipitate or unmask cognitive impairment in vulnerable elders.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Orthostatic hypotension can transiently reduce cerebral perfusion and worsen attention in susceptible elders, but it is a minor contributor overall.</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elderly, high-risk</w:t>
            </w:r>
          </w:p>
        </w:tc>
        <w:tc>
          <w:tcPr>
            <w:tcW w:type="dxa" w:w="1512"/>
            <w:vAlign w:val="top"/>
          </w:tcPr>
          <w:p>
            <w:pPr>
              <w:spacing w:after="40" w:before="0" w:line="259" w:lineRule="auto"/>
            </w:pPr>
            <w:r>
              <w:rPr>
                <w:rFonts w:ascii="Calibri" w:hAnsi="Calibri"/>
                <w:b w:val="0"/>
                <w:i w:val="0"/>
                <w:color w:val="212121"/>
                <w:sz w:val="19"/>
              </w:rPr>
              <w:t>≥ 150 min/week + resistance/balance training 2–3 days/week</w:t>
            </w:r>
          </w:p>
        </w:tc>
        <w:tc>
          <w:tcPr>
            <w:tcW w:type="dxa" w:w="1512"/>
            <w:vAlign w:val="top"/>
          </w:tcPr>
          <w:p>
            <w:pPr>
              <w:spacing w:after="40" w:before="0" w:line="259" w:lineRule="auto"/>
            </w:pPr>
            <w:r>
              <w:rPr>
                <w:rFonts w:ascii="Calibri" w:hAnsi="Calibri"/>
                <w:b w:val="0"/>
                <w:i w:val="0"/>
                <w:color w:val="212121"/>
                <w:sz w:val="19"/>
              </w:rPr>
              <w:t>&lt; 150 min/week or fully sedentary</w:t>
            </w:r>
          </w:p>
        </w:tc>
        <w:tc>
          <w:tcPr>
            <w:tcW w:type="dxa" w:w="1468"/>
            <w:vAlign w:val="top"/>
          </w:tcPr>
          <w:p>
            <w:pPr>
              <w:spacing w:after="60" w:line="259" w:lineRule="auto"/>
            </w:pPr>
            <w:r>
              <w:rPr>
                <w:rFonts w:ascii="Calibri" w:hAnsi="Calibri"/>
                <w:b w:val="0"/>
                <w:i w:val="0"/>
                <w:color w:val="212121"/>
                <w:sz w:val="19"/>
              </w:rPr>
              <w:t>Exercise improves executive function and cerebral perfusion</w:t>
            </w:r>
          </w:p>
          <w:p>
            <w:pPr>
              <w:spacing w:after="40" w:line="252" w:lineRule="auto"/>
            </w:pPr>
            <w:hyperlink r:id="rId9">
              <w:r>
                <w:rPr>
                  <w:rFonts w:ascii="Calibri" w:hAnsi="Calibri" w:cs="Calibri"/>
                  <w:sz w:val="18"/>
                  <w:color w:val="1155CC"/>
                  <w:u w:val="single"/>
                </w:rPr>
                <w:t xml:space="preserve">https://www.alzheimer-europe.org/news/2024-lancet-commission-underscores-potential-dementia-risk-reduction-identifying-14-modifiable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South Asian 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Lower Asian thresholds reflect earlier cardiometabolic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with central obesity</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40" w:before="0" w:line="259" w:lineRule="auto"/>
            </w:pPr>
            <w:r>
              <w:rPr>
                <w:rFonts w:ascii="Calibri" w:hAnsi="Calibri"/>
                <w:b w:val="0"/>
                <w:i w:val="0"/>
                <w:color w:val="212121"/>
                <w:sz w:val="19"/>
              </w:rPr>
              <w:t>Central obesity clusters with hypertension and diabetes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Hypertensive adults, elderly</w:t>
            </w:r>
          </w:p>
        </w:tc>
        <w:tc>
          <w:tcPr>
            <w:tcW w:type="dxa" w:w="1512"/>
            <w:vAlign w:val="top"/>
          </w:tcPr>
          <w:p>
            <w:pPr>
              <w:spacing w:after="40" w:before="0" w:line="259" w:lineRule="auto"/>
            </w:pPr>
            <w:r>
              <w:rPr>
                <w:rFonts w:ascii="Calibri" w:hAnsi="Calibri"/>
                <w:b w:val="0"/>
                <w:i w:val="0"/>
                <w:color w:val="212121"/>
                <w:sz w:val="19"/>
              </w:rPr>
              <w:t>&lt; 130/80 mmHg (individualised in frail elderly)</w:t>
            </w:r>
          </w:p>
        </w:tc>
        <w:tc>
          <w:tcPr>
            <w:tcW w:type="dxa" w:w="1512"/>
            <w:vAlign w:val="top"/>
          </w:tcPr>
          <w:p>
            <w:pPr>
              <w:spacing w:after="40" w:before="0" w:line="259" w:lineRule="auto"/>
            </w:pPr>
            <w:r>
              <w:rPr>
                <w:rFonts w:ascii="Calibri" w:hAnsi="Calibri"/>
                <w:b w:val="0"/>
                <w:i w:val="0"/>
                <w:color w:val="212121"/>
                <w:sz w:val="19"/>
              </w:rPr>
              <w:t>≥ 140/90 mmHg sustained</w:t>
            </w:r>
          </w:p>
        </w:tc>
        <w:tc>
          <w:tcPr>
            <w:tcW w:type="dxa" w:w="1468"/>
            <w:vAlign w:val="top"/>
          </w:tcPr>
          <w:p>
            <w:pPr>
              <w:spacing w:after="60" w:line="259" w:lineRule="auto"/>
            </w:pPr>
            <w:r>
              <w:rPr>
                <w:rFonts w:ascii="Calibri" w:hAnsi="Calibri"/>
                <w:b w:val="0"/>
                <w:i w:val="0"/>
                <w:color w:val="212121"/>
                <w:sz w:val="19"/>
              </w:rPr>
              <w:t>A leading modifiable driver; control reduces MCI incidence</w:t>
            </w:r>
          </w:p>
          <w:p>
            <w:pPr>
              <w:spacing w:after="40" w:line="252" w:lineRule="auto"/>
            </w:pPr>
            <w:hyperlink r:id="rId9">
              <w:r>
                <w:rPr>
                  <w:rFonts w:ascii="Calibri" w:hAnsi="Calibri" w:cs="Calibri"/>
                  <w:sz w:val="18"/>
                  <w:color w:val="1155CC"/>
                  <w:u w:val="single"/>
                </w:rPr>
                <w:t xml:space="preserve">https://www.alzheimer-europe.org/news/2024-lancet-commission-underscores-potential-dementia-risk-reduction-identifying-14-modifiable</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Adults with/at risk of diabetes</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(diabetes); 5.7–6.4% (pre-diabetes)</w:t>
            </w:r>
          </w:p>
        </w:tc>
        <w:tc>
          <w:tcPr>
            <w:tcW w:type="dxa" w:w="1468"/>
            <w:vAlign w:val="top"/>
          </w:tcPr>
          <w:p>
            <w:pPr>
              <w:spacing w:after="40" w:before="0" w:line="259" w:lineRule="auto"/>
            </w:pPr>
            <w:r>
              <w:rPr>
                <w:rFonts w:ascii="Calibri" w:hAnsi="Calibri"/>
                <w:b w:val="0"/>
                <w:i w:val="0"/>
                <w:color w:val="212121"/>
                <w:sz w:val="19"/>
              </w:rPr>
              <w:t>Chronic hyperglycaemia roughly doubles dementia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vitamin B12 (pg/mL)</w:t>
            </w:r>
          </w:p>
        </w:tc>
        <w:tc>
          <w:tcPr>
            <w:tcW w:type="dxa" w:w="1655"/>
            <w:vAlign w:val="top"/>
          </w:tcPr>
          <w:p>
            <w:pPr>
              <w:spacing w:after="40" w:before="0" w:line="259" w:lineRule="auto"/>
            </w:pPr>
            <w:r>
              <w:rPr>
                <w:rFonts w:ascii="Calibri" w:hAnsi="Calibri"/>
                <w:b w:val="0"/>
                <w:i w:val="0"/>
                <w:color w:val="212121"/>
                <w:sz w:val="19"/>
              </w:rPr>
              <w:t>Vegetarians, elderly, MCI work-up</w:t>
            </w:r>
          </w:p>
        </w:tc>
        <w:tc>
          <w:tcPr>
            <w:tcW w:type="dxa" w:w="1512"/>
            <w:vAlign w:val="top"/>
          </w:tcPr>
          <w:p>
            <w:pPr>
              <w:spacing w:after="40" w:before="0" w:line="259" w:lineRule="auto"/>
            </w:pPr>
            <w:r>
              <w:rPr>
                <w:rFonts w:ascii="Calibri" w:hAnsi="Calibri"/>
                <w:b w:val="0"/>
                <w:i w:val="0"/>
                <w:color w:val="212121"/>
                <w:sz w:val="19"/>
              </w:rPr>
              <w:t>&gt; 300 pg/mL</w:t>
            </w:r>
          </w:p>
        </w:tc>
        <w:tc>
          <w:tcPr>
            <w:tcW w:type="dxa" w:w="1512"/>
            <w:vAlign w:val="top"/>
          </w:tcPr>
          <w:p>
            <w:pPr>
              <w:spacing w:after="40" w:before="0" w:line="259" w:lineRule="auto"/>
            </w:pPr>
            <w:r>
              <w:rPr>
                <w:rFonts w:ascii="Calibri" w:hAnsi="Calibri"/>
                <w:b w:val="0"/>
                <w:i w:val="0"/>
                <w:color w:val="212121"/>
                <w:sz w:val="19"/>
              </w:rPr>
              <w:t>&lt; 200 pg/mL (deficient); 200–300 borderline</w:t>
            </w:r>
          </w:p>
        </w:tc>
        <w:tc>
          <w:tcPr>
            <w:tcW w:type="dxa" w:w="1468"/>
            <w:vAlign w:val="top"/>
          </w:tcPr>
          <w:p>
            <w:pPr>
              <w:spacing w:after="60" w:line="259" w:lineRule="auto"/>
            </w:pPr>
            <w:r>
              <w:rPr>
                <w:rFonts w:ascii="Calibri" w:hAnsi="Calibri"/>
                <w:b w:val="0"/>
                <w:i w:val="0"/>
                <w:color w:val="212121"/>
                <w:sz w:val="19"/>
              </w:rPr>
              <w:t>Reversible cause; highly prevalent in Indian vegetarians</w:t>
            </w:r>
          </w:p>
          <w:p>
            <w:pPr>
              <w:spacing w:after="40" w:line="252" w:lineRule="auto"/>
            </w:pPr>
            <w:hyperlink r:id="rId12">
              <w:r>
                <w:rPr>
                  <w:rFonts w:ascii="Calibri" w:hAnsi="Calibri" w:cs="Calibri"/>
                  <w:sz w:val="18"/>
                  <w:color w:val="1155CC"/>
                  <w:u w:val="single"/>
                </w:rPr>
                <w:t xml:space="preserve">https://www.ncbi.nlm.nih.gov/books/NBK599514/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LDL cholesterol (mg/dL)</w:t>
            </w:r>
          </w:p>
        </w:tc>
        <w:tc>
          <w:tcPr>
            <w:tcW w:type="dxa" w:w="1655"/>
            <w:vAlign w:val="top"/>
          </w:tcPr>
          <w:p>
            <w:pPr>
              <w:spacing w:after="40" w:before="0" w:line="259" w:lineRule="auto"/>
            </w:pPr>
            <w:r>
              <w:rPr>
                <w:rFonts w:ascii="Calibri" w:hAnsi="Calibri"/>
                <w:b w:val="0"/>
                <w:i w:val="0"/>
                <w:color w:val="212121"/>
                <w:sz w:val="19"/>
              </w:rPr>
              <w:t>Adults with vascular risk</w:t>
            </w:r>
          </w:p>
        </w:tc>
        <w:tc>
          <w:tcPr>
            <w:tcW w:type="dxa" w:w="1512"/>
            <w:vAlign w:val="top"/>
          </w:tcPr>
          <w:p>
            <w:pPr>
              <w:spacing w:after="40" w:before="0" w:line="259" w:lineRule="auto"/>
            </w:pPr>
            <w:r>
              <w:rPr>
                <w:rFonts w:ascii="Calibri" w:hAnsi="Calibri"/>
                <w:b w:val="0"/>
                <w:i w:val="0"/>
                <w:color w:val="212121"/>
                <w:sz w:val="19"/>
              </w:rPr>
              <w:t>&lt; 100 mg/dL (&lt; 70 if high risk)</w:t>
            </w:r>
          </w:p>
        </w:tc>
        <w:tc>
          <w:tcPr>
            <w:tcW w:type="dxa" w:w="1512"/>
            <w:vAlign w:val="top"/>
          </w:tcPr>
          <w:p>
            <w:pPr>
              <w:spacing w:after="40" w:before="0" w:line="259" w:lineRule="auto"/>
            </w:pPr>
            <w:r>
              <w:rPr>
                <w:rFonts w:ascii="Calibri" w:hAnsi="Calibri"/>
                <w:b w:val="0"/>
                <w:i w:val="0"/>
                <w:color w:val="212121"/>
                <w:sz w:val="19"/>
              </w:rPr>
              <w:t>≥ 130 mg/dL</w:t>
            </w:r>
          </w:p>
        </w:tc>
        <w:tc>
          <w:tcPr>
            <w:tcW w:type="dxa" w:w="1468"/>
            <w:vAlign w:val="top"/>
          </w:tcPr>
          <w:p>
            <w:pPr>
              <w:spacing w:after="60" w:line="259" w:lineRule="auto"/>
            </w:pPr>
            <w:r>
              <w:rPr>
                <w:rFonts w:ascii="Calibri" w:hAnsi="Calibri"/>
                <w:b w:val="0"/>
                <w:i w:val="0"/>
                <w:color w:val="212121"/>
                <w:sz w:val="19"/>
              </w:rPr>
              <w:t>High midlife LDL is a modifiable dementia factor (~7%)</w:t>
            </w:r>
          </w:p>
          <w:p>
            <w:pPr>
              <w:spacing w:after="40" w:line="252" w:lineRule="auto"/>
            </w:pPr>
            <w:hyperlink r:id="rId9">
              <w:r>
                <w:rPr>
                  <w:rFonts w:ascii="Calibri" w:hAnsi="Calibri" w:cs="Calibri"/>
                  <w:sz w:val="18"/>
                  <w:color w:val="1155CC"/>
                  <w:u w:val="single"/>
                </w:rPr>
                <w:t xml:space="preserve">https://www.alzheimer-europe.org/news/2024-lancet-commission-underscores-potential-dementia-risk-reduction-identifying-14-modifiable</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(any form) per day</w:t>
            </w:r>
          </w:p>
        </w:tc>
        <w:tc>
          <w:tcPr>
            <w:tcW w:type="dxa" w:w="1655"/>
            <w:vAlign w:val="top"/>
          </w:tcPr>
          <w:p>
            <w:pPr>
              <w:spacing w:after="40" w:before="0" w:line="259" w:lineRule="auto"/>
            </w:pPr>
            <w:r>
              <w:rPr>
                <w:rFonts w:ascii="Calibri" w:hAnsi="Calibri"/>
                <w:b w:val="0"/>
                <w:i w:val="0"/>
                <w:color w:val="212121"/>
                <w:sz w:val="19"/>
              </w:rPr>
              <w:t>Smokers, bidi/smokeless users</w:t>
            </w:r>
          </w:p>
        </w:tc>
        <w:tc>
          <w:tcPr>
            <w:tcW w:type="dxa" w:w="1512"/>
            <w:vAlign w:val="top"/>
          </w:tcPr>
          <w:p>
            <w:pPr>
              <w:spacing w:after="40" w:before="0" w:line="259" w:lineRule="auto"/>
            </w:pPr>
            <w:r>
              <w:rPr>
                <w:rFonts w:ascii="Calibri" w:hAnsi="Calibri"/>
                <w:b w:val="0"/>
                <w:i w:val="0"/>
                <w:color w:val="212121"/>
                <w:sz w:val="19"/>
              </w:rPr>
              <w:t>0 (complete cessation)</w:t>
            </w:r>
          </w:p>
        </w:tc>
        <w:tc>
          <w:tcPr>
            <w:tcW w:type="dxa" w:w="1512"/>
            <w:vAlign w:val="top"/>
          </w:tcPr>
          <w:p>
            <w:pPr>
              <w:spacing w:after="40" w:before="0" w:line="259" w:lineRule="auto"/>
            </w:pPr>
            <w:r>
              <w:rPr>
                <w:rFonts w:ascii="Calibri" w:hAnsi="Calibri"/>
                <w:b w:val="0"/>
                <w:i w:val="0"/>
                <w:color w:val="212121"/>
                <w:sz w:val="19"/>
              </w:rPr>
              <w:t>≥ 1 use/day</w:t>
            </w:r>
          </w:p>
        </w:tc>
        <w:tc>
          <w:tcPr>
            <w:tcW w:type="dxa" w:w="1468"/>
            <w:vAlign w:val="top"/>
          </w:tcPr>
          <w:p>
            <w:pPr>
              <w:spacing w:after="40" w:before="0" w:line="259" w:lineRule="auto"/>
            </w:pPr>
            <w:r>
              <w:rPr>
                <w:rFonts w:ascii="Calibri" w:hAnsi="Calibri"/>
                <w:b w:val="0"/>
                <w:i w:val="0"/>
                <w:color w:val="212121"/>
                <w:sz w:val="19"/>
              </w:rPr>
              <w:t>Any tobacco accelerates vascular cognitive injury</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(standard drinks/week)</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 minimal / abstinence</w:t>
            </w:r>
          </w:p>
        </w:tc>
        <w:tc>
          <w:tcPr>
            <w:tcW w:type="dxa" w:w="1512"/>
            <w:vAlign w:val="top"/>
          </w:tcPr>
          <w:p>
            <w:pPr>
              <w:spacing w:after="40" w:before="0" w:line="259" w:lineRule="auto"/>
            </w:pPr>
            <w:r>
              <w:rPr>
                <w:rFonts w:ascii="Calibri" w:hAnsi="Calibri"/>
                <w:b w:val="0"/>
                <w:i w:val="0"/>
                <w:color w:val="212121"/>
                <w:sz w:val="19"/>
              </w:rPr>
              <w:t>&gt; 14 drinks/week or binge pattern</w:t>
            </w:r>
          </w:p>
        </w:tc>
        <w:tc>
          <w:tcPr>
            <w:tcW w:type="dxa" w:w="1468"/>
            <w:vAlign w:val="top"/>
          </w:tcPr>
          <w:p>
            <w:pPr>
              <w:spacing w:after="40" w:before="0" w:line="259" w:lineRule="auto"/>
            </w:pPr>
            <w:r>
              <w:rPr>
                <w:rFonts w:ascii="Calibri" w:hAnsi="Calibri"/>
                <w:b w:val="0"/>
                <w:i w:val="0"/>
                <w:color w:val="212121"/>
                <w:sz w:val="19"/>
              </w:rPr>
              <w:t>Heavy use is neurotoxic and raises stroke risk</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apnoea</w:t>
            </w:r>
          </w:p>
        </w:tc>
        <w:tc>
          <w:tcPr>
            <w:tcW w:type="dxa" w:w="1655"/>
            <w:vAlign w:val="top"/>
          </w:tcPr>
          <w:p>
            <w:pPr>
              <w:spacing w:after="40" w:before="0" w:line="259" w:lineRule="auto"/>
            </w:pPr>
            <w:r>
              <w:rPr>
                <w:rFonts w:ascii="Calibri" w:hAnsi="Calibri"/>
                <w:b w:val="0"/>
                <w:i w:val="0"/>
                <w:color w:val="212121"/>
                <w:sz w:val="19"/>
              </w:rPr>
              <w:t>Adults, snorers, obese</w:t>
            </w:r>
          </w:p>
        </w:tc>
        <w:tc>
          <w:tcPr>
            <w:tcW w:type="dxa" w:w="1512"/>
            <w:vAlign w:val="top"/>
          </w:tcPr>
          <w:p>
            <w:pPr>
              <w:spacing w:after="40" w:before="0" w:line="259" w:lineRule="auto"/>
            </w:pPr>
            <w:r>
              <w:rPr>
                <w:rFonts w:ascii="Calibri" w:hAnsi="Calibri"/>
                <w:b w:val="0"/>
                <w:i w:val="0"/>
                <w:color w:val="212121"/>
                <w:sz w:val="19"/>
              </w:rPr>
              <w:t>7–8 h/night; treated OSA</w:t>
            </w:r>
          </w:p>
        </w:tc>
        <w:tc>
          <w:tcPr>
            <w:tcW w:type="dxa" w:w="1512"/>
            <w:vAlign w:val="top"/>
          </w:tcPr>
          <w:p>
            <w:pPr>
              <w:spacing w:after="40" w:before="0" w:line="259" w:lineRule="auto"/>
            </w:pPr>
            <w:r>
              <w:rPr>
                <w:rFonts w:ascii="Calibri" w:hAnsi="Calibri"/>
                <w:b w:val="0"/>
                <w:i w:val="0"/>
                <w:color w:val="212121"/>
                <w:sz w:val="19"/>
              </w:rPr>
              <w:t>&lt; 6 h, fragmented sleep, untreated OSA</w:t>
            </w:r>
          </w:p>
        </w:tc>
        <w:tc>
          <w:tcPr>
            <w:tcW w:type="dxa" w:w="1468"/>
            <w:vAlign w:val="top"/>
          </w:tcPr>
          <w:p>
            <w:pPr>
              <w:spacing w:after="40" w:before="0" w:line="259" w:lineRule="auto"/>
            </w:pPr>
            <w:r>
              <w:rPr>
                <w:rFonts w:ascii="Calibri" w:hAnsi="Calibri"/>
                <w:b w:val="0"/>
                <w:i w:val="0"/>
                <w:color w:val="212121"/>
                <w:sz w:val="19"/>
              </w:rPr>
              <w:t>OSA impairs attention/memory and promotes amyloid</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 / GDS)</w:t>
            </w:r>
          </w:p>
        </w:tc>
        <w:tc>
          <w:tcPr>
            <w:tcW w:type="dxa" w:w="1655"/>
            <w:vAlign w:val="top"/>
          </w:tcPr>
          <w:p>
            <w:pPr>
              <w:spacing w:after="40" w:before="0" w:line="259" w:lineRule="auto"/>
            </w:pPr>
            <w:r>
              <w:rPr>
                <w:rFonts w:ascii="Calibri" w:hAnsi="Calibri"/>
                <w:b w:val="0"/>
                <w:i w:val="0"/>
                <w:color w:val="212121"/>
                <w:sz w:val="19"/>
              </w:rPr>
              <w:t>Older adults, MCI work-up</w:t>
            </w:r>
          </w:p>
        </w:tc>
        <w:tc>
          <w:tcPr>
            <w:tcW w:type="dxa" w:w="1512"/>
            <w:vAlign w:val="top"/>
          </w:tcPr>
          <w:p>
            <w:pPr>
              <w:spacing w:after="40" w:before="0" w:line="259" w:lineRule="auto"/>
            </w:pPr>
            <w:r>
              <w:rPr>
                <w:rFonts w:ascii="Calibri" w:hAnsi="Calibri"/>
                <w:b w:val="0"/>
                <w:i w:val="0"/>
                <w:color w:val="212121"/>
                <w:sz w:val="19"/>
              </w:rPr>
              <w:t>PHQ-9 &lt; 5 / GDS low</w:t>
            </w:r>
          </w:p>
        </w:tc>
        <w:tc>
          <w:tcPr>
            <w:tcW w:type="dxa" w:w="1512"/>
            <w:vAlign w:val="top"/>
          </w:tcPr>
          <w:p>
            <w:pPr>
              <w:spacing w:after="40" w:before="0" w:line="259" w:lineRule="auto"/>
            </w:pPr>
            <w:r>
              <w:rPr>
                <w:rFonts w:ascii="Calibri" w:hAnsi="Calibri"/>
                <w:b w:val="0"/>
                <w:i w:val="0"/>
                <w:color w:val="212121"/>
                <w:sz w:val="19"/>
              </w:rPr>
              <w:t>PHQ-9 ≥ 10 / elevated GDS</w:t>
            </w:r>
          </w:p>
        </w:tc>
        <w:tc>
          <w:tcPr>
            <w:tcW w:type="dxa" w:w="1468"/>
            <w:vAlign w:val="top"/>
          </w:tcPr>
          <w:p>
            <w:pPr>
              <w:spacing w:after="60" w:line="259" w:lineRule="auto"/>
            </w:pPr>
            <w:r>
              <w:rPr>
                <w:rFonts w:ascii="Calibri" w:hAnsi="Calibri"/>
                <w:b w:val="0"/>
                <w:i w:val="0"/>
                <w:color w:val="212121"/>
                <w:sz w:val="19"/>
              </w:rPr>
              <w:t>Depression is common, treatable and worsens cognition</w:t>
            </w:r>
          </w:p>
          <w:p>
            <w:pPr>
              <w:spacing w:after="40" w:line="252" w:lineRule="auto"/>
            </w:pPr>
            <w:hyperlink r:id="rId12">
              <w:r>
                <w:rPr>
                  <w:rFonts w:ascii="Calibri" w:hAnsi="Calibri" w:cs="Calibri"/>
                  <w:sz w:val="18"/>
                  <w:color w:val="1155CC"/>
                  <w:u w:val="single"/>
                </w:rPr>
                <w:t xml:space="preserve">https://www.ncbi.nlm.nih.gov/books/NBK599514/</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Cognitive screen (MoCA, /30)</w:t>
            </w:r>
          </w:p>
        </w:tc>
        <w:tc>
          <w:tcPr>
            <w:tcW w:type="dxa" w:w="1655"/>
            <w:vAlign w:val="top"/>
          </w:tcPr>
          <w:p>
            <w:pPr>
              <w:spacing w:after="40" w:before="0" w:line="259" w:lineRule="auto"/>
            </w:pPr>
            <w:r>
              <w:rPr>
                <w:rFonts w:ascii="Calibri" w:hAnsi="Calibri"/>
                <w:b w:val="0"/>
                <w:i w:val="0"/>
                <w:color w:val="212121"/>
                <w:sz w:val="19"/>
              </w:rPr>
              <w:t>All suspected MCI</w:t>
            </w:r>
          </w:p>
        </w:tc>
        <w:tc>
          <w:tcPr>
            <w:tcW w:type="dxa" w:w="1512"/>
            <w:vAlign w:val="top"/>
          </w:tcPr>
          <w:p>
            <w:pPr>
              <w:spacing w:after="40" w:before="0" w:line="259" w:lineRule="auto"/>
            </w:pPr>
            <w:r>
              <w:rPr>
                <w:rFonts w:ascii="Calibri" w:hAnsi="Calibri"/>
                <w:b w:val="0"/>
                <w:i w:val="0"/>
                <w:color w:val="212121"/>
                <w:sz w:val="19"/>
              </w:rPr>
              <w:t>MoCA ≥ 26 (education-adjusted)</w:t>
            </w:r>
          </w:p>
        </w:tc>
        <w:tc>
          <w:tcPr>
            <w:tcW w:type="dxa" w:w="1512"/>
            <w:vAlign w:val="top"/>
          </w:tcPr>
          <w:p>
            <w:pPr>
              <w:spacing w:after="40" w:before="0" w:line="259" w:lineRule="auto"/>
            </w:pPr>
            <w:r>
              <w:rPr>
                <w:rFonts w:ascii="Calibri" w:hAnsi="Calibri"/>
                <w:b w:val="0"/>
                <w:i w:val="0"/>
                <w:color w:val="212121"/>
                <w:sz w:val="19"/>
              </w:rPr>
              <w:t>MoCA 18–25 (typical MCI range)</w:t>
            </w:r>
          </w:p>
        </w:tc>
        <w:tc>
          <w:tcPr>
            <w:tcW w:type="dxa" w:w="1468"/>
            <w:vAlign w:val="top"/>
          </w:tcPr>
          <w:p>
            <w:pPr>
              <w:spacing w:after="60" w:line="259" w:lineRule="auto"/>
            </w:pPr>
            <w:r>
              <w:rPr>
                <w:rFonts w:ascii="Calibri" w:hAnsi="Calibri"/>
                <w:b w:val="0"/>
                <w:i w:val="0"/>
                <w:color w:val="212121"/>
                <w:sz w:val="19"/>
              </w:rPr>
              <w:t>MoCA is more sensitive than MMSE for MCI; adjust for education/language</w:t>
            </w:r>
          </w:p>
          <w:p>
            <w:pPr>
              <w:spacing w:after="40" w:line="252" w:lineRule="auto"/>
            </w:pPr>
            <w:hyperlink r:id="rId12">
              <w:r>
                <w:rPr>
                  <w:rFonts w:ascii="Calibri" w:hAnsi="Calibri" w:cs="Calibri"/>
                  <w:sz w:val="18"/>
                  <w:color w:val="1155CC"/>
                  <w:u w:val="single"/>
                </w:rPr>
                <w:t xml:space="preserve">https://www.ncbi.nlm.nih.gov/books/NBK599514/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vitamin B12 (± folate, homocysteine, MMA)</w:t>
            </w:r>
          </w:p>
        </w:tc>
        <w:tc>
          <w:tcPr>
            <w:tcW w:type="dxa" w:w="892"/>
            <w:vAlign w:val="top"/>
          </w:tcPr>
          <w:p>
            <w:pPr>
              <w:spacing w:after="40" w:before="0" w:line="259" w:lineRule="auto"/>
            </w:pPr>
            <w:r>
              <w:rPr>
                <w:rFonts w:ascii="Calibri" w:hAnsi="Calibri"/>
                <w:b w:val="0"/>
                <w:i w:val="0"/>
                <w:color w:val="212121"/>
                <w:sz w:val="16"/>
              </w:rPr>
              <w:t>B12/folate assay</w:t>
            </w:r>
          </w:p>
        </w:tc>
        <w:tc>
          <w:tcPr>
            <w:tcW w:type="dxa" w:w="950"/>
            <w:vAlign w:val="top"/>
          </w:tcPr>
          <w:p>
            <w:pPr>
              <w:spacing w:after="40" w:before="0" w:line="259" w:lineRule="auto"/>
            </w:pPr>
            <w:r>
              <w:rPr>
                <w:rFonts w:ascii="Calibri" w:hAnsi="Calibri"/>
                <w:b w:val="0"/>
                <w:i w:val="0"/>
                <w:color w:val="212121"/>
                <w:sz w:val="16"/>
              </w:rPr>
              <w:t>B12 &gt; 300 pg/mL</w:t>
            </w:r>
          </w:p>
        </w:tc>
        <w:tc>
          <w:tcPr>
            <w:tcW w:type="dxa" w:w="950"/>
            <w:vAlign w:val="top"/>
          </w:tcPr>
          <w:p>
            <w:pPr>
              <w:spacing w:after="40" w:before="0" w:line="259" w:lineRule="auto"/>
            </w:pPr>
            <w:r>
              <w:rPr>
                <w:rFonts w:ascii="Calibri" w:hAnsi="Calibri"/>
                <w:b w:val="0"/>
                <w:i w:val="0"/>
                <w:color w:val="212121"/>
                <w:sz w:val="16"/>
              </w:rPr>
              <w:t>B12 &lt; 200 pg/mL (deficient)</w:t>
            </w:r>
          </w:p>
        </w:tc>
        <w:tc>
          <w:tcPr>
            <w:tcW w:type="dxa" w:w="1036"/>
            <w:vAlign w:val="top"/>
          </w:tcPr>
          <w:p>
            <w:pPr>
              <w:spacing w:after="40" w:before="0" w:line="259" w:lineRule="auto"/>
            </w:pPr>
            <w:r>
              <w:rPr>
                <w:rFonts w:ascii="Calibri" w:hAnsi="Calibri"/>
                <w:b w:val="0"/>
                <w:i w:val="0"/>
                <w:color w:val="212121"/>
                <w:sz w:val="16"/>
              </w:rPr>
              <w:t>Identifies a common, reversible cause of cognitive impairment</w:t>
            </w:r>
          </w:p>
        </w:tc>
        <w:tc>
          <w:tcPr>
            <w:tcW w:type="dxa" w:w="1036"/>
            <w:vAlign w:val="top"/>
          </w:tcPr>
          <w:p>
            <w:pPr>
              <w:spacing w:after="40" w:before="0" w:line="259" w:lineRule="auto"/>
            </w:pPr>
            <w:r>
              <w:rPr>
                <w:rFonts w:ascii="Calibri" w:hAnsi="Calibri"/>
                <w:b w:val="0"/>
                <w:i w:val="0"/>
                <w:color w:val="212121"/>
                <w:sz w:val="16"/>
              </w:rPr>
              <w:t>Vegetarians, elderly, all MCI</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Very common in Indian vegetarians; treat and re-test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Elevated TSH (hypothyroidism)</w:t>
            </w:r>
          </w:p>
        </w:tc>
        <w:tc>
          <w:tcPr>
            <w:tcW w:type="dxa" w:w="1036"/>
            <w:vAlign w:val="top"/>
          </w:tcPr>
          <w:p>
            <w:pPr>
              <w:spacing w:after="40" w:before="0" w:line="259" w:lineRule="auto"/>
            </w:pPr>
            <w:r>
              <w:rPr>
                <w:rFonts w:ascii="Calibri" w:hAnsi="Calibri"/>
                <w:b w:val="0"/>
                <w:i w:val="0"/>
                <w:color w:val="212121"/>
                <w:sz w:val="16"/>
              </w:rPr>
              <w:t>Detects hypothyroidism, a reversible contributor</w:t>
            </w:r>
          </w:p>
        </w:tc>
        <w:tc>
          <w:tcPr>
            <w:tcW w:type="dxa" w:w="1036"/>
            <w:vAlign w:val="top"/>
          </w:tcPr>
          <w:p>
            <w:pPr>
              <w:spacing w:after="40" w:before="0" w:line="259" w:lineRule="auto"/>
            </w:pPr>
            <w:r>
              <w:rPr>
                <w:rFonts w:ascii="Calibri" w:hAnsi="Calibri"/>
                <w:b w:val="0"/>
                <w:i w:val="0"/>
                <w:color w:val="212121"/>
                <w:sz w:val="16"/>
              </w:rPr>
              <w:t>Elderly, women, all MCI</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Routine in every cognitive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Atrophy, infarcts, white-matter disease, NPH, tumour, subdural</w:t>
            </w:r>
          </w:p>
        </w:tc>
        <w:tc>
          <w:tcPr>
            <w:tcW w:type="dxa" w:w="892"/>
            <w:vAlign w:val="top"/>
          </w:tcPr>
          <w:p>
            <w:pPr>
              <w:spacing w:after="40" w:before="0" w:line="259" w:lineRule="auto"/>
            </w:pPr>
            <w:r>
              <w:rPr>
                <w:rFonts w:ascii="Calibri" w:hAnsi="Calibri"/>
                <w:b w:val="0"/>
                <w:i w:val="0"/>
                <w:color w:val="212121"/>
                <w:sz w:val="16"/>
              </w:rPr>
              <w:t>MRI brain (preferred) / CT brain</w:t>
            </w:r>
          </w:p>
        </w:tc>
        <w:tc>
          <w:tcPr>
            <w:tcW w:type="dxa" w:w="950"/>
            <w:vAlign w:val="top"/>
          </w:tcPr>
          <w:p>
            <w:pPr>
              <w:spacing w:after="40" w:before="0" w:line="259" w:lineRule="auto"/>
            </w:pPr>
            <w:r>
              <w:rPr>
                <w:rFonts w:ascii="Calibri" w:hAnsi="Calibri"/>
                <w:b w:val="0"/>
                <w:i w:val="0"/>
                <w:color w:val="212121"/>
                <w:sz w:val="16"/>
              </w:rPr>
              <w:t>Age-appropriate; no structural lesion</w:t>
            </w:r>
          </w:p>
        </w:tc>
        <w:tc>
          <w:tcPr>
            <w:tcW w:type="dxa" w:w="950"/>
            <w:vAlign w:val="top"/>
          </w:tcPr>
          <w:p>
            <w:pPr>
              <w:spacing w:after="40" w:before="0" w:line="259" w:lineRule="auto"/>
            </w:pPr>
            <w:r>
              <w:rPr>
                <w:rFonts w:ascii="Calibri" w:hAnsi="Calibri"/>
                <w:b w:val="0"/>
                <w:i w:val="0"/>
                <w:color w:val="212121"/>
                <w:sz w:val="16"/>
              </w:rPr>
              <w:t>Hippocampal/medial-temporal atrophy, infarcts, leukoaraiosis, hydrocephalus</w:t>
            </w:r>
          </w:p>
        </w:tc>
        <w:tc>
          <w:tcPr>
            <w:tcW w:type="dxa" w:w="1036"/>
            <w:vAlign w:val="top"/>
          </w:tcPr>
          <w:p>
            <w:pPr>
              <w:spacing w:after="40" w:before="0" w:line="259" w:lineRule="auto"/>
            </w:pPr>
            <w:r>
              <w:rPr>
                <w:rFonts w:ascii="Calibri" w:hAnsi="Calibri"/>
                <w:b w:val="0"/>
                <w:i w:val="0"/>
                <w:color w:val="212121"/>
                <w:sz w:val="16"/>
              </w:rPr>
              <w:t>Excludes structural/reversible causes; hippocampal atrophy predicts progression to dementia</w:t>
            </w:r>
          </w:p>
        </w:tc>
        <w:tc>
          <w:tcPr>
            <w:tcW w:type="dxa" w:w="1036"/>
            <w:vAlign w:val="top"/>
          </w:tcPr>
          <w:p>
            <w:pPr>
              <w:spacing w:after="40" w:before="0" w:line="259" w:lineRule="auto"/>
            </w:pPr>
            <w:r>
              <w:rPr>
                <w:rFonts w:ascii="Calibri" w:hAnsi="Calibri"/>
                <w:b w:val="0"/>
                <w:i w:val="0"/>
                <w:color w:val="212121"/>
                <w:sz w:val="16"/>
              </w:rPr>
              <w:t>Suspected MCI, focal signs, rapid decline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MRI more sensitive than CT for small-vessel disease and atrophy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testing</w:t>
            </w:r>
          </w:p>
        </w:tc>
        <w:tc>
          <w:tcPr>
            <w:tcW w:type="dxa" w:w="950"/>
            <w:vAlign w:val="top"/>
          </w:tcPr>
          <w:p>
            <w:pPr>
              <w:spacing w:after="40" w:before="0" w:line="259" w:lineRule="auto"/>
            </w:pPr>
            <w:r>
              <w:rPr>
                <w:rFonts w:ascii="Calibri" w:hAnsi="Calibri"/>
                <w:b w:val="0"/>
                <w:i w:val="0"/>
                <w:color w:val="212121"/>
                <w:sz w:val="16"/>
              </w:rPr>
              <w:t>FPG 70–99 mg/dL; HbA1c &lt; 5.7%</w:t>
            </w:r>
          </w:p>
        </w:tc>
        <w:tc>
          <w:tcPr>
            <w:tcW w:type="dxa" w:w="950"/>
            <w:vAlign w:val="top"/>
          </w:tcPr>
          <w:p>
            <w:pPr>
              <w:spacing w:after="40" w:before="0" w:line="259" w:lineRule="auto"/>
            </w:pPr>
            <w:r>
              <w:rPr>
                <w:rFonts w:ascii="Calibri" w:hAnsi="Calibri"/>
                <w:b w:val="0"/>
                <w:i w:val="0"/>
                <w:color w:val="212121"/>
                <w:sz w:val="16"/>
              </w:rPr>
              <w:t>FPG ≥ 126 mg/dL; HbA1c ≥ 6.5%</w:t>
            </w:r>
          </w:p>
        </w:tc>
        <w:tc>
          <w:tcPr>
            <w:tcW w:type="dxa" w:w="1036"/>
            <w:vAlign w:val="top"/>
          </w:tcPr>
          <w:p>
            <w:pPr>
              <w:spacing w:after="40" w:before="0" w:line="259" w:lineRule="auto"/>
            </w:pPr>
            <w:r>
              <w:rPr>
                <w:rFonts w:ascii="Calibri" w:hAnsi="Calibri"/>
                <w:b w:val="0"/>
                <w:i w:val="0"/>
                <w:color w:val="212121"/>
                <w:sz w:val="16"/>
              </w:rPr>
              <w:t>Identifies diabetes as a treatable vascular driver</w:t>
            </w:r>
          </w:p>
        </w:tc>
        <w:tc>
          <w:tcPr>
            <w:tcW w:type="dxa" w:w="1036"/>
            <w:vAlign w:val="top"/>
          </w:tcPr>
          <w:p>
            <w:pPr>
              <w:spacing w:after="40" w:before="0" w:line="259" w:lineRule="auto"/>
            </w:pPr>
            <w:r>
              <w:rPr>
                <w:rFonts w:ascii="Calibri" w:hAnsi="Calibri"/>
                <w:b w:val="0"/>
                <w:i w:val="0"/>
                <w:color w:val="212121"/>
                <w:sz w:val="16"/>
              </w:rPr>
              <w:t>All patients, diabetics, 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Tight yet safe control; avoid hypoglycaemia in elderly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Lipid profile</w:t>
            </w:r>
          </w:p>
        </w:tc>
        <w:tc>
          <w:tcPr>
            <w:tcW w:type="dxa" w:w="892"/>
            <w:vAlign w:val="top"/>
          </w:tcPr>
          <w:p>
            <w:pPr>
              <w:spacing w:after="40" w:before="0" w:line="259" w:lineRule="auto"/>
            </w:pPr>
            <w:r>
              <w:rPr>
                <w:rFonts w:ascii="Calibri" w:hAnsi="Calibri"/>
                <w:b w:val="0"/>
                <w:i w:val="0"/>
                <w:color w:val="212121"/>
                <w:sz w:val="16"/>
              </w:rPr>
              <w:t>Fasting lipids</w:t>
            </w:r>
          </w:p>
        </w:tc>
        <w:tc>
          <w:tcPr>
            <w:tcW w:type="dxa" w:w="950"/>
            <w:vAlign w:val="top"/>
          </w:tcPr>
          <w:p>
            <w:pPr>
              <w:spacing w:after="40" w:before="0" w:line="259" w:lineRule="auto"/>
            </w:pPr>
            <w:r>
              <w:rPr>
                <w:rFonts w:ascii="Calibri" w:hAnsi="Calibri"/>
                <w:b w:val="0"/>
                <w:i w:val="0"/>
                <w:color w:val="212121"/>
                <w:sz w:val="16"/>
              </w:rPr>
              <w:t>LDL &lt; 100 mg/dL; TG &lt; 150</w:t>
            </w:r>
          </w:p>
        </w:tc>
        <w:tc>
          <w:tcPr>
            <w:tcW w:type="dxa" w:w="950"/>
            <w:vAlign w:val="top"/>
          </w:tcPr>
          <w:p>
            <w:pPr>
              <w:spacing w:after="40" w:before="0" w:line="259" w:lineRule="auto"/>
            </w:pPr>
            <w:r>
              <w:rPr>
                <w:rFonts w:ascii="Calibri" w:hAnsi="Calibri"/>
                <w:b w:val="0"/>
                <w:i w:val="0"/>
                <w:color w:val="212121"/>
                <w:sz w:val="16"/>
              </w:rPr>
              <w:t>LDL ≥ 130; low HDL; high TG</w:t>
            </w:r>
          </w:p>
        </w:tc>
        <w:tc>
          <w:tcPr>
            <w:tcW w:type="dxa" w:w="1036"/>
            <w:vAlign w:val="top"/>
          </w:tcPr>
          <w:p>
            <w:pPr>
              <w:spacing w:after="40" w:before="0" w:line="259" w:lineRule="auto"/>
            </w:pPr>
            <w:r>
              <w:rPr>
                <w:rFonts w:ascii="Calibri" w:hAnsi="Calibri"/>
                <w:b w:val="0"/>
                <w:i w:val="0"/>
                <w:color w:val="212121"/>
                <w:sz w:val="16"/>
              </w:rPr>
              <w:t>Quantifies atherogenic vascular risk; statin target</w:t>
            </w:r>
          </w:p>
        </w:tc>
        <w:tc>
          <w:tcPr>
            <w:tcW w:type="dxa" w:w="1036"/>
            <w:vAlign w:val="top"/>
          </w:tcPr>
          <w:p>
            <w:pPr>
              <w:spacing w:after="40" w:before="0" w:line="259" w:lineRule="auto"/>
            </w:pPr>
            <w:r>
              <w:rPr>
                <w:rFonts w:ascii="Calibri" w:hAnsi="Calibri"/>
                <w:b w:val="0"/>
                <w:i w:val="0"/>
                <w:color w:val="212121"/>
                <w:sz w:val="16"/>
              </w:rPr>
              <w:t>Vascular risk, high LDL</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High midlife LDL is a modifiable dementia factor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CBC, renal/hepatic, electrolytes, calcium, syphilis/HIV (if indicated)</w:t>
            </w:r>
          </w:p>
        </w:tc>
        <w:tc>
          <w:tcPr>
            <w:tcW w:type="dxa" w:w="892"/>
            <w:vAlign w:val="top"/>
          </w:tcPr>
          <w:p>
            <w:pPr>
              <w:spacing w:after="40" w:before="0" w:line="259" w:lineRule="auto"/>
            </w:pPr>
            <w:r>
              <w:rPr>
                <w:rFonts w:ascii="Calibri" w:hAnsi="Calibri"/>
                <w:b w:val="0"/>
                <w:i w:val="0"/>
                <w:color w:val="212121"/>
                <w:sz w:val="16"/>
              </w:rPr>
              <w:t>Reversible-cause blood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Anaemia, uraemia, hyponatraemia, hypercalcaemia, positive serology</w:t>
            </w:r>
          </w:p>
        </w:tc>
        <w:tc>
          <w:tcPr>
            <w:tcW w:type="dxa" w:w="1036"/>
            <w:vAlign w:val="top"/>
          </w:tcPr>
          <w:p>
            <w:pPr>
              <w:spacing w:after="40" w:before="0" w:line="259" w:lineRule="auto"/>
            </w:pPr>
            <w:r>
              <w:rPr>
                <w:rFonts w:ascii="Calibri" w:hAnsi="Calibri"/>
                <w:b w:val="0"/>
                <w:i w:val="0"/>
                <w:color w:val="212121"/>
                <w:sz w:val="16"/>
              </w:rPr>
              <w:t>Excludes/treats systemic reversible contributors</w:t>
            </w:r>
          </w:p>
        </w:tc>
        <w:tc>
          <w:tcPr>
            <w:tcW w:type="dxa" w:w="1036"/>
            <w:vAlign w:val="top"/>
          </w:tcPr>
          <w:p>
            <w:pPr>
              <w:spacing w:after="40" w:before="0" w:line="259" w:lineRule="auto"/>
            </w:pPr>
            <w:r>
              <w:rPr>
                <w:rFonts w:ascii="Calibri" w:hAnsi="Calibri"/>
                <w:b w:val="0"/>
                <w:i w:val="0"/>
                <w:color w:val="212121"/>
                <w:sz w:val="16"/>
              </w:rPr>
              <w:t>All new MCI work-ups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Guided by history and risk; not all tests in everyone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 (selective)</w:t>
            </w:r>
          </w:p>
        </w:tc>
        <w:tc>
          <w:tcPr>
            <w:tcW w:type="dxa" w:w="1036"/>
            <w:vAlign w:val="top"/>
          </w:tcPr>
          <w:p>
            <w:pPr>
              <w:spacing w:after="40" w:before="0" w:line="259" w:lineRule="auto"/>
            </w:pPr>
            <w:r>
              <w:rPr>
                <w:rFonts w:ascii="Calibri" w:hAnsi="Calibri"/>
                <w:b w:val="0"/>
                <w:i w:val="0"/>
                <w:color w:val="212121"/>
                <w:sz w:val="16"/>
              </w:rPr>
              <w:t>APOE genotype</w:t>
            </w:r>
          </w:p>
        </w:tc>
        <w:tc>
          <w:tcPr>
            <w:tcW w:type="dxa" w:w="892"/>
            <w:vAlign w:val="top"/>
          </w:tcPr>
          <w:p>
            <w:pPr>
              <w:spacing w:after="40" w:before="0" w:line="259" w:lineRule="auto"/>
            </w:pPr>
            <w:r>
              <w:rPr>
                <w:rFonts w:ascii="Calibri" w:hAnsi="Calibri"/>
                <w:b w:val="0"/>
                <w:i w:val="0"/>
                <w:color w:val="212121"/>
                <w:sz w:val="16"/>
              </w:rPr>
              <w:t>APOE testing</w:t>
            </w:r>
          </w:p>
        </w:tc>
        <w:tc>
          <w:tcPr>
            <w:tcW w:type="dxa" w:w="950"/>
            <w:vAlign w:val="top"/>
          </w:tcPr>
          <w:p>
            <w:pPr>
              <w:spacing w:after="40" w:before="0" w:line="259" w:lineRule="auto"/>
            </w:pPr>
            <w:r>
              <w:rPr>
                <w:rFonts w:ascii="Calibri" w:hAnsi="Calibri"/>
                <w:b w:val="0"/>
                <w:i w:val="0"/>
                <w:color w:val="212121"/>
                <w:sz w:val="16"/>
              </w:rPr>
              <w:t>No ε4 allele</w:t>
            </w:r>
          </w:p>
        </w:tc>
        <w:tc>
          <w:tcPr>
            <w:tcW w:type="dxa" w:w="950"/>
            <w:vAlign w:val="top"/>
          </w:tcPr>
          <w:p>
            <w:pPr>
              <w:spacing w:after="40" w:before="0" w:line="259" w:lineRule="auto"/>
            </w:pPr>
            <w:r>
              <w:rPr>
                <w:rFonts w:ascii="Calibri" w:hAnsi="Calibri"/>
                <w:b w:val="0"/>
                <w:i w:val="0"/>
                <w:color w:val="212121"/>
                <w:sz w:val="16"/>
              </w:rPr>
              <w:t>ε4 carrier (esp. homozygous)</w:t>
            </w:r>
          </w:p>
        </w:tc>
        <w:tc>
          <w:tcPr>
            <w:tcW w:type="dxa" w:w="1036"/>
            <w:vAlign w:val="top"/>
          </w:tcPr>
          <w:p>
            <w:pPr>
              <w:spacing w:after="40" w:before="0" w:line="259" w:lineRule="auto"/>
            </w:pPr>
            <w:r>
              <w:rPr>
                <w:rFonts w:ascii="Calibri" w:hAnsi="Calibri"/>
                <w:b w:val="0"/>
                <w:i w:val="0"/>
                <w:color w:val="212121"/>
                <w:sz w:val="16"/>
              </w:rPr>
              <w:t>Risk marker for Alzheimer-type progression; NOT a routine diagnostic test</w:t>
            </w:r>
          </w:p>
        </w:tc>
        <w:tc>
          <w:tcPr>
            <w:tcW w:type="dxa" w:w="1036"/>
            <w:vAlign w:val="top"/>
          </w:tcPr>
          <w:p>
            <w:pPr>
              <w:spacing w:after="40" w:before="0" w:line="259" w:lineRule="auto"/>
            </w:pPr>
            <w:r>
              <w:rPr>
                <w:rFonts w:ascii="Calibri" w:hAnsi="Calibri"/>
                <w:b w:val="0"/>
                <w:i w:val="0"/>
                <w:color w:val="212121"/>
                <w:sz w:val="16"/>
              </w:rPr>
              <w:t>Research, selected amnestic MCI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recommended as a diagnostic test outside research/counselling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Biomarkers (selective)</w:t>
            </w:r>
          </w:p>
        </w:tc>
        <w:tc>
          <w:tcPr>
            <w:tcW w:type="dxa" w:w="1036"/>
            <w:vAlign w:val="top"/>
          </w:tcPr>
          <w:p>
            <w:pPr>
              <w:spacing w:after="40" w:before="0" w:line="259" w:lineRule="auto"/>
            </w:pPr>
            <w:r>
              <w:rPr>
                <w:rFonts w:ascii="Calibri" w:hAnsi="Calibri"/>
                <w:b w:val="0"/>
                <w:i w:val="0"/>
                <w:color w:val="212121"/>
                <w:sz w:val="16"/>
              </w:rPr>
              <w:t>CSF amyloid-β42, total/phospho-tau; amyloid PET</w:t>
            </w:r>
          </w:p>
        </w:tc>
        <w:tc>
          <w:tcPr>
            <w:tcW w:type="dxa" w:w="892"/>
            <w:vAlign w:val="top"/>
          </w:tcPr>
          <w:p>
            <w:pPr>
              <w:spacing w:after="40" w:before="0" w:line="259" w:lineRule="auto"/>
            </w:pPr>
            <w:r>
              <w:rPr>
                <w:rFonts w:ascii="Calibri" w:hAnsi="Calibri"/>
                <w:b w:val="0"/>
                <w:i w:val="0"/>
                <w:color w:val="212121"/>
                <w:sz w:val="16"/>
              </w:rPr>
              <w:t>AD biomarker studies</w:t>
            </w:r>
          </w:p>
        </w:tc>
        <w:tc>
          <w:tcPr>
            <w:tcW w:type="dxa" w:w="950"/>
            <w:vAlign w:val="top"/>
          </w:tcPr>
          <w:p>
            <w:pPr>
              <w:spacing w:after="40" w:before="0" w:line="259" w:lineRule="auto"/>
            </w:pPr>
            <w:r>
              <w:rPr>
                <w:rFonts w:ascii="Calibri" w:hAnsi="Calibri"/>
                <w:b w:val="0"/>
                <w:i w:val="0"/>
                <w:color w:val="212121"/>
                <w:sz w:val="16"/>
              </w:rPr>
              <w:t>Normal amyloid/tau profile</w:t>
            </w:r>
          </w:p>
        </w:tc>
        <w:tc>
          <w:tcPr>
            <w:tcW w:type="dxa" w:w="950"/>
            <w:vAlign w:val="top"/>
          </w:tcPr>
          <w:p>
            <w:pPr>
              <w:spacing w:after="40" w:before="0" w:line="259" w:lineRule="auto"/>
            </w:pPr>
            <w:r>
              <w:rPr>
                <w:rFonts w:ascii="Calibri" w:hAnsi="Calibri"/>
                <w:b w:val="0"/>
                <w:i w:val="0"/>
                <w:color w:val="212121"/>
                <w:sz w:val="16"/>
              </w:rPr>
              <w:t>Low Aβ42, high p-tau; amyloid-positive PET</w:t>
            </w:r>
          </w:p>
        </w:tc>
        <w:tc>
          <w:tcPr>
            <w:tcW w:type="dxa" w:w="1036"/>
            <w:vAlign w:val="top"/>
          </w:tcPr>
          <w:p>
            <w:pPr>
              <w:spacing w:after="40" w:before="0" w:line="259" w:lineRule="auto"/>
            </w:pPr>
            <w:r>
              <w:rPr>
                <w:rFonts w:ascii="Calibri" w:hAnsi="Calibri"/>
                <w:b w:val="0"/>
                <w:i w:val="0"/>
                <w:color w:val="212121"/>
                <w:sz w:val="16"/>
              </w:rPr>
              <w:t>Supports underlying Alzheimer pathology in prodromal (amnestic) MCI</w:t>
            </w:r>
          </w:p>
        </w:tc>
        <w:tc>
          <w:tcPr>
            <w:tcW w:type="dxa" w:w="1036"/>
            <w:vAlign w:val="top"/>
          </w:tcPr>
          <w:p>
            <w:pPr>
              <w:spacing w:after="40" w:before="0" w:line="259" w:lineRule="auto"/>
            </w:pPr>
            <w:r>
              <w:rPr>
                <w:rFonts w:ascii="Calibri" w:hAnsi="Calibri"/>
                <w:b w:val="0"/>
                <w:i w:val="0"/>
                <w:color w:val="212121"/>
                <w:sz w:val="16"/>
              </w:rPr>
              <w:t>Atypical/young-onset, research, specialist clinics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Specialist use only; limited standardisation and availability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course</w:t>
            </w:r>
          </w:p>
        </w:tc>
        <w:tc>
          <w:tcPr>
            <w:tcW w:type="dxa" w:w="979"/>
            <w:vAlign w:val="top"/>
          </w:tcPr>
          <w:p>
            <w:pPr>
              <w:spacing w:after="40" w:before="0" w:line="259" w:lineRule="auto"/>
            </w:pPr>
            <w:r>
              <w:rPr>
                <w:rFonts w:ascii="Calibri" w:hAnsi="Calibri"/>
                <w:b w:val="0"/>
                <w:i w:val="0"/>
                <w:color w:val="212121"/>
                <w:sz w:val="16"/>
              </w:rPr>
              <w:t>Memory lapses, word-finding, planning/executive difficulty, onset and tempo</w:t>
            </w:r>
          </w:p>
        </w:tc>
        <w:tc>
          <w:tcPr>
            <w:tcW w:type="dxa" w:w="950"/>
            <w:vAlign w:val="top"/>
          </w:tcPr>
          <w:p>
            <w:pPr>
              <w:spacing w:after="40" w:before="0" w:line="259" w:lineRule="auto"/>
            </w:pPr>
            <w:r>
              <w:rPr>
                <w:rFonts w:ascii="Calibri" w:hAnsi="Calibri"/>
                <w:b w:val="0"/>
                <w:i w:val="0"/>
                <w:color w:val="212121"/>
                <w:sz w:val="16"/>
              </w:rPr>
              <w:t>Stable cognition for age</w:t>
            </w:r>
          </w:p>
        </w:tc>
        <w:tc>
          <w:tcPr>
            <w:tcW w:type="dxa" w:w="950"/>
            <w:vAlign w:val="top"/>
          </w:tcPr>
          <w:p>
            <w:pPr>
              <w:spacing w:after="40" w:before="0" w:line="259" w:lineRule="auto"/>
            </w:pPr>
            <w:r>
              <w:rPr>
                <w:rFonts w:ascii="Calibri" w:hAnsi="Calibri"/>
                <w:b w:val="0"/>
                <w:i w:val="0"/>
                <w:color w:val="212121"/>
                <w:sz w:val="16"/>
              </w:rPr>
              <w:t>Gradual decline from prior level in ≥ 1 domain</w:t>
            </w:r>
          </w:p>
        </w:tc>
        <w:tc>
          <w:tcPr>
            <w:tcW w:type="dxa" w:w="1036"/>
            <w:vAlign w:val="top"/>
          </w:tcPr>
          <w:p>
            <w:pPr>
              <w:spacing w:after="40" w:before="0" w:line="259" w:lineRule="auto"/>
            </w:pPr>
            <w:r>
              <w:rPr>
                <w:rFonts w:ascii="Calibri" w:hAnsi="Calibri"/>
                <w:b w:val="0"/>
                <w:i w:val="0"/>
                <w:color w:val="212121"/>
                <w:sz w:val="16"/>
              </w:rPr>
              <w:t>Establishes objective decline and its pattern (amnestic vs non-amnestic)</w:t>
            </w:r>
          </w:p>
        </w:tc>
        <w:tc>
          <w:tcPr>
            <w:tcW w:type="dxa" w:w="1036"/>
            <w:vAlign w:val="top"/>
          </w:tcPr>
          <w:p>
            <w:pPr>
              <w:spacing w:after="40" w:before="0" w:line="259" w:lineRule="auto"/>
            </w:pPr>
            <w:r>
              <w:rPr>
                <w:rFonts w:ascii="Calibri" w:hAnsi="Calibri"/>
                <w:b w:val="0"/>
                <w:i w:val="0"/>
                <w:color w:val="212121"/>
                <w:sz w:val="16"/>
              </w:rPr>
              <w:t>All suspected MCI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when it started and whether it is progressing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Cognitive testing</w:t>
            </w:r>
          </w:p>
        </w:tc>
        <w:tc>
          <w:tcPr>
            <w:tcW w:type="dxa" w:w="950"/>
            <w:vAlign w:val="top"/>
          </w:tcPr>
          <w:p>
            <w:pPr>
              <w:spacing w:after="40" w:before="0" w:line="259" w:lineRule="auto"/>
            </w:pPr>
            <w:r>
              <w:rPr>
                <w:rFonts w:ascii="Calibri" w:hAnsi="Calibri"/>
                <w:b w:val="0"/>
                <w:i w:val="0"/>
                <w:color w:val="212121"/>
                <w:sz w:val="16"/>
              </w:rPr>
              <w:t>Bedside cognitive screen</w:t>
            </w:r>
          </w:p>
        </w:tc>
        <w:tc>
          <w:tcPr>
            <w:tcW w:type="dxa" w:w="979"/>
            <w:vAlign w:val="top"/>
          </w:tcPr>
          <w:p>
            <w:pPr>
              <w:spacing w:after="40" w:before="0" w:line="259" w:lineRule="auto"/>
            </w:pPr>
            <w:r>
              <w:rPr>
                <w:rFonts w:ascii="Calibri" w:hAnsi="Calibri"/>
                <w:b w:val="0"/>
                <w:i w:val="0"/>
                <w:color w:val="212121"/>
                <w:sz w:val="16"/>
              </w:rPr>
              <w:t>MoCA / MMSE / Hindi Mental State Exam (HMSE)</w:t>
            </w:r>
          </w:p>
        </w:tc>
        <w:tc>
          <w:tcPr>
            <w:tcW w:type="dxa" w:w="950"/>
            <w:vAlign w:val="top"/>
          </w:tcPr>
          <w:p>
            <w:pPr>
              <w:spacing w:after="40" w:before="0" w:line="259" w:lineRule="auto"/>
            </w:pPr>
            <w:r>
              <w:rPr>
                <w:rFonts w:ascii="Calibri" w:hAnsi="Calibri"/>
                <w:b w:val="0"/>
                <w:i w:val="0"/>
                <w:color w:val="212121"/>
                <w:sz w:val="16"/>
              </w:rPr>
              <w:t>MoCA ≥ 26 (education-adjusted)</w:t>
            </w:r>
          </w:p>
        </w:tc>
        <w:tc>
          <w:tcPr>
            <w:tcW w:type="dxa" w:w="950"/>
            <w:vAlign w:val="top"/>
          </w:tcPr>
          <w:p>
            <w:pPr>
              <w:spacing w:after="40" w:before="0" w:line="259" w:lineRule="auto"/>
            </w:pPr>
            <w:r>
              <w:rPr>
                <w:rFonts w:ascii="Calibri" w:hAnsi="Calibri"/>
                <w:b w:val="0"/>
                <w:i w:val="0"/>
                <w:color w:val="212121"/>
                <w:sz w:val="16"/>
              </w:rPr>
              <w:t>MoCA 18–25; low delayed recall, clock-draw, fluency</w:t>
            </w:r>
          </w:p>
        </w:tc>
        <w:tc>
          <w:tcPr>
            <w:tcW w:type="dxa" w:w="1036"/>
            <w:vAlign w:val="top"/>
          </w:tcPr>
          <w:p>
            <w:pPr>
              <w:spacing w:after="40" w:before="0" w:line="259" w:lineRule="auto"/>
            </w:pPr>
            <w:r>
              <w:rPr>
                <w:rFonts w:ascii="Calibri" w:hAnsi="Calibri"/>
                <w:b w:val="0"/>
                <w:i w:val="0"/>
                <w:color w:val="212121"/>
                <w:sz w:val="16"/>
              </w:rPr>
              <w:t>Quantifies deficits; MoCA more sensitive than MMSE for MCI</w:t>
            </w:r>
          </w:p>
        </w:tc>
        <w:tc>
          <w:tcPr>
            <w:tcW w:type="dxa" w:w="1036"/>
            <w:vAlign w:val="top"/>
          </w:tcPr>
          <w:p>
            <w:pPr>
              <w:spacing w:after="40" w:before="0" w:line="259" w:lineRule="auto"/>
            </w:pPr>
            <w:r>
              <w:rPr>
                <w:rFonts w:ascii="Calibri" w:hAnsi="Calibri"/>
                <w:b w:val="0"/>
                <w:i w:val="0"/>
                <w:color w:val="212121"/>
                <w:sz w:val="16"/>
              </w:rPr>
              <w:t>All suspected dementia/MCI; low-literacy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Use validated, education- and language-adjusted tools (HMSE)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 assessment</w:t>
            </w:r>
          </w:p>
        </w:tc>
        <w:tc>
          <w:tcPr>
            <w:tcW w:type="dxa" w:w="950"/>
            <w:vAlign w:val="top"/>
          </w:tcPr>
          <w:p>
            <w:pPr>
              <w:spacing w:after="40" w:before="0" w:line="259" w:lineRule="auto"/>
            </w:pPr>
            <w:r>
              <w:rPr>
                <w:rFonts w:ascii="Calibri" w:hAnsi="Calibri"/>
                <w:b w:val="0"/>
                <w:i w:val="0"/>
                <w:color w:val="212121"/>
                <w:sz w:val="16"/>
              </w:rPr>
              <w:t>ADL / IADL evaluation</w:t>
            </w:r>
          </w:p>
        </w:tc>
        <w:tc>
          <w:tcPr>
            <w:tcW w:type="dxa" w:w="979"/>
            <w:vAlign w:val="top"/>
          </w:tcPr>
          <w:p>
            <w:pPr>
              <w:spacing w:after="40" w:before="0" w:line="259" w:lineRule="auto"/>
            </w:pPr>
            <w:r>
              <w:rPr>
                <w:rFonts w:ascii="Calibri" w:hAnsi="Calibri"/>
                <w:b w:val="0"/>
                <w:i w:val="0"/>
                <w:color w:val="212121"/>
                <w:sz w:val="16"/>
              </w:rPr>
              <w:t>Independence in instrumental activities (finances, medication, travel)</w:t>
            </w:r>
          </w:p>
        </w:tc>
        <w:tc>
          <w:tcPr>
            <w:tcW w:type="dxa" w:w="950"/>
            <w:vAlign w:val="top"/>
          </w:tcPr>
          <w:p>
            <w:pPr>
              <w:spacing w:after="40" w:before="0" w:line="259" w:lineRule="auto"/>
            </w:pPr>
            <w:r>
              <w:rPr>
                <w:rFonts w:ascii="Calibri" w:hAnsi="Calibri"/>
                <w:b w:val="0"/>
                <w:i w:val="0"/>
                <w:color w:val="212121"/>
                <w:sz w:val="16"/>
              </w:rPr>
              <w:t>Fully independent</w:t>
            </w:r>
          </w:p>
        </w:tc>
        <w:tc>
          <w:tcPr>
            <w:tcW w:type="dxa" w:w="950"/>
            <w:vAlign w:val="top"/>
          </w:tcPr>
          <w:p>
            <w:pPr>
              <w:spacing w:after="40" w:before="0" w:line="259" w:lineRule="auto"/>
            </w:pPr>
            <w:r>
              <w:rPr>
                <w:rFonts w:ascii="Calibri" w:hAnsi="Calibri"/>
                <w:b w:val="0"/>
                <w:i w:val="0"/>
                <w:color w:val="212121"/>
                <w:sz w:val="16"/>
              </w:rPr>
              <w:t>Minor inefficiency but still independent (MCI); loss of independence = dementia</w:t>
            </w:r>
          </w:p>
        </w:tc>
        <w:tc>
          <w:tcPr>
            <w:tcW w:type="dxa" w:w="1036"/>
            <w:vAlign w:val="top"/>
          </w:tcPr>
          <w:p>
            <w:pPr>
              <w:spacing w:after="40" w:before="0" w:line="259" w:lineRule="auto"/>
            </w:pPr>
            <w:r>
              <w:rPr>
                <w:rFonts w:ascii="Calibri" w:hAnsi="Calibri"/>
                <w:b w:val="0"/>
                <w:i w:val="0"/>
                <w:color w:val="212121"/>
                <w:sz w:val="16"/>
              </w:rPr>
              <w:t>The key feature separating MCI from dementia</w:t>
            </w:r>
          </w:p>
        </w:tc>
        <w:tc>
          <w:tcPr>
            <w:tcW w:type="dxa" w:w="1036"/>
            <w:vAlign w:val="top"/>
          </w:tcPr>
          <w:p>
            <w:pPr>
              <w:spacing w:after="40" w:before="0" w:line="259" w:lineRule="auto"/>
            </w:pPr>
            <w:r>
              <w:rPr>
                <w:rFonts w:ascii="Calibri" w:hAnsi="Calibri"/>
                <w:b w:val="0"/>
                <w:i w:val="0"/>
                <w:color w:val="212121"/>
                <w:sz w:val="16"/>
              </w:rPr>
              <w:t>All patients and carers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Significant functional loss re-classifies as dementia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Informant history</w:t>
            </w:r>
          </w:p>
        </w:tc>
        <w:tc>
          <w:tcPr>
            <w:tcW w:type="dxa" w:w="950"/>
            <w:vAlign w:val="top"/>
          </w:tcPr>
          <w:p>
            <w:pPr>
              <w:spacing w:after="40" w:before="0" w:line="259" w:lineRule="auto"/>
            </w:pPr>
            <w:r>
              <w:rPr>
                <w:rFonts w:ascii="Calibri" w:hAnsi="Calibri"/>
                <w:b w:val="0"/>
                <w:i w:val="0"/>
                <w:color w:val="212121"/>
                <w:sz w:val="16"/>
              </w:rPr>
              <w:t>Collateral / informant report</w:t>
            </w:r>
          </w:p>
        </w:tc>
        <w:tc>
          <w:tcPr>
            <w:tcW w:type="dxa" w:w="979"/>
            <w:vAlign w:val="top"/>
          </w:tcPr>
          <w:p>
            <w:pPr>
              <w:spacing w:after="40" w:before="0" w:line="259" w:lineRule="auto"/>
            </w:pPr>
            <w:r>
              <w:rPr>
                <w:rFonts w:ascii="Calibri" w:hAnsi="Calibri"/>
                <w:b w:val="0"/>
                <w:i w:val="0"/>
                <w:color w:val="212121"/>
                <w:sz w:val="16"/>
              </w:rPr>
              <w:t>AD8, IQCODE from a knowledgeable informant</w:t>
            </w:r>
          </w:p>
        </w:tc>
        <w:tc>
          <w:tcPr>
            <w:tcW w:type="dxa" w:w="950"/>
            <w:vAlign w:val="top"/>
          </w:tcPr>
          <w:p>
            <w:pPr>
              <w:spacing w:after="40" w:before="0" w:line="259" w:lineRule="auto"/>
            </w:pPr>
            <w:r>
              <w:rPr>
                <w:rFonts w:ascii="Calibri" w:hAnsi="Calibri"/>
                <w:b w:val="0"/>
                <w:i w:val="0"/>
                <w:color w:val="212121"/>
                <w:sz w:val="16"/>
              </w:rPr>
              <w:t>No informant-reported decline</w:t>
            </w:r>
          </w:p>
        </w:tc>
        <w:tc>
          <w:tcPr>
            <w:tcW w:type="dxa" w:w="950"/>
            <w:vAlign w:val="top"/>
          </w:tcPr>
          <w:p>
            <w:pPr>
              <w:spacing w:after="40" w:before="0" w:line="259" w:lineRule="auto"/>
            </w:pPr>
            <w:r>
              <w:rPr>
                <w:rFonts w:ascii="Calibri" w:hAnsi="Calibri"/>
                <w:b w:val="0"/>
                <w:i w:val="0"/>
                <w:color w:val="212121"/>
                <w:sz w:val="16"/>
              </w:rPr>
              <w:t>Informant confirms decline from previous level</w:t>
            </w:r>
          </w:p>
        </w:tc>
        <w:tc>
          <w:tcPr>
            <w:tcW w:type="dxa" w:w="1036"/>
            <w:vAlign w:val="top"/>
          </w:tcPr>
          <w:p>
            <w:pPr>
              <w:spacing w:after="40" w:before="0" w:line="259" w:lineRule="auto"/>
            </w:pPr>
            <w:r>
              <w:rPr>
                <w:rFonts w:ascii="Calibri" w:hAnsi="Calibri"/>
                <w:b w:val="0"/>
                <w:i w:val="0"/>
                <w:color w:val="212121"/>
                <w:sz w:val="16"/>
              </w:rPr>
              <w:t>Corroborates change and reduces self-report bias</w:t>
            </w:r>
          </w:p>
        </w:tc>
        <w:tc>
          <w:tcPr>
            <w:tcW w:type="dxa" w:w="1036"/>
            <w:vAlign w:val="top"/>
          </w:tcPr>
          <w:p>
            <w:pPr>
              <w:spacing w:after="40" w:before="0" w:line="259" w:lineRule="auto"/>
            </w:pPr>
            <w:r>
              <w:rPr>
                <w:rFonts w:ascii="Calibri" w:hAnsi="Calibri"/>
                <w:b w:val="0"/>
                <w:i w:val="0"/>
                <w:color w:val="212121"/>
                <w:sz w:val="16"/>
              </w:rPr>
              <w:t>All patients, especially with limited insight</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Collateral history is essential and highly informative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Mood assessment</w:t>
            </w:r>
          </w:p>
        </w:tc>
        <w:tc>
          <w:tcPr>
            <w:tcW w:type="dxa" w:w="950"/>
            <w:vAlign w:val="top"/>
          </w:tcPr>
          <w:p>
            <w:pPr>
              <w:spacing w:after="40" w:before="0" w:line="259" w:lineRule="auto"/>
            </w:pPr>
            <w:r>
              <w:rPr>
                <w:rFonts w:ascii="Calibri" w:hAnsi="Calibri"/>
                <w:b w:val="0"/>
                <w:i w:val="0"/>
                <w:color w:val="212121"/>
                <w:sz w:val="16"/>
              </w:rPr>
              <w:t>Depression / anxiety screen</w:t>
            </w:r>
          </w:p>
        </w:tc>
        <w:tc>
          <w:tcPr>
            <w:tcW w:type="dxa" w:w="979"/>
            <w:vAlign w:val="top"/>
          </w:tcPr>
          <w:p>
            <w:pPr>
              <w:spacing w:after="40" w:before="0" w:line="259" w:lineRule="auto"/>
            </w:pPr>
            <w:r>
              <w:rPr>
                <w:rFonts w:ascii="Calibri" w:hAnsi="Calibri"/>
                <w:b w:val="0"/>
                <w:i w:val="0"/>
                <w:color w:val="212121"/>
                <w:sz w:val="16"/>
              </w:rPr>
              <w:t>PHQ-9 / Geriatric Depression Scale</w:t>
            </w:r>
          </w:p>
        </w:tc>
        <w:tc>
          <w:tcPr>
            <w:tcW w:type="dxa" w:w="950"/>
            <w:vAlign w:val="top"/>
          </w:tcPr>
          <w:p>
            <w:pPr>
              <w:spacing w:after="40" w:before="0" w:line="259" w:lineRule="auto"/>
            </w:pPr>
            <w:r>
              <w:rPr>
                <w:rFonts w:ascii="Calibri" w:hAnsi="Calibri"/>
                <w:b w:val="0"/>
                <w:i w:val="0"/>
                <w:color w:val="212121"/>
                <w:sz w:val="16"/>
              </w:rPr>
              <w:t>No significant depression</w:t>
            </w:r>
          </w:p>
        </w:tc>
        <w:tc>
          <w:tcPr>
            <w:tcW w:type="dxa" w:w="950"/>
            <w:vAlign w:val="top"/>
          </w:tcPr>
          <w:p>
            <w:pPr>
              <w:spacing w:after="40" w:before="0" w:line="259" w:lineRule="auto"/>
            </w:pPr>
            <w:r>
              <w:rPr>
                <w:rFonts w:ascii="Calibri" w:hAnsi="Calibri"/>
                <w:b w:val="0"/>
                <w:i w:val="0"/>
                <w:color w:val="212121"/>
                <w:sz w:val="16"/>
              </w:rPr>
              <w:t>Elevated depression/anxiety score</w:t>
            </w:r>
          </w:p>
        </w:tc>
        <w:tc>
          <w:tcPr>
            <w:tcW w:type="dxa" w:w="1036"/>
            <w:vAlign w:val="top"/>
          </w:tcPr>
          <w:p>
            <w:pPr>
              <w:spacing w:after="40" w:before="0" w:line="259" w:lineRule="auto"/>
            </w:pPr>
            <w:r>
              <w:rPr>
                <w:rFonts w:ascii="Calibri" w:hAnsi="Calibri"/>
                <w:b w:val="0"/>
                <w:i w:val="0"/>
                <w:color w:val="212121"/>
                <w:sz w:val="16"/>
              </w:rPr>
              <w:t>Detects treatable mood disorder that mimics or worsens MCI</w:t>
            </w:r>
          </w:p>
        </w:tc>
        <w:tc>
          <w:tcPr>
            <w:tcW w:type="dxa" w:w="1036"/>
            <w:vAlign w:val="top"/>
          </w:tcPr>
          <w:p>
            <w:pPr>
              <w:spacing w:after="40" w:before="0" w:line="259" w:lineRule="auto"/>
            </w:pPr>
            <w:r>
              <w:rPr>
                <w:rFonts w:ascii="Calibri" w:hAnsi="Calibri"/>
                <w:b w:val="0"/>
                <w:i w:val="0"/>
                <w:color w:val="212121"/>
                <w:sz w:val="16"/>
              </w:rPr>
              <w:t>Older adults, apathetic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Depression can cause reversible 'pseudo-MCI'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Sensory &amp; medication review</w:t>
            </w:r>
          </w:p>
        </w:tc>
        <w:tc>
          <w:tcPr>
            <w:tcW w:type="dxa" w:w="950"/>
            <w:vAlign w:val="top"/>
          </w:tcPr>
          <w:p>
            <w:pPr>
              <w:spacing w:after="40" w:before="0" w:line="259" w:lineRule="auto"/>
            </w:pPr>
            <w:r>
              <w:rPr>
                <w:rFonts w:ascii="Calibri" w:hAnsi="Calibri"/>
                <w:b w:val="0"/>
                <w:i w:val="0"/>
                <w:color w:val="212121"/>
                <w:sz w:val="16"/>
              </w:rPr>
              <w:t>Hearing/vision and drug review</w:t>
            </w:r>
          </w:p>
        </w:tc>
        <w:tc>
          <w:tcPr>
            <w:tcW w:type="dxa" w:w="979"/>
            <w:vAlign w:val="top"/>
          </w:tcPr>
          <w:p>
            <w:pPr>
              <w:spacing w:after="40" w:before="0" w:line="259" w:lineRule="auto"/>
            </w:pPr>
            <w:r>
              <w:rPr>
                <w:rFonts w:ascii="Calibri" w:hAnsi="Calibri"/>
                <w:b w:val="0"/>
                <w:i w:val="0"/>
                <w:color w:val="212121"/>
                <w:sz w:val="16"/>
              </w:rPr>
              <w:t>Audiometry/whisper test, visual acuity, anticholinergic burden</w:t>
            </w:r>
          </w:p>
        </w:tc>
        <w:tc>
          <w:tcPr>
            <w:tcW w:type="dxa" w:w="950"/>
            <w:vAlign w:val="top"/>
          </w:tcPr>
          <w:p>
            <w:pPr>
              <w:spacing w:after="40" w:before="0" w:line="259" w:lineRule="auto"/>
            </w:pPr>
            <w:r>
              <w:rPr>
                <w:rFonts w:ascii="Calibri" w:hAnsi="Calibri"/>
                <w:b w:val="0"/>
                <w:i w:val="0"/>
                <w:color w:val="212121"/>
                <w:sz w:val="16"/>
              </w:rPr>
              <w:t>Corrected hearing/vision; low drug burden</w:t>
            </w:r>
          </w:p>
        </w:tc>
        <w:tc>
          <w:tcPr>
            <w:tcW w:type="dxa" w:w="950"/>
            <w:vAlign w:val="top"/>
          </w:tcPr>
          <w:p>
            <w:pPr>
              <w:spacing w:after="40" w:before="0" w:line="259" w:lineRule="auto"/>
            </w:pPr>
            <w:r>
              <w:rPr>
                <w:rFonts w:ascii="Calibri" w:hAnsi="Calibri"/>
                <w:b w:val="0"/>
                <w:i w:val="0"/>
                <w:color w:val="212121"/>
                <w:sz w:val="16"/>
              </w:rPr>
              <w:t>Untreated hearing/vision loss; sedating/anticholinergic drugs</w:t>
            </w:r>
          </w:p>
        </w:tc>
        <w:tc>
          <w:tcPr>
            <w:tcW w:type="dxa" w:w="1036"/>
            <w:vAlign w:val="top"/>
          </w:tcPr>
          <w:p>
            <w:pPr>
              <w:spacing w:after="40" w:before="0" w:line="259" w:lineRule="auto"/>
            </w:pPr>
            <w:r>
              <w:rPr>
                <w:rFonts w:ascii="Calibri" w:hAnsi="Calibri"/>
                <w:b w:val="0"/>
                <w:i w:val="0"/>
                <w:color w:val="212121"/>
                <w:sz w:val="16"/>
              </w:rPr>
              <w:t>Identifies modifiable contributors to cognitive load and decline</w:t>
            </w:r>
          </w:p>
        </w:tc>
        <w:tc>
          <w:tcPr>
            <w:tcW w:type="dxa" w:w="1036"/>
            <w:vAlign w:val="top"/>
          </w:tcPr>
          <w:p>
            <w:pPr>
              <w:spacing w:after="40" w:before="0" w:line="259" w:lineRule="auto"/>
            </w:pPr>
            <w:r>
              <w:rPr>
                <w:rFonts w:ascii="Calibri" w:hAnsi="Calibri"/>
                <w:b w:val="0"/>
                <w:i w:val="0"/>
                <w:color w:val="212121"/>
                <w:sz w:val="16"/>
              </w:rPr>
              <w:t>Elderly, polypharmacy, hearing/vision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Correcting hearing loss and deprescribing can improve cognition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w:t>
            </w:r>
          </w:p>
        </w:tc>
        <w:tc>
          <w:tcPr>
            <w:tcW w:type="dxa" w:w="950"/>
            <w:vAlign w:val="top"/>
          </w:tcPr>
          <w:p>
            <w:pPr>
              <w:spacing w:after="40" w:before="0" w:line="259" w:lineRule="auto"/>
            </w:pPr>
            <w:r>
              <w:rPr>
                <w:rFonts w:ascii="Calibri" w:hAnsi="Calibri"/>
                <w:b w:val="0"/>
                <w:i w:val="0"/>
                <w:color w:val="212121"/>
                <w:sz w:val="16"/>
              </w:rPr>
              <w:t>Focal signs &amp; parkinsonism</w:t>
            </w:r>
          </w:p>
        </w:tc>
        <w:tc>
          <w:tcPr>
            <w:tcW w:type="dxa" w:w="979"/>
            <w:vAlign w:val="top"/>
          </w:tcPr>
          <w:p>
            <w:pPr>
              <w:spacing w:after="40" w:before="0" w:line="259" w:lineRule="auto"/>
            </w:pPr>
            <w:r>
              <w:rPr>
                <w:rFonts w:ascii="Calibri" w:hAnsi="Calibri"/>
                <w:b w:val="0"/>
                <w:i w:val="0"/>
                <w:color w:val="212121"/>
                <w:sz w:val="16"/>
              </w:rPr>
              <w:t>Focal deficits, gait, tremor, rigidity, primitive reflexes</w:t>
            </w:r>
          </w:p>
        </w:tc>
        <w:tc>
          <w:tcPr>
            <w:tcW w:type="dxa" w:w="950"/>
            <w:vAlign w:val="top"/>
          </w:tcPr>
          <w:p>
            <w:pPr>
              <w:spacing w:after="40" w:before="0" w:line="259" w:lineRule="auto"/>
            </w:pPr>
            <w:r>
              <w:rPr>
                <w:rFonts w:ascii="Calibri" w:hAnsi="Calibri"/>
                <w:b w:val="0"/>
                <w:i w:val="0"/>
                <w:color w:val="212121"/>
                <w:sz w:val="16"/>
              </w:rPr>
              <w:t>No focal deficit</w:t>
            </w:r>
          </w:p>
        </w:tc>
        <w:tc>
          <w:tcPr>
            <w:tcW w:type="dxa" w:w="950"/>
            <w:vAlign w:val="top"/>
          </w:tcPr>
          <w:p>
            <w:pPr>
              <w:spacing w:after="40" w:before="0" w:line="259" w:lineRule="auto"/>
            </w:pPr>
            <w:r>
              <w:rPr>
                <w:rFonts w:ascii="Calibri" w:hAnsi="Calibri"/>
                <w:b w:val="0"/>
                <w:i w:val="0"/>
                <w:color w:val="212121"/>
                <w:sz w:val="16"/>
              </w:rPr>
              <w:t>Focal signs (vascular), parkinsonism (Lewy body/PD), gait disorder</w:t>
            </w:r>
          </w:p>
        </w:tc>
        <w:tc>
          <w:tcPr>
            <w:tcW w:type="dxa" w:w="1036"/>
            <w:vAlign w:val="top"/>
          </w:tcPr>
          <w:p>
            <w:pPr>
              <w:spacing w:after="40" w:before="0" w:line="259" w:lineRule="auto"/>
            </w:pPr>
            <w:r>
              <w:rPr>
                <w:rFonts w:ascii="Calibri" w:hAnsi="Calibri"/>
                <w:b w:val="0"/>
                <w:i w:val="0"/>
                <w:color w:val="212121"/>
                <w:sz w:val="16"/>
              </w:rPr>
              <w:t>Points to the underlying cause and to reversible/structural disease</w:t>
            </w:r>
          </w:p>
        </w:tc>
        <w:tc>
          <w:tcPr>
            <w:tcW w:type="dxa" w:w="1036"/>
            <w:vAlign w:val="top"/>
          </w:tcPr>
          <w:p>
            <w:pPr>
              <w:spacing w:after="40" w:before="0" w:line="259" w:lineRule="auto"/>
            </w:pPr>
            <w:r>
              <w:rPr>
                <w:rFonts w:ascii="Calibri" w:hAnsi="Calibri"/>
                <w:b w:val="0"/>
                <w:i w:val="0"/>
                <w:color w:val="212121"/>
                <w:sz w:val="16"/>
              </w:rPr>
              <w:t>Vascular, Lewy body, Parkinson's, NPH</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Gait/parkinsonian signs guide subtype and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Vascular risk history</w:t>
            </w:r>
          </w:p>
        </w:tc>
        <w:tc>
          <w:tcPr>
            <w:tcW w:type="dxa" w:w="950"/>
            <w:vAlign w:val="top"/>
          </w:tcPr>
          <w:p>
            <w:pPr>
              <w:spacing w:after="40" w:before="0" w:line="259" w:lineRule="auto"/>
            </w:pPr>
            <w:r>
              <w:rPr>
                <w:rFonts w:ascii="Calibri" w:hAnsi="Calibri"/>
                <w:b w:val="0"/>
                <w:i w:val="0"/>
                <w:color w:val="212121"/>
                <w:sz w:val="16"/>
              </w:rPr>
              <w:t>Vascular &amp; lifestyle risk profile</w:t>
            </w:r>
          </w:p>
        </w:tc>
        <w:tc>
          <w:tcPr>
            <w:tcW w:type="dxa" w:w="979"/>
            <w:vAlign w:val="top"/>
          </w:tcPr>
          <w:p>
            <w:pPr>
              <w:spacing w:after="40" w:before="0" w:line="259" w:lineRule="auto"/>
            </w:pPr>
            <w:r>
              <w:rPr>
                <w:rFonts w:ascii="Calibri" w:hAnsi="Calibri"/>
                <w:b w:val="0"/>
                <w:i w:val="0"/>
                <w:color w:val="212121"/>
                <w:sz w:val="16"/>
              </w:rPr>
              <w:t>Hypertension, diabetes, smoking, alcohol, stroke/TIA, activity, diet</w:t>
            </w:r>
          </w:p>
        </w:tc>
        <w:tc>
          <w:tcPr>
            <w:tcW w:type="dxa" w:w="950"/>
            <w:vAlign w:val="top"/>
          </w:tcPr>
          <w:p>
            <w:pPr>
              <w:spacing w:after="40" w:before="0" w:line="259" w:lineRule="auto"/>
            </w:pPr>
            <w:r>
              <w:rPr>
                <w:rFonts w:ascii="Calibri" w:hAnsi="Calibri"/>
                <w:b w:val="0"/>
                <w:i w:val="0"/>
                <w:color w:val="212121"/>
                <w:sz w:val="16"/>
              </w:rPr>
              <w:t>No vascular risk factors</w:t>
            </w:r>
          </w:p>
        </w:tc>
        <w:tc>
          <w:tcPr>
            <w:tcW w:type="dxa" w:w="950"/>
            <w:vAlign w:val="top"/>
          </w:tcPr>
          <w:p>
            <w:pPr>
              <w:spacing w:after="40" w:before="0" w:line="259" w:lineRule="auto"/>
            </w:pPr>
            <w:r>
              <w:rPr>
                <w:rFonts w:ascii="Calibri" w:hAnsi="Calibri"/>
                <w:b w:val="0"/>
                <w:i w:val="0"/>
                <w:color w:val="212121"/>
                <w:sz w:val="16"/>
              </w:rPr>
              <w:t>One or more modifiable vascular/lifestyle risks</w:t>
            </w:r>
          </w:p>
        </w:tc>
        <w:tc>
          <w:tcPr>
            <w:tcW w:type="dxa" w:w="1036"/>
            <w:vAlign w:val="top"/>
          </w:tcPr>
          <w:p>
            <w:pPr>
              <w:spacing w:after="40" w:before="0" w:line="259" w:lineRule="auto"/>
            </w:pPr>
            <w:r>
              <w:rPr>
                <w:rFonts w:ascii="Calibri" w:hAnsi="Calibri"/>
                <w:b w:val="0"/>
                <w:i w:val="0"/>
                <w:color w:val="212121"/>
                <w:sz w:val="16"/>
              </w:rPr>
              <w:t>Identifies the treatable burden driving vascular MCI</w:t>
            </w:r>
          </w:p>
        </w:tc>
        <w:tc>
          <w:tcPr>
            <w:tcW w:type="dxa" w:w="1036"/>
            <w:vAlign w:val="top"/>
          </w:tcPr>
          <w:p>
            <w:pPr>
              <w:spacing w:after="40" w:before="0" w:line="259" w:lineRule="auto"/>
            </w:pPr>
            <w:r>
              <w:rPr>
                <w:rFonts w:ascii="Calibri" w:hAnsi="Calibri"/>
                <w:b w:val="0"/>
                <w:i w:val="0"/>
                <w:color w:val="212121"/>
                <w:sz w:val="16"/>
              </w:rPr>
              <w:t>Hypertensives, diabetics, smokers, sedentary</w:t>
            </w:r>
          </w:p>
        </w:tc>
        <w:tc>
          <w:tcPr>
            <w:tcW w:type="dxa" w:w="720"/>
            <w:vAlign w:val="top"/>
          </w:tcPr>
          <w:p>
            <w:pPr>
              <w:spacing w:after="40" w:before="0" w:line="259" w:lineRule="auto"/>
            </w:pPr>
            <w:r>
              <w:rPr>
                <w:rFonts w:ascii="Calibri" w:hAnsi="Calibri"/>
                <w:b w:val="0"/>
                <w:i w:val="0"/>
                <w:color w:val="212121"/>
                <w:sz w:val="16"/>
              </w:rPr>
              <w:t>Food; Smoking; 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Basis for risk-factor modification to slow decline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Short-term memory lapses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Forgetting recent conversations, appointments or where items were placed, more than expected for age (typical of amnestic MCI).</w:t>
            </w:r>
          </w:p>
        </w:tc>
      </w:tr>
      <w:tr>
        <w:trPr>
          <w:cantSplit/>
        </w:trPr>
        <w:tc>
          <w:tcPr>
            <w:tcW w:type="dxa" w:w="2304"/>
            <w:vAlign w:val="top"/>
          </w:tcPr>
          <w:p>
            <w:pPr>
              <w:spacing w:after="40" w:before="0" w:line="259" w:lineRule="auto"/>
            </w:pPr>
            <w:r>
              <w:rPr>
                <w:rFonts w:ascii="Calibri" w:hAnsi="Calibri"/>
                <w:b/>
                <w:i w:val="0"/>
                <w:color w:val="212121"/>
                <w:sz w:val="19"/>
              </w:rPr>
              <w:t>Word-finding difficulty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Pausing to find the right word or name more often ('tip-of-the-tongue'), with speech otherwise fluent.</w:t>
            </w:r>
          </w:p>
        </w:tc>
      </w:tr>
      <w:tr>
        <w:trPr>
          <w:cantSplit/>
        </w:trPr>
        <w:tc>
          <w:tcPr>
            <w:tcW w:type="dxa" w:w="2304"/>
            <w:vAlign w:val="top"/>
          </w:tcPr>
          <w:p>
            <w:pPr>
              <w:spacing w:after="40" w:before="0" w:line="259" w:lineRule="auto"/>
            </w:pPr>
            <w:r>
              <w:rPr>
                <w:rFonts w:ascii="Calibri" w:hAnsi="Calibri"/>
                <w:b/>
                <w:i w:val="0"/>
                <w:color w:val="212121"/>
                <w:sz w:val="19"/>
              </w:rPr>
              <w:t>Reduced ability to plan and organise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Executive difficulty with multi-step tasks, finances or following a recipe — prominent in non-amnestic/vascular MCI.</w:t>
            </w:r>
          </w:p>
        </w:tc>
      </w:tr>
      <w:tr>
        <w:trPr>
          <w:cantSplit/>
        </w:trPr>
        <w:tc>
          <w:tcPr>
            <w:tcW w:type="dxa" w:w="2304"/>
            <w:vAlign w:val="top"/>
          </w:tcPr>
          <w:p>
            <w:pPr>
              <w:spacing w:after="40" w:before="0" w:line="259" w:lineRule="auto"/>
            </w:pPr>
            <w:r>
              <w:rPr>
                <w:rFonts w:ascii="Calibri" w:hAnsi="Calibri"/>
                <w:b/>
                <w:i w:val="0"/>
                <w:color w:val="212121"/>
                <w:sz w:val="19"/>
              </w:rPr>
              <w:t>Impaired attention and concentration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Losing track mid-task, needing information repeated, and being more easily distracted.</w:t>
            </w:r>
          </w:p>
        </w:tc>
      </w:tr>
      <w:tr>
        <w:trPr>
          <w:cantSplit/>
        </w:trPr>
        <w:tc>
          <w:tcPr>
            <w:tcW w:type="dxa" w:w="2304"/>
            <w:vAlign w:val="top"/>
          </w:tcPr>
          <w:p>
            <w:pPr>
              <w:spacing w:after="40" w:before="0" w:line="259" w:lineRule="auto"/>
            </w:pPr>
            <w:r>
              <w:rPr>
                <w:rFonts w:ascii="Calibri" w:hAnsi="Calibri"/>
                <w:b/>
                <w:i w:val="0"/>
                <w:color w:val="212121"/>
                <w:sz w:val="19"/>
              </w:rPr>
              <w:t>Misplacing objects / retracing steps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Putting things in unusual places and needing to retrace steps to find them.</w:t>
            </w:r>
          </w:p>
        </w:tc>
      </w:tr>
      <w:tr>
        <w:trPr>
          <w:cantSplit/>
        </w:trPr>
        <w:tc>
          <w:tcPr>
            <w:tcW w:type="dxa" w:w="2304"/>
            <w:vAlign w:val="top"/>
          </w:tcPr>
          <w:p>
            <w:pPr>
              <w:spacing w:after="40" w:before="0" w:line="259" w:lineRule="auto"/>
            </w:pPr>
            <w:r>
              <w:rPr>
                <w:rFonts w:ascii="Calibri" w:hAnsi="Calibri"/>
                <w:b/>
                <w:i w:val="0"/>
                <w:color w:val="212121"/>
                <w:sz w:val="19"/>
              </w:rPr>
              <w:t>Difficulty with complex daily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Managing money, medications or navigation takes more time and effort, though independence is retained.</w:t>
            </w:r>
          </w:p>
        </w:tc>
      </w:tr>
      <w:tr>
        <w:trPr>
          <w:cantSplit/>
        </w:trPr>
        <w:tc>
          <w:tcPr>
            <w:tcW w:type="dxa" w:w="2304"/>
            <w:vAlign w:val="top"/>
          </w:tcPr>
          <w:p>
            <w:pPr>
              <w:spacing w:after="40" w:before="0" w:line="259" w:lineRule="auto"/>
            </w:pPr>
            <w:r>
              <w:rPr>
                <w:rFonts w:ascii="Calibri" w:hAnsi="Calibri"/>
                <w:b/>
                <w:i w:val="0"/>
                <w:color w:val="212121"/>
                <w:sz w:val="19"/>
              </w:rPr>
              <w:t>Apathy and low motivation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drive and interest, one of the most frequent neuropsychiatric features of MCI.</w:t>
            </w:r>
          </w:p>
        </w:tc>
      </w:tr>
      <w:tr>
        <w:trPr>
          <w:cantSplit/>
        </w:trPr>
        <w:tc>
          <w:tcPr>
            <w:tcW w:type="dxa" w:w="2304"/>
            <w:vAlign w:val="top"/>
          </w:tcPr>
          <w:p>
            <w:pPr>
              <w:spacing w:after="40" w:before="0" w:line="259" w:lineRule="auto"/>
            </w:pPr>
            <w:r>
              <w:rPr>
                <w:rFonts w:ascii="Calibri" w:hAnsi="Calibri"/>
                <w:b/>
                <w:i w:val="0"/>
                <w:color w:val="212121"/>
                <w:sz w:val="19"/>
              </w:rPr>
              <w:t>Depressed mood or anxiety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mood, worry or irritability, present in a large share of MCI and predicting faster progression.</w:t>
            </w:r>
          </w:p>
        </w:tc>
      </w:tr>
      <w:tr>
        <w:trPr>
          <w:cantSplit/>
        </w:trPr>
        <w:tc>
          <w:tcPr>
            <w:tcW w:type="dxa" w:w="2304"/>
            <w:vAlign w:val="top"/>
          </w:tcPr>
          <w:p>
            <w:pPr>
              <w:spacing w:after="40" w:before="0" w:line="259" w:lineRule="auto"/>
            </w:pPr>
            <w:r>
              <w:rPr>
                <w:rFonts w:ascii="Calibri" w:hAnsi="Calibri"/>
                <w:b/>
                <w:i w:val="0"/>
                <w:color w:val="212121"/>
                <w:sz w:val="19"/>
              </w:rPr>
              <w:t>Getting lost in unfamiliar places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visuospatial disorientation when navigating new routes or environments.</w:t>
            </w:r>
          </w:p>
        </w:tc>
      </w:tr>
      <w:tr>
        <w:trPr>
          <w:cantSplit/>
        </w:trPr>
        <w:tc>
          <w:tcPr>
            <w:tcW w:type="dxa" w:w="2304"/>
            <w:vAlign w:val="top"/>
          </w:tcPr>
          <w:p>
            <w:pPr>
              <w:spacing w:after="40" w:before="0" w:line="259" w:lineRule="auto"/>
            </w:pPr>
            <w:r>
              <w:rPr>
                <w:rFonts w:ascii="Calibri" w:hAnsi="Calibri"/>
                <w:b/>
                <w:i w:val="0"/>
                <w:color w:val="212121"/>
                <w:sz w:val="19"/>
              </w:rPr>
              <w:t>Difficulty following conversations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Trouble keeping up in groups, often compounded by untreated hearing loss.</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Fragmented sleep or excessive daytime sleepiness, sometimes reflecting sleep apnoea.</w:t>
            </w:r>
          </w:p>
        </w:tc>
      </w:tr>
      <w:tr>
        <w:trPr>
          <w:cantSplit/>
        </w:trPr>
        <w:tc>
          <w:tcPr>
            <w:tcW w:type="dxa" w:w="2304"/>
            <w:vAlign w:val="top"/>
          </w:tcPr>
          <w:p>
            <w:pPr>
              <w:spacing w:after="40" w:before="0" w:line="259" w:lineRule="auto"/>
            </w:pPr>
            <w:r>
              <w:rPr>
                <w:rFonts w:ascii="Calibri" w:hAnsi="Calibri"/>
                <w:b/>
                <w:i w:val="0"/>
                <w:color w:val="212121"/>
                <w:sz w:val="19"/>
              </w:rPr>
              <w:t>Irritability or personality change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changes in temperament noticed by family, more typical of frontal/non-amnestic MCI.</w:t>
            </w:r>
          </w:p>
        </w:tc>
      </w:tr>
      <w:tr>
        <w:trPr>
          <w:cantSplit/>
        </w:trPr>
        <w:tc>
          <w:tcPr>
            <w:tcW w:type="dxa" w:w="2304"/>
            <w:vAlign w:val="top"/>
          </w:tcPr>
          <w:p>
            <w:pPr>
              <w:spacing w:after="40" w:before="0" w:line="259" w:lineRule="auto"/>
            </w:pPr>
            <w:r>
              <w:rPr>
                <w:rFonts w:ascii="Calibri" w:hAnsi="Calibri"/>
                <w:b/>
                <w:i w:val="0"/>
                <w:color w:val="212121"/>
                <w:sz w:val="19"/>
              </w:rPr>
              <w:t>Visual hallucinations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Uncommon in MCI; when present suggest prodromal Lewy body disease and a worse prognosis.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Impaired delayed recall on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Poor recall of a word list or story after a delay — the objective hallmark of amnestic MCI.</w:t>
            </w:r>
          </w:p>
        </w:tc>
      </w:tr>
      <w:tr>
        <w:trPr>
          <w:cantSplit/>
        </w:trPr>
        <w:tc>
          <w:tcPr>
            <w:tcW w:type="dxa" w:w="3456"/>
            <w:vAlign w:val="top"/>
          </w:tcPr>
          <w:p>
            <w:pPr>
              <w:spacing w:after="40" w:before="0" w:line="259" w:lineRule="auto"/>
            </w:pPr>
            <w:r>
              <w:rPr>
                <w:rFonts w:ascii="Calibri" w:hAnsi="Calibri"/>
                <w:b/>
                <w:i w:val="0"/>
                <w:color w:val="212121"/>
                <w:sz w:val="19"/>
              </w:rPr>
              <w:t>Reduced score on MoCA / MMSE / HMSE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Below-normal cognitive screen (e.g., MoCA 18–25) adjusted for age and education.</w:t>
            </w:r>
          </w:p>
        </w:tc>
      </w:tr>
      <w:tr>
        <w:trPr>
          <w:cantSplit/>
        </w:trPr>
        <w:tc>
          <w:tcPr>
            <w:tcW w:type="dxa" w:w="3456"/>
            <w:vAlign w:val="top"/>
          </w:tcPr>
          <w:p>
            <w:pPr>
              <w:spacing w:after="40" w:before="0" w:line="259" w:lineRule="auto"/>
            </w:pPr>
            <w:r>
              <w:rPr>
                <w:rFonts w:ascii="Calibri" w:hAnsi="Calibri"/>
                <w:b/>
                <w:i w:val="0"/>
                <w:color w:val="212121"/>
                <w:sz w:val="19"/>
              </w:rPr>
              <w:t>Poor clock-drawing and trail-making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Executive/visuospatial errors reflecting frontal and parietal dysfunction.</w:t>
            </w:r>
          </w:p>
        </w:tc>
      </w:tr>
      <w:tr>
        <w:trPr>
          <w:cantSplit/>
        </w:trPr>
        <w:tc>
          <w:tcPr>
            <w:tcW w:type="dxa" w:w="3456"/>
            <w:vAlign w:val="top"/>
          </w:tcPr>
          <w:p>
            <w:pPr>
              <w:spacing w:after="40" w:before="0" w:line="259" w:lineRule="auto"/>
            </w:pPr>
            <w:r>
              <w:rPr>
                <w:rFonts w:ascii="Calibri" w:hAnsi="Calibri"/>
                <w:b/>
                <w:i w:val="0"/>
                <w:color w:val="212121"/>
                <w:sz w:val="19"/>
              </w:rPr>
              <w:t>Reduced verbal fluency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Fewer words generated on category/letter fluency tasks — a sensitive early sign.</w:t>
            </w:r>
          </w:p>
        </w:tc>
      </w:tr>
      <w:tr>
        <w:trPr>
          <w:cantSplit/>
        </w:trPr>
        <w:tc>
          <w:tcPr>
            <w:tcW w:type="dxa" w:w="3456"/>
            <w:vAlign w:val="top"/>
          </w:tcPr>
          <w:p>
            <w:pPr>
              <w:spacing w:after="40" w:before="0" w:line="259" w:lineRule="auto"/>
            </w:pPr>
            <w:r>
              <w:rPr>
                <w:rFonts w:ascii="Calibri" w:hAnsi="Calibri"/>
                <w:b/>
                <w:i w:val="0"/>
                <w:color w:val="212121"/>
                <w:sz w:val="19"/>
              </w:rPr>
              <w:t>Preserved basic activities of daily living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Intact independence in dressing, feeding and self-care distinguishes MCI from dementia.</w:t>
            </w:r>
          </w:p>
        </w:tc>
      </w:tr>
      <w:tr>
        <w:trPr>
          <w:cantSplit/>
        </w:trPr>
        <w:tc>
          <w:tcPr>
            <w:tcW w:type="dxa" w:w="3456"/>
            <w:vAlign w:val="top"/>
          </w:tcPr>
          <w:p>
            <w:pPr>
              <w:spacing w:after="40" w:before="0" w:line="259" w:lineRule="auto"/>
            </w:pPr>
            <w:r>
              <w:rPr>
                <w:rFonts w:ascii="Calibri" w:hAnsi="Calibri"/>
                <w:b/>
                <w:i w:val="0"/>
                <w:color w:val="212121"/>
                <w:sz w:val="19"/>
              </w:rPr>
              <w:t>Informant-confirmed cognitive decline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knowledgeable informant (AD8/IQCODE) corroborates a change from the person's previous level.</w:t>
            </w:r>
          </w:p>
        </w:tc>
      </w:tr>
      <w:tr>
        <w:trPr>
          <w:cantSplit/>
        </w:trPr>
        <w:tc>
          <w:tcPr>
            <w:tcW w:type="dxa" w:w="3456"/>
            <w:vAlign w:val="top"/>
          </w:tcPr>
          <w:p>
            <w:pPr>
              <w:spacing w:after="40" w:before="0" w:line="259" w:lineRule="auto"/>
            </w:pPr>
            <w:r>
              <w:rPr>
                <w:rFonts w:ascii="Calibri" w:hAnsi="Calibri"/>
                <w:b/>
                <w:i w:val="0"/>
                <w:color w:val="212121"/>
                <w:sz w:val="19"/>
              </w:rPr>
              <w:t>Depressed affect / apathy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Observable low mood or reduced motivation, a treatable contributor to poor performance.</w:t>
            </w:r>
          </w:p>
        </w:tc>
      </w:tr>
      <w:tr>
        <w:trPr>
          <w:cantSplit/>
        </w:trPr>
        <w:tc>
          <w:tcPr>
            <w:tcW w:type="dxa" w:w="3456"/>
            <w:vAlign w:val="top"/>
          </w:tcPr>
          <w:p>
            <w:pPr>
              <w:spacing w:after="40" w:before="0" w:line="259" w:lineRule="auto"/>
            </w:pPr>
            <w:r>
              <w:rPr>
                <w:rFonts w:ascii="Calibri" w:hAnsi="Calibri"/>
                <w:b/>
                <w:i w:val="0"/>
                <w:color w:val="212121"/>
                <w:sz w:val="19"/>
              </w:rPr>
              <w:t>Hippocampal / medial-temporal atrophy on MRI</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Volume loss on imaging that predicts progression to Alzheimer's dementia.</w:t>
            </w:r>
          </w:p>
        </w:tc>
      </w:tr>
      <w:tr>
        <w:trPr>
          <w:cantSplit/>
        </w:trPr>
        <w:tc>
          <w:tcPr>
            <w:tcW w:type="dxa" w:w="3456"/>
            <w:vAlign w:val="top"/>
          </w:tcPr>
          <w:p>
            <w:pPr>
              <w:spacing w:after="40" w:before="0" w:line="259" w:lineRule="auto"/>
            </w:pPr>
            <w:r>
              <w:rPr>
                <w:rFonts w:ascii="Calibri" w:hAnsi="Calibri"/>
                <w:b/>
                <w:i w:val="0"/>
                <w:color w:val="212121"/>
                <w:sz w:val="19"/>
              </w:rPr>
              <w:t>Focal neurological or vascular signs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Subtle deficits, brisk reflexes or gait change pointing to underlying cerebrovascular disease.</w:t>
            </w:r>
          </w:p>
        </w:tc>
      </w:tr>
      <w:tr>
        <w:trPr>
          <w:cantSplit/>
        </w:trPr>
        <w:tc>
          <w:tcPr>
            <w:tcW w:type="dxa" w:w="3456"/>
            <w:vAlign w:val="top"/>
          </w:tcPr>
          <w:p>
            <w:pPr>
              <w:spacing w:after="40" w:before="0" w:line="259" w:lineRule="auto"/>
            </w:pPr>
            <w:r>
              <w:rPr>
                <w:rFonts w:ascii="Calibri" w:hAnsi="Calibri"/>
                <w:b/>
                <w:i w:val="0"/>
                <w:color w:val="212121"/>
                <w:sz w:val="19"/>
              </w:rPr>
              <w:t>Parkinsonian signs (mild rigidity, bradykinesia)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 Lewy body or Parkinson's disease as the cause of non-amnestic MCI.</w:t>
            </w:r>
          </w:p>
        </w:tc>
      </w:tr>
      <w:tr>
        <w:trPr>
          <w:cantSplit/>
        </w:trPr>
        <w:tc>
          <w:tcPr>
            <w:tcW w:type="dxa" w:w="3456"/>
            <w:vAlign w:val="top"/>
          </w:tcPr>
          <w:p>
            <w:pPr>
              <w:spacing w:after="40" w:before="0" w:line="259" w:lineRule="auto"/>
            </w:pPr>
            <w:r>
              <w:rPr>
                <w:rFonts w:ascii="Calibri" w:hAnsi="Calibri"/>
                <w:b/>
                <w:i w:val="0"/>
                <w:color w:val="212121"/>
                <w:sz w:val="19"/>
              </w:rPr>
              <w:t>Uncorrected hearing or visual impairment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modifiable finding that increases cognitive load and worsens measured performance.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dementia (most often Alzheimer's disease) — about 10–15% per year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vascular, Lewy body or frontotemporal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decline in memory, attention and executive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Emergence of neuropsychiatric symptoms (depression, apathy, anxiety)</w:t>
            </w:r>
          </w:p>
        </w:tc>
        <w:tc>
          <w:tcPr>
            <w:tcW w:type="dxa" w:w="2980"/>
            <w:vAlign w:val="top"/>
          </w:tcPr>
          <w:p>
            <w:pPr>
              <w:spacing w:after="40" w:before="0" w:line="259" w:lineRule="auto"/>
            </w:pPr>
            <w:r>
              <w:rPr>
                <w:rFonts w:ascii="Calibri" w:hAnsi="Calibri"/>
                <w:b w:val="0"/>
                <w:i w:val="0"/>
                <w:color w:val="212121"/>
                <w:sz w:val="19"/>
              </w:rPr>
              <w:t>Direct consequences of the underlying neurodegenerative or vascular pathology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Medication errors and missed doses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Financial mismanagement and vulnerability to scams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Unsafe driving and getting lost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and injuries from inattention or gait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self-management of diabetes, hypertension and other chronic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withdrawal, anxiety and low mood</w:t>
            </w:r>
          </w:p>
        </w:tc>
        <w:tc>
          <w:tcPr>
            <w:tcW w:type="dxa" w:w="2980"/>
            <w:vAlign w:val="top"/>
          </w:tcPr>
          <w:p>
            <w:pPr>
              <w:spacing w:after="40" w:before="0" w:line="259" w:lineRule="auto"/>
            </w:pPr>
            <w:r>
              <w:rPr>
                <w:rFonts w:ascii="Calibri" w:hAnsi="Calibri"/>
                <w:b w:val="0"/>
                <w:i w:val="0"/>
                <w:color w:val="212121"/>
                <w:sz w:val="19"/>
              </w:rPr>
              <w:t>Downstream effects of even mild cognitive and attentional deficits on daily safety and self-care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loss of independence and need for supervision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dementia with full functional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 stress, burden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Institutionalisation / need for long-term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premature mortality via associated disease</w:t>
            </w:r>
          </w:p>
        </w:tc>
        <w:tc>
          <w:tcPr>
            <w:tcW w:type="dxa" w:w="2980"/>
            <w:vAlign w:val="top"/>
          </w:tcPr>
          <w:p>
            <w:pPr>
              <w:spacing w:after="40" w:before="0" w:line="259" w:lineRule="auto"/>
            </w:pPr>
            <w:r>
              <w:rPr>
                <w:rFonts w:ascii="Calibri" w:hAnsi="Calibri"/>
                <w:b w:val="0"/>
                <w:i w:val="0"/>
                <w:color w:val="212121"/>
                <w:sz w:val="19"/>
              </w:rPr>
              <w:t>Irreversible end-stage outcomes when MCI progresses to and beyond dementia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leading modifiable driver of small-vessel injury and vascular cognitive impairment.</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Accelerates micro- and macrovascular brain injury; roughly doubles dementia risk.</w:t>
            </w:r>
          </w:p>
        </w:tc>
      </w:tr>
      <w:tr>
        <w:trPr>
          <w:cantSplit/>
        </w:trPr>
        <w:tc>
          <w:tcPr>
            <w:tcW w:type="dxa" w:w="2232"/>
            <w:vAlign w:val="top"/>
          </w:tcPr>
          <w:p>
            <w:pPr>
              <w:spacing w:after="40" w:before="0" w:line="259" w:lineRule="auto"/>
            </w:pPr>
            <w:r>
              <w:rPr>
                <w:rFonts w:ascii="Calibri" w:hAnsi="Calibri"/>
                <w:b/>
                <w:i w:val="0"/>
                <w:color w:val="212121"/>
                <w:sz w:val="19"/>
              </w:rPr>
              <w:t>Hearing loss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The single largest modifiable dementia risk factor; readily treatable with hearing aids.</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Present in a large share of MCI (35–85% have a neuropsychiatric symptom); treatable and predicts progression.</w:t>
            </w:r>
          </w:p>
          <w:p>
            <w:pPr>
              <w:spacing w:after="40" w:before="0" w:line="259" w:lineRule="auto"/>
            </w:pPr>
            <w:r>
              <w:rPr>
                <w:rFonts w:ascii="Calibri" w:hAnsi="Calibri"/>
                <w:b/>
                <w:i w:val="0"/>
                <w:color w:val="212121"/>
                <w:sz w:val="19"/>
              </w:rPr>
              <w:t>35–85% (any neuropsychiatric symptom)</w:t>
            </w:r>
          </w:p>
        </w:tc>
      </w:tr>
      <w:tr>
        <w:trPr>
          <w:cantSplit/>
        </w:trPr>
        <w:tc>
          <w:tcPr>
            <w:tcW w:type="dxa" w:w="2232"/>
            <w:vAlign w:val="top"/>
          </w:tcPr>
          <w:p>
            <w:pPr>
              <w:spacing w:after="40" w:before="0" w:line="259" w:lineRule="auto"/>
            </w:pPr>
            <w:r>
              <w:rPr>
                <w:rFonts w:ascii="Calibri" w:hAnsi="Calibri"/>
                <w:b/>
                <w:i w:val="0"/>
                <w:color w:val="212121"/>
                <w:sz w:val="19"/>
              </w:rPr>
              <w:t>Vitamin B12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Reversible cause; highly prevalent in Indian vegetarians.</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Reversible metabolic cause routinely screened for in MCI.</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Impairs attention and memory and promotes amyloid; treatable.</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High midlife LDL cholesterol is a modifiable dementia risk factor (~7%).</w:t>
            </w:r>
          </w:p>
          <w:p>
            <w:pPr>
              <w:spacing w:after="40" w:before="0" w:line="259" w:lineRule="auto"/>
            </w:pPr>
            <w:r>
              <w:rPr>
                <w:rFonts w:ascii="Calibri" w:hAnsi="Calibri"/>
                <w:b/>
                <w:i w:val="0"/>
                <w:color w:val="212121"/>
                <w:sz w:val="19"/>
              </w:rPr>
              <w:t>~7% of preventable dementia (LDL)</w:t>
            </w:r>
          </w:p>
        </w:tc>
      </w:tr>
      <w:tr>
        <w:trPr>
          <w:cantSplit/>
        </w:trPr>
        <w:tc>
          <w:tcPr>
            <w:tcW w:type="dxa" w:w="2232"/>
            <w:vAlign w:val="top"/>
          </w:tcPr>
          <w:p>
            <w:pPr>
              <w:spacing w:after="40" w:before="0" w:line="259" w:lineRule="auto"/>
            </w:pPr>
            <w:r>
              <w:rPr>
                <w:rFonts w:ascii="Calibri" w:hAnsi="Calibri"/>
                <w:b/>
                <w:i w:val="0"/>
                <w:color w:val="212121"/>
                <w:sz w:val="19"/>
              </w:rPr>
              <w:t>Stroke / cerebrovascular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Prior stroke or TIA is a major cause of vascular MCI and progression.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MCI is a warning stage, not inevitable dementia — up to 45% of dementia risk is potentially preventable, and some MCI even reverts to normal when treatable causes are addressed.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blood pressure, blood sugar, cholesterol, thyroid and vitamin B12 checked, and treat any abnormality — these are common, correctable contributors.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hearing and vision tested and corrected (hearing aids, glasses); uncorrected sensory loss is the single largest modifiable dementia risk factor.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mentally, socially and physically active — learning, social contact and regular exercise build cognitive reserve and slow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all medicines with a doctor and stop unnecessary sedating or anticholinergic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(worsening memory, difficulty with finances or medication, getting lost, low mood) and seek timely assessment.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midlife and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 and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hearing/vision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Low-literacy and rural populations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to improve cognition and lower 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2–3 days/week and balance work to reduce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short activity through the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 targeting central (abdominal) fat.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 and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at risk of falls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Prescribe individualised, supervised exercise combining aerobic and resistance training to preserve attention, executive function and memory.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structured cognitive stimulation and cognitively engaging activities alongside exercise (multidomain approach).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physiotherapy-led gait and balance programmes in those with gait change or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carer-supported daily walking and activity routines.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diagnosed MCI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Vascular MCI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MIND/Mediterranean-style, largely plant-based diet rich in green leafy vegetables, fruit, whole grains (millets, brown rice), pulses, nuts and fish.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salt to under 5 g/day and reduce sugar, refined carbohydrate, fried and ultra-processed foods to control blood pressure, glucose and lipids.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B12 (supplement or B12-rich/fortified foods), especially for vegetarians, and adequate folate and vitamin 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whole fruit over juices and use healthy oils in moderation; limit saturated and trans fats.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at risk of B12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 and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High-salt-diet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B12 deficiency and hypothyroidism promptly, then re-assess cognition — improvement confirms a reversible contribution.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individualised targets for blood pressure, HbA1c and LDL with diet plus medication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a dietitian for culturally appropriate, brain-healthy meal planning; ensure adequate protein and 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and avoid deficiency states (thiamine, B12) in drinkers.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MCI with B12 deficiency/hypothyroidism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7–8 hours of regular, good-quality sleep with consistent sleep–wake times.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(especially snorers and obese patients), as it impairs attention and memory.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sleep hygiene, limit evening screens/caffeine and manage nocturia.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insomnia with behavioural approaches first, avoiding sedating hypnotics that worsen cognition.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with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MCI and daytime sleepiness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cigarettes, bidis and smokeless products — to reduce vascular brain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quit-lines and pharmacotherapy (nicotine replacement, bupropion, varenicline) to aid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 and 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 and diabetics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and binge drinking, which is directly neurotoxic and raises stroke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keep well within low-risk limits; abstinence is safest for those with MCI or 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thiamine and B12 adequacy and seek support for alcohol-use disorder where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Heavy/harmful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MCI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nutritional deficiency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anxiety and apathy, which are common, treatable and worsen cognition and may mimic MCI.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social engagement, structured routine and cognitively stimulating activities to build reserve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where appropriate, pharmacotherapy for mood disorders, avoiding anticholinergic antidepressants.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education, reassurance and support to patients and families, and plan regular cognitive follow-up to detect progression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MCI with depression/anxiety/apathy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Recently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carers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lzheimer-europe.org/news/2024-lancet-commission-underscores-potential-dementia-risk-reduction-identifying-14-modifiable" TargetMode="External"/><Relationship Id="rId10" Type="http://schemas.openxmlformats.org/officeDocument/2006/relationships/hyperlink" Target="https://journals.plos.org/plosone/article?id=10.1371/journal.pone.0297220" TargetMode="External"/><Relationship Id="rId11" Type="http://schemas.openxmlformats.org/officeDocument/2006/relationships/hyperlink" Target="https://www.nature.com/articles/s41598-022-16652-y" TargetMode="External"/><Relationship Id="rId12" Type="http://schemas.openxmlformats.org/officeDocument/2006/relationships/hyperlink" Target="https://www.ncbi.nlm.nih.gov/books/NBK5995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