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Delirium</w:t>
      </w:r>
    </w:p>
    <w:p>
      <w:pPr>
        <w:spacing w:before="0" w:after="160"/>
      </w:pPr>
      <w:r>
        <w:rPr>
          <w:rFonts w:ascii="Calibri" w:hAnsi="Calibri"/>
          <w:b/>
          <w:i w:val="0"/>
          <w:color w:val="212121"/>
          <w:sz w:val="22"/>
        </w:rPr>
        <w:t xml:space="preserve">AKA </w:t>
      </w:r>
      <w:r>
        <w:rPr>
          <w:rFonts w:ascii="Calibri" w:hAnsi="Calibri"/>
          <w:b w:val="0"/>
          <w:i w:val="0"/>
          <w:color w:val="212121"/>
          <w:sz w:val="22"/>
        </w:rPr>
        <w:t>i.e., Acute confusional state, Acute brain failure / acute encephalopathy, Acute organic brain syndrome, Toxic-metabolic encephalopathy, “ICU psychosis”, evening worsening called “sundowning”; the severe alcohol-withdrawal form is called Delirium tremens (DT)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Delirium is an acute, usually reversible disturbance of attention, awareness and cognition that develops over hours to days and characteristically fluctuates through the day, often worsening in the evening and night (“sundowning”). It is not a disease in itself but a neuropsychiatric manifestation of an underlying medical illness, drug effect, intoxication or withdrawal — frequently several factors acting together on a vulnerable brain. Two motor forms exist: a hyperactive form with agitation and hallucinations, and a far commoner, easily missed hypoactive form with drowsiness and withdrawal. Although potentially reversible if the cause is corrected, delirium is a marker of serious illness and is associated with longer hospital stay, functional and cognitive decline, and substantially increased mortality.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Delirium is one of the commonest and most under-recognised complications of acute hospitalisation in India, yet it remains under-studied — a 2021 systematic review found delirium to be the single largest psychiatric diagnostic category among medical-surgical inpatients but highlighted a dearth of Indian data. Prospective Indian studies show high rates in critical-care and geriatric settings: a Pune ICU study of 936 patients found delirium in 22.1%, a PGIMER Chandigarh respiratory-ICU study reported an incidence of 24.4% and a point-prevalence of 53.6% (rising to 64% in mechanically-ventilated patients), a cardiac-ICU study found an 18.8% prevalence, and an AIIMS-Delhi geriatric-ward study found delirium in 20% of admitted older adults. Globally, delirium affects roughly 15–30% of older medical inpatients and up to 82% of ventilated ICU patients. The hypoactive subtype predominates (about 45% in Indian ICUs) and is the most frequently missed, so the true burden is higher than recorded — across all settings around 60% of cases go unrecognised.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Delirium is a clinical diagnosis based on DSM-5 criteria, confirmed at the bedside with a validated tool and always coupled with an active search for the underlying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disturbance of attention (reduced ability to direct, focus, sustain and shift attention) and of awareness, developing acutely over hours to a few days, representing a change from baseline and fluctuating in severity through the day (DSM-5 criteria A–B).</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one additional cognitive disturbance — memory deficit, disorientation, language, visuospatial impairment or perceptual disturbance — not better explained by a pre-existing or evolving dementia and not occurring in the context of coma (DSM-5 criteria C–D).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Evidence from history, examination or investigations that the disturbance is a direct physiological consequence of a medical condition, substance intoxication or withdrawal, a toxin, or (usually) multiple causes acting together (DSM-5 criterion 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Bedside confirmation with the Confusion Assessment Method (CAM): requires (1) acute onset and fluctuating course AND (2) inattention, PLUS either (3) disorganised thinking OR (4) altered level of consciousness (sensitivity 94–100%, specificity 90–95%); use CAM-ICU or ICDSC in ventilated patients and the 4AT for rapid screening.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attention testing at the bedside — reciting the months of the year or days of the week backwards, serial 7s, or digit span — to demonstrate the cardinal deficit of inattention.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active hunt for precipitant(s) — infection, drugs, metabolic/electrolyte disturbance, hypoxia, dehydration, urinary retention, constipation, pain, and alcohol or benzodiazepine withdrawal — using targeted bloods, cultures and imaging only when clinically indicated.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Delirium is classified in three complementary ways — by psychomotor (motor) subtype, by underlying cause, and by special clinical context — because each guides recognition, work-up and management:</w:t>
      </w:r>
    </w:p>
    <w:p>
      <w:pPr>
        <w:spacing w:before="0" w:after="80"/>
      </w:pPr>
      <w:r>
        <w:rPr>
          <w:rFonts w:ascii="Calibri" w:hAnsi="Calibri"/>
          <w:b w:val="0"/>
          <w:i w:val="0"/>
          <w:color w:val="212121"/>
          <w:sz w:val="21"/>
        </w:rPr>
        <w:t>(1) Hyperactive delirium — heightened arousal with restlessness, agitation, wandering, hallucinations and sometimes combative behaviour; the most readily recognised but the least common pure form.</w:t>
      </w:r>
    </w:p>
    <w:p>
      <w:pPr>
        <w:spacing w:before="0" w:after="80"/>
      </w:pPr>
      <w:r>
        <w:rPr>
          <w:rFonts w:ascii="Calibri" w:hAnsi="Calibri"/>
          <w:b w:val="0"/>
          <w:i w:val="0"/>
          <w:color w:val="212121"/>
          <w:sz w:val="21"/>
        </w:rPr>
        <w:t>(2) Hypoactive delirium — reduced arousal with drowsiness, lethargy, slowed responses and withdrawal; the commonest subtype (about 45% in Indian ICUs), frequently mistaken for depression, fatigue or sedation and associated with the worst outcomes precisely because it is so often missed.</w:t>
      </w:r>
    </w:p>
    <w:p>
      <w:pPr>
        <w:spacing w:before="0" w:after="80"/>
      </w:pPr>
      <w:r>
        <w:rPr>
          <w:rFonts w:ascii="Calibri" w:hAnsi="Calibri"/>
          <w:b w:val="0"/>
          <w:i w:val="0"/>
          <w:color w:val="212121"/>
          <w:sz w:val="21"/>
        </w:rPr>
        <w:t>(3) Mixed delirium — fluctuation between hyperactive and hypoactive states in the same patient, often within a single day.</w:t>
      </w:r>
    </w:p>
    <w:p>
      <w:pPr>
        <w:spacing w:before="0" w:after="80"/>
      </w:pPr>
      <w:r>
        <w:rPr>
          <w:rFonts w:ascii="Calibri" w:hAnsi="Calibri"/>
          <w:b w:val="0"/>
          <w:i w:val="0"/>
          <w:color w:val="212121"/>
          <w:sz w:val="21"/>
        </w:rPr>
        <w:t>(4) By cause: single or, more usually, multifactorial — infective, metabolic/toxic, drug-induced, withdrawal-related, hypoxic, structural (stroke, head injury) or postoperative.</w:t>
      </w:r>
    </w:p>
    <w:p>
      <w:pPr>
        <w:spacing w:before="0" w:after="80"/>
      </w:pPr>
      <w:r>
        <w:rPr>
          <w:rFonts w:ascii="Calibri" w:hAnsi="Calibri"/>
          <w:b w:val="0"/>
          <w:i w:val="0"/>
          <w:color w:val="212121"/>
          <w:sz w:val="21"/>
        </w:rPr>
        <w:t>(5) Special forms: delirium tremens — severe alcohol-withdrawal delirium with marked autonomic hyperactivity, a medical emergency; and delirium superimposed on dementia (DSD), where acute delirium develops on a background of chronic cognitive impairment and is especially easily overlooked.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Predisposing vulnerability (low cognitive/physiological reserve): Advanced age, pre-existing dementia or cognitive impairment, frailty, multimorbidity and impaired vision or hearing lower the threshold at which any insult tips the brain into delirium.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Infection and sepsis: Pneumonia, urinary-tract infection and bloodstream/line infections are among the commonest precipitants, especially in older and ICU patients, as systemic inflammation and cytokines disrupt neurotransmission.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Metabolic and hypoxic derangements: Dehydration, electrolyte disturbance (sodium, calcium), hypo- or hyperglycaemia, renal or hepatic failure, hypoxia and hypercapnia directly impair cerebral function.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Drugs and polypharmacy: Anticholinergics, benzodiazepines, opioids, sedative-hypnotics, steroids and multiple concurrent medications precipitate up to 39% of delirium; drug-related causes are among the most preventable.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Substance intoxication and withdrawal: Alcohol and benzodiazepine withdrawal (delirium tremens) and drug intoxication are important triggers, particularly relevant given India’s large alcohol-use burden.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Acute physiological stressors: Surgery and anaesthesia, critical illness, uncontrolled pain, urinary retention, constipation, immobilisation and physical restraints, and a disorienting, sleep-depriving ICU environment all act as precipitants.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(&lt; 65 years)</w:t>
            </w:r>
          </w:p>
        </w:tc>
        <w:tc>
          <w:tcPr>
            <w:tcW w:type="dxa" w:w="4276"/>
            <w:vAlign w:val="top"/>
          </w:tcPr>
          <w:p>
            <w:pPr>
              <w:spacing w:after="60" w:line="259" w:lineRule="auto"/>
            </w:pPr>
            <w:r>
              <w:rPr>
                <w:rFonts w:ascii="Calibri" w:hAnsi="Calibri"/>
                <w:b w:val="0"/>
                <w:i w:val="0"/>
                <w:color w:val="212121"/>
                <w:sz w:val="19"/>
              </w:rPr>
              <w:t>Younger adults have more cognitive reserve and develop delirium far less often, usually only with a severe insult — major sepsis, critical illness, head injury, or alcohol/benzodiazepine withdrawal. When it occurs it still signals serious underlying disease.</w:t>
            </w:r>
          </w:p>
          <w:p>
            <w:pPr>
              <w:spacing w:after="40" w:before="60" w:line="259" w:lineRule="auto"/>
            </w:pPr>
            <w:r>
              <w:rPr>
                <w:rFonts w:ascii="Calibri" w:hAnsi="Calibri"/>
                <w:b w:val="0"/>
                <w:i w:val="0"/>
                <w:color w:val="212121"/>
                <w:sz w:val="19"/>
              </w:rPr>
              <w:t>Delirium prevalence is only about 1–2% in the general adult community, rising steeply with acute illness and age.</w:t>
            </w:r>
          </w:p>
          <w:p>
            <w:pPr>
              <w:spacing w:after="40" w:line="252" w:lineRule="auto"/>
            </w:pPr>
            <w:hyperlink r:id="rId9">
              <w:r>
                <w:rPr>
                  <w:rFonts w:ascii="Calibri" w:hAnsi="Calibri" w:cs="Calibri"/>
                  <w:sz w:val="18"/>
                  <w:color w:val="1155CC"/>
                  <w:u w:val="single"/>
                </w:rPr>
                <w:t xml:space="preserve">pmc.ncbi.nlm.nih.gov (Lancet 2014) — community prevalence 1–2%</w:t>
              </w:r>
            </w:hyperlink>
          </w:p>
          <w:p>
            <w:pPr>
              <w:spacing w:before="60" w:after="40"/>
            </w:pPr>
            <w:r>
              <w:rPr>
                <w:rFonts w:ascii="Calibri" w:hAnsi="Calibri"/>
                <w:b w:val="0"/>
                <w:i w:val="0"/>
                <w:color w:val="5A5A5A"/>
                <w:sz w:val="18"/>
              </w:rPr>
              <w:t>#youngeradults  #alcoholwithdrawal  #criticalillness  #cognitivereserve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 years, especially ≥ 75)</w:t>
            </w:r>
          </w:p>
        </w:tc>
        <w:tc>
          <w:tcPr>
            <w:tcW w:type="dxa" w:w="4276"/>
            <w:vAlign w:val="top"/>
          </w:tcPr>
          <w:p>
            <w:pPr>
              <w:spacing w:after="60" w:line="259" w:lineRule="auto"/>
            </w:pPr>
            <w:r>
              <w:rPr>
                <w:rFonts w:ascii="Calibri" w:hAnsi="Calibri"/>
                <w:b w:val="0"/>
                <w:i w:val="0"/>
                <w:color w:val="212121"/>
                <w:sz w:val="19"/>
              </w:rPr>
              <w:t>The highest-risk group by far: age-related loss of neuronal reserve, frequent dementia, frailty, sensory impairment, polypharmacy and multimorbidity mean even minor insults (a UTI, dehydration, a new sedative) can precipitate delirium.</w:t>
            </w:r>
          </w:p>
          <w:p>
            <w:pPr>
              <w:spacing w:after="40" w:before="60" w:line="259" w:lineRule="auto"/>
            </w:pPr>
            <w:r>
              <w:rPr>
                <w:rFonts w:ascii="Calibri" w:hAnsi="Calibri"/>
                <w:b w:val="0"/>
                <w:i w:val="0"/>
                <w:color w:val="212121"/>
                <w:sz w:val="19"/>
              </w:rPr>
              <w:t>Delirium affects roughly 15–30% of older medical inpatients; an AIIMS-Delhi geriatric-ward study (mean age 73) found a 20% prevalence.</w:t>
            </w:r>
          </w:p>
          <w:p>
            <w:pPr>
              <w:spacing w:after="40" w:line="252" w:lineRule="auto"/>
            </w:pPr>
            <w:hyperlink r:id="rId10">
              <w:r>
                <w:rPr>
                  <w:rFonts w:ascii="Calibri" w:hAnsi="Calibri" w:cs="Calibri"/>
                  <w:sz w:val="18"/>
                  <w:color w:val="1155CC"/>
                  <w:u w:val="single"/>
                </w:rPr>
                <w:t xml:space="preserve">pubmed.ncbi.nlm.nih.gov/38447233 — 20% in geriatric-ward elders</w:t>
              </w:r>
            </w:hyperlink>
          </w:p>
          <w:p>
            <w:pPr>
              <w:spacing w:before="60" w:after="40"/>
            </w:pPr>
            <w:r>
              <w:rPr>
                <w:rFonts w:ascii="Calibri" w:hAnsi="Calibri"/>
                <w:b w:val="0"/>
                <w:i w:val="0"/>
                <w:color w:val="5A5A5A"/>
                <w:sz w:val="18"/>
              </w:rPr>
              <w:t>#elderly  #hospitalisedelderly  #frailty  #dementia  #polypharmacy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 sex is a recognised predisposing factor, and alcohol-withdrawal delirium (delirium tremens) is far commoner in men, reflecting India’s heavily male-skewed pattern of harmful alcohol use.</w:t>
            </w:r>
          </w:p>
          <w:p>
            <w:pPr>
              <w:spacing w:after="40" w:before="60" w:line="259" w:lineRule="auto"/>
            </w:pPr>
            <w:r>
              <w:rPr>
                <w:rFonts w:ascii="Calibri" w:hAnsi="Calibri"/>
                <w:b w:val="0"/>
                <w:i w:val="0"/>
                <w:color w:val="212121"/>
                <w:sz w:val="19"/>
              </w:rPr>
              <w:t>Male sex is listed among the classic predisposing risk factors for delirium.</w:t>
            </w:r>
          </w:p>
          <w:p>
            <w:pPr>
              <w:spacing w:after="40" w:line="252" w:lineRule="auto"/>
            </w:pPr>
            <w:hyperlink r:id="rId11">
              <w:r>
                <w:rPr>
                  <w:rFonts w:ascii="Calibri" w:hAnsi="Calibri" w:cs="Calibri"/>
                  <w:sz w:val="18"/>
                  <w:color w:val="1155CC"/>
                  <w:u w:val="single"/>
                </w:rPr>
                <w:t xml:space="preserve">ncbi.nlm.nih.gov (StatPearls) — male sex as predisposing factor</w:t>
              </w:r>
            </w:hyperlink>
          </w:p>
          <w:p>
            <w:pPr>
              <w:spacing w:before="60" w:after="40"/>
            </w:pPr>
            <w:r>
              <w:rPr>
                <w:rFonts w:ascii="Calibri" w:hAnsi="Calibri"/>
                <w:b w:val="0"/>
                <w:i w:val="0"/>
                <w:color w:val="5A5A5A"/>
                <w:sz w:val="18"/>
              </w:rPr>
              <w:t>#male  #deliriumtremens  #alcohol  #predisposing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low literacy</w:t>
            </w:r>
          </w:p>
        </w:tc>
        <w:tc>
          <w:tcPr>
            <w:tcW w:type="dxa" w:w="4276"/>
            <w:vAlign w:val="top"/>
          </w:tcPr>
          <w:p>
            <w:pPr>
              <w:spacing w:after="60" w:line="259" w:lineRule="auto"/>
            </w:pPr>
            <w:r>
              <w:rPr>
                <w:rFonts w:ascii="Calibri" w:hAnsi="Calibri"/>
                <w:b w:val="0"/>
                <w:i w:val="0"/>
                <w:color w:val="212121"/>
                <w:sz w:val="19"/>
              </w:rPr>
              <w:t>Poverty and low literacy delay presentation, so patients arrive with more advanced infection or metabolic derangement; lower education reduces cognitive reserve and delirium is less likely to be recognised or documented.</w:t>
            </w:r>
          </w:p>
          <w:p>
            <w:pPr>
              <w:spacing w:after="40" w:before="60" w:line="259" w:lineRule="auto"/>
            </w:pPr>
            <w:r>
              <w:rPr>
                <w:rFonts w:ascii="Calibri" w:hAnsi="Calibri"/>
                <w:b w:val="0"/>
                <w:i w:val="0"/>
                <w:color w:val="212121"/>
                <w:sz w:val="19"/>
              </w:rPr>
              <w:t>Around 60% of delirium episodes go unrecognised, a gap that is widest where staffing, literacy and awareness are lowest.</w:t>
            </w:r>
          </w:p>
          <w:p>
            <w:pPr>
              <w:spacing w:after="40" w:line="252" w:lineRule="auto"/>
            </w:pPr>
            <w:hyperlink r:id="rId11">
              <w:r>
                <w:rPr>
                  <w:rFonts w:ascii="Calibri" w:hAnsi="Calibri" w:cs="Calibri"/>
                  <w:sz w:val="18"/>
                  <w:color w:val="1155CC"/>
                  <w:u w:val="single"/>
                </w:rPr>
                <w:t xml:space="preserve">ncbi.nlm.nih.gov (StatPearls) — ~60% of delirium unrecognised</w:t>
              </w:r>
            </w:hyperlink>
          </w:p>
          <w:p>
            <w:pPr>
              <w:spacing w:before="60" w:after="40"/>
            </w:pPr>
            <w:r>
              <w:rPr>
                <w:rFonts w:ascii="Calibri" w:hAnsi="Calibri"/>
                <w:b w:val="0"/>
                <w:i w:val="0"/>
                <w:color w:val="5A5A5A"/>
                <w:sz w:val="18"/>
              </w:rPr>
              <w:t>#lowincome  #lowliteracy  #latepresentation  #underrecognised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Asian (Indian) inpatients</w:t>
            </w:r>
          </w:p>
        </w:tc>
        <w:tc>
          <w:tcPr>
            <w:tcW w:type="dxa" w:w="4276"/>
            <w:vAlign w:val="top"/>
          </w:tcPr>
          <w:p>
            <w:pPr>
              <w:spacing w:after="60" w:line="259" w:lineRule="auto"/>
            </w:pPr>
            <w:r>
              <w:rPr>
                <w:rFonts w:ascii="Calibri" w:hAnsi="Calibri"/>
                <w:b w:val="0"/>
                <w:i w:val="0"/>
                <w:color w:val="212121"/>
                <w:sz w:val="19"/>
              </w:rPr>
              <w:t>India’s high burden of infection, uncontrolled diabetes and hypertension, late hospital presentation and limited delirium-specific training amplify both incidence and under-detection across wards and ICUs.</w:t>
            </w:r>
          </w:p>
          <w:p>
            <w:pPr>
              <w:spacing w:after="40" w:before="60" w:line="259" w:lineRule="auto"/>
            </w:pPr>
            <w:r>
              <w:rPr>
                <w:rFonts w:ascii="Calibri" w:hAnsi="Calibri"/>
                <w:b w:val="0"/>
                <w:i w:val="0"/>
                <w:color w:val="212121"/>
                <w:sz w:val="19"/>
              </w:rPr>
              <w:t>A prospective study in an Indian ICU (Pune, n=936) found delirium in 22.1% of critically ill patients, the hypoactive form being commonest (44.9%).</w:t>
            </w:r>
          </w:p>
          <w:p>
            <w:pPr>
              <w:spacing w:after="40" w:line="252" w:lineRule="auto"/>
            </w:pPr>
            <w:hyperlink r:id="rId12">
              <w:r>
                <w:rPr>
                  <w:rFonts w:ascii="Calibri" w:hAnsi="Calibri" w:cs="Calibri"/>
                  <w:sz w:val="18"/>
                  <w:color w:val="1155CC"/>
                  <w:u w:val="single"/>
                </w:rPr>
                <w:t xml:space="preserve">pmc.ncbi.nlm.nih.gov (IJCCM 2023) — 22.1% in an Indian ICU</w:t>
              </w:r>
            </w:hyperlink>
          </w:p>
          <w:p>
            <w:pPr>
              <w:spacing w:before="60" w:after="40"/>
            </w:pPr>
            <w:r>
              <w:rPr>
                <w:rFonts w:ascii="Calibri" w:hAnsi="Calibri"/>
                <w:b w:val="0"/>
                <w:i w:val="0"/>
                <w:color w:val="5A5A5A"/>
                <w:sz w:val="18"/>
              </w:rPr>
              <w:t>#southasian  #india  #ICUdelirium  #underdetection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Care setting</w:t>
            </w:r>
          </w:p>
        </w:tc>
        <w:tc>
          <w:tcPr>
            <w:tcW w:type="dxa" w:w="2160"/>
            <w:vAlign w:val="top"/>
          </w:tcPr>
          <w:p>
            <w:pPr>
              <w:spacing w:after="40" w:before="0" w:line="259" w:lineRule="auto"/>
            </w:pPr>
            <w:r>
              <w:rPr>
                <w:rFonts w:ascii="Calibri" w:hAnsi="Calibri"/>
                <w:b w:val="0"/>
                <w:i w:val="0"/>
                <w:color w:val="212121"/>
                <w:sz w:val="19"/>
              </w:rPr>
              <w:t>ICU / mechanically-ventilated patients</w:t>
            </w:r>
          </w:p>
        </w:tc>
        <w:tc>
          <w:tcPr>
            <w:tcW w:type="dxa" w:w="4276"/>
            <w:vAlign w:val="top"/>
          </w:tcPr>
          <w:p>
            <w:pPr>
              <w:spacing w:after="60" w:line="259" w:lineRule="auto"/>
            </w:pPr>
            <w:r>
              <w:rPr>
                <w:rFonts w:ascii="Calibri" w:hAnsi="Calibri"/>
                <w:b w:val="0"/>
                <w:i w:val="0"/>
                <w:color w:val="212121"/>
                <w:sz w:val="19"/>
              </w:rPr>
              <w:t>The intensive-care environment concentrates every risk factor — critical illness, sedation, mechanical ventilation, immobilisation, sleep deprivation, and noise/light — giving the highest rates of delirium of any setting.</w:t>
            </w:r>
          </w:p>
          <w:p>
            <w:pPr>
              <w:spacing w:after="40" w:before="60" w:line="259" w:lineRule="auto"/>
            </w:pPr>
            <w:r>
              <w:rPr>
                <w:rFonts w:ascii="Calibri" w:hAnsi="Calibri"/>
                <w:b w:val="0"/>
                <w:i w:val="0"/>
                <w:color w:val="212121"/>
                <w:sz w:val="19"/>
              </w:rPr>
              <w:t>ICU delirium reaches up to 82% globally; a PGIMER respiratory-ICU study found a 53.6% point-prevalence, rising to 64% in mechanically-ventilated patients.</w:t>
            </w:r>
          </w:p>
          <w:p>
            <w:pPr>
              <w:spacing w:after="40" w:line="252" w:lineRule="auto"/>
            </w:pPr>
            <w:hyperlink r:id="rId13">
              <w:r>
                <w:rPr>
                  <w:rFonts w:ascii="Calibri" w:hAnsi="Calibri" w:cs="Calibri"/>
                  <w:sz w:val="18"/>
                  <w:color w:val="1155CC"/>
                  <w:u w:val="single"/>
                </w:rPr>
                <w:t xml:space="preserve">pubmed.ncbi.nlm.nih.gov/22819154 — 64% in ventilated patients</w:t>
              </w:r>
            </w:hyperlink>
          </w:p>
          <w:p>
            <w:pPr>
              <w:spacing w:before="60" w:after="40"/>
            </w:pPr>
            <w:r>
              <w:rPr>
                <w:rFonts w:ascii="Calibri" w:hAnsi="Calibri"/>
                <w:b w:val="0"/>
                <w:i w:val="0"/>
                <w:color w:val="5A5A5A"/>
                <w:sz w:val="18"/>
              </w:rPr>
              <w:t>#ICU  #ventilation  #sedation  #criticalillness  #sleepdeprivation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dependent drinkers</w:t>
            </w:r>
          </w:p>
        </w:tc>
        <w:tc>
          <w:tcPr>
            <w:tcW w:type="dxa" w:w="4276"/>
            <w:vAlign w:val="top"/>
          </w:tcPr>
          <w:p>
            <w:pPr>
              <w:spacing w:after="60" w:line="259" w:lineRule="auto"/>
            </w:pPr>
            <w:r>
              <w:rPr>
                <w:rFonts w:ascii="Calibri" w:hAnsi="Calibri"/>
                <w:b w:val="0"/>
                <w:i w:val="0"/>
                <w:color w:val="212121"/>
                <w:sz w:val="19"/>
              </w:rPr>
              <w:t>Abrupt cessation of alcohol on admission triggers withdrawal that can escalate to delirium tremens — a life-threatening delirium with autonomic hyperactivity; chronic alcohol also causes thiamine deficiency and liver disease that further impair the brain.</w:t>
            </w:r>
          </w:p>
          <w:p>
            <w:pPr>
              <w:spacing w:after="40" w:before="60" w:line="259" w:lineRule="auto"/>
            </w:pPr>
            <w:r>
              <w:rPr>
                <w:rFonts w:ascii="Calibri" w:hAnsi="Calibri"/>
                <w:b w:val="0"/>
                <w:i w:val="0"/>
                <w:color w:val="212121"/>
                <w:sz w:val="19"/>
              </w:rPr>
              <w:t>Alcoholism was an identified risk factor for delirium in a large Indian ICU cohort.</w:t>
            </w:r>
          </w:p>
          <w:p>
            <w:pPr>
              <w:spacing w:after="40" w:line="252" w:lineRule="auto"/>
            </w:pPr>
            <w:hyperlink r:id="rId12">
              <w:r>
                <w:rPr>
                  <w:rFonts w:ascii="Calibri" w:hAnsi="Calibri" w:cs="Calibri"/>
                  <w:sz w:val="18"/>
                  <w:color w:val="1155CC"/>
                  <w:u w:val="single"/>
                </w:rPr>
                <w:t xml:space="preserve">pmc.ncbi.nlm.nih.gov (IJCCM 2023) — alcoholism as ICU delirium risk factor</w:t>
              </w:r>
            </w:hyperlink>
          </w:p>
          <w:p>
            <w:pPr>
              <w:spacing w:before="60" w:after="40"/>
            </w:pPr>
            <w:r>
              <w:rPr>
                <w:rFonts w:ascii="Calibri" w:hAnsi="Calibri"/>
                <w:b w:val="0"/>
                <w:i w:val="0"/>
                <w:color w:val="5A5A5A"/>
                <w:sz w:val="18"/>
              </w:rPr>
              <w:t>#alcohol  #deliriumtremens  #withdrawal  #thiamine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Regular smokers (cigarette / bidi)</w:t>
            </w:r>
          </w:p>
        </w:tc>
        <w:tc>
          <w:tcPr>
            <w:tcW w:type="dxa" w:w="4276"/>
            <w:vAlign w:val="top"/>
          </w:tcPr>
          <w:p>
            <w:pPr>
              <w:spacing w:after="60" w:line="259" w:lineRule="auto"/>
            </w:pPr>
            <w:r>
              <w:rPr>
                <w:rFonts w:ascii="Calibri" w:hAnsi="Calibri"/>
                <w:b w:val="0"/>
                <w:i w:val="0"/>
                <w:color w:val="212121"/>
                <w:sz w:val="19"/>
              </w:rPr>
              <w:t>Hospitalised smokers deprived of nicotine can develop acute nicotine-withdrawal agitation and delirium; smoking also drives the vascular and respiratory disease that lands patients in high-risk beds.</w:t>
            </w:r>
          </w:p>
          <w:p>
            <w:pPr>
              <w:spacing w:after="40" w:before="60" w:line="259" w:lineRule="auto"/>
            </w:pPr>
            <w:r>
              <w:rPr>
                <w:rFonts w:ascii="Calibri" w:hAnsi="Calibri"/>
                <w:b w:val="0"/>
                <w:i w:val="0"/>
                <w:color w:val="212121"/>
                <w:sz w:val="19"/>
              </w:rPr>
              <w:t>Smoking was among the risk factors associated with delirium in an Indian ICU study.</w:t>
            </w:r>
          </w:p>
          <w:p>
            <w:pPr>
              <w:spacing w:after="40" w:line="252" w:lineRule="auto"/>
            </w:pPr>
            <w:hyperlink r:id="rId12">
              <w:r>
                <w:rPr>
                  <w:rFonts w:ascii="Calibri" w:hAnsi="Calibri" w:cs="Calibri"/>
                  <w:sz w:val="18"/>
                  <w:color w:val="1155CC"/>
                  <w:u w:val="single"/>
                </w:rPr>
                <w:t xml:space="preserve">pmc.ncbi.nlm.nih.gov (IJCCM 2023) — smoking as ICU delirium risk factor</w:t>
              </w:r>
            </w:hyperlink>
          </w:p>
          <w:p>
            <w:pPr>
              <w:spacing w:before="60" w:after="40"/>
            </w:pPr>
            <w:r>
              <w:rPr>
                <w:rFonts w:ascii="Calibri" w:hAnsi="Calibri"/>
                <w:b w:val="0"/>
                <w:i w:val="0"/>
                <w:color w:val="5A5A5A"/>
                <w:sz w:val="18"/>
              </w:rPr>
              <w:t>#smoking  #bidi  #nicotinewithdrawal  #agitation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Immobility / restraints</w:t>
            </w:r>
          </w:p>
        </w:tc>
        <w:tc>
          <w:tcPr>
            <w:tcW w:type="dxa" w:w="2160"/>
            <w:vAlign w:val="top"/>
          </w:tcPr>
          <w:p>
            <w:pPr>
              <w:spacing w:after="40" w:before="0" w:line="259" w:lineRule="auto"/>
            </w:pPr>
            <w:r>
              <w:rPr>
                <w:rFonts w:ascii="Calibri" w:hAnsi="Calibri"/>
                <w:b w:val="0"/>
                <w:i w:val="0"/>
                <w:color w:val="212121"/>
                <w:sz w:val="19"/>
              </w:rPr>
              <w:t>Bedbound, restrained or catheterised patients</w:t>
            </w:r>
          </w:p>
        </w:tc>
        <w:tc>
          <w:tcPr>
            <w:tcW w:type="dxa" w:w="4276"/>
            <w:vAlign w:val="top"/>
          </w:tcPr>
          <w:p>
            <w:pPr>
              <w:spacing w:after="60" w:line="259" w:lineRule="auto"/>
            </w:pPr>
            <w:r>
              <w:rPr>
                <w:rFonts w:ascii="Calibri" w:hAnsi="Calibri"/>
                <w:b w:val="0"/>
                <w:i w:val="0"/>
                <w:color w:val="212121"/>
                <w:sz w:val="19"/>
              </w:rPr>
              <w:t>Prolonged bed rest, physical restraints and indwelling catheters/lines both precipitate and prolong delirium; early mobilisation and restraint-free care are core components of proven prevention bundles.</w:t>
            </w:r>
          </w:p>
          <w:p>
            <w:pPr>
              <w:spacing w:after="40" w:before="60" w:line="259" w:lineRule="auto"/>
            </w:pPr>
            <w:r>
              <w:rPr>
                <w:rFonts w:ascii="Calibri" w:hAnsi="Calibri"/>
                <w:b w:val="0"/>
                <w:i w:val="0"/>
                <w:color w:val="212121"/>
                <w:sz w:val="19"/>
              </w:rPr>
              <w:t>Multicomponent programmes that include early mobilisation reduce delirium incidence (pooled OR 0.47).</w:t>
            </w:r>
          </w:p>
          <w:p>
            <w:pPr>
              <w:spacing w:after="40" w:line="252" w:lineRule="auto"/>
            </w:pPr>
            <w:hyperlink r:id="rId14">
              <w:r>
                <w:rPr>
                  <w:rFonts w:ascii="Calibri" w:hAnsi="Calibri" w:cs="Calibri"/>
                  <w:sz w:val="18"/>
                  <w:color w:val="1155CC"/>
                  <w:u w:val="single"/>
                </w:rPr>
                <w:t xml:space="preserve">pubmed.ncbi.nlm.nih.gov/25643002 — multicomponent prevention OR 0.47</w:t>
              </w:r>
            </w:hyperlink>
          </w:p>
          <w:p>
            <w:pPr>
              <w:spacing w:before="60" w:after="40"/>
            </w:pPr>
            <w:r>
              <w:rPr>
                <w:rFonts w:ascii="Calibri" w:hAnsi="Calibri"/>
                <w:b w:val="0"/>
                <w:i w:val="0"/>
                <w:color w:val="5A5A5A"/>
                <w:sz w:val="18"/>
              </w:rPr>
              <w:t>#immobility  #restraints  #earlymobilisation  #catheters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Malnutrition / dehydration</w:t>
            </w:r>
          </w:p>
        </w:tc>
        <w:tc>
          <w:tcPr>
            <w:tcW w:type="dxa" w:w="2160"/>
            <w:vAlign w:val="top"/>
          </w:tcPr>
          <w:p>
            <w:pPr>
              <w:spacing w:after="40" w:before="0" w:line="259" w:lineRule="auto"/>
            </w:pPr>
            <w:r>
              <w:rPr>
                <w:rFonts w:ascii="Calibri" w:hAnsi="Calibri"/>
                <w:b w:val="0"/>
                <w:i w:val="0"/>
                <w:color w:val="212121"/>
                <w:sz w:val="19"/>
              </w:rPr>
              <w:t>Frail, undernourished, low-albumin elders</w:t>
            </w:r>
          </w:p>
        </w:tc>
        <w:tc>
          <w:tcPr>
            <w:tcW w:type="dxa" w:w="4276"/>
            <w:vAlign w:val="top"/>
          </w:tcPr>
          <w:p>
            <w:pPr>
              <w:spacing w:after="60" w:line="259" w:lineRule="auto"/>
            </w:pPr>
            <w:r>
              <w:rPr>
                <w:rFonts w:ascii="Calibri" w:hAnsi="Calibri"/>
                <w:b w:val="0"/>
                <w:i w:val="0"/>
                <w:color w:val="212121"/>
                <w:sz w:val="19"/>
              </w:rPr>
              <w:t>Poor intake, dehydration and low serum albumin are common in frail older Indian inpatients and are consistently linked to delirium; correcting hydration and nutrition is a key preventive measure.</w:t>
            </w:r>
          </w:p>
          <w:p>
            <w:pPr>
              <w:spacing w:after="40" w:before="60" w:line="259" w:lineRule="auto"/>
            </w:pPr>
            <w:r>
              <w:rPr>
                <w:rFonts w:ascii="Calibri" w:hAnsi="Calibri"/>
                <w:b w:val="0"/>
                <w:i w:val="0"/>
                <w:color w:val="212121"/>
                <w:sz w:val="19"/>
              </w:rPr>
              <w:t>Hypoalbuminaemia and dehydration (raised creatinine) were identified risk factors for delirium in Indian ICU studies.</w:t>
            </w:r>
          </w:p>
          <w:p>
            <w:pPr>
              <w:spacing w:after="40" w:line="252" w:lineRule="auto"/>
            </w:pPr>
            <w:hyperlink r:id="rId12">
              <w:r>
                <w:rPr>
                  <w:rFonts w:ascii="Calibri" w:hAnsi="Calibri" w:cs="Calibri"/>
                  <w:sz w:val="18"/>
                  <w:color w:val="1155CC"/>
                  <w:u w:val="single"/>
                </w:rPr>
                <w:t xml:space="preserve">pmc.ncbi.nlm.nih.gov (IJCCM 2023) — hypoalbuminaemia as risk factor</w:t>
              </w:r>
            </w:hyperlink>
          </w:p>
          <w:p>
            <w:pPr>
              <w:spacing w:before="60" w:after="40"/>
            </w:pPr>
            <w:r>
              <w:rPr>
                <w:rFonts w:ascii="Calibri" w:hAnsi="Calibri"/>
                <w:b w:val="0"/>
                <w:i w:val="0"/>
                <w:color w:val="5A5A5A"/>
                <w:sz w:val="18"/>
              </w:rPr>
              <w:t>#malnutrition  #dehydration  #hypoalbuminaemia  #frailty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Thiamine deficiency</w:t>
            </w:r>
          </w:p>
        </w:tc>
        <w:tc>
          <w:tcPr>
            <w:tcW w:type="dxa" w:w="2160"/>
            <w:vAlign w:val="top"/>
          </w:tcPr>
          <w:p>
            <w:pPr>
              <w:spacing w:after="40" w:before="0" w:line="259" w:lineRule="auto"/>
            </w:pPr>
            <w:r>
              <w:rPr>
                <w:rFonts w:ascii="Calibri" w:hAnsi="Calibri"/>
                <w:b w:val="0"/>
                <w:i w:val="0"/>
                <w:color w:val="212121"/>
                <w:sz w:val="19"/>
              </w:rPr>
              <w:t>Alcohol users / severely malnourished</w:t>
            </w:r>
          </w:p>
        </w:tc>
        <w:tc>
          <w:tcPr>
            <w:tcW w:type="dxa" w:w="4276"/>
            <w:vAlign w:val="top"/>
          </w:tcPr>
          <w:p>
            <w:pPr>
              <w:spacing w:after="60" w:line="259" w:lineRule="auto"/>
            </w:pPr>
            <w:r>
              <w:rPr>
                <w:rFonts w:ascii="Calibri" w:hAnsi="Calibri"/>
                <w:b w:val="0"/>
                <w:i w:val="0"/>
                <w:color w:val="212121"/>
                <w:sz w:val="19"/>
              </w:rPr>
              <w:t>Thiamine (vitamin B1) deficiency in chronic drinkers or the severely malnourished can cause Wernicke encephalopathy, an acute confusional state; it is preventable and must be treated before glucose is given.</w:t>
            </w:r>
          </w:p>
          <w:p>
            <w:pPr>
              <w:spacing w:after="40" w:before="60" w:line="259" w:lineRule="auto"/>
            </w:pPr>
            <w:r>
              <w:rPr>
                <w:rFonts w:ascii="Calibri" w:hAnsi="Calibri"/>
                <w:b w:val="0"/>
                <w:i w:val="0"/>
                <w:color w:val="212121"/>
                <w:sz w:val="19"/>
              </w:rPr>
              <w:t>Thiamine deficiency is a recognised, preventable cause of acute encephalopathy in alcohol-dependent and malnourished patients.</w:t>
            </w:r>
          </w:p>
          <w:p>
            <w:pPr>
              <w:spacing w:after="40" w:line="252" w:lineRule="auto"/>
            </w:pPr>
            <w:hyperlink r:id="rId11">
              <w:r>
                <w:rPr>
                  <w:rFonts w:ascii="Calibri" w:hAnsi="Calibri" w:cs="Calibri"/>
                  <w:sz w:val="18"/>
                  <w:color w:val="1155CC"/>
                  <w:u w:val="single"/>
                </w:rPr>
                <w:t xml:space="preserve">ncbi.nlm.nih.gov (StatPearls) — metabolic/nutritional precipitants</w:t>
              </w:r>
            </w:hyperlink>
          </w:p>
          <w:p>
            <w:pPr>
              <w:spacing w:before="60" w:after="40"/>
            </w:pPr>
            <w:r>
              <w:rPr>
                <w:rFonts w:ascii="Calibri" w:hAnsi="Calibri"/>
                <w:b w:val="0"/>
                <w:i w:val="0"/>
                <w:color w:val="5A5A5A"/>
                <w:sz w:val="18"/>
              </w:rPr>
              <w:t>#thiamine  #wernicke  #alcohol  #malnutrition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cognitive vulnerability</w:t>
            </w:r>
          </w:p>
        </w:tc>
        <w:tc>
          <w:tcPr>
            <w:tcW w:type="dxa" w:w="2160"/>
            <w:vAlign w:val="top"/>
          </w:tcPr>
          <w:p>
            <w:pPr>
              <w:spacing w:after="40" w:before="0" w:line="259" w:lineRule="auto"/>
            </w:pPr>
            <w:r>
              <w:rPr>
                <w:rFonts w:ascii="Calibri" w:hAnsi="Calibri"/>
                <w:b w:val="0"/>
                <w:i w:val="0"/>
                <w:color w:val="212121"/>
                <w:sz w:val="19"/>
              </w:rPr>
              <w:t>Family history of dementia; APOE ε4 carriers</w:t>
            </w:r>
          </w:p>
        </w:tc>
        <w:tc>
          <w:tcPr>
            <w:tcW w:type="dxa" w:w="4276"/>
            <w:vAlign w:val="top"/>
          </w:tcPr>
          <w:p>
            <w:pPr>
              <w:spacing w:after="60" w:line="259" w:lineRule="auto"/>
            </w:pPr>
            <w:r>
              <w:rPr>
                <w:rFonts w:ascii="Calibri" w:hAnsi="Calibri"/>
                <w:b w:val="0"/>
                <w:i w:val="0"/>
                <w:color w:val="212121"/>
                <w:sz w:val="19"/>
              </w:rPr>
              <w:t>Inherited susceptibility to dementia lowers cognitive reserve and is the single strongest predisposition to delirium; the APOE ε4 allele has been linked to postoperative and critical-illness delirium, though the genetic evidence is still mixed.</w:t>
            </w:r>
          </w:p>
          <w:p>
            <w:pPr>
              <w:spacing w:after="40" w:before="60" w:line="259" w:lineRule="auto"/>
            </w:pPr>
            <w:r>
              <w:rPr>
                <w:rFonts w:ascii="Calibri" w:hAnsi="Calibri"/>
                <w:b w:val="0"/>
                <w:i w:val="0"/>
                <w:color w:val="212121"/>
                <w:sz w:val="19"/>
              </w:rPr>
              <w:t>Pre-existing dementia and cognitive impairment are the strongest predisposing factors for delirium.</w:t>
            </w:r>
          </w:p>
          <w:p>
            <w:pPr>
              <w:spacing w:after="40" w:line="252" w:lineRule="auto"/>
            </w:pPr>
            <w:hyperlink r:id="rId11">
              <w:r>
                <w:rPr>
                  <w:rFonts w:ascii="Calibri" w:hAnsi="Calibri" w:cs="Calibri"/>
                  <w:sz w:val="18"/>
                  <w:color w:val="1155CC"/>
                  <w:u w:val="single"/>
                </w:rPr>
                <w:t xml:space="preserve">ncbi.nlm.nih.gov (StatPearls) — dementia as strongest predisposition</w:t>
              </w:r>
            </w:hyperlink>
          </w:p>
          <w:p>
            <w:pPr>
              <w:spacing w:before="60" w:after="40"/>
            </w:pPr>
            <w:r>
              <w:rPr>
                <w:rFonts w:ascii="Calibri" w:hAnsi="Calibri"/>
                <w:b w:val="0"/>
                <w:i w:val="0"/>
                <w:color w:val="5A5A5A"/>
                <w:sz w:val="18"/>
              </w:rPr>
              <w:t>#familyhistory  #APOE4  #cognitivereserve  #dementia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Dementia</w:t>
            </w:r>
          </w:p>
        </w:tc>
        <w:tc>
          <w:tcPr>
            <w:tcW w:type="dxa" w:w="2160"/>
            <w:vAlign w:val="top"/>
          </w:tcPr>
          <w:p>
            <w:pPr>
              <w:spacing w:after="40" w:before="0" w:line="259" w:lineRule="auto"/>
            </w:pPr>
            <w:r>
              <w:rPr>
                <w:rFonts w:ascii="Calibri" w:hAnsi="Calibri"/>
                <w:b w:val="0"/>
                <w:i w:val="0"/>
                <w:color w:val="212121"/>
                <w:sz w:val="19"/>
              </w:rPr>
              <w:t>Patients with dementia / cognitive impairment</w:t>
            </w:r>
          </w:p>
        </w:tc>
        <w:tc>
          <w:tcPr>
            <w:tcW w:type="dxa" w:w="4276"/>
            <w:vAlign w:val="top"/>
          </w:tcPr>
          <w:p>
            <w:pPr>
              <w:spacing w:after="60" w:line="259" w:lineRule="auto"/>
            </w:pPr>
            <w:r>
              <w:rPr>
                <w:rFonts w:ascii="Calibri" w:hAnsi="Calibri"/>
                <w:b w:val="0"/>
                <w:i w:val="0"/>
                <w:color w:val="212121"/>
                <w:sz w:val="19"/>
              </w:rPr>
              <w:t>Dementia is the strongest single risk factor; acute delirium superimposed on dementia is very common, easily missed, and accelerates the underlying cognitive decline.</w:t>
            </w:r>
          </w:p>
          <w:p>
            <w:pPr>
              <w:spacing w:after="40" w:before="60" w:line="259" w:lineRule="auto"/>
            </w:pPr>
            <w:r>
              <w:rPr>
                <w:rFonts w:ascii="Calibri" w:hAnsi="Calibri"/>
                <w:b w:val="0"/>
                <w:i w:val="0"/>
                <w:color w:val="212121"/>
                <w:sz w:val="19"/>
              </w:rPr>
              <w:t>Pre-existing cognitive impairment is repeatedly identified as the leading predisposing factor for delirium.</w:t>
            </w:r>
          </w:p>
          <w:p>
            <w:pPr>
              <w:spacing w:after="40" w:line="252" w:lineRule="auto"/>
            </w:pPr>
            <w:hyperlink r:id="rId9">
              <w:r>
                <w:rPr>
                  <w:rFonts w:ascii="Calibri" w:hAnsi="Calibri" w:cs="Calibri"/>
                  <w:sz w:val="18"/>
                  <w:color w:val="1155CC"/>
                  <w:u w:val="single"/>
                </w:rPr>
                <w:t xml:space="preserve">pmc.ncbi.nlm.nih.gov (Lancet 2014) — dementia as key predisposing factor</w:t>
              </w:r>
            </w:hyperlink>
          </w:p>
          <w:p>
            <w:pPr>
              <w:spacing w:before="60" w:after="40"/>
            </w:pPr>
            <w:r>
              <w:rPr>
                <w:rFonts w:ascii="Calibri" w:hAnsi="Calibri"/>
                <w:b w:val="0"/>
                <w:i w:val="0"/>
                <w:color w:val="5A5A5A"/>
                <w:sz w:val="18"/>
              </w:rPr>
              <w:t>#dementia  #DSD  #cognitiveimpairment  #superimposed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Infection / sepsis</w:t>
            </w:r>
          </w:p>
        </w:tc>
        <w:tc>
          <w:tcPr>
            <w:tcW w:type="dxa" w:w="2160"/>
            <w:vAlign w:val="top"/>
          </w:tcPr>
          <w:p>
            <w:pPr>
              <w:spacing w:after="40" w:before="0" w:line="259" w:lineRule="auto"/>
            </w:pPr>
            <w:r>
              <w:rPr>
                <w:rFonts w:ascii="Calibri" w:hAnsi="Calibri"/>
                <w:b w:val="0"/>
                <w:i w:val="0"/>
                <w:color w:val="212121"/>
                <w:sz w:val="19"/>
              </w:rPr>
              <w:t>Pneumonia, UTI, bloodstream infection</w:t>
            </w:r>
          </w:p>
        </w:tc>
        <w:tc>
          <w:tcPr>
            <w:tcW w:type="dxa" w:w="4276"/>
            <w:vAlign w:val="top"/>
          </w:tcPr>
          <w:p>
            <w:pPr>
              <w:spacing w:after="60" w:line="259" w:lineRule="auto"/>
            </w:pPr>
            <w:r>
              <w:rPr>
                <w:rFonts w:ascii="Calibri" w:hAnsi="Calibri"/>
                <w:b w:val="0"/>
                <w:i w:val="0"/>
                <w:color w:val="212121"/>
                <w:sz w:val="19"/>
              </w:rPr>
              <w:t>Infection is the commonest single precipitant, especially in the elderly, in whom delirium may be the first (and only) sign of pneumonia, a urinary-tract infection or sepsis.</w:t>
            </w:r>
          </w:p>
          <w:p>
            <w:pPr>
              <w:spacing w:after="40" w:before="60" w:line="259" w:lineRule="auto"/>
            </w:pPr>
            <w:r>
              <w:rPr>
                <w:rFonts w:ascii="Calibri" w:hAnsi="Calibri"/>
                <w:b w:val="0"/>
                <w:i w:val="0"/>
                <w:color w:val="212121"/>
                <w:sz w:val="19"/>
              </w:rPr>
              <w:t>Infection is among the leading precipitating causes of delirium in hospitalised patients.</w:t>
            </w:r>
          </w:p>
          <w:p>
            <w:pPr>
              <w:spacing w:after="40" w:line="252" w:lineRule="auto"/>
            </w:pPr>
            <w:hyperlink r:id="rId11">
              <w:r>
                <w:rPr>
                  <w:rFonts w:ascii="Calibri" w:hAnsi="Calibri" w:cs="Calibri"/>
                  <w:sz w:val="18"/>
                  <w:color w:val="1155CC"/>
                  <w:u w:val="single"/>
                </w:rPr>
                <w:t xml:space="preserve">ncbi.nlm.nih.gov (StatPearls) — infection as leading precipitant</w:t>
              </w:r>
            </w:hyperlink>
          </w:p>
          <w:p>
            <w:pPr>
              <w:spacing w:before="60" w:after="40"/>
            </w:pPr>
            <w:r>
              <w:rPr>
                <w:rFonts w:ascii="Calibri" w:hAnsi="Calibri"/>
                <w:b w:val="0"/>
                <w:i w:val="0"/>
                <w:color w:val="5A5A5A"/>
                <w:sz w:val="18"/>
              </w:rPr>
              <w:t>#infection  #sepsis  #UTI  #pneumonia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Postoperative state</w:t>
            </w:r>
          </w:p>
        </w:tc>
        <w:tc>
          <w:tcPr>
            <w:tcW w:type="dxa" w:w="2160"/>
            <w:vAlign w:val="top"/>
          </w:tcPr>
          <w:p>
            <w:pPr>
              <w:spacing w:after="40" w:before="0" w:line="259" w:lineRule="auto"/>
            </w:pPr>
            <w:r>
              <w:rPr>
                <w:rFonts w:ascii="Calibri" w:hAnsi="Calibri"/>
                <w:b w:val="0"/>
                <w:i w:val="0"/>
                <w:color w:val="212121"/>
                <w:sz w:val="19"/>
              </w:rPr>
              <w:t>Hip-fracture, cardiac &amp; major surgery patients</w:t>
            </w:r>
          </w:p>
        </w:tc>
        <w:tc>
          <w:tcPr>
            <w:tcW w:type="dxa" w:w="4276"/>
            <w:vAlign w:val="top"/>
          </w:tcPr>
          <w:p>
            <w:pPr>
              <w:spacing w:after="60" w:line="259" w:lineRule="auto"/>
            </w:pPr>
            <w:r>
              <w:rPr>
                <w:rFonts w:ascii="Calibri" w:hAnsi="Calibri"/>
                <w:b w:val="0"/>
                <w:i w:val="0"/>
                <w:color w:val="212121"/>
                <w:sz w:val="19"/>
              </w:rPr>
              <w:t>Surgery and anaesthesia, blood loss, pain and immobility make the postoperative period high-risk, particularly after hip-fracture and cardiac surgery in older adults.</w:t>
            </w:r>
          </w:p>
          <w:p>
            <w:pPr>
              <w:spacing w:after="40" w:before="60" w:line="259" w:lineRule="auto"/>
            </w:pPr>
            <w:r>
              <w:rPr>
                <w:rFonts w:ascii="Calibri" w:hAnsi="Calibri"/>
                <w:b w:val="0"/>
                <w:i w:val="0"/>
                <w:color w:val="212121"/>
                <w:sz w:val="19"/>
              </w:rPr>
              <w:t>Delirium complicates about 10–20% of major elective surgery and up to 50% of high-risk procedures.</w:t>
            </w:r>
          </w:p>
          <w:p>
            <w:pPr>
              <w:spacing w:after="40" w:line="252" w:lineRule="auto"/>
            </w:pPr>
            <w:hyperlink r:id="rId11">
              <w:r>
                <w:rPr>
                  <w:rFonts w:ascii="Calibri" w:hAnsi="Calibri" w:cs="Calibri"/>
                  <w:sz w:val="18"/>
                  <w:color w:val="1155CC"/>
                  <w:u w:val="single"/>
                </w:rPr>
                <w:t xml:space="preserve">ncbi.nlm.nih.gov (StatPearls) — postoperative delirium 10–50%</w:t>
              </w:r>
            </w:hyperlink>
          </w:p>
          <w:p>
            <w:pPr>
              <w:spacing w:before="60" w:after="40"/>
            </w:pPr>
            <w:r>
              <w:rPr>
                <w:rFonts w:ascii="Calibri" w:hAnsi="Calibri"/>
                <w:b w:val="0"/>
                <w:i w:val="0"/>
                <w:color w:val="5A5A5A"/>
                <w:sz w:val="18"/>
              </w:rPr>
              <w:t>#postoperative  #hipfracture  #cardiacsurgery  #anaesthesia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 organ failure</w:t>
            </w:r>
          </w:p>
        </w:tc>
        <w:tc>
          <w:tcPr>
            <w:tcW w:type="dxa" w:w="2160"/>
            <w:vAlign w:val="top"/>
          </w:tcPr>
          <w:p>
            <w:pPr>
              <w:spacing w:after="40" w:before="0" w:line="259" w:lineRule="auto"/>
            </w:pPr>
            <w:r>
              <w:rPr>
                <w:rFonts w:ascii="Calibri" w:hAnsi="Calibri"/>
                <w:b w:val="0"/>
                <w:i w:val="0"/>
                <w:color w:val="212121"/>
                <w:sz w:val="19"/>
              </w:rPr>
              <w:t>Renal, hepatic failure &amp; electrolyte disturbance</w:t>
            </w:r>
          </w:p>
        </w:tc>
        <w:tc>
          <w:tcPr>
            <w:tcW w:type="dxa" w:w="4276"/>
            <w:vAlign w:val="top"/>
          </w:tcPr>
          <w:p>
            <w:pPr>
              <w:spacing w:after="60" w:line="259" w:lineRule="auto"/>
            </w:pPr>
            <w:r>
              <w:rPr>
                <w:rFonts w:ascii="Calibri" w:hAnsi="Calibri"/>
                <w:b w:val="0"/>
                <w:i w:val="0"/>
                <w:color w:val="212121"/>
                <w:sz w:val="19"/>
              </w:rPr>
              <w:t>Uraemia, hepatic encephalopathy, dysnatraemia, hypercalcaemia, hypoxia and dysglycaemia directly derange cerebral function; these metabolic precipitants are common and usually correctable.</w:t>
            </w:r>
          </w:p>
          <w:p>
            <w:pPr>
              <w:spacing w:after="40" w:before="60" w:line="259" w:lineRule="auto"/>
            </w:pPr>
            <w:r>
              <w:rPr>
                <w:rFonts w:ascii="Calibri" w:hAnsi="Calibri"/>
                <w:b w:val="0"/>
                <w:i w:val="0"/>
                <w:color w:val="212121"/>
                <w:sz w:val="19"/>
              </w:rPr>
              <w:t>Metabolic derangements (electrolytes, renal/hepatic failure, hypoxia) are core precipitating causes of delirium.</w:t>
            </w:r>
          </w:p>
          <w:p>
            <w:pPr>
              <w:spacing w:after="40" w:line="252" w:lineRule="auto"/>
            </w:pPr>
            <w:hyperlink r:id="rId11">
              <w:r>
                <w:rPr>
                  <w:rFonts w:ascii="Calibri" w:hAnsi="Calibri" w:cs="Calibri"/>
                  <w:sz w:val="18"/>
                  <w:color w:val="1155CC"/>
                  <w:u w:val="single"/>
                </w:rPr>
                <w:t xml:space="preserve">ncbi.nlm.nih.gov (StatPearls) — metabolic precipitants</w:t>
              </w:r>
            </w:hyperlink>
          </w:p>
          <w:p>
            <w:pPr>
              <w:spacing w:before="60" w:after="40"/>
            </w:pPr>
            <w:r>
              <w:rPr>
                <w:rFonts w:ascii="Calibri" w:hAnsi="Calibri"/>
                <w:b w:val="0"/>
                <w:i w:val="0"/>
                <w:color w:val="5A5A5A"/>
                <w:sz w:val="18"/>
              </w:rPr>
              <w:t>#metabolic  #uraemia  #hepaticencephalopathy  #hyponatraemia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Polypharmacy / deliriogenic drugs</w:t>
            </w:r>
          </w:p>
        </w:tc>
        <w:tc>
          <w:tcPr>
            <w:tcW w:type="dxa" w:w="2160"/>
            <w:vAlign w:val="top"/>
          </w:tcPr>
          <w:p>
            <w:pPr>
              <w:spacing w:after="40" w:before="0" w:line="259" w:lineRule="auto"/>
            </w:pPr>
            <w:r>
              <w:rPr>
                <w:rFonts w:ascii="Calibri" w:hAnsi="Calibri"/>
                <w:b w:val="0"/>
                <w:i w:val="0"/>
                <w:color w:val="212121"/>
                <w:sz w:val="19"/>
              </w:rPr>
              <w:t>Older adults on multiple / anticholinergic drugs</w:t>
            </w:r>
          </w:p>
        </w:tc>
        <w:tc>
          <w:tcPr>
            <w:tcW w:type="dxa" w:w="4276"/>
            <w:vAlign w:val="top"/>
          </w:tcPr>
          <w:p>
            <w:pPr>
              <w:spacing w:after="60" w:line="259" w:lineRule="auto"/>
            </w:pPr>
            <w:r>
              <w:rPr>
                <w:rFonts w:ascii="Calibri" w:hAnsi="Calibri"/>
                <w:b w:val="0"/>
                <w:i w:val="0"/>
                <w:color w:val="212121"/>
                <w:sz w:val="19"/>
              </w:rPr>
              <w:t>Anticholinergics, benzodiazepines, opioids, sedative-hypnotics and steroids, especially in combination, are a major and highly preventable cause; each added drug raises risk in the vulnerable elderly.</w:t>
            </w:r>
          </w:p>
          <w:p>
            <w:pPr>
              <w:spacing w:after="40" w:before="60" w:line="259" w:lineRule="auto"/>
            </w:pPr>
            <w:r>
              <w:rPr>
                <w:rFonts w:ascii="Calibri" w:hAnsi="Calibri"/>
                <w:b w:val="0"/>
                <w:i w:val="0"/>
                <w:color w:val="212121"/>
                <w:sz w:val="19"/>
              </w:rPr>
              <w:t>Medications are implicated in up to 39% of delirium cases.</w:t>
            </w:r>
          </w:p>
          <w:p>
            <w:pPr>
              <w:spacing w:after="40" w:line="252" w:lineRule="auto"/>
            </w:pPr>
            <w:hyperlink r:id="rId11">
              <w:r>
                <w:rPr>
                  <w:rFonts w:ascii="Calibri" w:hAnsi="Calibri" w:cs="Calibri"/>
                  <w:sz w:val="18"/>
                  <w:color w:val="1155CC"/>
                  <w:u w:val="single"/>
                </w:rPr>
                <w:t xml:space="preserve">ncbi.nlm.nih.gov (StatPearls) — drugs cause up to 39% of delirium</w:t>
              </w:r>
            </w:hyperlink>
          </w:p>
          <w:p>
            <w:pPr>
              <w:spacing w:before="60" w:after="40"/>
            </w:pPr>
            <w:r>
              <w:rPr>
                <w:rFonts w:ascii="Calibri" w:hAnsi="Calibri"/>
                <w:b w:val="0"/>
                <w:i w:val="0"/>
                <w:color w:val="5A5A5A"/>
                <w:sz w:val="18"/>
              </w:rPr>
              <w:t>#polypharmacy  #anticholinergic  #benzodiazepines  #opioids  #deprescribing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Cardiac emergency</w:t>
            </w:r>
          </w:p>
        </w:tc>
        <w:tc>
          <w:tcPr>
            <w:tcW w:type="dxa" w:w="2160"/>
            <w:vAlign w:val="top"/>
          </w:tcPr>
          <w:p>
            <w:pPr>
              <w:spacing w:after="40" w:before="0" w:line="259" w:lineRule="auto"/>
            </w:pPr>
            <w:r>
              <w:rPr>
                <w:rFonts w:ascii="Calibri" w:hAnsi="Calibri"/>
                <w:b w:val="0"/>
                <w:i w:val="0"/>
                <w:color w:val="212121"/>
                <w:sz w:val="19"/>
              </w:rPr>
              <w:t>Coronary-care / cardiac-ICU patients</w:t>
            </w:r>
          </w:p>
        </w:tc>
        <w:tc>
          <w:tcPr>
            <w:tcW w:type="dxa" w:w="4276"/>
            <w:vAlign w:val="top"/>
          </w:tcPr>
          <w:p>
            <w:pPr>
              <w:spacing w:after="60" w:line="259" w:lineRule="auto"/>
            </w:pPr>
            <w:r>
              <w:rPr>
                <w:rFonts w:ascii="Calibri" w:hAnsi="Calibri"/>
                <w:b w:val="0"/>
                <w:i w:val="0"/>
                <w:color w:val="212121"/>
                <w:sz w:val="19"/>
              </w:rPr>
              <w:t>Cardiogenic shock, low ejection fraction, arrhythmia and cardiac surgery reduce cerebral perfusion and combine with sedation and polypharmacy to precipitate delirium in the coronary-care unit.</w:t>
            </w:r>
          </w:p>
          <w:p>
            <w:pPr>
              <w:spacing w:after="40" w:before="60" w:line="259" w:lineRule="auto"/>
            </w:pPr>
            <w:r>
              <w:rPr>
                <w:rFonts w:ascii="Calibri" w:hAnsi="Calibri"/>
                <w:b w:val="0"/>
                <w:i w:val="0"/>
                <w:color w:val="212121"/>
                <w:sz w:val="19"/>
              </w:rPr>
              <w:t>An Indian cardiac-ICU study found an 18.8% prevalence of delirium, with 27% mortality in delirious patients versus 1% without.</w:t>
            </w:r>
          </w:p>
          <w:p>
            <w:pPr>
              <w:spacing w:after="40" w:line="252" w:lineRule="auto"/>
            </w:pPr>
            <w:hyperlink r:id="rId15">
              <w:r>
                <w:rPr>
                  <w:rFonts w:ascii="Calibri" w:hAnsi="Calibri" w:cs="Calibri"/>
                  <w:sz w:val="18"/>
                  <w:color w:val="1155CC"/>
                  <w:u w:val="single"/>
                </w:rPr>
                <w:t xml:space="preserve">pubmed.ncbi.nlm.nih.gov/24295565 — cardiac-ICU 18.8%; mortality 27% vs 1%</w:t>
              </w:r>
            </w:hyperlink>
          </w:p>
          <w:p>
            <w:pPr>
              <w:spacing w:before="60" w:after="40"/>
            </w:pPr>
            <w:r>
              <w:rPr>
                <w:rFonts w:ascii="Calibri" w:hAnsi="Calibri"/>
                <w:b w:val="0"/>
                <w:i w:val="0"/>
                <w:color w:val="5A5A5A"/>
                <w:sz w:val="18"/>
              </w:rPr>
              <w:t>#cardiacICU  #cardiogenicshock  #lowEF  #mortality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Immobility, prolonged bed rest and physical restraints precipitate and prolong delirium, while early daily mobilisation is a core, evidence-based component of multicomponent prevention bundles (HELP, ABCDEF) that reduce delirium incidence (pooled OR 0.47).</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Dehydration, poor oral intake, low serum albumin and thiamine deficiency precipitate or worsen delirium; ensuring hydration and nutrition and giving thiamine to drinkers are established preventive measures.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deprivation and day–night disruption — rife in ICUs from noise, light and interruptions — are major precipitants; non-pharmacological sleep protocols are part of interventions that lower delirium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nicotine withdrawal in hospitalised smokers can provoke agitation and delirium, and smoking was an identified risk factor in an Indian ICU cohort; nicotine-replacement can help selected inpatients.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(and benzodiazepine) withdrawal is a direct, life-threatening cause of delirium (delirium tremens); chronic use adds thiamine deficiency and hepatic encephalopathy. Alcoholism was a risk factor in Indian ICU data.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Pre-existing depression, anxiety and psychiatric illness increase vulnerability, and hypoactive delirium is frequently misdiagnosed as depression; psychological distress and unfamiliar surroundings worsen episodes.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Dehydration and electrolyte disturbance (especially dysnatraemia) are common, correctable precipitants; maintaining euvolaemia and normal electrolytes is central to prevention and treatment.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role; abrupt caffeine withdrawal may cause headache and irritability but is a negligible contributor to delirium.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Infection — urinary-tract, respiratory and catheter/line-related — is the commonest precipitant, so hand hygiene, catheter care and infection prevention meaningfully reduce delirium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defining feature of delirium: acute infection, surgery, deliriogenic drugs, metabolic insults, hypoxia, urinary retention, constipation, uncontrolled pain and a disorienting ICU environment precipitate delirium in vulnerable people; removing them is the mainstay of 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Positioning matters mainly through immobility and orthostatic cerebral hypoperfusion; upright positioning and mobilisation help, but posture itself is a minor contributor.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Delirium screen (CAM-ICU / 4AT)</w:t>
            </w:r>
          </w:p>
        </w:tc>
        <w:tc>
          <w:tcPr>
            <w:tcW w:type="dxa" w:w="1655"/>
            <w:vAlign w:val="top"/>
          </w:tcPr>
          <w:p>
            <w:pPr>
              <w:spacing w:after="40" w:before="0" w:line="259" w:lineRule="auto"/>
            </w:pPr>
            <w:r>
              <w:rPr>
                <w:rFonts w:ascii="Calibri" w:hAnsi="Calibri"/>
                <w:b w:val="0"/>
                <w:i w:val="0"/>
                <w:color w:val="212121"/>
                <w:sz w:val="19"/>
              </w:rPr>
              <w:t>Hospitalised elderly, ICU, post-op</w:t>
            </w:r>
          </w:p>
        </w:tc>
        <w:tc>
          <w:tcPr>
            <w:tcW w:type="dxa" w:w="1512"/>
            <w:vAlign w:val="top"/>
          </w:tcPr>
          <w:p>
            <w:pPr>
              <w:spacing w:after="40" w:before="0" w:line="259" w:lineRule="auto"/>
            </w:pPr>
            <w:r>
              <w:rPr>
                <w:rFonts w:ascii="Calibri" w:hAnsi="Calibri"/>
                <w:b w:val="0"/>
                <w:i w:val="0"/>
                <w:color w:val="212121"/>
                <w:sz w:val="19"/>
              </w:rPr>
              <w:t>CAM negative / 4AT = 0</w:t>
            </w:r>
          </w:p>
        </w:tc>
        <w:tc>
          <w:tcPr>
            <w:tcW w:type="dxa" w:w="1512"/>
            <w:vAlign w:val="top"/>
          </w:tcPr>
          <w:p>
            <w:pPr>
              <w:spacing w:after="40" w:before="0" w:line="259" w:lineRule="auto"/>
            </w:pPr>
            <w:r>
              <w:rPr>
                <w:rFonts w:ascii="Calibri" w:hAnsi="Calibri"/>
                <w:b w:val="0"/>
                <w:i w:val="0"/>
                <w:color w:val="212121"/>
                <w:sz w:val="19"/>
              </w:rPr>
              <w:t>CAM positive / 4AT ≥ 4</w:t>
            </w:r>
          </w:p>
        </w:tc>
        <w:tc>
          <w:tcPr>
            <w:tcW w:type="dxa" w:w="1468"/>
            <w:vAlign w:val="top"/>
          </w:tcPr>
          <w:p>
            <w:pPr>
              <w:spacing w:after="60" w:line="259" w:lineRule="auto"/>
            </w:pPr>
            <w:r>
              <w:rPr>
                <w:rFonts w:ascii="Calibri" w:hAnsi="Calibri"/>
                <w:b w:val="0"/>
                <w:i w:val="0"/>
                <w:color w:val="212121"/>
                <w:sz w:val="19"/>
              </w:rPr>
              <w:t>Screen at least once per shift in high-risk patients; hypoactive form is easily missed</w:t>
            </w:r>
          </w:p>
          <w:p>
            <w:pPr>
              <w:spacing w:after="40" w:line="252" w:lineRule="auto"/>
            </w:pPr>
            <w:hyperlink r:id="rId11">
              <w:r>
                <w:rPr>
                  <w:rFonts w:ascii="Calibri" w:hAnsi="Calibri" w:cs="Calibri"/>
                  <w:sz w:val="18"/>
                  <w:color w:val="1155CC"/>
                  <w:u w:val="single"/>
                </w:rPr>
                <w:t xml:space="preserve">https://www.ncbi.nlm.nih.gov/books/NBK470399/</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Baseline cognition (AMT-10 / MoCA)</w:t>
            </w:r>
          </w:p>
        </w:tc>
        <w:tc>
          <w:tcPr>
            <w:tcW w:type="dxa" w:w="1655"/>
            <w:vAlign w:val="top"/>
          </w:tcPr>
          <w:p>
            <w:pPr>
              <w:spacing w:after="40" w:before="0" w:line="259" w:lineRule="auto"/>
            </w:pPr>
            <w:r>
              <w:rPr>
                <w:rFonts w:ascii="Calibri" w:hAnsi="Calibri"/>
                <w:b w:val="0"/>
                <w:i w:val="0"/>
                <w:color w:val="212121"/>
                <w:sz w:val="19"/>
              </w:rPr>
              <w:t>Elderly, pre-op, dementia</w:t>
            </w:r>
          </w:p>
        </w:tc>
        <w:tc>
          <w:tcPr>
            <w:tcW w:type="dxa" w:w="1512"/>
            <w:vAlign w:val="top"/>
          </w:tcPr>
          <w:p>
            <w:pPr>
              <w:spacing w:after="40" w:before="0" w:line="259" w:lineRule="auto"/>
            </w:pPr>
            <w:r>
              <w:rPr>
                <w:rFonts w:ascii="Calibri" w:hAnsi="Calibri"/>
                <w:b w:val="0"/>
                <w:i w:val="0"/>
                <w:color w:val="212121"/>
                <w:sz w:val="19"/>
              </w:rPr>
              <w:t>AMT ≥ 8 / no dementia</w:t>
            </w:r>
          </w:p>
        </w:tc>
        <w:tc>
          <w:tcPr>
            <w:tcW w:type="dxa" w:w="1512"/>
            <w:vAlign w:val="top"/>
          </w:tcPr>
          <w:p>
            <w:pPr>
              <w:spacing w:after="40" w:before="0" w:line="259" w:lineRule="auto"/>
            </w:pPr>
            <w:r>
              <w:rPr>
                <w:rFonts w:ascii="Calibri" w:hAnsi="Calibri"/>
                <w:b w:val="0"/>
                <w:i w:val="0"/>
                <w:color w:val="212121"/>
                <w:sz w:val="19"/>
              </w:rPr>
              <w:t>AMT &lt; 8 / known dementia</w:t>
            </w:r>
          </w:p>
        </w:tc>
        <w:tc>
          <w:tcPr>
            <w:tcW w:type="dxa" w:w="1468"/>
            <w:vAlign w:val="top"/>
          </w:tcPr>
          <w:p>
            <w:pPr>
              <w:spacing w:after="60" w:line="259" w:lineRule="auto"/>
            </w:pPr>
            <w:r>
              <w:rPr>
                <w:rFonts w:ascii="Calibri" w:hAnsi="Calibri"/>
                <w:b w:val="0"/>
                <w:i w:val="0"/>
                <w:color w:val="212121"/>
                <w:sz w:val="19"/>
              </w:rPr>
              <w:t>Pre-existing cognitive impairment is the strongest predisposing factor</w:t>
            </w:r>
          </w:p>
          <w:p>
            <w:pPr>
              <w:spacing w:after="40" w:line="252" w:lineRule="auto"/>
            </w:pPr>
            <w:hyperlink r:id="rId9">
              <w:r>
                <w:rPr>
                  <w:rFonts w:ascii="Calibri" w:hAnsi="Calibri" w:cs="Calibri"/>
                  <w:sz w:val="18"/>
                  <w:color w:val="1155CC"/>
                  <w:u w:val="single"/>
                </w:rPr>
                <w:t xml:space="preserve">https://pmc.ncbi.nlm.nih.gov/articles/PMC4120864/</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Mobilisation &amp; restraint status</w:t>
            </w:r>
          </w:p>
        </w:tc>
        <w:tc>
          <w:tcPr>
            <w:tcW w:type="dxa" w:w="1655"/>
            <w:vAlign w:val="top"/>
          </w:tcPr>
          <w:p>
            <w:pPr>
              <w:spacing w:after="40" w:before="0" w:line="259" w:lineRule="auto"/>
            </w:pPr>
            <w:r>
              <w:rPr>
                <w:rFonts w:ascii="Calibri" w:hAnsi="Calibri"/>
                <w:b w:val="0"/>
                <w:i w:val="0"/>
                <w:color w:val="212121"/>
                <w:sz w:val="19"/>
              </w:rPr>
              <w:t>ICU, post-op, bedbound</w:t>
            </w:r>
          </w:p>
        </w:tc>
        <w:tc>
          <w:tcPr>
            <w:tcW w:type="dxa" w:w="1512"/>
            <w:vAlign w:val="top"/>
          </w:tcPr>
          <w:p>
            <w:pPr>
              <w:spacing w:after="40" w:before="0" w:line="259" w:lineRule="auto"/>
            </w:pPr>
            <w:r>
              <w:rPr>
                <w:rFonts w:ascii="Calibri" w:hAnsi="Calibri"/>
                <w:b w:val="0"/>
                <w:i w:val="0"/>
                <w:color w:val="212121"/>
                <w:sz w:val="19"/>
              </w:rPr>
              <w:t>Early daily mobilisation; restraint-free</w:t>
            </w:r>
          </w:p>
        </w:tc>
        <w:tc>
          <w:tcPr>
            <w:tcW w:type="dxa" w:w="1512"/>
            <w:vAlign w:val="top"/>
          </w:tcPr>
          <w:p>
            <w:pPr>
              <w:spacing w:after="40" w:before="0" w:line="259" w:lineRule="auto"/>
            </w:pPr>
            <w:r>
              <w:rPr>
                <w:rFonts w:ascii="Calibri" w:hAnsi="Calibri"/>
                <w:b w:val="0"/>
                <w:i w:val="0"/>
                <w:color w:val="212121"/>
                <w:sz w:val="19"/>
              </w:rPr>
              <w:t>Prolonged bed rest; physical restraints; multiple catheters/lines</w:t>
            </w:r>
          </w:p>
        </w:tc>
        <w:tc>
          <w:tcPr>
            <w:tcW w:type="dxa" w:w="1468"/>
            <w:vAlign w:val="top"/>
          </w:tcPr>
          <w:p>
            <w:pPr>
              <w:spacing w:after="60" w:line="259" w:lineRule="auto"/>
            </w:pPr>
            <w:r>
              <w:rPr>
                <w:rFonts w:ascii="Calibri" w:hAnsi="Calibri"/>
                <w:b w:val="0"/>
                <w:i w:val="0"/>
                <w:color w:val="212121"/>
                <w:sz w:val="19"/>
              </w:rPr>
              <w:t>Immobility and restraints precipitate and prolong delirium</w:t>
            </w:r>
          </w:p>
          <w:p>
            <w:pPr>
              <w:spacing w:after="40" w:line="252" w:lineRule="auto"/>
            </w:pPr>
            <w:hyperlink r:id="rId14">
              <w:r>
                <w:rPr>
                  <w:rFonts w:ascii="Calibri" w:hAnsi="Calibri" w:cs="Calibri"/>
                  <w:sz w:val="18"/>
                  <w:color w:val="1155CC"/>
                  <w:u w:val="single"/>
                </w:rPr>
                <w:t xml:space="preserve">https://pubmed.ncbi.nlm.nih.gov/25643002/</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Day–night sleep pattern</w:t>
            </w:r>
          </w:p>
        </w:tc>
        <w:tc>
          <w:tcPr>
            <w:tcW w:type="dxa" w:w="1655"/>
            <w:vAlign w:val="top"/>
          </w:tcPr>
          <w:p>
            <w:pPr>
              <w:spacing w:after="40" w:before="0" w:line="259" w:lineRule="auto"/>
            </w:pPr>
            <w:r>
              <w:rPr>
                <w:rFonts w:ascii="Calibri" w:hAnsi="Calibri"/>
                <w:b w:val="0"/>
                <w:i w:val="0"/>
                <w:color w:val="212121"/>
                <w:sz w:val="19"/>
              </w:rPr>
              <w:t>ICU and ward inpatients</w:t>
            </w:r>
          </w:p>
        </w:tc>
        <w:tc>
          <w:tcPr>
            <w:tcW w:type="dxa" w:w="1512"/>
            <w:vAlign w:val="top"/>
          </w:tcPr>
          <w:p>
            <w:pPr>
              <w:spacing w:after="40" w:before="0" w:line="259" w:lineRule="auto"/>
            </w:pPr>
            <w:r>
              <w:rPr>
                <w:rFonts w:ascii="Calibri" w:hAnsi="Calibri"/>
                <w:b w:val="0"/>
                <w:i w:val="0"/>
                <w:color w:val="212121"/>
                <w:sz w:val="19"/>
              </w:rPr>
              <w:t>Consolidated night sleep; day–night cycle preserved</w:t>
            </w:r>
          </w:p>
        </w:tc>
        <w:tc>
          <w:tcPr>
            <w:tcW w:type="dxa" w:w="1512"/>
            <w:vAlign w:val="top"/>
          </w:tcPr>
          <w:p>
            <w:pPr>
              <w:spacing w:after="40" w:before="0" w:line="259" w:lineRule="auto"/>
            </w:pPr>
            <w:r>
              <w:rPr>
                <w:rFonts w:ascii="Calibri" w:hAnsi="Calibri"/>
                <w:b w:val="0"/>
                <w:i w:val="0"/>
                <w:color w:val="212121"/>
                <w:sz w:val="19"/>
              </w:rPr>
              <w:t>Sleep deprivation, day–night reversal, ICU noise/light</w:t>
            </w:r>
          </w:p>
        </w:tc>
        <w:tc>
          <w:tcPr>
            <w:tcW w:type="dxa" w:w="1468"/>
            <w:vAlign w:val="top"/>
          </w:tcPr>
          <w:p>
            <w:pPr>
              <w:spacing w:after="60" w:line="259" w:lineRule="auto"/>
            </w:pPr>
            <w:r>
              <w:rPr>
                <w:rFonts w:ascii="Calibri" w:hAnsi="Calibri"/>
                <w:b w:val="0"/>
                <w:i w:val="0"/>
                <w:color w:val="212121"/>
                <w:sz w:val="19"/>
              </w:rPr>
              <w:t>Non-pharmacological sleep protocols reduce delirium</w:t>
            </w:r>
          </w:p>
          <w:p>
            <w:pPr>
              <w:spacing w:after="40" w:line="252" w:lineRule="auto"/>
            </w:pPr>
            <w:hyperlink r:id="rId14">
              <w:r>
                <w:rPr>
                  <w:rFonts w:ascii="Calibri" w:hAnsi="Calibri" w:cs="Calibri"/>
                  <w:sz w:val="18"/>
                  <w:color w:val="1155CC"/>
                  <w:u w:val="single"/>
                </w:rPr>
                <w:t xml:space="preserve">https://pubmed.ncbi.nlm.nih.gov/25643002/</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albumin (g/dL)</w:t>
            </w:r>
          </w:p>
        </w:tc>
        <w:tc>
          <w:tcPr>
            <w:tcW w:type="dxa" w:w="1655"/>
            <w:vAlign w:val="top"/>
          </w:tcPr>
          <w:p>
            <w:pPr>
              <w:spacing w:after="40" w:before="0" w:line="259" w:lineRule="auto"/>
            </w:pPr>
            <w:r>
              <w:rPr>
                <w:rFonts w:ascii="Calibri" w:hAnsi="Calibri"/>
                <w:b w:val="0"/>
                <w:i w:val="0"/>
                <w:color w:val="212121"/>
                <w:sz w:val="19"/>
              </w:rPr>
              <w:t>Frail, malnourished, ICU</w:t>
            </w:r>
          </w:p>
        </w:tc>
        <w:tc>
          <w:tcPr>
            <w:tcW w:type="dxa" w:w="1512"/>
            <w:vAlign w:val="top"/>
          </w:tcPr>
          <w:p>
            <w:pPr>
              <w:spacing w:after="40" w:before="0" w:line="259" w:lineRule="auto"/>
            </w:pPr>
            <w:r>
              <w:rPr>
                <w:rFonts w:ascii="Calibri" w:hAnsi="Calibri"/>
                <w:b w:val="0"/>
                <w:i w:val="0"/>
                <w:color w:val="212121"/>
                <w:sz w:val="19"/>
              </w:rPr>
              <w:t>≥ 3.5 g/dL</w:t>
            </w:r>
          </w:p>
        </w:tc>
        <w:tc>
          <w:tcPr>
            <w:tcW w:type="dxa" w:w="1512"/>
            <w:vAlign w:val="top"/>
          </w:tcPr>
          <w:p>
            <w:pPr>
              <w:spacing w:after="40" w:before="0" w:line="259" w:lineRule="auto"/>
            </w:pPr>
            <w:r>
              <w:rPr>
                <w:rFonts w:ascii="Calibri" w:hAnsi="Calibri"/>
                <w:b w:val="0"/>
                <w:i w:val="0"/>
                <w:color w:val="212121"/>
                <w:sz w:val="19"/>
              </w:rPr>
              <w:t>&lt; 3.5 g/dL (hypoalbuminaemia)</w:t>
            </w:r>
          </w:p>
        </w:tc>
        <w:tc>
          <w:tcPr>
            <w:tcW w:type="dxa" w:w="1468"/>
            <w:vAlign w:val="top"/>
          </w:tcPr>
          <w:p>
            <w:pPr>
              <w:spacing w:after="60" w:line="259" w:lineRule="auto"/>
            </w:pPr>
            <w:r>
              <w:rPr>
                <w:rFonts w:ascii="Calibri" w:hAnsi="Calibri"/>
                <w:b w:val="0"/>
                <w:i w:val="0"/>
                <w:color w:val="212121"/>
                <w:sz w:val="19"/>
              </w:rPr>
              <w:t>Hypoalbuminaemia is an identified risk factor in Indian ICU studies</w:t>
            </w:r>
          </w:p>
          <w:p>
            <w:pPr>
              <w:spacing w:after="40" w:line="252" w:lineRule="auto"/>
            </w:pPr>
            <w:hyperlink r:id="rId12">
              <w:r>
                <w:rPr>
                  <w:rFonts w:ascii="Calibri" w:hAnsi="Calibri" w:cs="Calibri"/>
                  <w:sz w:val="18"/>
                  <w:color w:val="1155CC"/>
                  <w:u w:val="single"/>
                </w:rPr>
                <w:t xml:space="preserve">https://pmc.ncbi.nlm.nih.gov/articles/PMC9973060/</w:t>
              </w:r>
            </w:hyperlink>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Serum sodium (mmol/L)</w:t>
            </w:r>
          </w:p>
        </w:tc>
        <w:tc>
          <w:tcPr>
            <w:tcW w:type="dxa" w:w="1655"/>
            <w:vAlign w:val="top"/>
          </w:tcPr>
          <w:p>
            <w:pPr>
              <w:spacing w:after="40" w:before="0" w:line="259" w:lineRule="auto"/>
            </w:pPr>
            <w:r>
              <w:rPr>
                <w:rFonts w:ascii="Calibri" w:hAnsi="Calibri"/>
                <w:b w:val="0"/>
                <w:i w:val="0"/>
                <w:color w:val="212121"/>
                <w:sz w:val="19"/>
              </w:rPr>
              <w:t>Elderly, diuretic use, ICU</w:t>
            </w:r>
          </w:p>
        </w:tc>
        <w:tc>
          <w:tcPr>
            <w:tcW w:type="dxa" w:w="1512"/>
            <w:vAlign w:val="top"/>
          </w:tcPr>
          <w:p>
            <w:pPr>
              <w:spacing w:after="40" w:before="0" w:line="259" w:lineRule="auto"/>
            </w:pPr>
            <w:r>
              <w:rPr>
                <w:rFonts w:ascii="Calibri" w:hAnsi="Calibri"/>
                <w:b w:val="0"/>
                <w:i w:val="0"/>
                <w:color w:val="212121"/>
                <w:sz w:val="19"/>
              </w:rPr>
              <w:t>135–145 mmol/L</w:t>
            </w:r>
          </w:p>
        </w:tc>
        <w:tc>
          <w:tcPr>
            <w:tcW w:type="dxa" w:w="1512"/>
            <w:vAlign w:val="top"/>
          </w:tcPr>
          <w:p>
            <w:pPr>
              <w:spacing w:after="40" w:before="0" w:line="259" w:lineRule="auto"/>
            </w:pPr>
            <w:r>
              <w:rPr>
                <w:rFonts w:ascii="Calibri" w:hAnsi="Calibri"/>
                <w:b w:val="0"/>
                <w:i w:val="0"/>
                <w:color w:val="212121"/>
                <w:sz w:val="19"/>
              </w:rPr>
              <w:t>&lt; 130 or &gt; 150 mmol/L</w:t>
            </w:r>
          </w:p>
        </w:tc>
        <w:tc>
          <w:tcPr>
            <w:tcW w:type="dxa" w:w="1468"/>
            <w:vAlign w:val="top"/>
          </w:tcPr>
          <w:p>
            <w:pPr>
              <w:spacing w:after="40" w:before="0" w:line="259" w:lineRule="auto"/>
            </w:pPr>
            <w:r>
              <w:rPr>
                <w:rFonts w:ascii="Calibri" w:hAnsi="Calibri"/>
                <w:b w:val="0"/>
                <w:i w:val="0"/>
                <w:color w:val="212121"/>
                <w:sz w:val="19"/>
              </w:rPr>
              <w:t>Dysnatraemia is a common, rapidly correctable precipitant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Hydration / renal (urea, creatinine)</w:t>
            </w:r>
          </w:p>
        </w:tc>
        <w:tc>
          <w:tcPr>
            <w:tcW w:type="dxa" w:w="1655"/>
            <w:vAlign w:val="top"/>
          </w:tcPr>
          <w:p>
            <w:pPr>
              <w:spacing w:after="40" w:before="0" w:line="259" w:lineRule="auto"/>
            </w:pPr>
            <w:r>
              <w:rPr>
                <w:rFonts w:ascii="Calibri" w:hAnsi="Calibri"/>
                <w:b w:val="0"/>
                <w:i w:val="0"/>
                <w:color w:val="212121"/>
                <w:sz w:val="19"/>
              </w:rPr>
              <w:t>Elderly, ICU</w:t>
            </w:r>
          </w:p>
        </w:tc>
        <w:tc>
          <w:tcPr>
            <w:tcW w:type="dxa" w:w="1512"/>
            <w:vAlign w:val="top"/>
          </w:tcPr>
          <w:p>
            <w:pPr>
              <w:spacing w:after="40" w:before="0" w:line="259" w:lineRule="auto"/>
            </w:pPr>
            <w:r>
              <w:rPr>
                <w:rFonts w:ascii="Calibri" w:hAnsi="Calibri"/>
                <w:b w:val="0"/>
                <w:i w:val="0"/>
                <w:color w:val="212121"/>
                <w:sz w:val="19"/>
              </w:rPr>
              <w:t>Euvolaemic; normal renal function</w:t>
            </w:r>
          </w:p>
        </w:tc>
        <w:tc>
          <w:tcPr>
            <w:tcW w:type="dxa" w:w="1512"/>
            <w:vAlign w:val="top"/>
          </w:tcPr>
          <w:p>
            <w:pPr>
              <w:spacing w:after="40" w:before="0" w:line="259" w:lineRule="auto"/>
            </w:pPr>
            <w:r>
              <w:rPr>
                <w:rFonts w:ascii="Calibri" w:hAnsi="Calibri"/>
                <w:b w:val="0"/>
                <w:i w:val="0"/>
                <w:color w:val="212121"/>
                <w:sz w:val="19"/>
              </w:rPr>
              <w:t>Clinical dehydration; raised urea/creatinine</w:t>
            </w:r>
          </w:p>
        </w:tc>
        <w:tc>
          <w:tcPr>
            <w:tcW w:type="dxa" w:w="1468"/>
            <w:vAlign w:val="top"/>
          </w:tcPr>
          <w:p>
            <w:pPr>
              <w:spacing w:after="60" w:line="259" w:lineRule="auto"/>
            </w:pPr>
            <w:r>
              <w:rPr>
                <w:rFonts w:ascii="Calibri" w:hAnsi="Calibri"/>
                <w:b w:val="0"/>
                <w:i w:val="0"/>
                <w:color w:val="212121"/>
                <w:sz w:val="19"/>
              </w:rPr>
              <w:t>Dehydration and raised creatinine are associated with delirium</w:t>
            </w:r>
          </w:p>
          <w:p>
            <w:pPr>
              <w:spacing w:after="40" w:line="252" w:lineRule="auto"/>
            </w:pPr>
            <w:hyperlink r:id="rId12">
              <w:r>
                <w:rPr>
                  <w:rFonts w:ascii="Calibri" w:hAnsi="Calibri" w:cs="Calibri"/>
                  <w:sz w:val="18"/>
                  <w:color w:val="1155CC"/>
                  <w:u w:val="single"/>
                </w:rPr>
                <w:t xml:space="preserve">https://pmc.ncbi.nlm.nih.gov/articles/PMC9973060/</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Oxygenation (SpO₂)</w:t>
            </w:r>
          </w:p>
        </w:tc>
        <w:tc>
          <w:tcPr>
            <w:tcW w:type="dxa" w:w="1655"/>
            <w:vAlign w:val="top"/>
          </w:tcPr>
          <w:p>
            <w:pPr>
              <w:spacing w:after="40" w:before="0" w:line="259" w:lineRule="auto"/>
            </w:pPr>
            <w:r>
              <w:rPr>
                <w:rFonts w:ascii="Calibri" w:hAnsi="Calibri"/>
                <w:b w:val="0"/>
                <w:i w:val="0"/>
                <w:color w:val="212121"/>
                <w:sz w:val="19"/>
              </w:rPr>
              <w:t>Respiratory/cardiac illness, ICU</w:t>
            </w:r>
          </w:p>
        </w:tc>
        <w:tc>
          <w:tcPr>
            <w:tcW w:type="dxa" w:w="1512"/>
            <w:vAlign w:val="top"/>
          </w:tcPr>
          <w:p>
            <w:pPr>
              <w:spacing w:after="40" w:before="0" w:line="259" w:lineRule="auto"/>
            </w:pPr>
            <w:r>
              <w:rPr>
                <w:rFonts w:ascii="Calibri" w:hAnsi="Calibri"/>
                <w:b w:val="0"/>
                <w:i w:val="0"/>
                <w:color w:val="212121"/>
                <w:sz w:val="19"/>
              </w:rPr>
              <w:t>≥ 94%</w:t>
            </w:r>
          </w:p>
        </w:tc>
        <w:tc>
          <w:tcPr>
            <w:tcW w:type="dxa" w:w="1512"/>
            <w:vAlign w:val="top"/>
          </w:tcPr>
          <w:p>
            <w:pPr>
              <w:spacing w:after="40" w:before="0" w:line="259" w:lineRule="auto"/>
            </w:pPr>
            <w:r>
              <w:rPr>
                <w:rFonts w:ascii="Calibri" w:hAnsi="Calibri"/>
                <w:b w:val="0"/>
                <w:i w:val="0"/>
                <w:color w:val="212121"/>
                <w:sz w:val="19"/>
              </w:rPr>
              <w:t>&lt; 90% / hypoxia / hypercapnia</w:t>
            </w:r>
          </w:p>
        </w:tc>
        <w:tc>
          <w:tcPr>
            <w:tcW w:type="dxa" w:w="1468"/>
            <w:vAlign w:val="top"/>
          </w:tcPr>
          <w:p>
            <w:pPr>
              <w:spacing w:after="60" w:line="259" w:lineRule="auto"/>
            </w:pPr>
            <w:r>
              <w:rPr>
                <w:rFonts w:ascii="Calibri" w:hAnsi="Calibri"/>
                <w:b w:val="0"/>
                <w:i w:val="0"/>
                <w:color w:val="212121"/>
                <w:sz w:val="19"/>
              </w:rPr>
              <w:t>Hypoxia is a direct cerebral precipitant</w:t>
            </w:r>
          </w:p>
          <w:p>
            <w:pPr>
              <w:spacing w:after="40" w:line="252" w:lineRule="auto"/>
            </w:pPr>
            <w:hyperlink r:id="rId11">
              <w:r>
                <w:rPr>
                  <w:rFonts w:ascii="Calibri" w:hAnsi="Calibri" w:cs="Calibri"/>
                  <w:sz w:val="18"/>
                  <w:color w:val="1155CC"/>
                  <w:u w:val="single"/>
                </w:rPr>
                <w:t xml:space="preserve">https://www.ncbi.nlm.nih.gov/books/NBK470399/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Deliriogenic-drug / anticholinergic burden</w:t>
            </w:r>
          </w:p>
        </w:tc>
        <w:tc>
          <w:tcPr>
            <w:tcW w:type="dxa" w:w="1655"/>
            <w:vAlign w:val="top"/>
          </w:tcPr>
          <w:p>
            <w:pPr>
              <w:spacing w:after="40" w:before="0" w:line="259" w:lineRule="auto"/>
            </w:pPr>
            <w:r>
              <w:rPr>
                <w:rFonts w:ascii="Calibri" w:hAnsi="Calibri"/>
                <w:b w:val="0"/>
                <w:i w:val="0"/>
                <w:color w:val="212121"/>
                <w:sz w:val="19"/>
              </w:rPr>
              <w:t>Polypharmacy, elderly</w:t>
            </w:r>
          </w:p>
        </w:tc>
        <w:tc>
          <w:tcPr>
            <w:tcW w:type="dxa" w:w="1512"/>
            <w:vAlign w:val="top"/>
          </w:tcPr>
          <w:p>
            <w:pPr>
              <w:spacing w:after="40" w:before="0" w:line="259" w:lineRule="auto"/>
            </w:pPr>
            <w:r>
              <w:rPr>
                <w:rFonts w:ascii="Calibri" w:hAnsi="Calibri"/>
                <w:b w:val="0"/>
                <w:i w:val="0"/>
                <w:color w:val="212121"/>
                <w:sz w:val="19"/>
              </w:rPr>
              <w:t>Minimal; avoid anticholinergics, benzodiazepines, opioids</w:t>
            </w:r>
          </w:p>
        </w:tc>
        <w:tc>
          <w:tcPr>
            <w:tcW w:type="dxa" w:w="1512"/>
            <w:vAlign w:val="top"/>
          </w:tcPr>
          <w:p>
            <w:pPr>
              <w:spacing w:after="40" w:before="0" w:line="259" w:lineRule="auto"/>
            </w:pPr>
            <w:r>
              <w:rPr>
                <w:rFonts w:ascii="Calibri" w:hAnsi="Calibri"/>
                <w:b w:val="0"/>
                <w:i w:val="0"/>
                <w:color w:val="212121"/>
                <w:sz w:val="19"/>
              </w:rPr>
              <w:t>One or more deliriogenic drugs / high anticholinergic load</w:t>
            </w:r>
          </w:p>
        </w:tc>
        <w:tc>
          <w:tcPr>
            <w:tcW w:type="dxa" w:w="1468"/>
            <w:vAlign w:val="top"/>
          </w:tcPr>
          <w:p>
            <w:pPr>
              <w:spacing w:after="60" w:line="259" w:lineRule="auto"/>
            </w:pPr>
            <w:r>
              <w:rPr>
                <w:rFonts w:ascii="Calibri" w:hAnsi="Calibri"/>
                <w:b w:val="0"/>
                <w:i w:val="0"/>
                <w:color w:val="212121"/>
                <w:sz w:val="19"/>
              </w:rPr>
              <w:t>Drugs precipitate up to 39% of delirium and are the most preventable cause</w:t>
            </w:r>
          </w:p>
          <w:p>
            <w:pPr>
              <w:spacing w:after="40" w:line="252" w:lineRule="auto"/>
            </w:pPr>
            <w:hyperlink r:id="rId11">
              <w:r>
                <w:rPr>
                  <w:rFonts w:ascii="Calibri" w:hAnsi="Calibri" w:cs="Calibri"/>
                  <w:sz w:val="18"/>
                  <w:color w:val="1155CC"/>
                  <w:u w:val="single"/>
                </w:rPr>
                <w:t xml:space="preserve">https://www.ncbi.nlm.nih.gov/books/NBK470399/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use / withdrawal risk</w:t>
            </w:r>
          </w:p>
        </w:tc>
        <w:tc>
          <w:tcPr>
            <w:tcW w:type="dxa" w:w="1655"/>
            <w:vAlign w:val="top"/>
          </w:tcPr>
          <w:p>
            <w:pPr>
              <w:spacing w:after="40" w:before="0" w:line="259" w:lineRule="auto"/>
            </w:pPr>
            <w:r>
              <w:rPr>
                <w:rFonts w:ascii="Calibri" w:hAnsi="Calibri"/>
                <w:b w:val="0"/>
                <w:i w:val="0"/>
                <w:color w:val="212121"/>
                <w:sz w:val="19"/>
              </w:rPr>
              <w:t>Heavy drinkers, DT risk</w:t>
            </w:r>
          </w:p>
        </w:tc>
        <w:tc>
          <w:tcPr>
            <w:tcW w:type="dxa" w:w="1512"/>
            <w:vAlign w:val="top"/>
          </w:tcPr>
          <w:p>
            <w:pPr>
              <w:spacing w:after="40" w:before="0" w:line="259" w:lineRule="auto"/>
            </w:pPr>
            <w:r>
              <w:rPr>
                <w:rFonts w:ascii="Calibri" w:hAnsi="Calibri"/>
                <w:b w:val="0"/>
                <w:i w:val="0"/>
                <w:color w:val="212121"/>
                <w:sz w:val="19"/>
              </w:rPr>
              <w:t>No dependence; ≤ minimal intake</w:t>
            </w:r>
          </w:p>
        </w:tc>
        <w:tc>
          <w:tcPr>
            <w:tcW w:type="dxa" w:w="1512"/>
            <w:vAlign w:val="top"/>
          </w:tcPr>
          <w:p>
            <w:pPr>
              <w:spacing w:after="40" w:before="0" w:line="259" w:lineRule="auto"/>
            </w:pPr>
            <w:r>
              <w:rPr>
                <w:rFonts w:ascii="Calibri" w:hAnsi="Calibri"/>
                <w:b w:val="0"/>
                <w:i w:val="0"/>
                <w:color w:val="212121"/>
                <w:sz w:val="19"/>
              </w:rPr>
              <w:t>Heavy use or recent abrupt cessation</w:t>
            </w:r>
          </w:p>
        </w:tc>
        <w:tc>
          <w:tcPr>
            <w:tcW w:type="dxa" w:w="1468"/>
            <w:vAlign w:val="top"/>
          </w:tcPr>
          <w:p>
            <w:pPr>
              <w:spacing w:after="60" w:line="259" w:lineRule="auto"/>
            </w:pPr>
            <w:r>
              <w:rPr>
                <w:rFonts w:ascii="Calibri" w:hAnsi="Calibri"/>
                <w:b w:val="0"/>
                <w:i w:val="0"/>
                <w:color w:val="212121"/>
                <w:sz w:val="19"/>
              </w:rPr>
              <w:t>Withdrawal is a direct cause (delirium tremens); give thiamine</w:t>
            </w:r>
          </w:p>
          <w:p>
            <w:pPr>
              <w:spacing w:after="40" w:line="252" w:lineRule="auto"/>
            </w:pPr>
            <w:hyperlink r:id="rId12">
              <w:r>
                <w:rPr>
                  <w:rFonts w:ascii="Calibri" w:hAnsi="Calibri" w:cs="Calibri"/>
                  <w:sz w:val="18"/>
                  <w:color w:val="1155CC"/>
                  <w:u w:val="single"/>
                </w:rPr>
                <w:t xml:space="preserve">https://pmc.ncbi.nlm.nih.gov/articles/PMC9973060/</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in hospital</w:t>
            </w:r>
          </w:p>
        </w:tc>
        <w:tc>
          <w:tcPr>
            <w:tcW w:type="dxa" w:w="1655"/>
            <w:vAlign w:val="top"/>
          </w:tcPr>
          <w:p>
            <w:pPr>
              <w:spacing w:after="40" w:before="0" w:line="259" w:lineRule="auto"/>
            </w:pPr>
            <w:r>
              <w:rPr>
                <w:rFonts w:ascii="Calibri" w:hAnsi="Calibri"/>
                <w:b w:val="0"/>
                <w:i w:val="0"/>
                <w:color w:val="212121"/>
                <w:sz w:val="19"/>
              </w:rPr>
              <w:t>Hospitalised smokers</w:t>
            </w:r>
          </w:p>
        </w:tc>
        <w:tc>
          <w:tcPr>
            <w:tcW w:type="dxa" w:w="1512"/>
            <w:vAlign w:val="top"/>
          </w:tcPr>
          <w:p>
            <w:pPr>
              <w:spacing w:after="40" w:before="0" w:line="259" w:lineRule="auto"/>
            </w:pPr>
            <w:r>
              <w:rPr>
                <w:rFonts w:ascii="Calibri" w:hAnsi="Calibri"/>
                <w:b w:val="0"/>
                <w:i w:val="0"/>
                <w:color w:val="212121"/>
                <w:sz w:val="19"/>
              </w:rPr>
              <w:t>0 (with nicotine-withdrawal support)</w:t>
            </w:r>
          </w:p>
        </w:tc>
        <w:tc>
          <w:tcPr>
            <w:tcW w:type="dxa" w:w="1512"/>
            <w:vAlign w:val="top"/>
          </w:tcPr>
          <w:p>
            <w:pPr>
              <w:spacing w:after="40" w:before="0" w:line="259" w:lineRule="auto"/>
            </w:pPr>
            <w:r>
              <w:rPr>
                <w:rFonts w:ascii="Calibri" w:hAnsi="Calibri"/>
                <w:b w:val="0"/>
                <w:i w:val="0"/>
                <w:color w:val="212121"/>
                <w:sz w:val="19"/>
              </w:rPr>
              <w:t>Regular smoker admitted without support</w:t>
            </w:r>
          </w:p>
        </w:tc>
        <w:tc>
          <w:tcPr>
            <w:tcW w:type="dxa" w:w="1468"/>
            <w:vAlign w:val="top"/>
          </w:tcPr>
          <w:p>
            <w:pPr>
              <w:spacing w:after="60" w:line="259" w:lineRule="auto"/>
            </w:pPr>
            <w:r>
              <w:rPr>
                <w:rFonts w:ascii="Calibri" w:hAnsi="Calibri"/>
                <w:b w:val="0"/>
                <w:i w:val="0"/>
                <w:color w:val="212121"/>
                <w:sz w:val="19"/>
              </w:rPr>
              <w:t>Acute nicotine withdrawal and smoking are delirium risk factors</w:t>
            </w:r>
          </w:p>
          <w:p>
            <w:pPr>
              <w:spacing w:after="40" w:line="252" w:lineRule="auto"/>
            </w:pPr>
            <w:hyperlink r:id="rId12">
              <w:r>
                <w:rPr>
                  <w:rFonts w:ascii="Calibri" w:hAnsi="Calibri" w:cs="Calibri"/>
                  <w:sz w:val="18"/>
                  <w:color w:val="1155CC"/>
                  <w:u w:val="single"/>
                </w:rPr>
                <w:t xml:space="preserve">https://pmc.ncbi.nlm.nih.gov/articles/PMC9973060/</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Sensory aids &amp; bladder/bowel status</w:t>
            </w:r>
          </w:p>
        </w:tc>
        <w:tc>
          <w:tcPr>
            <w:tcW w:type="dxa" w:w="1655"/>
            <w:vAlign w:val="top"/>
          </w:tcPr>
          <w:p>
            <w:pPr>
              <w:spacing w:after="40" w:before="0" w:line="259" w:lineRule="auto"/>
            </w:pPr>
            <w:r>
              <w:rPr>
                <w:rFonts w:ascii="Calibri" w:hAnsi="Calibri"/>
                <w:b w:val="0"/>
                <w:i w:val="0"/>
                <w:color w:val="212121"/>
                <w:sz w:val="19"/>
              </w:rPr>
              <w:t>Elderly inpatients</w:t>
            </w:r>
          </w:p>
        </w:tc>
        <w:tc>
          <w:tcPr>
            <w:tcW w:type="dxa" w:w="1512"/>
            <w:vAlign w:val="top"/>
          </w:tcPr>
          <w:p>
            <w:pPr>
              <w:spacing w:after="40" w:before="0" w:line="259" w:lineRule="auto"/>
            </w:pPr>
            <w:r>
              <w:rPr>
                <w:rFonts w:ascii="Calibri" w:hAnsi="Calibri"/>
                <w:b w:val="0"/>
                <w:i w:val="0"/>
                <w:color w:val="212121"/>
                <w:sz w:val="19"/>
              </w:rPr>
              <w:t>Glasses/hearing aids in use; no retention or constipation</w:t>
            </w:r>
          </w:p>
        </w:tc>
        <w:tc>
          <w:tcPr>
            <w:tcW w:type="dxa" w:w="1512"/>
            <w:vAlign w:val="top"/>
          </w:tcPr>
          <w:p>
            <w:pPr>
              <w:spacing w:after="40" w:before="0" w:line="259" w:lineRule="auto"/>
            </w:pPr>
            <w:r>
              <w:rPr>
                <w:rFonts w:ascii="Calibri" w:hAnsi="Calibri"/>
                <w:b w:val="0"/>
                <w:i w:val="0"/>
                <w:color w:val="212121"/>
                <w:sz w:val="19"/>
              </w:rPr>
              <w:t>Uncorrected sensory loss; urinary retention; faecal impaction</w:t>
            </w:r>
          </w:p>
        </w:tc>
        <w:tc>
          <w:tcPr>
            <w:tcW w:type="dxa" w:w="1468"/>
            <w:vAlign w:val="top"/>
          </w:tcPr>
          <w:p>
            <w:pPr>
              <w:spacing w:after="60" w:line="259" w:lineRule="auto"/>
            </w:pPr>
            <w:r>
              <w:rPr>
                <w:rFonts w:ascii="Calibri" w:hAnsi="Calibri"/>
                <w:b w:val="0"/>
                <w:i w:val="0"/>
                <w:color w:val="212121"/>
                <w:sz w:val="19"/>
              </w:rPr>
              <w:t>Restoring sensory input and relieving retention prevents delirium</w:t>
            </w:r>
          </w:p>
          <w:p>
            <w:pPr>
              <w:spacing w:after="40" w:line="252" w:lineRule="auto"/>
            </w:pPr>
            <w:hyperlink r:id="rId11">
              <w:r>
                <w:rPr>
                  <w:rFonts w:ascii="Calibri" w:hAnsi="Calibri" w:cs="Calibri"/>
                  <w:sz w:val="18"/>
                  <w:color w:val="1155CC"/>
                  <w:u w:val="single"/>
                </w:rPr>
                <w:t xml:space="preserve">https://www.ncbi.nlm.nih.gov/books/NBK470399/</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Electrolytes, urea, creatinine, calcium</w:t>
            </w:r>
          </w:p>
        </w:tc>
        <w:tc>
          <w:tcPr>
            <w:tcW w:type="dxa" w:w="892"/>
            <w:vAlign w:val="top"/>
          </w:tcPr>
          <w:p>
            <w:pPr>
              <w:spacing w:after="40" w:before="0" w:line="259" w:lineRule="auto"/>
            </w:pPr>
            <w:r>
              <w:rPr>
                <w:rFonts w:ascii="Calibri" w:hAnsi="Calibri"/>
                <w:b w:val="0"/>
                <w:i w:val="0"/>
                <w:color w:val="212121"/>
                <w:sz w:val="16"/>
              </w:rPr>
              <w:t>Serum electrolytes &amp; renal function</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Hyponatraemia/hypernatraemia, uraemia, hypercalcaemia</w:t>
            </w:r>
          </w:p>
        </w:tc>
        <w:tc>
          <w:tcPr>
            <w:tcW w:type="dxa" w:w="1036"/>
            <w:vAlign w:val="top"/>
          </w:tcPr>
          <w:p>
            <w:pPr>
              <w:spacing w:after="40" w:before="0" w:line="259" w:lineRule="auto"/>
            </w:pPr>
            <w:r>
              <w:rPr>
                <w:rFonts w:ascii="Calibri" w:hAnsi="Calibri"/>
                <w:b w:val="0"/>
                <w:i w:val="0"/>
                <w:color w:val="212121"/>
                <w:sz w:val="16"/>
              </w:rPr>
              <w:t>Identifies metabolic and dehydration precipitants</w:t>
            </w:r>
          </w:p>
        </w:tc>
        <w:tc>
          <w:tcPr>
            <w:tcW w:type="dxa" w:w="1036"/>
            <w:vAlign w:val="top"/>
          </w:tcPr>
          <w:p>
            <w:pPr>
              <w:spacing w:after="40" w:before="0" w:line="259" w:lineRule="auto"/>
            </w:pPr>
            <w:r>
              <w:rPr>
                <w:rFonts w:ascii="Calibri" w:hAnsi="Calibri"/>
                <w:b w:val="0"/>
                <w:i w:val="0"/>
                <w:color w:val="212121"/>
                <w:sz w:val="16"/>
              </w:rPr>
              <w:t>Elderly, ICU, diuretic use</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Common, correctable causes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w:t>
            </w:r>
          </w:p>
        </w:tc>
        <w:tc>
          <w:tcPr>
            <w:tcW w:type="dxa" w:w="892"/>
            <w:vAlign w:val="top"/>
          </w:tcPr>
          <w:p>
            <w:pPr>
              <w:spacing w:after="40" w:before="0" w:line="259" w:lineRule="auto"/>
            </w:pPr>
            <w:r>
              <w:rPr>
                <w:rFonts w:ascii="Calibri" w:hAnsi="Calibri"/>
                <w:b w:val="0"/>
                <w:i w:val="0"/>
                <w:color w:val="212121"/>
                <w:sz w:val="16"/>
              </w:rPr>
              <w:t>Capillary/venous glucose</w:t>
            </w:r>
          </w:p>
        </w:tc>
        <w:tc>
          <w:tcPr>
            <w:tcW w:type="dxa" w:w="950"/>
            <w:vAlign w:val="top"/>
          </w:tcPr>
          <w:p>
            <w:pPr>
              <w:spacing w:after="40" w:before="0" w:line="259" w:lineRule="auto"/>
            </w:pPr>
            <w:r>
              <w:rPr>
                <w:rFonts w:ascii="Calibri" w:hAnsi="Calibri"/>
                <w:b w:val="0"/>
                <w:i w:val="0"/>
                <w:color w:val="212121"/>
                <w:sz w:val="16"/>
              </w:rPr>
              <w:t>70–140 mg/dL</w:t>
            </w:r>
          </w:p>
        </w:tc>
        <w:tc>
          <w:tcPr>
            <w:tcW w:type="dxa" w:w="950"/>
            <w:vAlign w:val="top"/>
          </w:tcPr>
          <w:p>
            <w:pPr>
              <w:spacing w:after="40" w:before="0" w:line="259" w:lineRule="auto"/>
            </w:pPr>
            <w:r>
              <w:rPr>
                <w:rFonts w:ascii="Calibri" w:hAnsi="Calibri"/>
                <w:b w:val="0"/>
                <w:i w:val="0"/>
                <w:color w:val="212121"/>
                <w:sz w:val="16"/>
              </w:rPr>
              <w:t>&lt; 70 mg/dL (hypo) or marked hyperglycaemia</w:t>
            </w:r>
          </w:p>
        </w:tc>
        <w:tc>
          <w:tcPr>
            <w:tcW w:type="dxa" w:w="1036"/>
            <w:vAlign w:val="top"/>
          </w:tcPr>
          <w:p>
            <w:pPr>
              <w:spacing w:after="40" w:before="0" w:line="259" w:lineRule="auto"/>
            </w:pPr>
            <w:r>
              <w:rPr>
                <w:rFonts w:ascii="Calibri" w:hAnsi="Calibri"/>
                <w:b w:val="0"/>
                <w:i w:val="0"/>
                <w:color w:val="212121"/>
                <w:sz w:val="16"/>
              </w:rPr>
              <w:t>Hypo- and hyperglycaemia cause acute encephalopathy</w:t>
            </w:r>
          </w:p>
        </w:tc>
        <w:tc>
          <w:tcPr>
            <w:tcW w:type="dxa" w:w="1036"/>
            <w:vAlign w:val="top"/>
          </w:tcPr>
          <w:p>
            <w:pPr>
              <w:spacing w:after="40" w:before="0" w:line="259" w:lineRule="auto"/>
            </w:pPr>
            <w:r>
              <w:rPr>
                <w:rFonts w:ascii="Calibri" w:hAnsi="Calibri"/>
                <w:b w:val="0"/>
                <w:i w:val="0"/>
                <w:color w:val="212121"/>
                <w:sz w:val="16"/>
              </w:rPr>
              <w:t>Diabetics on insulin/sulfonylurea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 immediate</w:t>
            </w:r>
          </w:p>
        </w:tc>
        <w:tc>
          <w:tcPr>
            <w:tcW w:type="dxa" w:w="720"/>
            <w:vAlign w:val="top"/>
          </w:tcPr>
          <w:p>
            <w:pPr>
              <w:spacing w:after="40" w:before="0" w:line="259" w:lineRule="auto"/>
            </w:pPr>
            <w:r>
              <w:rPr>
                <w:rFonts w:ascii="Calibri" w:hAnsi="Calibri"/>
                <w:b w:val="0"/>
                <w:i w:val="0"/>
                <w:color w:val="212121"/>
                <w:sz w:val="16"/>
              </w:rPr>
              <w:t>Check immediately in any acute confusion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Micro</w:t>
            </w:r>
          </w:p>
        </w:tc>
        <w:tc>
          <w:tcPr>
            <w:tcW w:type="dxa" w:w="1036"/>
            <w:vAlign w:val="top"/>
          </w:tcPr>
          <w:p>
            <w:pPr>
              <w:spacing w:after="40" w:before="0" w:line="259" w:lineRule="auto"/>
            </w:pPr>
            <w:r>
              <w:rPr>
                <w:rFonts w:ascii="Calibri" w:hAnsi="Calibri"/>
                <w:b w:val="0"/>
                <w:i w:val="0"/>
                <w:color w:val="212121"/>
                <w:sz w:val="16"/>
              </w:rPr>
              <w:t>CBC, CRP, urinalysis, blood &amp; urine cultures, chest X-ray</w:t>
            </w:r>
          </w:p>
        </w:tc>
        <w:tc>
          <w:tcPr>
            <w:tcW w:type="dxa" w:w="892"/>
            <w:vAlign w:val="top"/>
          </w:tcPr>
          <w:p>
            <w:pPr>
              <w:spacing w:after="40" w:before="0" w:line="259" w:lineRule="auto"/>
            </w:pPr>
            <w:r>
              <w:rPr>
                <w:rFonts w:ascii="Calibri" w:hAnsi="Calibri"/>
                <w:b w:val="0"/>
                <w:i w:val="0"/>
                <w:color w:val="212121"/>
                <w:sz w:val="16"/>
              </w:rPr>
              <w:t>Infection / sepsis screen</w:t>
            </w:r>
          </w:p>
        </w:tc>
        <w:tc>
          <w:tcPr>
            <w:tcW w:type="dxa" w:w="950"/>
            <w:vAlign w:val="top"/>
          </w:tcPr>
          <w:p>
            <w:pPr>
              <w:spacing w:after="40" w:before="0" w:line="259" w:lineRule="auto"/>
            </w:pPr>
            <w:r>
              <w:rPr>
                <w:rFonts w:ascii="Calibri" w:hAnsi="Calibri"/>
                <w:b w:val="0"/>
                <w:i w:val="0"/>
                <w:color w:val="212121"/>
                <w:sz w:val="16"/>
              </w:rPr>
              <w:t>No leucocytosis; negative cultures; clear CXR</w:t>
            </w:r>
          </w:p>
        </w:tc>
        <w:tc>
          <w:tcPr>
            <w:tcW w:type="dxa" w:w="950"/>
            <w:vAlign w:val="top"/>
          </w:tcPr>
          <w:p>
            <w:pPr>
              <w:spacing w:after="40" w:before="0" w:line="259" w:lineRule="auto"/>
            </w:pPr>
            <w:r>
              <w:rPr>
                <w:rFonts w:ascii="Calibri" w:hAnsi="Calibri"/>
                <w:b w:val="0"/>
                <w:i w:val="0"/>
                <w:color w:val="212121"/>
                <w:sz w:val="16"/>
              </w:rPr>
              <w:t>Leucocytosis, raised CRP, positive culture, CXR infiltrate</w:t>
            </w:r>
          </w:p>
        </w:tc>
        <w:tc>
          <w:tcPr>
            <w:tcW w:type="dxa" w:w="1036"/>
            <w:vAlign w:val="top"/>
          </w:tcPr>
          <w:p>
            <w:pPr>
              <w:spacing w:after="40" w:before="0" w:line="259" w:lineRule="auto"/>
            </w:pPr>
            <w:r>
              <w:rPr>
                <w:rFonts w:ascii="Calibri" w:hAnsi="Calibri"/>
                <w:b w:val="0"/>
                <w:i w:val="0"/>
                <w:color w:val="212121"/>
                <w:sz w:val="16"/>
              </w:rPr>
              <w:t>Detects infection — the commonest precipitant</w:t>
            </w:r>
          </w:p>
        </w:tc>
        <w:tc>
          <w:tcPr>
            <w:tcW w:type="dxa" w:w="1036"/>
            <w:vAlign w:val="top"/>
          </w:tcPr>
          <w:p>
            <w:pPr>
              <w:spacing w:after="40" w:before="0" w:line="259" w:lineRule="auto"/>
            </w:pPr>
            <w:r>
              <w:rPr>
                <w:rFonts w:ascii="Calibri" w:hAnsi="Calibri"/>
                <w:b w:val="0"/>
                <w:i w:val="0"/>
                <w:color w:val="212121"/>
                <w:sz w:val="16"/>
              </w:rPr>
              <w:t>Elderly, febrile, ICU</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UTI and pneumonia are leading triggers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LFTs + serum ammonia</w:t>
            </w:r>
          </w:p>
        </w:tc>
        <w:tc>
          <w:tcPr>
            <w:tcW w:type="dxa" w:w="892"/>
            <w:vAlign w:val="top"/>
          </w:tcPr>
          <w:p>
            <w:pPr>
              <w:spacing w:after="40" w:before="0" w:line="259" w:lineRule="auto"/>
            </w:pPr>
            <w:r>
              <w:rPr>
                <w:rFonts w:ascii="Calibri" w:hAnsi="Calibri"/>
                <w:b w:val="0"/>
                <w:i w:val="0"/>
                <w:color w:val="212121"/>
                <w:sz w:val="16"/>
              </w:rPr>
              <w:t>Hepatic panel</w:t>
            </w:r>
          </w:p>
        </w:tc>
        <w:tc>
          <w:tcPr>
            <w:tcW w:type="dxa" w:w="950"/>
            <w:vAlign w:val="top"/>
          </w:tcPr>
          <w:p>
            <w:pPr>
              <w:spacing w:after="40" w:before="0" w:line="259" w:lineRule="auto"/>
            </w:pPr>
            <w:r>
              <w:rPr>
                <w:rFonts w:ascii="Calibri" w:hAnsi="Calibri"/>
                <w:b w:val="0"/>
                <w:i w:val="0"/>
                <w:color w:val="212121"/>
                <w:sz w:val="16"/>
              </w:rPr>
              <w:t>Normal LFTs and ammonia</w:t>
            </w:r>
          </w:p>
        </w:tc>
        <w:tc>
          <w:tcPr>
            <w:tcW w:type="dxa" w:w="950"/>
            <w:vAlign w:val="top"/>
          </w:tcPr>
          <w:p>
            <w:pPr>
              <w:spacing w:after="40" w:before="0" w:line="259" w:lineRule="auto"/>
            </w:pPr>
            <w:r>
              <w:rPr>
                <w:rFonts w:ascii="Calibri" w:hAnsi="Calibri"/>
                <w:b w:val="0"/>
                <w:i w:val="0"/>
                <w:color w:val="212121"/>
                <w:sz w:val="16"/>
              </w:rPr>
              <w:t>Deranged LFTs; raised ammonia</w:t>
            </w:r>
          </w:p>
        </w:tc>
        <w:tc>
          <w:tcPr>
            <w:tcW w:type="dxa" w:w="1036"/>
            <w:vAlign w:val="top"/>
          </w:tcPr>
          <w:p>
            <w:pPr>
              <w:spacing w:after="40" w:before="0" w:line="259" w:lineRule="auto"/>
            </w:pPr>
            <w:r>
              <w:rPr>
                <w:rFonts w:ascii="Calibri" w:hAnsi="Calibri"/>
                <w:b w:val="0"/>
                <w:i w:val="0"/>
                <w:color w:val="212121"/>
                <w:sz w:val="16"/>
              </w:rPr>
              <w:t>Hepatic encephalopathy</w:t>
            </w:r>
          </w:p>
        </w:tc>
        <w:tc>
          <w:tcPr>
            <w:tcW w:type="dxa" w:w="1036"/>
            <w:vAlign w:val="top"/>
          </w:tcPr>
          <w:p>
            <w:pPr>
              <w:spacing w:after="40" w:before="0" w:line="259" w:lineRule="auto"/>
            </w:pPr>
            <w:r>
              <w:rPr>
                <w:rFonts w:ascii="Calibri" w:hAnsi="Calibri"/>
                <w:b w:val="0"/>
                <w:i w:val="0"/>
                <w:color w:val="212121"/>
                <w:sz w:val="16"/>
              </w:rPr>
              <w:t>Chronic liver disease, alcohol use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Asterixis is a bedside clue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w:t>
            </w:r>
          </w:p>
        </w:tc>
        <w:tc>
          <w:tcPr>
            <w:tcW w:type="dxa" w:w="1036"/>
            <w:vAlign w:val="top"/>
          </w:tcPr>
          <w:p>
            <w:pPr>
              <w:spacing w:after="40" w:before="0" w:line="259" w:lineRule="auto"/>
            </w:pPr>
            <w:r>
              <w:rPr>
                <w:rFonts w:ascii="Calibri" w:hAnsi="Calibri"/>
                <w:b w:val="0"/>
                <w:i w:val="0"/>
                <w:color w:val="212121"/>
                <w:sz w:val="16"/>
              </w:rPr>
              <w:t>ABG (pO₂, pCO₂, pH)</w:t>
            </w:r>
          </w:p>
        </w:tc>
        <w:tc>
          <w:tcPr>
            <w:tcW w:type="dxa" w:w="892"/>
            <w:vAlign w:val="top"/>
          </w:tcPr>
          <w:p>
            <w:pPr>
              <w:spacing w:after="40" w:before="0" w:line="259" w:lineRule="auto"/>
            </w:pPr>
            <w:r>
              <w:rPr>
                <w:rFonts w:ascii="Calibri" w:hAnsi="Calibri"/>
                <w:b w:val="0"/>
                <w:i w:val="0"/>
                <w:color w:val="212121"/>
                <w:sz w:val="16"/>
              </w:rPr>
              <w:t>Arterial blood gas</w:t>
            </w:r>
          </w:p>
        </w:tc>
        <w:tc>
          <w:tcPr>
            <w:tcW w:type="dxa" w:w="950"/>
            <w:vAlign w:val="top"/>
          </w:tcPr>
          <w:p>
            <w:pPr>
              <w:spacing w:after="40" w:before="0" w:line="259" w:lineRule="auto"/>
            </w:pPr>
            <w:r>
              <w:rPr>
                <w:rFonts w:ascii="Calibri" w:hAnsi="Calibri"/>
                <w:b w:val="0"/>
                <w:i w:val="0"/>
                <w:color w:val="212121"/>
                <w:sz w:val="16"/>
              </w:rPr>
              <w:t>Normal oxygenation and pH</w:t>
            </w:r>
          </w:p>
        </w:tc>
        <w:tc>
          <w:tcPr>
            <w:tcW w:type="dxa" w:w="950"/>
            <w:vAlign w:val="top"/>
          </w:tcPr>
          <w:p>
            <w:pPr>
              <w:spacing w:after="40" w:before="0" w:line="259" w:lineRule="auto"/>
            </w:pPr>
            <w:r>
              <w:rPr>
                <w:rFonts w:ascii="Calibri" w:hAnsi="Calibri"/>
                <w:b w:val="0"/>
                <w:i w:val="0"/>
                <w:color w:val="212121"/>
                <w:sz w:val="16"/>
              </w:rPr>
              <w:t>Hypoxia, hypercapnia, acidosis</w:t>
            </w:r>
          </w:p>
        </w:tc>
        <w:tc>
          <w:tcPr>
            <w:tcW w:type="dxa" w:w="1036"/>
            <w:vAlign w:val="top"/>
          </w:tcPr>
          <w:p>
            <w:pPr>
              <w:spacing w:after="40" w:before="0" w:line="259" w:lineRule="auto"/>
            </w:pPr>
            <w:r>
              <w:rPr>
                <w:rFonts w:ascii="Calibri" w:hAnsi="Calibri"/>
                <w:b w:val="0"/>
                <w:i w:val="0"/>
                <w:color w:val="212121"/>
                <w:sz w:val="16"/>
              </w:rPr>
              <w:t>Hypoxic and metabolic (acidotic) encephalopathy</w:t>
            </w:r>
          </w:p>
        </w:tc>
        <w:tc>
          <w:tcPr>
            <w:tcW w:type="dxa" w:w="1036"/>
            <w:vAlign w:val="top"/>
          </w:tcPr>
          <w:p>
            <w:pPr>
              <w:spacing w:after="40" w:before="0" w:line="259" w:lineRule="auto"/>
            </w:pPr>
            <w:r>
              <w:rPr>
                <w:rFonts w:ascii="Calibri" w:hAnsi="Calibri"/>
                <w:b w:val="0"/>
                <w:i w:val="0"/>
                <w:color w:val="212121"/>
                <w:sz w:val="16"/>
              </w:rPr>
              <w:t>Respiratory/cardiac illness, ICU</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in ICU</w:t>
            </w:r>
          </w:p>
        </w:tc>
        <w:tc>
          <w:tcPr>
            <w:tcW w:type="dxa" w:w="720"/>
            <w:vAlign w:val="top"/>
          </w:tcPr>
          <w:p>
            <w:pPr>
              <w:spacing w:after="40" w:before="0" w:line="259" w:lineRule="auto"/>
            </w:pPr>
            <w:r>
              <w:rPr>
                <w:rFonts w:ascii="Calibri" w:hAnsi="Calibri"/>
                <w:b w:val="0"/>
                <w:i w:val="0"/>
                <w:color w:val="212121"/>
                <w:sz w:val="16"/>
              </w:rPr>
              <w:t>Acidosis was a risk factor in Indian ICU data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vitamin B12, thiamine status</w:t>
            </w:r>
          </w:p>
        </w:tc>
        <w:tc>
          <w:tcPr>
            <w:tcW w:type="dxa" w:w="892"/>
            <w:vAlign w:val="top"/>
          </w:tcPr>
          <w:p>
            <w:pPr>
              <w:spacing w:after="40" w:before="0" w:line="259" w:lineRule="auto"/>
            </w:pPr>
            <w:r>
              <w:rPr>
                <w:rFonts w:ascii="Calibri" w:hAnsi="Calibri"/>
                <w:b w:val="0"/>
                <w:i w:val="0"/>
                <w:color w:val="212121"/>
                <w:sz w:val="16"/>
              </w:rPr>
              <w:t>Reversible-cause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Hypothyroidism; B12 or thiamine deficiency</w:t>
            </w:r>
          </w:p>
        </w:tc>
        <w:tc>
          <w:tcPr>
            <w:tcW w:type="dxa" w:w="1036"/>
            <w:vAlign w:val="top"/>
          </w:tcPr>
          <w:p>
            <w:pPr>
              <w:spacing w:after="40" w:before="0" w:line="259" w:lineRule="auto"/>
            </w:pPr>
            <w:r>
              <w:rPr>
                <w:rFonts w:ascii="Calibri" w:hAnsi="Calibri"/>
                <w:b w:val="0"/>
                <w:i w:val="0"/>
                <w:color w:val="212121"/>
                <w:sz w:val="16"/>
              </w:rPr>
              <w:t>Correctable contributors; thiamine vital in drinkers</w:t>
            </w:r>
          </w:p>
        </w:tc>
        <w:tc>
          <w:tcPr>
            <w:tcW w:type="dxa" w:w="1036"/>
            <w:vAlign w:val="top"/>
          </w:tcPr>
          <w:p>
            <w:pPr>
              <w:spacing w:after="40" w:before="0" w:line="259" w:lineRule="auto"/>
            </w:pPr>
            <w:r>
              <w:rPr>
                <w:rFonts w:ascii="Calibri" w:hAnsi="Calibri"/>
                <w:b w:val="0"/>
                <w:i w:val="0"/>
                <w:color w:val="212121"/>
                <w:sz w:val="16"/>
              </w:rPr>
              <w:t>Elderly, alcohol use, malnourished</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Give thiamine before glucose in suspected alcohol misuse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Stroke, haemorrhage, subdural, mass</w:t>
            </w:r>
          </w:p>
        </w:tc>
        <w:tc>
          <w:tcPr>
            <w:tcW w:type="dxa" w:w="892"/>
            <w:vAlign w:val="top"/>
          </w:tcPr>
          <w:p>
            <w:pPr>
              <w:spacing w:after="40" w:before="0" w:line="259" w:lineRule="auto"/>
            </w:pPr>
            <w:r>
              <w:rPr>
                <w:rFonts w:ascii="Calibri" w:hAnsi="Calibri"/>
                <w:b w:val="0"/>
                <w:i w:val="0"/>
                <w:color w:val="212121"/>
                <w:sz w:val="16"/>
              </w:rPr>
              <w:t>CT / MRI brain</w:t>
            </w:r>
          </w:p>
        </w:tc>
        <w:tc>
          <w:tcPr>
            <w:tcW w:type="dxa" w:w="950"/>
            <w:vAlign w:val="top"/>
          </w:tcPr>
          <w:p>
            <w:pPr>
              <w:spacing w:after="40" w:before="0" w:line="259" w:lineRule="auto"/>
            </w:pPr>
            <w:r>
              <w:rPr>
                <w:rFonts w:ascii="Calibri" w:hAnsi="Calibri"/>
                <w:b w:val="0"/>
                <w:i w:val="0"/>
                <w:color w:val="212121"/>
                <w:sz w:val="16"/>
              </w:rPr>
              <w:t>No acute intracranial lesion</w:t>
            </w:r>
          </w:p>
        </w:tc>
        <w:tc>
          <w:tcPr>
            <w:tcW w:type="dxa" w:w="950"/>
            <w:vAlign w:val="top"/>
          </w:tcPr>
          <w:p>
            <w:pPr>
              <w:spacing w:after="40" w:before="0" w:line="259" w:lineRule="auto"/>
            </w:pPr>
            <w:r>
              <w:rPr>
                <w:rFonts w:ascii="Calibri" w:hAnsi="Calibri"/>
                <w:b w:val="0"/>
                <w:i w:val="0"/>
                <w:color w:val="212121"/>
                <w:sz w:val="16"/>
              </w:rPr>
              <w:t>Infarct, haemorrhage, subdural haematoma, tumour</w:t>
            </w:r>
          </w:p>
        </w:tc>
        <w:tc>
          <w:tcPr>
            <w:tcW w:type="dxa" w:w="1036"/>
            <w:vAlign w:val="top"/>
          </w:tcPr>
          <w:p>
            <w:pPr>
              <w:spacing w:after="40" w:before="0" w:line="259" w:lineRule="auto"/>
            </w:pPr>
            <w:r>
              <w:rPr>
                <w:rFonts w:ascii="Calibri" w:hAnsi="Calibri"/>
                <w:b w:val="0"/>
                <w:i w:val="0"/>
                <w:color w:val="212121"/>
                <w:sz w:val="16"/>
              </w:rPr>
              <w:t>Excludes structural causes</w:t>
            </w:r>
          </w:p>
        </w:tc>
        <w:tc>
          <w:tcPr>
            <w:tcW w:type="dxa" w:w="1036"/>
            <w:vAlign w:val="top"/>
          </w:tcPr>
          <w:p>
            <w:pPr>
              <w:spacing w:after="40" w:before="0" w:line="259" w:lineRule="auto"/>
            </w:pPr>
            <w:r>
              <w:rPr>
                <w:rFonts w:ascii="Calibri" w:hAnsi="Calibri"/>
                <w:b w:val="0"/>
                <w:i w:val="0"/>
                <w:color w:val="212121"/>
                <w:sz w:val="16"/>
              </w:rPr>
              <w:t>Focal signs, head injury, anticoagulated, no metabolic cause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(not routine)</w:t>
            </w:r>
          </w:p>
        </w:tc>
        <w:tc>
          <w:tcPr>
            <w:tcW w:type="dxa" w:w="720"/>
            <w:vAlign w:val="top"/>
          </w:tcPr>
          <w:p>
            <w:pPr>
              <w:spacing w:after="40" w:before="0" w:line="259" w:lineRule="auto"/>
            </w:pPr>
            <w:r>
              <w:rPr>
                <w:rFonts w:ascii="Calibri" w:hAnsi="Calibri"/>
                <w:b w:val="0"/>
                <w:i w:val="0"/>
                <w:color w:val="212121"/>
                <w:sz w:val="16"/>
              </w:rPr>
              <w:t>Image when focal deficit, trauma or unexplained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Diffuse slowing; non-convulsive status</w:t>
            </w:r>
          </w:p>
        </w:tc>
        <w:tc>
          <w:tcPr>
            <w:tcW w:type="dxa" w:w="892"/>
            <w:vAlign w:val="top"/>
          </w:tcPr>
          <w:p>
            <w:pPr>
              <w:spacing w:after="40" w:before="0" w:line="259" w:lineRule="auto"/>
            </w:pPr>
            <w:r>
              <w:rPr>
                <w:rFonts w:ascii="Calibri" w:hAnsi="Calibri"/>
                <w:b w:val="0"/>
                <w:i w:val="0"/>
                <w:color w:val="212121"/>
                <w:sz w:val="16"/>
              </w:rPr>
              <w:t>Electroencephalography (EEG)</w:t>
            </w:r>
          </w:p>
        </w:tc>
        <w:tc>
          <w:tcPr>
            <w:tcW w:type="dxa" w:w="950"/>
            <w:vAlign w:val="top"/>
          </w:tcPr>
          <w:p>
            <w:pPr>
              <w:spacing w:after="40" w:before="0" w:line="259" w:lineRule="auto"/>
            </w:pPr>
            <w:r>
              <w:rPr>
                <w:rFonts w:ascii="Calibri" w:hAnsi="Calibri"/>
                <w:b w:val="0"/>
                <w:i w:val="0"/>
                <w:color w:val="212121"/>
                <w:sz w:val="16"/>
              </w:rPr>
              <w:t>Normal background rhythm</w:t>
            </w:r>
          </w:p>
        </w:tc>
        <w:tc>
          <w:tcPr>
            <w:tcW w:type="dxa" w:w="950"/>
            <w:vAlign w:val="top"/>
          </w:tcPr>
          <w:p>
            <w:pPr>
              <w:spacing w:after="40" w:before="0" w:line="259" w:lineRule="auto"/>
            </w:pPr>
            <w:r>
              <w:rPr>
                <w:rFonts w:ascii="Calibri" w:hAnsi="Calibri"/>
                <w:b w:val="0"/>
                <w:i w:val="0"/>
                <w:color w:val="212121"/>
                <w:sz w:val="16"/>
              </w:rPr>
              <w:t>Generalised slowing; non-convulsive status epilepticus</w:t>
            </w:r>
          </w:p>
        </w:tc>
        <w:tc>
          <w:tcPr>
            <w:tcW w:type="dxa" w:w="1036"/>
            <w:vAlign w:val="top"/>
          </w:tcPr>
          <w:p>
            <w:pPr>
              <w:spacing w:after="40" w:before="0" w:line="259" w:lineRule="auto"/>
            </w:pPr>
            <w:r>
              <w:rPr>
                <w:rFonts w:ascii="Calibri" w:hAnsi="Calibri"/>
                <w:b w:val="0"/>
                <w:i w:val="0"/>
                <w:color w:val="212121"/>
                <w:sz w:val="16"/>
              </w:rPr>
              <w:t>Supports diagnosis and excludes occult seizures</w:t>
            </w:r>
          </w:p>
        </w:tc>
        <w:tc>
          <w:tcPr>
            <w:tcW w:type="dxa" w:w="1036"/>
            <w:vAlign w:val="top"/>
          </w:tcPr>
          <w:p>
            <w:pPr>
              <w:spacing w:after="40" w:before="0" w:line="259" w:lineRule="auto"/>
            </w:pPr>
            <w:r>
              <w:rPr>
                <w:rFonts w:ascii="Calibri" w:hAnsi="Calibri"/>
                <w:b w:val="0"/>
                <w:i w:val="0"/>
                <w:color w:val="212121"/>
                <w:sz w:val="16"/>
              </w:rPr>
              <w:t>Diagnostic doubt, ?seizures, refractory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Diffuse slowing is typical but non-specific</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Onset &amp; course</w:t>
            </w:r>
          </w:p>
        </w:tc>
        <w:tc>
          <w:tcPr>
            <w:tcW w:type="dxa" w:w="979"/>
            <w:vAlign w:val="top"/>
          </w:tcPr>
          <w:p>
            <w:pPr>
              <w:spacing w:after="40" w:before="0" w:line="259" w:lineRule="auto"/>
            </w:pPr>
            <w:r>
              <w:rPr>
                <w:rFonts w:ascii="Calibri" w:hAnsi="Calibri"/>
                <w:b w:val="0"/>
                <w:i w:val="0"/>
                <w:color w:val="212121"/>
                <w:sz w:val="16"/>
              </w:rPr>
              <w:t>Acute change from baseline over hours–days; diurnal fluctuation</w:t>
            </w:r>
          </w:p>
        </w:tc>
        <w:tc>
          <w:tcPr>
            <w:tcW w:type="dxa" w:w="950"/>
            <w:vAlign w:val="top"/>
          </w:tcPr>
          <w:p>
            <w:pPr>
              <w:spacing w:after="40" w:before="0" w:line="259" w:lineRule="auto"/>
            </w:pPr>
            <w:r>
              <w:rPr>
                <w:rFonts w:ascii="Calibri" w:hAnsi="Calibri"/>
                <w:b w:val="0"/>
                <w:i w:val="0"/>
                <w:color w:val="212121"/>
                <w:sz w:val="16"/>
              </w:rPr>
              <w:t>Stable baseline cognition</w:t>
            </w:r>
          </w:p>
        </w:tc>
        <w:tc>
          <w:tcPr>
            <w:tcW w:type="dxa" w:w="950"/>
            <w:vAlign w:val="top"/>
          </w:tcPr>
          <w:p>
            <w:pPr>
              <w:spacing w:after="40" w:before="0" w:line="259" w:lineRule="auto"/>
            </w:pPr>
            <w:r>
              <w:rPr>
                <w:rFonts w:ascii="Calibri" w:hAnsi="Calibri"/>
                <w:b w:val="0"/>
                <w:i w:val="0"/>
                <w:color w:val="212121"/>
                <w:sz w:val="16"/>
              </w:rPr>
              <w:t>Acute, fluctuating change, worse at night</w:t>
            </w:r>
          </w:p>
        </w:tc>
        <w:tc>
          <w:tcPr>
            <w:tcW w:type="dxa" w:w="1036"/>
            <w:vAlign w:val="top"/>
          </w:tcPr>
          <w:p>
            <w:pPr>
              <w:spacing w:after="40" w:before="0" w:line="259" w:lineRule="auto"/>
            </w:pPr>
            <w:r>
              <w:rPr>
                <w:rFonts w:ascii="Calibri" w:hAnsi="Calibri"/>
                <w:b w:val="0"/>
                <w:i w:val="0"/>
                <w:color w:val="212121"/>
                <w:sz w:val="16"/>
              </w:rPr>
              <w:t>Core feature separating delirium from dementia</w:t>
            </w:r>
          </w:p>
        </w:tc>
        <w:tc>
          <w:tcPr>
            <w:tcW w:type="dxa" w:w="1036"/>
            <w:vAlign w:val="top"/>
          </w:tcPr>
          <w:p>
            <w:pPr>
              <w:spacing w:after="40" w:before="0" w:line="259" w:lineRule="auto"/>
            </w:pPr>
            <w:r>
              <w:rPr>
                <w:rFonts w:ascii="Calibri" w:hAnsi="Calibri"/>
                <w:b w:val="0"/>
                <w:i w:val="0"/>
                <w:color w:val="212121"/>
                <w:sz w:val="16"/>
              </w:rPr>
              <w:t>All suspected delirium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Collateral / informant history is essential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Cognitive testing</w:t>
            </w:r>
          </w:p>
        </w:tc>
        <w:tc>
          <w:tcPr>
            <w:tcW w:type="dxa" w:w="950"/>
            <w:vAlign w:val="top"/>
          </w:tcPr>
          <w:p>
            <w:pPr>
              <w:spacing w:after="40" w:before="0" w:line="259" w:lineRule="auto"/>
            </w:pPr>
            <w:r>
              <w:rPr>
                <w:rFonts w:ascii="Calibri" w:hAnsi="Calibri"/>
                <w:b w:val="0"/>
                <w:i w:val="0"/>
                <w:color w:val="212121"/>
                <w:sz w:val="16"/>
              </w:rPr>
              <w:t>Attention testing</w:t>
            </w:r>
          </w:p>
        </w:tc>
        <w:tc>
          <w:tcPr>
            <w:tcW w:type="dxa" w:w="979"/>
            <w:vAlign w:val="top"/>
          </w:tcPr>
          <w:p>
            <w:pPr>
              <w:spacing w:after="40" w:before="0" w:line="259" w:lineRule="auto"/>
            </w:pPr>
            <w:r>
              <w:rPr>
                <w:rFonts w:ascii="Calibri" w:hAnsi="Calibri"/>
                <w:b w:val="0"/>
                <w:i w:val="0"/>
                <w:color w:val="212121"/>
                <w:sz w:val="16"/>
              </w:rPr>
              <w:t>Months/days backwards, serial 7s, digit span</w:t>
            </w:r>
          </w:p>
        </w:tc>
        <w:tc>
          <w:tcPr>
            <w:tcW w:type="dxa" w:w="950"/>
            <w:vAlign w:val="top"/>
          </w:tcPr>
          <w:p>
            <w:pPr>
              <w:spacing w:after="40" w:before="0" w:line="259" w:lineRule="auto"/>
            </w:pPr>
            <w:r>
              <w:rPr>
                <w:rFonts w:ascii="Calibri" w:hAnsi="Calibri"/>
                <w:b w:val="0"/>
                <w:i w:val="0"/>
                <w:color w:val="212121"/>
                <w:sz w:val="16"/>
              </w:rPr>
              <w:t>Performs accurately</w:t>
            </w:r>
          </w:p>
        </w:tc>
        <w:tc>
          <w:tcPr>
            <w:tcW w:type="dxa" w:w="950"/>
            <w:vAlign w:val="top"/>
          </w:tcPr>
          <w:p>
            <w:pPr>
              <w:spacing w:after="40" w:before="0" w:line="259" w:lineRule="auto"/>
            </w:pPr>
            <w:r>
              <w:rPr>
                <w:rFonts w:ascii="Calibri" w:hAnsi="Calibri"/>
                <w:b w:val="0"/>
                <w:i w:val="0"/>
                <w:color w:val="212121"/>
                <w:sz w:val="16"/>
              </w:rPr>
              <w:t>Cannot sustain or shift attention</w:t>
            </w:r>
          </w:p>
        </w:tc>
        <w:tc>
          <w:tcPr>
            <w:tcW w:type="dxa" w:w="1036"/>
            <w:vAlign w:val="top"/>
          </w:tcPr>
          <w:p>
            <w:pPr>
              <w:spacing w:after="40" w:before="0" w:line="259" w:lineRule="auto"/>
            </w:pPr>
            <w:r>
              <w:rPr>
                <w:rFonts w:ascii="Calibri" w:hAnsi="Calibri"/>
                <w:b w:val="0"/>
                <w:i w:val="0"/>
                <w:color w:val="212121"/>
                <w:sz w:val="16"/>
              </w:rPr>
              <w:t>Inattention is the cardinal deficit</w:t>
            </w:r>
          </w:p>
        </w:tc>
        <w:tc>
          <w:tcPr>
            <w:tcW w:type="dxa" w:w="1036"/>
            <w:vAlign w:val="top"/>
          </w:tcPr>
          <w:p>
            <w:pPr>
              <w:spacing w:after="40" w:before="0" w:line="259" w:lineRule="auto"/>
            </w:pPr>
            <w:r>
              <w:rPr>
                <w:rFonts w:ascii="Calibri" w:hAnsi="Calibri"/>
                <w:b w:val="0"/>
                <w:i w:val="0"/>
                <w:color w:val="212121"/>
                <w:sz w:val="16"/>
              </w:rPr>
              <w:t>All suspected delirium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 simple, quick test needing no equipment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tool</w:t>
            </w:r>
          </w:p>
        </w:tc>
        <w:tc>
          <w:tcPr>
            <w:tcW w:type="dxa" w:w="950"/>
            <w:vAlign w:val="top"/>
          </w:tcPr>
          <w:p>
            <w:pPr>
              <w:spacing w:after="40" w:before="0" w:line="259" w:lineRule="auto"/>
            </w:pPr>
            <w:r>
              <w:rPr>
                <w:rFonts w:ascii="Calibri" w:hAnsi="Calibri"/>
                <w:b w:val="0"/>
                <w:i w:val="0"/>
                <w:color w:val="212121"/>
                <w:sz w:val="16"/>
              </w:rPr>
              <w:t>CAM / CAM-ICU / 4AT</w:t>
            </w:r>
          </w:p>
        </w:tc>
        <w:tc>
          <w:tcPr>
            <w:tcW w:type="dxa" w:w="979"/>
            <w:vAlign w:val="top"/>
          </w:tcPr>
          <w:p>
            <w:pPr>
              <w:spacing w:after="40" w:before="0" w:line="259" w:lineRule="auto"/>
            </w:pPr>
            <w:r>
              <w:rPr>
                <w:rFonts w:ascii="Calibri" w:hAnsi="Calibri"/>
                <w:b w:val="0"/>
                <w:i w:val="0"/>
                <w:color w:val="212121"/>
                <w:sz w:val="16"/>
              </w:rPr>
              <w:t>Acute+fluctuating AND inattention, PLUS disorganised thinking OR altered consciousness</w:t>
            </w:r>
          </w:p>
        </w:tc>
        <w:tc>
          <w:tcPr>
            <w:tcW w:type="dxa" w:w="950"/>
            <w:vAlign w:val="top"/>
          </w:tcPr>
          <w:p>
            <w:pPr>
              <w:spacing w:after="40" w:before="0" w:line="259" w:lineRule="auto"/>
            </w:pPr>
            <w:r>
              <w:rPr>
                <w:rFonts w:ascii="Calibri" w:hAnsi="Calibri"/>
                <w:b w:val="0"/>
                <w:i w:val="0"/>
                <w:color w:val="212121"/>
                <w:sz w:val="16"/>
              </w:rPr>
              <w:t>CAM negative</w:t>
            </w:r>
          </w:p>
        </w:tc>
        <w:tc>
          <w:tcPr>
            <w:tcW w:type="dxa" w:w="950"/>
            <w:vAlign w:val="top"/>
          </w:tcPr>
          <w:p>
            <w:pPr>
              <w:spacing w:after="40" w:before="0" w:line="259" w:lineRule="auto"/>
            </w:pPr>
            <w:r>
              <w:rPr>
                <w:rFonts w:ascii="Calibri" w:hAnsi="Calibri"/>
                <w:b w:val="0"/>
                <w:i w:val="0"/>
                <w:color w:val="212121"/>
                <w:sz w:val="16"/>
              </w:rPr>
              <w:t>CAM positive</w:t>
            </w:r>
          </w:p>
        </w:tc>
        <w:tc>
          <w:tcPr>
            <w:tcW w:type="dxa" w:w="1036"/>
            <w:vAlign w:val="top"/>
          </w:tcPr>
          <w:p>
            <w:pPr>
              <w:spacing w:after="40" w:before="0" w:line="259" w:lineRule="auto"/>
            </w:pPr>
            <w:r>
              <w:rPr>
                <w:rFonts w:ascii="Calibri" w:hAnsi="Calibri"/>
                <w:b w:val="0"/>
                <w:i w:val="0"/>
                <w:color w:val="212121"/>
                <w:sz w:val="16"/>
              </w:rPr>
              <w:t>Validated bedside diagnosis (sensitivity 94–100%)</w:t>
            </w:r>
          </w:p>
        </w:tc>
        <w:tc>
          <w:tcPr>
            <w:tcW w:type="dxa" w:w="1036"/>
            <w:vAlign w:val="top"/>
          </w:tcPr>
          <w:p>
            <w:pPr>
              <w:spacing w:after="40" w:before="0" w:line="259" w:lineRule="auto"/>
            </w:pPr>
            <w:r>
              <w:rPr>
                <w:rFonts w:ascii="Calibri" w:hAnsi="Calibri"/>
                <w:b w:val="0"/>
                <w:i w:val="0"/>
                <w:color w:val="212121"/>
                <w:sz w:val="16"/>
              </w:rPr>
              <w:t>Ward and ICU; ventilated (CAM-ICU)</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4AT is quick and needs no training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Consciousness</w:t>
            </w:r>
          </w:p>
        </w:tc>
        <w:tc>
          <w:tcPr>
            <w:tcW w:type="dxa" w:w="950"/>
            <w:vAlign w:val="top"/>
          </w:tcPr>
          <w:p>
            <w:pPr>
              <w:spacing w:after="40" w:before="0" w:line="259" w:lineRule="auto"/>
            </w:pPr>
            <w:r>
              <w:rPr>
                <w:rFonts w:ascii="Calibri" w:hAnsi="Calibri"/>
                <w:b w:val="0"/>
                <w:i w:val="0"/>
                <w:color w:val="212121"/>
                <w:sz w:val="16"/>
              </w:rPr>
              <w:t>Arousal / RASS</w:t>
            </w:r>
          </w:p>
        </w:tc>
        <w:tc>
          <w:tcPr>
            <w:tcW w:type="dxa" w:w="979"/>
            <w:vAlign w:val="top"/>
          </w:tcPr>
          <w:p>
            <w:pPr>
              <w:spacing w:after="40" w:before="0" w:line="259" w:lineRule="auto"/>
            </w:pPr>
            <w:r>
              <w:rPr>
                <w:rFonts w:ascii="Calibri" w:hAnsi="Calibri"/>
                <w:b w:val="0"/>
                <w:i w:val="0"/>
                <w:color w:val="212121"/>
                <w:sz w:val="16"/>
              </w:rPr>
              <w:t>Richmond Agitation–Sedation Scale; GCS</w:t>
            </w:r>
          </w:p>
        </w:tc>
        <w:tc>
          <w:tcPr>
            <w:tcW w:type="dxa" w:w="950"/>
            <w:vAlign w:val="top"/>
          </w:tcPr>
          <w:p>
            <w:pPr>
              <w:spacing w:after="40" w:before="0" w:line="259" w:lineRule="auto"/>
            </w:pPr>
            <w:r>
              <w:rPr>
                <w:rFonts w:ascii="Calibri" w:hAnsi="Calibri"/>
                <w:b w:val="0"/>
                <w:i w:val="0"/>
                <w:color w:val="212121"/>
                <w:sz w:val="16"/>
              </w:rPr>
              <w:t>RASS 0 (alert, calm)</w:t>
            </w:r>
          </w:p>
        </w:tc>
        <w:tc>
          <w:tcPr>
            <w:tcW w:type="dxa" w:w="950"/>
            <w:vAlign w:val="top"/>
          </w:tcPr>
          <w:p>
            <w:pPr>
              <w:spacing w:after="40" w:before="0" w:line="259" w:lineRule="auto"/>
            </w:pPr>
            <w:r>
              <w:rPr>
                <w:rFonts w:ascii="Calibri" w:hAnsi="Calibri"/>
                <w:b w:val="0"/>
                <w:i w:val="0"/>
                <w:color w:val="212121"/>
                <w:sz w:val="16"/>
              </w:rPr>
              <w:t>Agitation (+) or drowsiness (–); fluctuating</w:t>
            </w:r>
          </w:p>
        </w:tc>
        <w:tc>
          <w:tcPr>
            <w:tcW w:type="dxa" w:w="1036"/>
            <w:vAlign w:val="top"/>
          </w:tcPr>
          <w:p>
            <w:pPr>
              <w:spacing w:after="40" w:before="0" w:line="259" w:lineRule="auto"/>
            </w:pPr>
            <w:r>
              <w:rPr>
                <w:rFonts w:ascii="Calibri" w:hAnsi="Calibri"/>
                <w:b w:val="0"/>
                <w:i w:val="0"/>
                <w:color w:val="212121"/>
                <w:sz w:val="16"/>
              </w:rPr>
              <w:t>Detects both hyper- and hypoactive states</w:t>
            </w:r>
          </w:p>
        </w:tc>
        <w:tc>
          <w:tcPr>
            <w:tcW w:type="dxa" w:w="1036"/>
            <w:vAlign w:val="top"/>
          </w:tcPr>
          <w:p>
            <w:pPr>
              <w:spacing w:after="40" w:before="0" w:line="259" w:lineRule="auto"/>
            </w:pPr>
            <w:r>
              <w:rPr>
                <w:rFonts w:ascii="Calibri" w:hAnsi="Calibri"/>
                <w:b w:val="0"/>
                <w:i w:val="0"/>
                <w:color w:val="212121"/>
                <w:sz w:val="16"/>
              </w:rPr>
              <w:t>ICU, sedated, post-op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Hypoactive form is easily overlooked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Medication review</w:t>
            </w:r>
          </w:p>
        </w:tc>
        <w:tc>
          <w:tcPr>
            <w:tcW w:type="dxa" w:w="950"/>
            <w:vAlign w:val="top"/>
          </w:tcPr>
          <w:p>
            <w:pPr>
              <w:spacing w:after="40" w:before="0" w:line="259" w:lineRule="auto"/>
            </w:pPr>
            <w:r>
              <w:rPr>
                <w:rFonts w:ascii="Calibri" w:hAnsi="Calibri"/>
                <w:b w:val="0"/>
                <w:i w:val="0"/>
                <w:color w:val="212121"/>
                <w:sz w:val="16"/>
              </w:rPr>
              <w:t>Deliriogenic-drug review</w:t>
            </w:r>
          </w:p>
        </w:tc>
        <w:tc>
          <w:tcPr>
            <w:tcW w:type="dxa" w:w="979"/>
            <w:vAlign w:val="top"/>
          </w:tcPr>
          <w:p>
            <w:pPr>
              <w:spacing w:after="40" w:before="0" w:line="259" w:lineRule="auto"/>
            </w:pPr>
            <w:r>
              <w:rPr>
                <w:rFonts w:ascii="Calibri" w:hAnsi="Calibri"/>
                <w:b w:val="0"/>
                <w:i w:val="0"/>
                <w:color w:val="212121"/>
                <w:sz w:val="16"/>
              </w:rPr>
              <w:t>Anticholinergics, benzodiazepines, opioids, sedatives, steroids; recent changes</w:t>
            </w:r>
          </w:p>
        </w:tc>
        <w:tc>
          <w:tcPr>
            <w:tcW w:type="dxa" w:w="950"/>
            <w:vAlign w:val="top"/>
          </w:tcPr>
          <w:p>
            <w:pPr>
              <w:spacing w:after="40" w:before="0" w:line="259" w:lineRule="auto"/>
            </w:pPr>
            <w:r>
              <w:rPr>
                <w:rFonts w:ascii="Calibri" w:hAnsi="Calibri"/>
                <w:b w:val="0"/>
                <w:i w:val="0"/>
                <w:color w:val="212121"/>
                <w:sz w:val="16"/>
              </w:rPr>
              <w:t>Low anticholinergic burden</w:t>
            </w:r>
          </w:p>
        </w:tc>
        <w:tc>
          <w:tcPr>
            <w:tcW w:type="dxa" w:w="950"/>
            <w:vAlign w:val="top"/>
          </w:tcPr>
          <w:p>
            <w:pPr>
              <w:spacing w:after="40" w:before="0" w:line="259" w:lineRule="auto"/>
            </w:pPr>
            <w:r>
              <w:rPr>
                <w:rFonts w:ascii="Calibri" w:hAnsi="Calibri"/>
                <w:b w:val="0"/>
                <w:i w:val="0"/>
                <w:color w:val="212121"/>
                <w:sz w:val="16"/>
              </w:rPr>
              <w:t>Deliriogenic drugs or recent additions</w:t>
            </w:r>
          </w:p>
        </w:tc>
        <w:tc>
          <w:tcPr>
            <w:tcW w:type="dxa" w:w="1036"/>
            <w:vAlign w:val="top"/>
          </w:tcPr>
          <w:p>
            <w:pPr>
              <w:spacing w:after="40" w:before="0" w:line="259" w:lineRule="auto"/>
            </w:pPr>
            <w:r>
              <w:rPr>
                <w:rFonts w:ascii="Calibri" w:hAnsi="Calibri"/>
                <w:b w:val="0"/>
                <w:i w:val="0"/>
                <w:color w:val="212121"/>
                <w:sz w:val="16"/>
              </w:rPr>
              <w:t>Drugs cause up to 39%; the most preventable trigger</w:t>
            </w:r>
          </w:p>
        </w:tc>
        <w:tc>
          <w:tcPr>
            <w:tcW w:type="dxa" w:w="1036"/>
            <w:vAlign w:val="top"/>
          </w:tcPr>
          <w:p>
            <w:pPr>
              <w:spacing w:after="40" w:before="0" w:line="259" w:lineRule="auto"/>
            </w:pPr>
            <w:r>
              <w:rPr>
                <w:rFonts w:ascii="Calibri" w:hAnsi="Calibri"/>
                <w:b w:val="0"/>
                <w:i w:val="0"/>
                <w:color w:val="212121"/>
                <w:sz w:val="16"/>
              </w:rPr>
              <w:t>Polypharmacy,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Deprescribing can resolve drug-induced delirium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Focused physical exam</w:t>
            </w:r>
          </w:p>
        </w:tc>
        <w:tc>
          <w:tcPr>
            <w:tcW w:type="dxa" w:w="950"/>
            <w:vAlign w:val="top"/>
          </w:tcPr>
          <w:p>
            <w:pPr>
              <w:spacing w:after="40" w:before="0" w:line="259" w:lineRule="auto"/>
            </w:pPr>
            <w:r>
              <w:rPr>
                <w:rFonts w:ascii="Calibri" w:hAnsi="Calibri"/>
                <w:b w:val="0"/>
                <w:i w:val="0"/>
                <w:color w:val="212121"/>
                <w:sz w:val="16"/>
              </w:rPr>
              <w:t>Precipitant search</w:t>
            </w:r>
          </w:p>
        </w:tc>
        <w:tc>
          <w:tcPr>
            <w:tcW w:type="dxa" w:w="979"/>
            <w:vAlign w:val="top"/>
          </w:tcPr>
          <w:p>
            <w:pPr>
              <w:spacing w:after="40" w:before="0" w:line="259" w:lineRule="auto"/>
            </w:pPr>
            <w:r>
              <w:rPr>
                <w:rFonts w:ascii="Calibri" w:hAnsi="Calibri"/>
                <w:b w:val="0"/>
                <w:i w:val="0"/>
                <w:color w:val="212121"/>
                <w:sz w:val="16"/>
              </w:rPr>
              <w:t>Vitals, hydration, bladder (retention), bowels (constipation), infection source, hypoxia, pain</w:t>
            </w:r>
          </w:p>
        </w:tc>
        <w:tc>
          <w:tcPr>
            <w:tcW w:type="dxa" w:w="950"/>
            <w:vAlign w:val="top"/>
          </w:tcPr>
          <w:p>
            <w:pPr>
              <w:spacing w:after="40" w:before="0" w:line="259" w:lineRule="auto"/>
            </w:pPr>
            <w:r>
              <w:rPr>
                <w:rFonts w:ascii="Calibri" w:hAnsi="Calibri"/>
                <w:b w:val="0"/>
                <w:i w:val="0"/>
                <w:color w:val="212121"/>
                <w:sz w:val="16"/>
              </w:rPr>
              <w:t>No precipitant found</w:t>
            </w:r>
          </w:p>
        </w:tc>
        <w:tc>
          <w:tcPr>
            <w:tcW w:type="dxa" w:w="950"/>
            <w:vAlign w:val="top"/>
          </w:tcPr>
          <w:p>
            <w:pPr>
              <w:spacing w:after="40" w:before="0" w:line="259" w:lineRule="auto"/>
            </w:pPr>
            <w:r>
              <w:rPr>
                <w:rFonts w:ascii="Calibri" w:hAnsi="Calibri"/>
                <w:b w:val="0"/>
                <w:i w:val="0"/>
                <w:color w:val="212121"/>
                <w:sz w:val="16"/>
              </w:rPr>
              <w:t>Fever, hypoxia, urinary retention, faecal impaction, dehydration</w:t>
            </w:r>
          </w:p>
        </w:tc>
        <w:tc>
          <w:tcPr>
            <w:tcW w:type="dxa" w:w="1036"/>
            <w:vAlign w:val="top"/>
          </w:tcPr>
          <w:p>
            <w:pPr>
              <w:spacing w:after="40" w:before="0" w:line="259" w:lineRule="auto"/>
            </w:pPr>
            <w:r>
              <w:rPr>
                <w:rFonts w:ascii="Calibri" w:hAnsi="Calibri"/>
                <w:b w:val="0"/>
                <w:i w:val="0"/>
                <w:color w:val="212121"/>
                <w:sz w:val="16"/>
              </w:rPr>
              <w:t>Identifies treatable triggers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 palpable bladder or impaction is quickly reversible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Substance history</w:t>
            </w:r>
          </w:p>
        </w:tc>
        <w:tc>
          <w:tcPr>
            <w:tcW w:type="dxa" w:w="950"/>
            <w:vAlign w:val="top"/>
          </w:tcPr>
          <w:p>
            <w:pPr>
              <w:spacing w:after="40" w:before="0" w:line="259" w:lineRule="auto"/>
            </w:pPr>
            <w:r>
              <w:rPr>
                <w:rFonts w:ascii="Calibri" w:hAnsi="Calibri"/>
                <w:b w:val="0"/>
                <w:i w:val="0"/>
                <w:color w:val="212121"/>
                <w:sz w:val="16"/>
              </w:rPr>
              <w:t>Alcohol / benzodiazepine history</w:t>
            </w:r>
          </w:p>
        </w:tc>
        <w:tc>
          <w:tcPr>
            <w:tcW w:type="dxa" w:w="979"/>
            <w:vAlign w:val="top"/>
          </w:tcPr>
          <w:p>
            <w:pPr>
              <w:spacing w:after="40" w:before="0" w:line="259" w:lineRule="auto"/>
            </w:pPr>
            <w:r>
              <w:rPr>
                <w:rFonts w:ascii="Calibri" w:hAnsi="Calibri"/>
                <w:b w:val="0"/>
                <w:i w:val="0"/>
                <w:color w:val="212121"/>
                <w:sz w:val="16"/>
              </w:rPr>
              <w:t>Intake, timing of last use, prior withdrawal, DT or seizures</w:t>
            </w:r>
          </w:p>
        </w:tc>
        <w:tc>
          <w:tcPr>
            <w:tcW w:type="dxa" w:w="950"/>
            <w:vAlign w:val="top"/>
          </w:tcPr>
          <w:p>
            <w:pPr>
              <w:spacing w:after="40" w:before="0" w:line="259" w:lineRule="auto"/>
            </w:pPr>
            <w:r>
              <w:rPr>
                <w:rFonts w:ascii="Calibri" w:hAnsi="Calibri"/>
                <w:b w:val="0"/>
                <w:i w:val="0"/>
                <w:color w:val="212121"/>
                <w:sz w:val="16"/>
              </w:rPr>
              <w:t>No dependence</w:t>
            </w:r>
          </w:p>
        </w:tc>
        <w:tc>
          <w:tcPr>
            <w:tcW w:type="dxa" w:w="950"/>
            <w:vAlign w:val="top"/>
          </w:tcPr>
          <w:p>
            <w:pPr>
              <w:spacing w:after="40" w:before="0" w:line="259" w:lineRule="auto"/>
            </w:pPr>
            <w:r>
              <w:rPr>
                <w:rFonts w:ascii="Calibri" w:hAnsi="Calibri"/>
                <w:b w:val="0"/>
                <w:i w:val="0"/>
                <w:color w:val="212121"/>
                <w:sz w:val="16"/>
              </w:rPr>
              <w:t>Heavy use or recent cessation</w:t>
            </w:r>
          </w:p>
        </w:tc>
        <w:tc>
          <w:tcPr>
            <w:tcW w:type="dxa" w:w="1036"/>
            <w:vAlign w:val="top"/>
          </w:tcPr>
          <w:p>
            <w:pPr>
              <w:spacing w:after="40" w:before="0" w:line="259" w:lineRule="auto"/>
            </w:pPr>
            <w:r>
              <w:rPr>
                <w:rFonts w:ascii="Calibri" w:hAnsi="Calibri"/>
                <w:b w:val="0"/>
                <w:i w:val="0"/>
                <w:color w:val="212121"/>
                <w:sz w:val="16"/>
              </w:rPr>
              <w:t>Withdrawal (delirium tremens) is a treatable emergency</w:t>
            </w:r>
          </w:p>
        </w:tc>
        <w:tc>
          <w:tcPr>
            <w:tcW w:type="dxa" w:w="1036"/>
            <w:vAlign w:val="top"/>
          </w:tcPr>
          <w:p>
            <w:pPr>
              <w:spacing w:after="40" w:before="0" w:line="259" w:lineRule="auto"/>
            </w:pPr>
            <w:r>
              <w:rPr>
                <w:rFonts w:ascii="Calibri" w:hAnsi="Calibri"/>
                <w:b w:val="0"/>
                <w:i w:val="0"/>
                <w:color w:val="212121"/>
                <w:sz w:val="16"/>
              </w:rPr>
              <w:t>Alcohol-use disorder</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Give thiamine; use a symptom-triggered (CIWA-Ar) protocol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Focal &amp; metabolic signs</w:t>
            </w:r>
          </w:p>
        </w:tc>
        <w:tc>
          <w:tcPr>
            <w:tcW w:type="dxa" w:w="979"/>
            <w:vAlign w:val="top"/>
          </w:tcPr>
          <w:p>
            <w:pPr>
              <w:spacing w:after="40" w:before="0" w:line="259" w:lineRule="auto"/>
            </w:pPr>
            <w:r>
              <w:rPr>
                <w:rFonts w:ascii="Calibri" w:hAnsi="Calibri"/>
                <w:b w:val="0"/>
                <w:i w:val="0"/>
                <w:color w:val="212121"/>
                <w:sz w:val="16"/>
              </w:rPr>
              <w:t>Focal deficit, meningism, asterixis, myoclonus, tremor, autonomic signs</w:t>
            </w:r>
          </w:p>
        </w:tc>
        <w:tc>
          <w:tcPr>
            <w:tcW w:type="dxa" w:w="950"/>
            <w:vAlign w:val="top"/>
          </w:tcPr>
          <w:p>
            <w:pPr>
              <w:spacing w:after="40" w:before="0" w:line="259" w:lineRule="auto"/>
            </w:pPr>
            <w:r>
              <w:rPr>
                <w:rFonts w:ascii="Calibri" w:hAnsi="Calibri"/>
                <w:b w:val="0"/>
                <w:i w:val="0"/>
                <w:color w:val="212121"/>
                <w:sz w:val="16"/>
              </w:rPr>
              <w:t>Non-focal examination</w:t>
            </w:r>
          </w:p>
        </w:tc>
        <w:tc>
          <w:tcPr>
            <w:tcW w:type="dxa" w:w="950"/>
            <w:vAlign w:val="top"/>
          </w:tcPr>
          <w:p>
            <w:pPr>
              <w:spacing w:after="40" w:before="0" w:line="259" w:lineRule="auto"/>
            </w:pPr>
            <w:r>
              <w:rPr>
                <w:rFonts w:ascii="Calibri" w:hAnsi="Calibri"/>
                <w:b w:val="0"/>
                <w:i w:val="0"/>
                <w:color w:val="212121"/>
                <w:sz w:val="16"/>
              </w:rPr>
              <w:t>Focal signs (stroke), asterixis (metabolic), autonomic hyperactivity (withdrawal)</w:t>
            </w:r>
          </w:p>
        </w:tc>
        <w:tc>
          <w:tcPr>
            <w:tcW w:type="dxa" w:w="1036"/>
            <w:vAlign w:val="top"/>
          </w:tcPr>
          <w:p>
            <w:pPr>
              <w:spacing w:after="40" w:before="0" w:line="259" w:lineRule="auto"/>
            </w:pPr>
            <w:r>
              <w:rPr>
                <w:rFonts w:ascii="Calibri" w:hAnsi="Calibri"/>
                <w:b w:val="0"/>
                <w:i w:val="0"/>
                <w:color w:val="212121"/>
                <w:sz w:val="16"/>
              </w:rPr>
              <w:t>Distinguishes structural, metabolic and withdrawal causes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Focal signs mandate urgent brain imaging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Acute confusion with fluctuating course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onset over hours to days with waxing-and-waning severity, typically worse in the evening and night.</w:t>
            </w:r>
          </w:p>
        </w:tc>
      </w:tr>
      <w:tr>
        <w:trPr>
          <w:cantSplit/>
        </w:trPr>
        <w:tc>
          <w:tcPr>
            <w:tcW w:type="dxa" w:w="2304"/>
            <w:vAlign w:val="top"/>
          </w:tcPr>
          <w:p>
            <w:pPr>
              <w:spacing w:after="40" w:before="0" w:line="259" w:lineRule="auto"/>
            </w:pPr>
            <w:r>
              <w:rPr>
                <w:rFonts w:ascii="Calibri" w:hAnsi="Calibri"/>
                <w:b/>
                <w:i w:val="0"/>
                <w:color w:val="212121"/>
                <w:sz w:val="19"/>
              </w:rPr>
              <w:t>Inattention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Cannot focus, sustain or shift attention; loses the thread of conversation and needs questions repeated — the cardinal symptom.</w:t>
            </w:r>
          </w:p>
        </w:tc>
      </w:tr>
      <w:tr>
        <w:trPr>
          <w:cantSplit/>
        </w:trPr>
        <w:tc>
          <w:tcPr>
            <w:tcW w:type="dxa" w:w="2304"/>
            <w:vAlign w:val="top"/>
          </w:tcPr>
          <w:p>
            <w:pPr>
              <w:spacing w:after="40" w:before="0" w:line="259" w:lineRule="auto"/>
            </w:pPr>
            <w:r>
              <w:rPr>
                <w:rFonts w:ascii="Calibri" w:hAnsi="Calibri"/>
                <w:b/>
                <w:i w:val="0"/>
                <w:color w:val="212121"/>
                <w:sz w:val="19"/>
              </w:rPr>
              <w:t>Disorientation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orientation to time and place, and in severe cases to person.</w:t>
            </w:r>
          </w:p>
        </w:tc>
      </w:tr>
      <w:tr>
        <w:trPr>
          <w:cantSplit/>
        </w:trPr>
        <w:tc>
          <w:tcPr>
            <w:tcW w:type="dxa" w:w="2304"/>
            <w:vAlign w:val="top"/>
          </w:tcPr>
          <w:p>
            <w:pPr>
              <w:spacing w:after="40" w:before="0" w:line="259" w:lineRule="auto"/>
            </w:pPr>
            <w:r>
              <w:rPr>
                <w:rFonts w:ascii="Calibri" w:hAnsi="Calibri"/>
                <w:b/>
                <w:i w:val="0"/>
                <w:color w:val="212121"/>
                <w:sz w:val="19"/>
              </w:rPr>
              <w:t>Disorganised / rambling thinking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Incoherent, tangential or illogical speech with muddled, hard-to-follow thoughts.</w:t>
            </w:r>
          </w:p>
        </w:tc>
      </w:tr>
      <w:tr>
        <w:trPr>
          <w:cantSplit/>
        </w:trPr>
        <w:tc>
          <w:tcPr>
            <w:tcW w:type="dxa" w:w="2304"/>
            <w:vAlign w:val="top"/>
          </w:tcPr>
          <w:p>
            <w:pPr>
              <w:spacing w:after="40" w:before="0" w:line="259" w:lineRule="auto"/>
            </w:pPr>
            <w:r>
              <w:rPr>
                <w:rFonts w:ascii="Calibri" w:hAnsi="Calibri"/>
                <w:b/>
                <w:i w:val="0"/>
                <w:color w:val="212121"/>
                <w:sz w:val="19"/>
              </w:rPr>
              <w:t>Altered level of 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Clouded awareness ranging from drowsiness and stupor (hypoactive) to hyper-alertness (hyperactive).</w:t>
            </w:r>
          </w:p>
        </w:tc>
      </w:tr>
      <w:tr>
        <w:trPr>
          <w:cantSplit/>
        </w:trPr>
        <w:tc>
          <w:tcPr>
            <w:tcW w:type="dxa" w:w="2304"/>
            <w:vAlign w:val="top"/>
          </w:tcPr>
          <w:p>
            <w:pPr>
              <w:spacing w:after="40" w:before="0" w:line="259" w:lineRule="auto"/>
            </w:pPr>
            <w:r>
              <w:rPr>
                <w:rFonts w:ascii="Calibri" w:hAnsi="Calibri"/>
                <w:b/>
                <w:i w:val="0"/>
                <w:color w:val="212121"/>
                <w:sz w:val="19"/>
              </w:rPr>
              <w:t>Sleep–wake disturbance / day–night reversal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Daytime somnolence with night-time wakefulness and agitation (“sundowning”).</w:t>
            </w:r>
          </w:p>
        </w:tc>
      </w:tr>
      <w:tr>
        <w:trPr>
          <w:cantSplit/>
        </w:trPr>
        <w:tc>
          <w:tcPr>
            <w:tcW w:type="dxa" w:w="2304"/>
            <w:vAlign w:val="top"/>
          </w:tcPr>
          <w:p>
            <w:pPr>
              <w:spacing w:after="40" w:before="0" w:line="259" w:lineRule="auto"/>
            </w:pPr>
            <w:r>
              <w:rPr>
                <w:rFonts w:ascii="Calibri" w:hAnsi="Calibri"/>
                <w:b/>
                <w:i w:val="0"/>
                <w:color w:val="212121"/>
                <w:sz w:val="19"/>
              </w:rPr>
              <w:t>Recent-memory impairment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Poor registration and recall of new information during the episode.</w:t>
            </w:r>
          </w:p>
        </w:tc>
      </w:tr>
      <w:tr>
        <w:trPr>
          <w:cantSplit/>
        </w:trPr>
        <w:tc>
          <w:tcPr>
            <w:tcW w:type="dxa" w:w="2304"/>
            <w:vAlign w:val="top"/>
          </w:tcPr>
          <w:p>
            <w:pPr>
              <w:spacing w:after="40" w:before="0" w:line="259" w:lineRule="auto"/>
            </w:pPr>
            <w:r>
              <w:rPr>
                <w:rFonts w:ascii="Calibri" w:hAnsi="Calibri"/>
                <w:b/>
                <w:i w:val="0"/>
                <w:color w:val="212121"/>
                <w:sz w:val="19"/>
              </w:rPr>
              <w:t>Agitation, restlessness or wandering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in the hyperactive subtype; patients may pull at drips, catheters and lines.</w:t>
            </w:r>
          </w:p>
        </w:tc>
      </w:tr>
      <w:tr>
        <w:trPr>
          <w:cantSplit/>
        </w:trPr>
        <w:tc>
          <w:tcPr>
            <w:tcW w:type="dxa" w:w="2304"/>
            <w:vAlign w:val="top"/>
          </w:tcPr>
          <w:p>
            <w:pPr>
              <w:spacing w:after="40" w:before="0" w:line="259" w:lineRule="auto"/>
            </w:pPr>
            <w:r>
              <w:rPr>
                <w:rFonts w:ascii="Calibri" w:hAnsi="Calibri"/>
                <w:b/>
                <w:i w:val="0"/>
                <w:color w:val="212121"/>
                <w:sz w:val="19"/>
              </w:rPr>
              <w:t>Lethargy, drowsiness and withdrawal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hypoactive subtype — quiet and easily missed, yet carrying the worst outcomes.</w:t>
            </w:r>
          </w:p>
        </w:tc>
      </w:tr>
      <w:tr>
        <w:trPr>
          <w:cantSplit/>
        </w:trPr>
        <w:tc>
          <w:tcPr>
            <w:tcW w:type="dxa" w:w="2304"/>
            <w:vAlign w:val="top"/>
          </w:tcPr>
          <w:p>
            <w:pPr>
              <w:spacing w:after="40" w:before="0" w:line="259" w:lineRule="auto"/>
            </w:pPr>
            <w:r>
              <w:rPr>
                <w:rFonts w:ascii="Calibri" w:hAnsi="Calibri"/>
                <w:b/>
                <w:i w:val="0"/>
                <w:color w:val="212121"/>
                <w:sz w:val="19"/>
              </w:rPr>
              <w:t>Perceptual disturbances / hallucinations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visual (seeing people, animals or insects) and often frightening to the patient.</w:t>
            </w:r>
          </w:p>
        </w:tc>
      </w:tr>
      <w:tr>
        <w:trPr>
          <w:cantSplit/>
        </w:trPr>
        <w:tc>
          <w:tcPr>
            <w:tcW w:type="dxa" w:w="2304"/>
            <w:vAlign w:val="top"/>
          </w:tcPr>
          <w:p>
            <w:pPr>
              <w:spacing w:after="40" w:before="0" w:line="259" w:lineRule="auto"/>
            </w:pPr>
            <w:r>
              <w:rPr>
                <w:rFonts w:ascii="Calibri" w:hAnsi="Calibri"/>
                <w:b/>
                <w:i w:val="0"/>
                <w:color w:val="212121"/>
                <w:sz w:val="19"/>
              </w:rPr>
              <w:t>Delusions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Typically fleeting, persecutory or misidentification beliefs.</w:t>
            </w:r>
          </w:p>
        </w:tc>
      </w:tr>
      <w:tr>
        <w:trPr>
          <w:cantSplit/>
        </w:trPr>
        <w:tc>
          <w:tcPr>
            <w:tcW w:type="dxa" w:w="2304"/>
            <w:vAlign w:val="top"/>
          </w:tcPr>
          <w:p>
            <w:pPr>
              <w:spacing w:after="40" w:before="0" w:line="259" w:lineRule="auto"/>
            </w:pPr>
            <w:r>
              <w:rPr>
                <w:rFonts w:ascii="Calibri" w:hAnsi="Calibri"/>
                <w:b/>
                <w:i w:val="0"/>
                <w:color w:val="212121"/>
                <w:sz w:val="19"/>
              </w:rPr>
              <w:t>Emotional lability, fear or irritability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Rapid mood shifts, anxiety, tearfulness or suspiciousness.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Objective inattention on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Fails months-backwards, serial 7s or digit-span tasks.</w:t>
            </w:r>
          </w:p>
        </w:tc>
      </w:tr>
      <w:tr>
        <w:trPr>
          <w:cantSplit/>
        </w:trPr>
        <w:tc>
          <w:tcPr>
            <w:tcW w:type="dxa" w:w="3456"/>
            <w:vAlign w:val="top"/>
          </w:tcPr>
          <w:p>
            <w:pPr>
              <w:spacing w:after="40" w:before="0" w:line="259" w:lineRule="auto"/>
            </w:pPr>
            <w:r>
              <w:rPr>
                <w:rFonts w:ascii="Calibri" w:hAnsi="Calibri"/>
                <w:b/>
                <w:i w:val="0"/>
                <w:color w:val="212121"/>
                <w:sz w:val="19"/>
              </w:rPr>
              <w:t>Fluctuating consciousness (abnormal RASS/GCS)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Level of arousal varies through the day between drowsy and alert.</w:t>
            </w:r>
          </w:p>
        </w:tc>
      </w:tr>
      <w:tr>
        <w:trPr>
          <w:cantSplit/>
        </w:trPr>
        <w:tc>
          <w:tcPr>
            <w:tcW w:type="dxa" w:w="3456"/>
            <w:vAlign w:val="top"/>
          </w:tcPr>
          <w:p>
            <w:pPr>
              <w:spacing w:after="40" w:before="0" w:line="259" w:lineRule="auto"/>
            </w:pPr>
            <w:r>
              <w:rPr>
                <w:rFonts w:ascii="Calibri" w:hAnsi="Calibri"/>
                <w:b/>
                <w:i w:val="0"/>
                <w:color w:val="212121"/>
                <w:sz w:val="19"/>
              </w:rPr>
              <w:t>Disorientation on cognitive screen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Errors of time and place orientation on AMT/MMSE.</w:t>
            </w:r>
          </w:p>
        </w:tc>
      </w:tr>
      <w:tr>
        <w:trPr>
          <w:cantSplit/>
        </w:trPr>
        <w:tc>
          <w:tcPr>
            <w:tcW w:type="dxa" w:w="3456"/>
            <w:vAlign w:val="top"/>
          </w:tcPr>
          <w:p>
            <w:pPr>
              <w:spacing w:after="40" w:before="0" w:line="259" w:lineRule="auto"/>
            </w:pPr>
            <w:r>
              <w:rPr>
                <w:rFonts w:ascii="Calibri" w:hAnsi="Calibri"/>
                <w:b/>
                <w:i w:val="0"/>
                <w:color w:val="212121"/>
                <w:sz w:val="19"/>
              </w:rPr>
              <w:t>Positive CAM / CAM-ICU</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Meets the validated diagnostic algorithm for delirium.</w:t>
            </w:r>
          </w:p>
        </w:tc>
      </w:tr>
      <w:tr>
        <w:trPr>
          <w:cantSplit/>
        </w:trPr>
        <w:tc>
          <w:tcPr>
            <w:tcW w:type="dxa" w:w="3456"/>
            <w:vAlign w:val="top"/>
          </w:tcPr>
          <w:p>
            <w:pPr>
              <w:spacing w:after="40" w:before="0" w:line="259" w:lineRule="auto"/>
            </w:pPr>
            <w:r>
              <w:rPr>
                <w:rFonts w:ascii="Calibri" w:hAnsi="Calibri"/>
                <w:b/>
                <w:i w:val="0"/>
                <w:color w:val="212121"/>
                <w:sz w:val="19"/>
              </w:rPr>
              <w:t>Psychomotor change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Agitation and hypervigilance (hyperactive) or marked slowing and reduced movement (hypoactive).</w:t>
            </w:r>
          </w:p>
        </w:tc>
      </w:tr>
      <w:tr>
        <w:trPr>
          <w:cantSplit/>
        </w:trPr>
        <w:tc>
          <w:tcPr>
            <w:tcW w:type="dxa" w:w="3456"/>
            <w:vAlign w:val="top"/>
          </w:tcPr>
          <w:p>
            <w:pPr>
              <w:spacing w:after="40" w:before="0" w:line="259" w:lineRule="auto"/>
            </w:pPr>
            <w:r>
              <w:rPr>
                <w:rFonts w:ascii="Calibri" w:hAnsi="Calibri"/>
                <w:b/>
                <w:i w:val="0"/>
                <w:color w:val="212121"/>
                <w:sz w:val="19"/>
              </w:rPr>
              <w:t>Signs of the precipitant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Fever or tachypnoea (infection), dehydration, a palpable bladder (retention) or hypoxia.</w:t>
            </w:r>
          </w:p>
        </w:tc>
      </w:tr>
      <w:tr>
        <w:trPr>
          <w:cantSplit/>
        </w:trPr>
        <w:tc>
          <w:tcPr>
            <w:tcW w:type="dxa" w:w="3456"/>
            <w:vAlign w:val="top"/>
          </w:tcPr>
          <w:p>
            <w:pPr>
              <w:spacing w:after="40" w:before="0" w:line="259" w:lineRule="auto"/>
            </w:pPr>
            <w:r>
              <w:rPr>
                <w:rFonts w:ascii="Calibri" w:hAnsi="Calibri"/>
                <w:b/>
                <w:i w:val="0"/>
                <w:color w:val="212121"/>
                <w:sz w:val="19"/>
              </w:rPr>
              <w:t>Responding to unseen stimuli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Observed picking, staring or reacting to visual hallucinations not present.</w:t>
            </w:r>
          </w:p>
        </w:tc>
      </w:tr>
      <w:tr>
        <w:trPr>
          <w:cantSplit/>
        </w:trPr>
        <w:tc>
          <w:tcPr>
            <w:tcW w:type="dxa" w:w="3456"/>
            <w:vAlign w:val="top"/>
          </w:tcPr>
          <w:p>
            <w:pPr>
              <w:spacing w:after="40" w:before="0" w:line="259" w:lineRule="auto"/>
            </w:pPr>
            <w:r>
              <w:rPr>
                <w:rFonts w:ascii="Calibri" w:hAnsi="Calibri"/>
                <w:b/>
                <w:i w:val="0"/>
                <w:color w:val="212121"/>
                <w:sz w:val="19"/>
              </w:rPr>
              <w:t>Asterixis (flapping tremor)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hepatic, uraemic or CO₂-retention encephalopathy.</w:t>
            </w:r>
          </w:p>
        </w:tc>
      </w:tr>
      <w:tr>
        <w:trPr>
          <w:cantSplit/>
        </w:trPr>
        <w:tc>
          <w:tcPr>
            <w:tcW w:type="dxa" w:w="3456"/>
            <w:vAlign w:val="top"/>
          </w:tcPr>
          <w:p>
            <w:pPr>
              <w:spacing w:after="40" w:before="0" w:line="259" w:lineRule="auto"/>
            </w:pPr>
            <w:r>
              <w:rPr>
                <w:rFonts w:ascii="Calibri" w:hAnsi="Calibri"/>
                <w:b/>
                <w:i w:val="0"/>
                <w:color w:val="212121"/>
                <w:sz w:val="19"/>
              </w:rPr>
              <w:t>Myoclonus / coarse tremor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metabolic and drug-related delirium.</w:t>
            </w:r>
          </w:p>
        </w:tc>
      </w:tr>
      <w:tr>
        <w:trPr>
          <w:cantSplit/>
        </w:trPr>
        <w:tc>
          <w:tcPr>
            <w:tcW w:type="dxa" w:w="3456"/>
            <w:vAlign w:val="top"/>
          </w:tcPr>
          <w:p>
            <w:pPr>
              <w:spacing w:after="40" w:before="0" w:line="259" w:lineRule="auto"/>
            </w:pPr>
            <w:r>
              <w:rPr>
                <w:rFonts w:ascii="Calibri" w:hAnsi="Calibri"/>
                <w:b/>
                <w:i w:val="0"/>
                <w:color w:val="212121"/>
                <w:sz w:val="19"/>
              </w:rPr>
              <w:t>Autonomic hyperactivity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Tachycardia, hypertension, sweating, fever and tremor — the hallmark of alcohol-withdrawal delirium (delirium tremens).</w:t>
            </w:r>
          </w:p>
        </w:tc>
      </w:tr>
      <w:tr>
        <w:trPr>
          <w:cantSplit/>
        </w:trPr>
        <w:tc>
          <w:tcPr>
            <w:tcW w:type="dxa" w:w="3456"/>
            <w:vAlign w:val="top"/>
          </w:tcPr>
          <w:p>
            <w:pPr>
              <w:spacing w:after="40" w:before="0" w:line="259" w:lineRule="auto"/>
            </w:pPr>
            <w:r>
              <w:rPr>
                <w:rFonts w:ascii="Calibri" w:hAnsi="Calibri"/>
                <w:b/>
                <w:i w:val="0"/>
                <w:color w:val="212121"/>
                <w:sz w:val="19"/>
              </w:rPr>
              <w:t>EEG diffuse slowing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Generalised slowing of the background rhythm on electroencephalography.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fractures and self-injury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and aspiration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Unintentional removal of catheters/lines and self-extubation needing reintubation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(decubitus) ulcers from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Dehydration and inadequate oral intake</w:t>
            </w:r>
          </w:p>
        </w:tc>
        <w:tc>
          <w:tcPr>
            <w:tcW w:type="dxa" w:w="2980"/>
            <w:vAlign w:val="top"/>
          </w:tcPr>
          <w:p>
            <w:pPr>
              <w:spacing w:after="40" w:before="0" w:line="259" w:lineRule="auto"/>
            </w:pPr>
            <w:r>
              <w:rPr>
                <w:rFonts w:ascii="Calibri" w:hAnsi="Calibri"/>
                <w:b w:val="0"/>
                <w:i w:val="0"/>
                <w:color w:val="212121"/>
                <w:sz w:val="19"/>
              </w:rPr>
              <w:t>Direct, acute consequences of disturbed cognition, agitation or immobility during the episode (in Indian ICU data: catheter removal 35.7%, aspiration 19.8%, reintubation 10.6%, decubitus ulcers 18.4%).</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hospital and ICU length of stay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mechanical 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Hospital-acquired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from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Muscle wasting, deconditioning and functional decline</w:t>
            </w:r>
          </w:p>
        </w:tc>
        <w:tc>
          <w:tcPr>
            <w:tcW w:type="dxa" w:w="2980"/>
            <w:vAlign w:val="top"/>
          </w:tcPr>
          <w:p>
            <w:pPr>
              <w:spacing w:after="40" w:before="0" w:line="259" w:lineRule="auto"/>
            </w:pPr>
            <w:r>
              <w:rPr>
                <w:rFonts w:ascii="Calibri" w:hAnsi="Calibri"/>
                <w:b w:val="0"/>
                <w:i w:val="0"/>
                <w:color w:val="212121"/>
                <w:sz w:val="19"/>
              </w:rPr>
              <w:t>In-hospital morbidity that accrues while delirium persists and recovery is delayed.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long-term cognitive impairment / accelerated onset of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functional dependency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 institutionalisation or need for long-term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short- and long-term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burden and reduced quality of life</w:t>
            </w:r>
          </w:p>
        </w:tc>
        <w:tc>
          <w:tcPr>
            <w:tcW w:type="dxa" w:w="2980"/>
            <w:vAlign w:val="top"/>
          </w:tcPr>
          <w:p>
            <w:pPr>
              <w:spacing w:after="40" w:before="0" w:line="259" w:lineRule="auto"/>
            </w:pPr>
            <w:r>
              <w:rPr>
                <w:rFonts w:ascii="Calibri" w:hAnsi="Calibri"/>
                <w:b w:val="0"/>
                <w:i w:val="0"/>
                <w:color w:val="212121"/>
                <w:sz w:val="19"/>
              </w:rPr>
              <w:t>Irreversible downstream outcomes: Indian studies show markedly higher mortality in delirious patients (21.3% vs 5% in ICU; 27% vs 1% in cardiac ICU) and 1-year functional dependency.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Dementia / cognitive impairment</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The strongest predisposing factor; delirium superimposed on dementia is common, easily missed and accelerates cognitive decline.</w:t>
            </w:r>
          </w:p>
        </w:tc>
      </w:tr>
      <w:tr>
        <w:trPr>
          <w:cantSplit/>
        </w:trPr>
        <w:tc>
          <w:tcPr>
            <w:tcW w:type="dxa" w:w="2232"/>
            <w:vAlign w:val="top"/>
          </w:tcPr>
          <w:p>
            <w:pPr>
              <w:spacing w:after="40" w:before="0" w:line="259" w:lineRule="auto"/>
            </w:pPr>
            <w:r>
              <w:rPr>
                <w:rFonts w:ascii="Calibri" w:hAnsi="Calibri"/>
                <w:b/>
                <w:i w:val="0"/>
                <w:color w:val="212121"/>
                <w:sz w:val="19"/>
              </w:rPr>
              <w:t>Infection / sepsis (pneumonia, UTI)</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commonest single precipitant, and in the elderly may be the first sign of infection.</w:t>
            </w:r>
          </w:p>
        </w:tc>
      </w:tr>
      <w:tr>
        <w:trPr>
          <w:cantSplit/>
        </w:trPr>
        <w:tc>
          <w:tcPr>
            <w:tcW w:type="dxa" w:w="2232"/>
            <w:vAlign w:val="top"/>
          </w:tcPr>
          <w:p>
            <w:pPr>
              <w:spacing w:after="40" w:before="0" w:line="259" w:lineRule="auto"/>
            </w:pPr>
            <w:r>
              <w:rPr>
                <w:rFonts w:ascii="Calibri" w:hAnsi="Calibri"/>
                <w:b/>
                <w:i w:val="0"/>
                <w:color w:val="212121"/>
                <w:sz w:val="19"/>
              </w:rPr>
              <w:t>Alcohol-use disorder</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Withdrawal causes delirium tremens; a recognised risk factor in Indian ICU cohorts.</w:t>
            </w:r>
          </w:p>
        </w:tc>
      </w:tr>
      <w:tr>
        <w:trPr>
          <w:cantSplit/>
        </w:trPr>
        <w:tc>
          <w:tcPr>
            <w:tcW w:type="dxa" w:w="2232"/>
            <w:vAlign w:val="top"/>
          </w:tcPr>
          <w:p>
            <w:pPr>
              <w:spacing w:after="40" w:before="0" w:line="259" w:lineRule="auto"/>
            </w:pPr>
            <w:r>
              <w:rPr>
                <w:rFonts w:ascii="Calibri" w:hAnsi="Calibri"/>
                <w:b/>
                <w:i w:val="0"/>
                <w:color w:val="212121"/>
                <w:sz w:val="19"/>
              </w:rPr>
              <w:t>Electrolyte &amp; metabolic disturbance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Dysnatraemia, dehydration, renal or hepatic failure and dysglycaemia are frequent, correctable causes.</w:t>
            </w:r>
          </w:p>
        </w:tc>
      </w:tr>
      <w:tr>
        <w:trPr>
          <w:cantSplit/>
        </w:trPr>
        <w:tc>
          <w:tcPr>
            <w:tcW w:type="dxa" w:w="2232"/>
            <w:vAlign w:val="top"/>
          </w:tcPr>
          <w:p>
            <w:pPr>
              <w:spacing w:after="40" w:before="0" w:line="259" w:lineRule="auto"/>
            </w:pPr>
            <w:r>
              <w:rPr>
                <w:rFonts w:ascii="Calibri" w:hAnsi="Calibri"/>
                <w:b/>
                <w:i w:val="0"/>
                <w:color w:val="212121"/>
                <w:sz w:val="19"/>
              </w:rPr>
              <w:t>Postoperative state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Major surgery, particularly hip-fracture and cardiac surgery in older adults, is high-risk.</w:t>
            </w:r>
          </w:p>
          <w:p>
            <w:pPr>
              <w:spacing w:after="40" w:before="0" w:line="259" w:lineRule="auto"/>
            </w:pPr>
            <w:r>
              <w:rPr>
                <w:rFonts w:ascii="Calibri" w:hAnsi="Calibri"/>
                <w:b/>
                <w:i w:val="0"/>
                <w:color w:val="212121"/>
                <w:sz w:val="19"/>
              </w:rPr>
              <w:t>10–50% of major/high-risk surgery</w:t>
            </w:r>
          </w:p>
        </w:tc>
      </w:tr>
      <w:tr>
        <w:trPr>
          <w:cantSplit/>
        </w:trPr>
        <w:tc>
          <w:tcPr>
            <w:tcW w:type="dxa" w:w="2232"/>
            <w:vAlign w:val="top"/>
          </w:tcPr>
          <w:p>
            <w:pPr>
              <w:spacing w:after="40" w:before="0" w:line="259" w:lineRule="auto"/>
            </w:pPr>
            <w:r>
              <w:rPr>
                <w:rFonts w:ascii="Calibri" w:hAnsi="Calibri"/>
                <w:b/>
                <w:i w:val="0"/>
                <w:color w:val="212121"/>
                <w:sz w:val="19"/>
              </w:rPr>
              <w:t>Critical illness / mechanical ventilation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The ICU concentrates every risk factor and has the highest delirium rates of any setting.</w:t>
            </w:r>
          </w:p>
          <w:p>
            <w:pPr>
              <w:spacing w:after="40" w:before="0" w:line="259" w:lineRule="auto"/>
            </w:pPr>
            <w:r>
              <w:rPr>
                <w:rFonts w:ascii="Calibri" w:hAnsi="Calibri"/>
                <w:b/>
                <w:i w:val="0"/>
                <w:color w:val="212121"/>
                <w:sz w:val="19"/>
              </w:rPr>
              <w:t>Up to 82% in ICU</w:t>
            </w:r>
          </w:p>
        </w:tc>
      </w:tr>
      <w:tr>
        <w:trPr>
          <w:cantSplit/>
        </w:trPr>
        <w:tc>
          <w:tcPr>
            <w:tcW w:type="dxa" w:w="2232"/>
            <w:vAlign w:val="top"/>
          </w:tcPr>
          <w:p>
            <w:pPr>
              <w:spacing w:after="40" w:before="0" w:line="259" w:lineRule="auto"/>
            </w:pPr>
            <w:r>
              <w:rPr>
                <w:rFonts w:ascii="Calibri" w:hAnsi="Calibri"/>
                <w:b/>
                <w:i w:val="0"/>
                <w:color w:val="212121"/>
                <w:sz w:val="19"/>
              </w:rPr>
              <w:t>Stroke &amp; acute neurological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Structural brain insults and seizures precipitate delirium and must be excluded when focal signs are present.</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Predisposes to delirium and is commonly confused with the hypoactive subtype.</w:t>
            </w:r>
          </w:p>
        </w:tc>
      </w:tr>
      <w:tr>
        <w:trPr>
          <w:cantSplit/>
        </w:trPr>
        <w:tc>
          <w:tcPr>
            <w:tcW w:type="dxa" w:w="2232"/>
            <w:vAlign w:val="top"/>
          </w:tcPr>
          <w:p>
            <w:pPr>
              <w:spacing w:after="40" w:before="0" w:line="259" w:lineRule="auto"/>
            </w:pPr>
            <w:r>
              <w:rPr>
                <w:rFonts w:ascii="Calibri" w:hAnsi="Calibri"/>
                <w:b/>
                <w:i w:val="0"/>
                <w:color w:val="212121"/>
                <w:sz w:val="19"/>
              </w:rPr>
              <w:t>Frailty, sensory impairment &amp; polypharmacy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Cumulative vulnerabilities that lower the threshold at which any insult triggers delirium.</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delirium is common, serious and largely preventable — up to 30–40% of cases in hospital can be avoided with simple multicomponent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(sudden confusion, inattention, drowsiness or agitation, day–night reversal) and report any acute change from a patient’s baseline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high-risk inpatient (elderly, ICU, post-operative, dementia) with a validated tool such as CAM-ICU or the 4AT, at least once per shift.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patients oriented: visible clock and calendar, familiar objects, repeated gentle reorientation, and involve family for reassurance and collateral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glasses and hearing aids are worn, and review and stop unnecessary sedating or anticholinergic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look for and treat precipitants — infection, dehydration, pain, urinary retention, constipation, hypoxia and metabolic upset.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 staff and 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elderly inpatients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and surgical teams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Low-awareness / low-resource settings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Mobilise patients early and daily — sit out of bed, stand and walk as soon as it is safe.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physical restraints and minimise catheters, drips and tethering that enforce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physiotherapy and range-of-movement exercises for those who cannot yet walk.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Preserve function and prevent deconditioning, falls and pressure ulcers through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and 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Bedbound / restrained 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Hip-fracture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older inpatients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Implement a structured multicomponent bundle (e.g., HELP / ABCDEF) combining mobilisation, reorientation, sleep and hydration — shown to cut delirium incidence (pooled OR 0.47).</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supervised, graded mobilisation once delirium has developed to shorten its duration.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Substitute non-pharmacological calming and constant observation for restraints in agitated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or a sitter to support safe movement and reduce falls.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established delirium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Agitated (hyperactive)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Fall-risk elders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adequate nutrition; assist frail patients with feeding and monitor fluid 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and monitor electrolytes (especially sodium) and blood glucose.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parenteral thiamine before glucose in anyone with alcohol misuse or malnutrition to prevent Wernicke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low albumin and micronutrient deficiency, and involve a dietitian for high-risk elders.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 / malnourished elders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on insulin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the sleep–wake cycle: bright light and activity by day, dark and quiet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Cluster nursing tasks to minimise night-time interruptions and reduce noise and alarms.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routine sedative-hypnotics; use non-pharmacological measures (warm drink, relaxation) first.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Open curtains and encourage daytime wakefulness to prevent day–night reversal.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Ward inpatients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every inpatient about smoking and consider nicotine-replacement therapy for dependent smokers to prevent withdrawal agitation.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withdrawal in heavy cigarette or bidi smokers admitted acutely.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and counselling during and after the admission.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and surgical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a careful alcohol history on admission and identify those at risk of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symptom-triggered withdrawal protocol (e.g., CIWA-Ar) with benzodiazepines to prevent delirium tremens.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thiamine routinely to prevent Wernicke encephalopathy, and monitor for seizures and autonomic instability.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alcohol-use-disorder treatment and relapse prevention after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prior withdrawal or DT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drinkers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underlying cause first; reserve low-dose antipsychotics only for severe agitation or distress that threatens safety, at the lowest dose for the shortest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benzodiazepines except for alcohol/benzodiazepine withdrawal, as they can worsen delirium.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Distinguish hypoactive delirium from depression, and screen for and treat co-existing 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calm, well-lit, familiar surroundings with family presence, reassurance and clear communication.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and educate carers, and arrange cognitive follow-up, as delirium can herald or unmask dementia.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established delirium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Agitated or distressed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Hypoactive delirium mistaken for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carers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4120864/" TargetMode="External"/><Relationship Id="rId10" Type="http://schemas.openxmlformats.org/officeDocument/2006/relationships/hyperlink" Target="https://pubmed.ncbi.nlm.nih.gov/38447233/" TargetMode="External"/><Relationship Id="rId11" Type="http://schemas.openxmlformats.org/officeDocument/2006/relationships/hyperlink" Target="https://www.ncbi.nlm.nih.gov/books/NBK470399/" TargetMode="External"/><Relationship Id="rId12" Type="http://schemas.openxmlformats.org/officeDocument/2006/relationships/hyperlink" Target="https://pmc.ncbi.nlm.nih.gov/articles/PMC9973060/" TargetMode="External"/><Relationship Id="rId13" Type="http://schemas.openxmlformats.org/officeDocument/2006/relationships/hyperlink" Target="https://pubmed.ncbi.nlm.nih.gov/22819154/" TargetMode="External"/><Relationship Id="rId14" Type="http://schemas.openxmlformats.org/officeDocument/2006/relationships/hyperlink" Target="https://pubmed.ncbi.nlm.nih.gov/25643002/" TargetMode="External"/><Relationship Id="rId15" Type="http://schemas.openxmlformats.org/officeDocument/2006/relationships/hyperlink" Target="https://pubmed.ncbi.nlm.nih.gov/242955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