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Neuropathic Pain</w:t>
      </w:r>
    </w:p>
    <w:p>
      <w:pPr>
        <w:spacing w:before="0" w:after="160"/>
      </w:pPr>
      <w:r>
        <w:rPr>
          <w:rFonts w:ascii="Calibri" w:hAnsi="Calibri"/>
          <w:b/>
          <w:i w:val="0"/>
          <w:color w:val="212121"/>
          <w:sz w:val="22"/>
        </w:rPr>
        <w:t xml:space="preserve">AKA </w:t>
      </w:r>
      <w:r>
        <w:rPr>
          <w:rFonts w:ascii="Calibri" w:hAnsi="Calibri"/>
          <w:b w:val="0"/>
          <w:i w:val="0"/>
          <w:color w:val="212121"/>
          <w:sz w:val="22"/>
        </w:rPr>
        <w:t>i.e., Nerve pain, Neuralgia, Nerve-related pain; includes Painful diabetic neuropathy (PDN), Post-herpetic neuralgia (PHN), Trigeminal neuralgia, Sciatica / radicular pain, Central post-stroke pain, “Burning / shooting / electric-shock pain”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Neuropathic pain is pain caused by a lesion or disease of the somatosensory nervous system (International Association for the Study of Pain definition). Unlike nociceptive pain, it arises from abnormal signalling within damaged peripheral nerves, nerve roots, spinal cord or brain rather than from ongoing tissue injury and inflammation. It is typically described as burning, shooting, stabbing or electric-shock-like, and is accompanied by tingling, numbness, allodynia (pain from normally non-painful touch) and hyperalgesia in a neuroanatomically plausible distribution. It is frequently chronic, disabling and poorly responsive to paracetamol and NSAIDs, requiring specific agents such as gabapentinoids, tricyclic antidepressants and serotonin–noradrenaline reuptake inhibitors.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Neuropathic pain is common but under-recognised. Community studies using validated screening tools estimate that about 7–8% of adults live with chronic pain of predominantly neuropathic character. In India the burden is driven chiefly by diabetes: with an estimated 101 million diabetics and roughly a quarter (about 26%) of people with diabetes developing painful neuropathy, painful diabetic neuropathy is the single largest contributor. In a large Indian real-world study of 4,418 patients across 295 centres, painful neuropathy was overwhelmingly peripheral (98.5%), male-predominant (73.8%) and presented at a mean age of about 49 years, with diabetes the leading documented cause and pregabalin–methylcobalamin the commonest treatment. Other major causes include post-herpetic neuralgia (which complicates roughly 10–55% of herpes zoster episodes in Indian series), trigeminal neuralgia (lifetime prevalence about 108 per 100,000), radicular / low-back-related leg pain (around 37% of chronic low back pain — itself with a point prevalence near 48% in India — carries a neuropathic component), and chemotherapy-induced peripheral neuropathy.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Neuropathic pain is primarily a clinical diagnosis, graded by the NeuPSIG (IASP) system as possible, probable or definite, and supported by validated questionnaires and confirmatory tests. It is suggested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 in a neuroanatomically plausible distribution corresponding to a peripheral nerve, nerve root, plexus, or a central somatosensory pathway;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a relevant lesion or disease of the somatosensory nervous system (e.g., diabetes, herpes zoster, nerve trauma or surgery, stroke, spinal cord injury, chemotherapy) — together with a plausible distribution this constitutes ‘possible’ neuropathic pain;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confirmatory sensory signs on examination within the painful territory — negative signs (hypoaesthesia, hypoalgesia) and/or positive signs (allodynia, hyperalgesia) — which upgrade the diagnosis to ‘probable’;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objective confirmatory test demonstrating the lesion or disease — nerve conduction studies / EMG, quantitative sensory testing, skin biopsy for intra-epidermal nerve-fibre density, or MRI — which establishes a ‘definite’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validated screening questionnaire — DN4 (score ≥ 4/10), LANSS, painDETECT or ID-Pain — to identify and quantify the neuropathic component;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characterisation and monitoring with the Neuropathic Pain Symptom Inventory (NPSI) and a numerical/visual pain-intensity scale to track severity and treatment response.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Neuropathic pain is classified by the site of the causative lesion, the underlying cause and the temporal / evoked character of the pain; a patient may fit more than one axis, and ‘mixed pain’ (neuropathic plus nociceptive) is common:</w:t>
      </w:r>
    </w:p>
    <w:p>
      <w:pPr>
        <w:spacing w:before="0" w:after="80"/>
      </w:pPr>
      <w:r>
        <w:rPr>
          <w:rFonts w:ascii="Calibri" w:hAnsi="Calibri"/>
          <w:b w:val="0"/>
          <w:i w:val="0"/>
          <w:color w:val="212121"/>
          <w:sz w:val="21"/>
        </w:rPr>
        <w:t>(1) By site — peripheral neuropathic pain (lesion in a peripheral nerve, plexus, root or dorsal-root ganglion) versus central neuropathic pain (lesion in the spinal cord or brain);</w:t>
      </w:r>
    </w:p>
    <w:p>
      <w:pPr>
        <w:spacing w:before="0" w:after="80"/>
      </w:pPr>
      <w:r>
        <w:rPr>
          <w:rFonts w:ascii="Calibri" w:hAnsi="Calibri"/>
          <w:b w:val="0"/>
          <w:i w:val="0"/>
          <w:color w:val="212121"/>
          <w:sz w:val="21"/>
        </w:rPr>
        <w:t>(2) Peripheral causes — painful diabetic polyneuropathy (the commonest in India), post-herpetic neuralgia, trigeminal neuralgia, radiculopathy / sciatica, chemotherapy-induced peripheral neuropathy, post-traumatic and post-surgical neuralgia, entrapment (e.g., carpal tunnel syndrome), HIV-associated, nutritional (vitamin B12 / thiamine) and phantom-limb pain;</w:t>
      </w:r>
    </w:p>
    <w:p>
      <w:pPr>
        <w:spacing w:before="0" w:after="80"/>
      </w:pPr>
      <w:r>
        <w:rPr>
          <w:rFonts w:ascii="Calibri" w:hAnsi="Calibri"/>
          <w:b w:val="0"/>
          <w:i w:val="0"/>
          <w:color w:val="212121"/>
          <w:sz w:val="21"/>
        </w:rPr>
        <w:t>(3) Central causes — central post-stroke pain, spinal-cord-injury pain, multiple-sclerosis-related pain and syringomyelia;</w:t>
      </w:r>
    </w:p>
    <w:p>
      <w:pPr>
        <w:spacing w:before="0" w:after="80"/>
      </w:pPr>
      <w:r>
        <w:rPr>
          <w:rFonts w:ascii="Calibri" w:hAnsi="Calibri"/>
          <w:b w:val="0"/>
          <w:i w:val="0"/>
          <w:color w:val="212121"/>
          <w:sz w:val="21"/>
        </w:rPr>
        <w:t>(4) By character — continuous / spontaneous pain (burning, aching), paroxysmal pain (lancinating, electric-shock-like, as in trigeminal neuralgia) and stimulus-evoked pain (allodynia, hyperalgesia); many chronic conditions (cancer pain, chronic low back pain) are ‘mixed’, combining neuropathic and nociceptive mechanisms.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Metabolic (diabetes / prediabetes): Chronic hyperglycaemia injures small and large sensory fibres via polyol flux, advanced glycation end-products, oxidative stress and microvascular ischaemia, producing painful diabetic polyneuropathy — the single commonest cause of neuropathic pain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Post-infective / infective: Reactivation of varicella-zoster virus (herpes zoster) damages sensory ganglia and causes post-herpetic neuralgia; HIV and leprosy also produce painful neuropathy.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Compressive / structural: Intervertebral disc prolapse with lumbar or cervical radiculopathy (sciatica), nerve entrapment (carpal tunnel syndrome) and neurovascular compression of the trigeminal nerve (trigeminal neuralgia).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Traumatic / iatrogenic: Direct nerve transection or crush, limb amputation (phantom-limb pain), post-surgical neuralgia (post-mastectomy, post-thoracotomy, post-herniorrhaphy) and neurotoxic chemotherapy (platinum compounds, taxanes, vinca alkaloids, bortezomib).</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Central nervous system lesions: Stroke (central post-stroke pain), spinal cord injury and multiple sclerosis damage central somatosensory pathways and de-inhibit pain signalling.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Nutritional / toxic: Vitamin B12 and thiamine deficiency and chronic alcohol use cause painful axonal neuropathy — important in India’s largely vegetarian population and among heavy drinkers.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Immune-mediated and hereditary: Guillain-Barré syndrome / CIDP, vasculitic neuropathy and inherited (e.g., Charcot-Marie-Tooth, hereditary sensory) neuropathies.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(35–64 years)</w:t>
            </w:r>
          </w:p>
        </w:tc>
        <w:tc>
          <w:tcPr>
            <w:tcW w:type="dxa" w:w="4276"/>
            <w:vAlign w:val="top"/>
          </w:tcPr>
          <w:p>
            <w:pPr>
              <w:spacing w:after="60" w:line="259" w:lineRule="auto"/>
            </w:pPr>
            <w:r>
              <w:rPr>
                <w:rFonts w:ascii="Calibri" w:hAnsi="Calibri"/>
                <w:b w:val="0"/>
                <w:i w:val="0"/>
                <w:color w:val="212121"/>
                <w:sz w:val="19"/>
              </w:rPr>
              <w:t>Neuropathic pain concentrates in the productive middle years because its leading driver — diabetes — and cumulative alcohol, occupational and traumatic nerve injury all accrue during working life, causing pain, absenteeism and disability.</w:t>
            </w:r>
          </w:p>
          <w:p>
            <w:pPr>
              <w:spacing w:after="40" w:before="60" w:line="259" w:lineRule="auto"/>
            </w:pPr>
            <w:r>
              <w:rPr>
                <w:rFonts w:ascii="Calibri" w:hAnsi="Calibri"/>
                <w:b w:val="0"/>
                <w:i w:val="0"/>
                <w:color w:val="212121"/>
                <w:sz w:val="19"/>
              </w:rPr>
              <w:t>In a large Indian real-world study of 4,418 patients with painful neuropathy across 295 centres, the mean age was 49.3 ± 11.3 years and disease was overwhelmingly peripheral (98.5%).</w:t>
            </w:r>
          </w:p>
          <w:p>
            <w:pPr>
              <w:spacing w:after="40" w:line="252" w:lineRule="auto"/>
            </w:pPr>
            <w:hyperlink r:id="rId9">
              <w:r>
                <w:rPr>
                  <w:rFonts w:ascii="Calibri" w:hAnsi="Calibri" w:cs="Calibri"/>
                  <w:sz w:val="18"/>
                  <w:color w:val="1155CC"/>
                  <w:u w:val="single"/>
                </w:rPr>
                <w:t xml:space="preserve">ijmpr.in — painful neuropathy in Indian patients (n=4,418)</w:t>
              </w:r>
            </w:hyperlink>
          </w:p>
          <w:p>
            <w:pPr>
              <w:spacing w:before="60" w:after="40"/>
            </w:pPr>
            <w:r>
              <w:rPr>
                <w:rFonts w:ascii="Calibri" w:hAnsi="Calibri"/>
                <w:b w:val="0"/>
                <w:i w:val="0"/>
                <w:color w:val="5A5A5A"/>
                <w:sz w:val="18"/>
              </w:rPr>
              <w:t>#neuropathicpain  #workingage  #painfuldiabeticneuropathy  #disability  #burningpain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Risk rises sharply in older age through long-standing diabetes, herpes zoster reactivation, trigeminal neuralgia and reduced nerve-repair capacity; post-herpetic neuralgia in particular is largely a disease of the elderly.</w:t>
            </w:r>
          </w:p>
          <w:p>
            <w:pPr>
              <w:spacing w:after="40" w:before="60" w:line="259" w:lineRule="auto"/>
            </w:pPr>
            <w:r>
              <w:rPr>
                <w:rFonts w:ascii="Calibri" w:hAnsi="Calibri"/>
                <w:b w:val="0"/>
                <w:i w:val="0"/>
                <w:color w:val="212121"/>
                <w:sz w:val="19"/>
              </w:rPr>
              <w:t>In Indian herpes zoster series, post-herpetic neuralgia developed in 10.2–54.7% of cases, and about half of herpes zoster patients aged ≥ 60 years developed post-herpetic neuralgia.</w:t>
            </w:r>
          </w:p>
          <w:p>
            <w:pPr>
              <w:spacing w:after="40" w:line="252" w:lineRule="auto"/>
            </w:pPr>
            <w:hyperlink r:id="rId10">
              <w:r>
                <w:rPr>
                  <w:rFonts w:ascii="Calibri" w:hAnsi="Calibri" w:cs="Calibri"/>
                  <w:sz w:val="18"/>
                  <w:color w:val="1155CC"/>
                  <w:u w:val="single"/>
                </w:rPr>
                <w:t xml:space="preserve">pmc.ncbi.nlm.nih.gov — herpes zoster &amp; PHN in India (review)</w:t>
              </w:r>
            </w:hyperlink>
          </w:p>
          <w:p>
            <w:pPr>
              <w:spacing w:before="60" w:after="40"/>
            </w:pPr>
            <w:r>
              <w:rPr>
                <w:rFonts w:ascii="Calibri" w:hAnsi="Calibri"/>
                <w:b w:val="0"/>
                <w:i w:val="0"/>
                <w:color w:val="5A5A5A"/>
                <w:sz w:val="18"/>
              </w:rPr>
              <w:t>#elderly  #PHN  #herpeszoster  #trigeminalneuralgia  #nervedamage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carry higher rates of diabetes-related and alcoholic painful neuropathy and of occupational and traumatic nerve injury, and tend to present later, so painful neuropathy is male-predominant overall in Indian practice.</w:t>
            </w:r>
          </w:p>
          <w:p>
            <w:pPr>
              <w:spacing w:after="40" w:before="60" w:line="259" w:lineRule="auto"/>
            </w:pPr>
            <w:r>
              <w:rPr>
                <w:rFonts w:ascii="Calibri" w:hAnsi="Calibri"/>
                <w:b w:val="0"/>
                <w:i w:val="0"/>
                <w:color w:val="212121"/>
                <w:sz w:val="19"/>
              </w:rPr>
              <w:t>In the Indian real-world painful-neuropathy study, 73.8% of the 4,418 patients were male, with diabetes the leading documented comorbidity (15.1%).</w:t>
            </w:r>
          </w:p>
          <w:p>
            <w:pPr>
              <w:spacing w:after="40" w:line="252" w:lineRule="auto"/>
            </w:pPr>
            <w:hyperlink r:id="rId9">
              <w:r>
                <w:rPr>
                  <w:rFonts w:ascii="Calibri" w:hAnsi="Calibri" w:cs="Calibri"/>
                  <w:sz w:val="18"/>
                  <w:color w:val="1155CC"/>
                  <w:u w:val="single"/>
                </w:rPr>
                <w:t xml:space="preserve">ijmpr.in — painful neuropathy in Indian patients (n=4,418)</w:t>
              </w:r>
            </w:hyperlink>
          </w:p>
          <w:p>
            <w:pPr>
              <w:spacing w:before="60" w:after="40"/>
            </w:pPr>
            <w:r>
              <w:rPr>
                <w:rFonts w:ascii="Calibri" w:hAnsi="Calibri"/>
                <w:b w:val="0"/>
                <w:i w:val="0"/>
                <w:color w:val="5A5A5A"/>
                <w:sz w:val="18"/>
              </w:rPr>
              <w:t>#male  #alcohol  #occupational  #diabetes  #latepresentation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(specific syndromes)</w:t>
            </w:r>
          </w:p>
        </w:tc>
        <w:tc>
          <w:tcPr>
            <w:tcW w:type="dxa" w:w="4276"/>
            <w:vAlign w:val="top"/>
          </w:tcPr>
          <w:p>
            <w:pPr>
              <w:spacing w:after="60" w:line="259" w:lineRule="auto"/>
            </w:pPr>
            <w:r>
              <w:rPr>
                <w:rFonts w:ascii="Calibri" w:hAnsi="Calibri"/>
                <w:b w:val="0"/>
                <w:i w:val="0"/>
                <w:color w:val="212121"/>
                <w:sz w:val="19"/>
              </w:rPr>
              <w:t>Certain neuropathic pain syndromes — notably trigeminal neuralgia — are markedly commoner in women, attributed partly to oestrogen effects on trigeminal-ganglion excitability and pain thresholds.</w:t>
            </w:r>
          </w:p>
          <w:p>
            <w:pPr>
              <w:spacing w:after="40" w:before="60" w:line="259" w:lineRule="auto"/>
            </w:pPr>
            <w:r>
              <w:rPr>
                <w:rFonts w:ascii="Calibri" w:hAnsi="Calibri"/>
                <w:b w:val="0"/>
                <w:i w:val="0"/>
                <w:color w:val="212121"/>
                <w:sz w:val="19"/>
              </w:rPr>
              <w:t>In a global meta-analysis, trigeminal neuralgia annual prevalence was higher in women than men (117.6 vs 54.2 per 100,000), with a pooled lifetime prevalence of about 108 per 100,000.</w:t>
            </w:r>
          </w:p>
          <w:p>
            <w:pPr>
              <w:spacing w:after="40" w:line="252" w:lineRule="auto"/>
            </w:pPr>
            <w:hyperlink r:id="rId11">
              <w:r>
                <w:rPr>
                  <w:rFonts w:ascii="Calibri" w:hAnsi="Calibri" w:cs="Calibri"/>
                  <w:sz w:val="18"/>
                  <w:color w:val="1155CC"/>
                  <w:u w:val="single"/>
                </w:rPr>
                <w:t xml:space="preserve">pmc.ncbi.nlm.nih.gov — global incidence &amp; prevalence of trigeminal neuralgia</w:t>
              </w:r>
            </w:hyperlink>
          </w:p>
          <w:p>
            <w:pPr>
              <w:spacing w:before="60" w:after="40"/>
            </w:pPr>
            <w:r>
              <w:rPr>
                <w:rFonts w:ascii="Calibri" w:hAnsi="Calibri"/>
                <w:b w:val="0"/>
                <w:i w:val="0"/>
                <w:color w:val="5A5A5A"/>
                <w:sz w:val="18"/>
              </w:rPr>
              <w:t>#female  #trigeminalneuralgia  #oestrogen  #facialpain  #paroxysmal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manual labourers, unemployed</w:t>
            </w:r>
          </w:p>
        </w:tc>
        <w:tc>
          <w:tcPr>
            <w:tcW w:type="dxa" w:w="4276"/>
            <w:vAlign w:val="top"/>
          </w:tcPr>
          <w:p>
            <w:pPr>
              <w:spacing w:after="60" w:line="259" w:lineRule="auto"/>
            </w:pPr>
            <w:r>
              <w:rPr>
                <w:rFonts w:ascii="Calibri" w:hAnsi="Calibri"/>
                <w:b w:val="0"/>
                <w:i w:val="0"/>
                <w:color w:val="212121"/>
                <w:sz w:val="19"/>
              </w:rPr>
              <w:t>Manual and elementary work drives back-related radicular pain, while poverty, delayed diagnosis, poor glycaemic control and limited access to specific neuropathic-pain medicines worsen both incidence and chronicity.</w:t>
            </w:r>
          </w:p>
          <w:p>
            <w:pPr>
              <w:spacing w:after="40" w:before="60" w:line="259" w:lineRule="auto"/>
            </w:pPr>
            <w:r>
              <w:rPr>
                <w:rFonts w:ascii="Calibri" w:hAnsi="Calibri"/>
                <w:b w:val="0"/>
                <w:i w:val="0"/>
                <w:color w:val="212121"/>
                <w:sz w:val="19"/>
              </w:rPr>
              <w:t>In an Indian systematic review, low back pain (of which about 37% carries a neuropathic component) had a point prevalence of 48% and was highest among rural populations and elementary/manual workers.</w:t>
            </w:r>
          </w:p>
          <w:p>
            <w:pPr>
              <w:spacing w:after="40" w:line="252" w:lineRule="auto"/>
            </w:pPr>
            <w:hyperlink r:id="rId12">
              <w:r>
                <w:rPr>
                  <w:rFonts w:ascii="Calibri" w:hAnsi="Calibri" w:cs="Calibri"/>
                  <w:sz w:val="18"/>
                  <w:color w:val="1155CC"/>
                  <w:u w:val="single"/>
                </w:rPr>
                <w:t xml:space="preserve">researchgate.net — prevalence of low back pain in India (Shetty et al.)</w:t>
              </w:r>
            </w:hyperlink>
          </w:p>
          <w:p>
            <w:pPr>
              <w:spacing w:before="60" w:after="40"/>
            </w:pPr>
            <w:r>
              <w:rPr>
                <w:rFonts w:ascii="Calibri" w:hAnsi="Calibri"/>
                <w:b w:val="0"/>
                <w:i w:val="0"/>
                <w:color w:val="5A5A5A"/>
                <w:sz w:val="18"/>
              </w:rPr>
              <w:t>#lowSES  #manuallabour  #radicularpain  #healthaccess  #chronicity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occupation</w:t>
            </w:r>
          </w:p>
        </w:tc>
        <w:tc>
          <w:tcPr>
            <w:tcW w:type="dxa" w:w="2160"/>
            <w:vAlign w:val="top"/>
          </w:tcPr>
          <w:p>
            <w:pPr>
              <w:spacing w:after="40" w:before="0" w:line="259" w:lineRule="auto"/>
            </w:pPr>
            <w:r>
              <w:rPr>
                <w:rFonts w:ascii="Calibri" w:hAnsi="Calibri"/>
                <w:b w:val="0"/>
                <w:i w:val="0"/>
                <w:color w:val="212121"/>
                <w:sz w:val="19"/>
              </w:rPr>
              <w:t>Rural India &amp; heavy-manual workers</w:t>
            </w:r>
          </w:p>
        </w:tc>
        <w:tc>
          <w:tcPr>
            <w:tcW w:type="dxa" w:w="4276"/>
            <w:vAlign w:val="top"/>
          </w:tcPr>
          <w:p>
            <w:pPr>
              <w:spacing w:after="60" w:line="259" w:lineRule="auto"/>
            </w:pPr>
            <w:r>
              <w:rPr>
                <w:rFonts w:ascii="Calibri" w:hAnsi="Calibri"/>
                <w:b w:val="0"/>
                <w:i w:val="0"/>
                <w:color w:val="212121"/>
                <w:sz w:val="19"/>
              </w:rPr>
              <w:t>Rural and agrarian populations combine heavy lifting and load-bearing (radicular / sciatic pain), higher undiagnosed diabetes and alcohol use, and barefoot walking with delayed care — raising both painful neuropathy and its complications.</w:t>
            </w:r>
          </w:p>
          <w:p>
            <w:pPr>
              <w:spacing w:after="40" w:before="60" w:line="259" w:lineRule="auto"/>
            </w:pPr>
            <w:r>
              <w:rPr>
                <w:rFonts w:ascii="Calibri" w:hAnsi="Calibri"/>
                <w:b w:val="0"/>
                <w:i w:val="0"/>
                <w:color w:val="212121"/>
                <w:sz w:val="19"/>
              </w:rPr>
              <w:t>India’s pooled low back pain prevalence (point 48%, annual 51%, lifetime 66%) was highest in rural communities and elementary workers, exceeding global estimates.</w:t>
            </w:r>
          </w:p>
          <w:p>
            <w:pPr>
              <w:spacing w:after="40" w:line="252" w:lineRule="auto"/>
            </w:pPr>
            <w:hyperlink r:id="rId12">
              <w:r>
                <w:rPr>
                  <w:rFonts w:ascii="Calibri" w:hAnsi="Calibri" w:cs="Calibri"/>
                  <w:sz w:val="18"/>
                  <w:color w:val="1155CC"/>
                  <w:u w:val="single"/>
                </w:rPr>
                <w:t xml:space="preserve">researchgate.net — prevalence of low back pain in India (Shetty et al.)</w:t>
              </w:r>
            </w:hyperlink>
          </w:p>
          <w:p>
            <w:pPr>
              <w:spacing w:before="60" w:after="40"/>
            </w:pPr>
            <w:r>
              <w:rPr>
                <w:rFonts w:ascii="Calibri" w:hAnsi="Calibri"/>
                <w:b w:val="0"/>
                <w:i w:val="0"/>
                <w:color w:val="5A5A5A"/>
                <w:sz w:val="18"/>
              </w:rPr>
              <w:t>#rural  #agrarian  #sciatica  #loadbearing  #delayedcare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diet-region</w:t>
            </w:r>
          </w:p>
        </w:tc>
        <w:tc>
          <w:tcPr>
            <w:tcW w:type="dxa" w:w="2160"/>
            <w:vAlign w:val="top"/>
          </w:tcPr>
          <w:p>
            <w:pPr>
              <w:spacing w:after="40" w:before="0" w:line="259" w:lineRule="auto"/>
            </w:pPr>
            <w:r>
              <w:rPr>
                <w:rFonts w:ascii="Calibri" w:hAnsi="Calibri"/>
                <w:b w:val="0"/>
                <w:i w:val="0"/>
                <w:color w:val="212121"/>
                <w:sz w:val="19"/>
              </w:rPr>
              <w:t>North &amp; West Indian vegetarian communities</w:t>
            </w:r>
          </w:p>
        </w:tc>
        <w:tc>
          <w:tcPr>
            <w:tcW w:type="dxa" w:w="4276"/>
            <w:vAlign w:val="top"/>
          </w:tcPr>
          <w:p>
            <w:pPr>
              <w:spacing w:after="60" w:line="259" w:lineRule="auto"/>
            </w:pPr>
            <w:r>
              <w:rPr>
                <w:rFonts w:ascii="Calibri" w:hAnsi="Calibri"/>
                <w:b w:val="0"/>
                <w:i w:val="0"/>
                <w:color w:val="212121"/>
                <w:sz w:val="19"/>
              </w:rPr>
              <w:t>Predominantly lacto-vegetarian diets supply little cobalamin, making vitamin B12 deficiency — a treatable cause of painful sensory neuropathy — endemic across large parts of North and West India; metformin and proton-pump inhibitors add to the risk.</w:t>
            </w:r>
          </w:p>
          <w:p>
            <w:pPr>
              <w:spacing w:after="40" w:before="60" w:line="259" w:lineRule="auto"/>
            </w:pPr>
            <w:r>
              <w:rPr>
                <w:rFonts w:ascii="Calibri" w:hAnsi="Calibri"/>
                <w:b w:val="0"/>
                <w:i w:val="0"/>
                <w:color w:val="212121"/>
                <w:sz w:val="19"/>
              </w:rPr>
              <w:t>Vitamin B12 deficiency is described as endemic in the Indian population and is a recognised, reversible cause of painful paraesthetic neuropathy.</w:t>
            </w:r>
          </w:p>
          <w:p>
            <w:pPr>
              <w:spacing w:before="60" w:after="40"/>
            </w:pPr>
            <w:r>
              <w:rPr>
                <w:rFonts w:ascii="Calibri" w:hAnsi="Calibri"/>
                <w:b w:val="0"/>
                <w:i w:val="0"/>
                <w:color w:val="5A5A5A"/>
                <w:sz w:val="18"/>
              </w:rPr>
              <w:t>#vegetarian  #B12deficiency  #cobalamin  #nutritional  #reversible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obese with poor glycaemic control</w:t>
            </w:r>
          </w:p>
        </w:tc>
        <w:tc>
          <w:tcPr>
            <w:tcW w:type="dxa" w:w="2160"/>
            <w:vAlign w:val="top"/>
          </w:tcPr>
          <w:p>
            <w:pPr>
              <w:spacing w:after="40" w:before="0" w:line="259" w:lineRule="auto"/>
            </w:pPr>
            <w:r>
              <w:rPr>
                <w:rFonts w:ascii="Calibri" w:hAnsi="Calibri"/>
                <w:b w:val="0"/>
                <w:i w:val="0"/>
                <w:color w:val="212121"/>
                <w:sz w:val="19"/>
              </w:rPr>
              <w:t>Inactive adults with uncontrolled diabetes</w:t>
            </w:r>
          </w:p>
        </w:tc>
        <w:tc>
          <w:tcPr>
            <w:tcW w:type="dxa" w:w="4276"/>
            <w:vAlign w:val="top"/>
          </w:tcPr>
          <w:p>
            <w:pPr>
              <w:spacing w:after="60" w:line="259" w:lineRule="auto"/>
            </w:pPr>
            <w:r>
              <w:rPr>
                <w:rFonts w:ascii="Calibri" w:hAnsi="Calibri"/>
                <w:b w:val="0"/>
                <w:i w:val="0"/>
                <w:color w:val="212121"/>
                <w:sz w:val="19"/>
              </w:rPr>
              <w:t>Physical inactivity and obesity worsen insulin resistance and glycaemic control, and chronic hyperglycaemia is the principal driver of painful diabetic neuropathy; tight control and activity slow progression and reduce pain.</w:t>
            </w:r>
          </w:p>
          <w:p>
            <w:pPr>
              <w:spacing w:after="40" w:before="60" w:line="259" w:lineRule="auto"/>
            </w:pPr>
            <w:r>
              <w:rPr>
                <w:rFonts w:ascii="Calibri" w:hAnsi="Calibri"/>
                <w:b w:val="0"/>
                <w:i w:val="0"/>
                <w:color w:val="212121"/>
                <w:sz w:val="19"/>
              </w:rPr>
              <w:t>About 26% of people with diabetes develop peripheral neuropathic pain, making painful diabetic neuropathy the largest single contributor to neuropathic pain.</w:t>
            </w:r>
          </w:p>
          <w:p>
            <w:pPr>
              <w:spacing w:after="40" w:line="252" w:lineRule="auto"/>
            </w:pPr>
            <w:hyperlink r:id="rId13">
              <w:r>
                <w:rPr>
                  <w:rFonts w:ascii="Calibri" w:hAnsi="Calibri" w:cs="Calibri"/>
                  <w:sz w:val="18"/>
                  <w:color w:val="1155CC"/>
                  <w:u w:val="single"/>
                </w:rPr>
                <w:t xml:space="preserve">iasp-pain.org — epidemiology of neuropathic pain</w:t>
              </w:r>
            </w:hyperlink>
          </w:p>
          <w:p>
            <w:pPr>
              <w:spacing w:before="60" w:after="40"/>
            </w:pPr>
            <w:r>
              <w:rPr>
                <w:rFonts w:ascii="Calibri" w:hAnsi="Calibri"/>
                <w:b w:val="0"/>
                <w:i w:val="0"/>
                <w:color w:val="5A5A5A"/>
                <w:sz w:val="18"/>
              </w:rPr>
              <w:t>#sedentary  #obesity  #glycaemiccontrol  #hyperglycaemia  #PDN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tobacco users</w:t>
            </w:r>
          </w:p>
        </w:tc>
        <w:tc>
          <w:tcPr>
            <w:tcW w:type="dxa" w:w="4276"/>
            <w:vAlign w:val="top"/>
          </w:tcPr>
          <w:p>
            <w:pPr>
              <w:spacing w:after="60" w:line="259" w:lineRule="auto"/>
            </w:pPr>
            <w:r>
              <w:rPr>
                <w:rFonts w:ascii="Calibri" w:hAnsi="Calibri"/>
                <w:b w:val="0"/>
                <w:i w:val="0"/>
                <w:color w:val="212121"/>
                <w:sz w:val="19"/>
              </w:rPr>
              <w:t>Smoking impairs microvascular perfusion of the vasa nervorum and potentiates hyperglycaemic nerve injury, accelerating diabetic and other painful neuropathies and worsening wound healing.</w:t>
            </w:r>
          </w:p>
          <w:p>
            <w:pPr>
              <w:spacing w:after="40" w:before="60" w:line="259" w:lineRule="auto"/>
            </w:pPr>
            <w:r>
              <w:rPr>
                <w:rFonts w:ascii="Calibri" w:hAnsi="Calibri"/>
                <w:b w:val="0"/>
                <w:i w:val="0"/>
                <w:color w:val="212121"/>
                <w:sz w:val="19"/>
              </w:rPr>
              <w:t>Tobacco use is a recognised, modifiable accelerator of diabetic peripheral nerve damage and its painful sequelae.</w:t>
            </w:r>
          </w:p>
          <w:p>
            <w:pPr>
              <w:spacing w:before="60" w:after="40"/>
            </w:pPr>
            <w:r>
              <w:rPr>
                <w:rFonts w:ascii="Calibri" w:hAnsi="Calibri"/>
                <w:b w:val="0"/>
                <w:i w:val="0"/>
                <w:color w:val="5A5A5A"/>
                <w:sz w:val="18"/>
              </w:rPr>
              <w:t>#smoking  #tobacco  #microvascular  #vasanervorum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 heavy alcohol users</w:t>
            </w:r>
          </w:p>
        </w:tc>
        <w:tc>
          <w:tcPr>
            <w:tcW w:type="dxa" w:w="4276"/>
            <w:vAlign w:val="top"/>
          </w:tcPr>
          <w:p>
            <w:pPr>
              <w:spacing w:after="60" w:line="259" w:lineRule="auto"/>
            </w:pPr>
            <w:r>
              <w:rPr>
                <w:rFonts w:ascii="Calibri" w:hAnsi="Calibri"/>
                <w:b w:val="0"/>
                <w:i w:val="0"/>
                <w:color w:val="212121"/>
                <w:sz w:val="19"/>
              </w:rPr>
              <w:t>Ethanol and acetaldehyde are directly axonotoxic and deplete thiamine and other B vitamins, producing a painful, burning, length-dependent alcoholic neuropathy whose risk rises with total lifetime intake.</w:t>
            </w:r>
          </w:p>
          <w:p>
            <w:pPr>
              <w:spacing w:after="40" w:before="60" w:line="259" w:lineRule="auto"/>
            </w:pPr>
            <w:r>
              <w:rPr>
                <w:rFonts w:ascii="Calibri" w:hAnsi="Calibri"/>
                <w:b w:val="0"/>
                <w:i w:val="0"/>
                <w:color w:val="212121"/>
                <w:sz w:val="19"/>
              </w:rPr>
              <w:t>Chronic heavy alcohol use is an established, dose-dependent cause of painful sensory neuropathy, frequently compounded by nutritional deficiency.</w:t>
            </w:r>
          </w:p>
          <w:p>
            <w:pPr>
              <w:spacing w:before="60" w:after="40"/>
            </w:pPr>
            <w:r>
              <w:rPr>
                <w:rFonts w:ascii="Calibri" w:hAnsi="Calibri"/>
                <w:b w:val="0"/>
                <w:i w:val="0"/>
                <w:color w:val="5A5A5A"/>
                <w:sz w:val="18"/>
              </w:rPr>
              <w:t>#alcohol  #axonotoxic  #thiamine  #burningfeet  #dosedependent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High-glycaemic / refined-carbohydrate diet</w:t>
            </w:r>
          </w:p>
        </w:tc>
        <w:tc>
          <w:tcPr>
            <w:tcW w:type="dxa" w:w="2160"/>
            <w:vAlign w:val="top"/>
          </w:tcPr>
          <w:p>
            <w:pPr>
              <w:spacing w:after="40" w:before="0" w:line="259" w:lineRule="auto"/>
            </w:pPr>
            <w:r>
              <w:rPr>
                <w:rFonts w:ascii="Calibri" w:hAnsi="Calibri"/>
                <w:b w:val="0"/>
                <w:i w:val="0"/>
                <w:color w:val="212121"/>
                <w:sz w:val="19"/>
              </w:rPr>
              <w:t>High white-rice, refined-grain and high-sugar intake</w:t>
            </w:r>
          </w:p>
        </w:tc>
        <w:tc>
          <w:tcPr>
            <w:tcW w:type="dxa" w:w="4276"/>
            <w:vAlign w:val="top"/>
          </w:tcPr>
          <w:p>
            <w:pPr>
              <w:spacing w:after="60" w:line="259" w:lineRule="auto"/>
            </w:pPr>
            <w:r>
              <w:rPr>
                <w:rFonts w:ascii="Calibri" w:hAnsi="Calibri"/>
                <w:b w:val="0"/>
                <w:i w:val="0"/>
                <w:color w:val="212121"/>
                <w:sz w:val="19"/>
              </w:rPr>
              <w:t>Diets dominated by white rice, refined flour and sugar cause large postprandial glucose excursions and poor long-term control, accelerating diabetic nerve injury and the onset of painful neuropathy.</w:t>
            </w:r>
          </w:p>
          <w:p>
            <w:pPr>
              <w:spacing w:after="40" w:before="60" w:line="259" w:lineRule="auto"/>
            </w:pPr>
            <w:r>
              <w:rPr>
                <w:rFonts w:ascii="Calibri" w:hAnsi="Calibri"/>
                <w:b w:val="0"/>
                <w:i w:val="0"/>
                <w:color w:val="212121"/>
                <w:sz w:val="19"/>
              </w:rPr>
              <w:t>Poor glycaemic control is consistently linked to higher rates and severity of painful diabetic neuropathy.</w:t>
            </w:r>
          </w:p>
          <w:p>
            <w:pPr>
              <w:spacing w:before="60" w:after="40"/>
            </w:pPr>
            <w:r>
              <w:rPr>
                <w:rFonts w:ascii="Calibri" w:hAnsi="Calibri"/>
                <w:b w:val="0"/>
                <w:i w:val="0"/>
                <w:color w:val="5A5A5A"/>
                <w:sz w:val="18"/>
              </w:rPr>
              <w:t>#refinedcarbs  #whiterice  #postprandial  #glycaemicload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Strict vegetarians / vegans, low-B12 diets</w:t>
            </w:r>
          </w:p>
        </w:tc>
        <w:tc>
          <w:tcPr>
            <w:tcW w:type="dxa" w:w="4276"/>
            <w:vAlign w:val="top"/>
          </w:tcPr>
          <w:p>
            <w:pPr>
              <w:spacing w:after="60" w:line="259" w:lineRule="auto"/>
            </w:pPr>
            <w:r>
              <w:rPr>
                <w:rFonts w:ascii="Calibri" w:hAnsi="Calibri"/>
                <w:b w:val="0"/>
                <w:i w:val="0"/>
                <w:color w:val="212121"/>
                <w:sz w:val="19"/>
              </w:rPr>
              <w:t>Cobalamin is almost exclusively found in animal foods; long-term vegetarian or vegan diets without fortification or supplementation deplete B12 stores and produce a painful, paraesthetic sensory neuropathy.</w:t>
            </w:r>
          </w:p>
          <w:p>
            <w:pPr>
              <w:spacing w:after="40" w:before="60" w:line="259" w:lineRule="auto"/>
            </w:pPr>
            <w:r>
              <w:rPr>
                <w:rFonts w:ascii="Calibri" w:hAnsi="Calibri"/>
                <w:b w:val="0"/>
                <w:i w:val="0"/>
                <w:color w:val="212121"/>
                <w:sz w:val="19"/>
              </w:rPr>
              <w:t>Long-standing vitamin B12 deficiency is a common, treatable cause of painful tingling and burning neuropathy in vegetarian India.</w:t>
            </w:r>
          </w:p>
          <w:p>
            <w:pPr>
              <w:spacing w:before="60" w:after="40"/>
            </w:pPr>
            <w:r>
              <w:rPr>
                <w:rFonts w:ascii="Calibri" w:hAnsi="Calibri"/>
                <w:b w:val="0"/>
                <w:i w:val="0"/>
                <w:color w:val="5A5A5A"/>
                <w:sz w:val="18"/>
              </w:rPr>
              <w:t>#vegetarian  #vegan  #cobalamin  #supplementation  #paraesthesia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diabetes</w:t>
            </w:r>
          </w:p>
        </w:tc>
        <w:tc>
          <w:tcPr>
            <w:tcW w:type="dxa" w:w="4276"/>
            <w:vAlign w:val="top"/>
          </w:tcPr>
          <w:p>
            <w:pPr>
              <w:spacing w:after="60" w:line="259" w:lineRule="auto"/>
            </w:pPr>
            <w:r>
              <w:rPr>
                <w:rFonts w:ascii="Calibri" w:hAnsi="Calibri"/>
                <w:b w:val="0"/>
                <w:i w:val="0"/>
                <w:color w:val="212121"/>
                <w:sz w:val="19"/>
              </w:rPr>
              <w:t>A family history of type 2 diabetes strongly raises the risk of developing diabetes and, in turn, painful diabetic neuropathy — the commonest cause of neuropathic pain in India.</w:t>
            </w:r>
          </w:p>
          <w:p>
            <w:pPr>
              <w:spacing w:after="40" w:before="60" w:line="259" w:lineRule="auto"/>
            </w:pPr>
            <w:r>
              <w:rPr>
                <w:rFonts w:ascii="Calibri" w:hAnsi="Calibri"/>
                <w:b w:val="0"/>
                <w:i w:val="0"/>
                <w:color w:val="212121"/>
                <w:sz w:val="19"/>
              </w:rPr>
              <w:t>With about 101 million diabetics in India and roughly 26% developing painful neuropathy, inherited diabetes risk translates into a very large neuropathic-pain burden.</w:t>
            </w:r>
          </w:p>
          <w:p>
            <w:pPr>
              <w:spacing w:after="40" w:line="252" w:lineRule="auto"/>
            </w:pPr>
            <w:hyperlink r:id="rId13">
              <w:r>
                <w:rPr>
                  <w:rFonts w:ascii="Calibri" w:hAnsi="Calibri" w:cs="Calibri"/>
                  <w:sz w:val="18"/>
                  <w:color w:val="1155CC"/>
                  <w:u w:val="single"/>
                </w:rPr>
                <w:t xml:space="preserve">iasp-pain.org — epidemiology of neuropathic pain</w:t>
              </w:r>
            </w:hyperlink>
          </w:p>
          <w:p>
            <w:pPr>
              <w:spacing w:before="60" w:after="40"/>
            </w:pPr>
            <w:r>
              <w:rPr>
                <w:rFonts w:ascii="Calibri" w:hAnsi="Calibri"/>
                <w:b w:val="0"/>
                <w:i w:val="0"/>
                <w:color w:val="5A5A5A"/>
                <w:sz w:val="18"/>
              </w:rPr>
              <w:t>#familyhistory  #T2DM  #inheritedrisk  #PDN  #lifetimerisk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Hereditary / sex predisposition</w:t>
            </w:r>
          </w:p>
        </w:tc>
        <w:tc>
          <w:tcPr>
            <w:tcW w:type="dxa" w:w="2160"/>
            <w:vAlign w:val="top"/>
          </w:tcPr>
          <w:p>
            <w:pPr>
              <w:spacing w:after="40" w:before="0" w:line="259" w:lineRule="auto"/>
            </w:pPr>
            <w:r>
              <w:rPr>
                <w:rFonts w:ascii="Calibri" w:hAnsi="Calibri"/>
                <w:b w:val="0"/>
                <w:i w:val="0"/>
                <w:color w:val="212121"/>
                <w:sz w:val="19"/>
              </w:rPr>
              <w:t>Hereditary neuropathy &amp; trigeminal-neuralgia-prone women</w:t>
            </w:r>
          </w:p>
        </w:tc>
        <w:tc>
          <w:tcPr>
            <w:tcW w:type="dxa" w:w="4276"/>
            <w:vAlign w:val="top"/>
          </w:tcPr>
          <w:p>
            <w:pPr>
              <w:spacing w:after="60" w:line="259" w:lineRule="auto"/>
            </w:pPr>
            <w:r>
              <w:rPr>
                <w:rFonts w:ascii="Calibri" w:hAnsi="Calibri"/>
                <w:b w:val="0"/>
                <w:i w:val="0"/>
                <w:color w:val="212121"/>
                <w:sz w:val="19"/>
              </w:rPr>
              <w:t>Inherited neuropathies (e.g., Charcot-Marie-Tooth, hereditary sensory and autonomic neuropathies) predispose to chronic painful neuropathy, while women are constitutionally more prone to trigeminal neuralgia.</w:t>
            </w:r>
          </w:p>
          <w:p>
            <w:pPr>
              <w:spacing w:after="40" w:before="60" w:line="259" w:lineRule="auto"/>
            </w:pPr>
            <w:r>
              <w:rPr>
                <w:rFonts w:ascii="Calibri" w:hAnsi="Calibri"/>
                <w:b w:val="0"/>
                <w:i w:val="0"/>
                <w:color w:val="212121"/>
                <w:sz w:val="19"/>
              </w:rPr>
              <w:t>Trigeminal neuralgia shows a consistent female predominance (annual prevalence 117.6 vs 54.2 per 100,000 in women vs men).</w:t>
            </w:r>
          </w:p>
          <w:p>
            <w:pPr>
              <w:spacing w:after="40" w:line="252" w:lineRule="auto"/>
            </w:pPr>
            <w:hyperlink r:id="rId11">
              <w:r>
                <w:rPr>
                  <w:rFonts w:ascii="Calibri" w:hAnsi="Calibri" w:cs="Calibri"/>
                  <w:sz w:val="18"/>
                  <w:color w:val="1155CC"/>
                  <w:u w:val="single"/>
                </w:rPr>
                <w:t xml:space="preserve">pmc.ncbi.nlm.nih.gov — global incidence &amp; prevalence of trigeminal neuralgia</w:t>
              </w:r>
            </w:hyperlink>
          </w:p>
          <w:p>
            <w:pPr>
              <w:spacing w:before="60" w:after="40"/>
            </w:pPr>
            <w:r>
              <w:rPr>
                <w:rFonts w:ascii="Calibri" w:hAnsi="Calibri"/>
                <w:b w:val="0"/>
                <w:i w:val="0"/>
                <w:color w:val="5A5A5A"/>
                <w:sz w:val="18"/>
              </w:rPr>
              <w:t>#hereditary  #CMT  #trigeminalneuralgia  #femalepredominance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 / prediabetes</w:t>
            </w:r>
          </w:p>
        </w:tc>
        <w:tc>
          <w:tcPr>
            <w:tcW w:type="dxa" w:w="2160"/>
            <w:vAlign w:val="top"/>
          </w:tcPr>
          <w:p>
            <w:pPr>
              <w:spacing w:after="40" w:before="0" w:line="259" w:lineRule="auto"/>
            </w:pPr>
            <w:r>
              <w:rPr>
                <w:rFonts w:ascii="Calibri" w:hAnsi="Calibri"/>
                <w:b w:val="0"/>
                <w:i w:val="0"/>
                <w:color w:val="212121"/>
                <w:sz w:val="19"/>
              </w:rPr>
              <w:t>People with type 2 diabetes</w:t>
            </w:r>
          </w:p>
        </w:tc>
        <w:tc>
          <w:tcPr>
            <w:tcW w:type="dxa" w:w="4276"/>
            <w:vAlign w:val="top"/>
          </w:tcPr>
          <w:p>
            <w:pPr>
              <w:spacing w:after="60" w:line="259" w:lineRule="auto"/>
            </w:pPr>
            <w:r>
              <w:rPr>
                <w:rFonts w:ascii="Calibri" w:hAnsi="Calibri"/>
                <w:b w:val="0"/>
                <w:i w:val="0"/>
                <w:color w:val="212121"/>
                <w:sz w:val="19"/>
              </w:rPr>
              <w:t>Chronic hyperglycaemia is the leading cause of neuropathic pain; even prediabetes and impaired glucose tolerance carry measurable risk of painful small-fibre neuropathy.</w:t>
            </w:r>
          </w:p>
          <w:p>
            <w:pPr>
              <w:spacing w:after="40" w:before="60" w:line="259" w:lineRule="auto"/>
            </w:pPr>
            <w:r>
              <w:rPr>
                <w:rFonts w:ascii="Calibri" w:hAnsi="Calibri"/>
                <w:b w:val="0"/>
                <w:i w:val="0"/>
                <w:color w:val="212121"/>
                <w:sz w:val="19"/>
              </w:rPr>
              <w:t>About 26% of people with diabetes develop peripheral neuropathic pain — the largest single cause of neuropathic pain worldwide and in India.</w:t>
            </w:r>
          </w:p>
          <w:p>
            <w:pPr>
              <w:spacing w:after="40" w:line="252" w:lineRule="auto"/>
            </w:pPr>
            <w:hyperlink r:id="rId13">
              <w:r>
                <w:rPr>
                  <w:rFonts w:ascii="Calibri" w:hAnsi="Calibri" w:cs="Calibri"/>
                  <w:sz w:val="18"/>
                  <w:color w:val="1155CC"/>
                  <w:u w:val="single"/>
                </w:rPr>
                <w:t xml:space="preserve">iasp-pain.org — epidemiology of neuropathic pain</w:t>
              </w:r>
            </w:hyperlink>
          </w:p>
          <w:p>
            <w:pPr>
              <w:spacing w:before="60" w:after="40"/>
            </w:pPr>
            <w:r>
              <w:rPr>
                <w:rFonts w:ascii="Calibri" w:hAnsi="Calibri"/>
                <w:b w:val="0"/>
                <w:i w:val="0"/>
                <w:color w:val="5A5A5A"/>
                <w:sz w:val="18"/>
              </w:rPr>
              <w:t>#diabetes  #prediabetes  #PDN  #smallfibre  #hyperglycaemia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Herpes zoster (shingles)</w:t>
            </w:r>
          </w:p>
        </w:tc>
        <w:tc>
          <w:tcPr>
            <w:tcW w:type="dxa" w:w="2160"/>
            <w:vAlign w:val="top"/>
          </w:tcPr>
          <w:p>
            <w:pPr>
              <w:spacing w:after="40" w:before="0" w:line="259" w:lineRule="auto"/>
            </w:pPr>
            <w:r>
              <w:rPr>
                <w:rFonts w:ascii="Calibri" w:hAnsi="Calibri"/>
                <w:b w:val="0"/>
                <w:i w:val="0"/>
                <w:color w:val="212121"/>
                <w:sz w:val="19"/>
              </w:rPr>
              <w:t>Patients after an episode of herpes zoster</w:t>
            </w:r>
          </w:p>
        </w:tc>
        <w:tc>
          <w:tcPr>
            <w:tcW w:type="dxa" w:w="4276"/>
            <w:vAlign w:val="top"/>
          </w:tcPr>
          <w:p>
            <w:pPr>
              <w:spacing w:after="60" w:line="259" w:lineRule="auto"/>
            </w:pPr>
            <w:r>
              <w:rPr>
                <w:rFonts w:ascii="Calibri" w:hAnsi="Calibri"/>
                <w:b w:val="0"/>
                <w:i w:val="0"/>
                <w:color w:val="212121"/>
                <w:sz w:val="19"/>
              </w:rPr>
              <w:t>Reactivation of varicella-zoster virus damages sensory ganglia; the resulting post-herpetic neuralgia is one of the most refractory neuropathic pains, especially in the elderly and immunosuppressed.</w:t>
            </w:r>
          </w:p>
          <w:p>
            <w:pPr>
              <w:spacing w:after="40" w:before="60" w:line="259" w:lineRule="auto"/>
            </w:pPr>
            <w:r>
              <w:rPr>
                <w:rFonts w:ascii="Calibri" w:hAnsi="Calibri"/>
                <w:b w:val="0"/>
                <w:i w:val="0"/>
                <w:color w:val="212121"/>
                <w:sz w:val="19"/>
              </w:rPr>
              <w:t>Post-herpetic neuralgia complicated 10.2–54.7% of herpes zoster cases in Indian series, with roughly half of those aged ≥ 60 affected.</w:t>
            </w:r>
          </w:p>
          <w:p>
            <w:pPr>
              <w:spacing w:after="40" w:line="252" w:lineRule="auto"/>
            </w:pPr>
            <w:hyperlink r:id="rId10">
              <w:r>
                <w:rPr>
                  <w:rFonts w:ascii="Calibri" w:hAnsi="Calibri" w:cs="Calibri"/>
                  <w:sz w:val="18"/>
                  <w:color w:val="1155CC"/>
                  <w:u w:val="single"/>
                </w:rPr>
                <w:t xml:space="preserve">pmc.ncbi.nlm.nih.gov — herpes zoster &amp; PHN in India (review)</w:t>
              </w:r>
            </w:hyperlink>
          </w:p>
          <w:p>
            <w:pPr>
              <w:spacing w:before="60" w:after="40"/>
            </w:pPr>
            <w:r>
              <w:rPr>
                <w:rFonts w:ascii="Calibri" w:hAnsi="Calibri"/>
                <w:b w:val="0"/>
                <w:i w:val="0"/>
                <w:color w:val="5A5A5A"/>
                <w:sz w:val="18"/>
              </w:rPr>
              <w:t>#PHN  #herpeszoster  #shingles  #elderly  #refractorypain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Cancer / chemotherapy</w:t>
            </w:r>
          </w:p>
        </w:tc>
        <w:tc>
          <w:tcPr>
            <w:tcW w:type="dxa" w:w="2160"/>
            <w:vAlign w:val="top"/>
          </w:tcPr>
          <w:p>
            <w:pPr>
              <w:spacing w:after="40" w:before="0" w:line="259" w:lineRule="auto"/>
            </w:pPr>
            <w:r>
              <w:rPr>
                <w:rFonts w:ascii="Calibri" w:hAnsi="Calibri"/>
                <w:b w:val="0"/>
                <w:i w:val="0"/>
                <w:color w:val="212121"/>
                <w:sz w:val="19"/>
              </w:rPr>
              <w:t>Patients on neurotoxic chemotherapy</w:t>
            </w:r>
          </w:p>
        </w:tc>
        <w:tc>
          <w:tcPr>
            <w:tcW w:type="dxa" w:w="4276"/>
            <w:vAlign w:val="top"/>
          </w:tcPr>
          <w:p>
            <w:pPr>
              <w:spacing w:after="60" w:line="259" w:lineRule="auto"/>
            </w:pPr>
            <w:r>
              <w:rPr>
                <w:rFonts w:ascii="Calibri" w:hAnsi="Calibri"/>
                <w:b w:val="0"/>
                <w:i w:val="0"/>
                <w:color w:val="212121"/>
                <w:sz w:val="19"/>
              </w:rPr>
              <w:t>Platinum compounds, taxanes and vinca alkaloids damage peripheral sensory axons, causing chemotherapy-induced peripheral neuropathy that is often painful and may persist for years after treatment, limiting further therapy.</w:t>
            </w:r>
          </w:p>
          <w:p>
            <w:pPr>
              <w:spacing w:after="40" w:before="60" w:line="259" w:lineRule="auto"/>
            </w:pPr>
            <w:r>
              <w:rPr>
                <w:rFonts w:ascii="Calibri" w:hAnsi="Calibri"/>
                <w:b w:val="0"/>
                <w:i w:val="0"/>
                <w:color w:val="212121"/>
                <w:sz w:val="19"/>
              </w:rPr>
              <w:t>After platinum-based chemotherapy, peripheral neuropathy prevalence was 58% at 6 months, 45% at 12 months and 32% at 24 months; taxane neuropathy persisted in 46.7% at 24 months.</w:t>
            </w:r>
          </w:p>
          <w:p>
            <w:pPr>
              <w:spacing w:after="40" w:line="252" w:lineRule="auto"/>
            </w:pPr>
            <w:hyperlink r:id="rId14">
              <w:r>
                <w:rPr>
                  <w:rFonts w:ascii="Calibri" w:hAnsi="Calibri" w:cs="Calibri"/>
                  <w:sz w:val="18"/>
                  <w:color w:val="1155CC"/>
                  <w:u w:val="single"/>
                </w:rPr>
                <w:t xml:space="preserve">pmc.ncbi.nlm.nih.gov — CIPN outcomes (systematic review &amp; meta-analysis)</w:t>
              </w:r>
            </w:hyperlink>
          </w:p>
          <w:p>
            <w:pPr>
              <w:spacing w:before="60" w:after="40"/>
            </w:pPr>
            <w:r>
              <w:rPr>
                <w:rFonts w:ascii="Calibri" w:hAnsi="Calibri"/>
                <w:b w:val="0"/>
                <w:i w:val="0"/>
                <w:color w:val="5A5A5A"/>
                <w:sz w:val="18"/>
              </w:rPr>
              <w:t>#CIPN  #chemotherapy  #platinum  #taxane  #cancerpain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Stroke / spinal cord injury</w:t>
            </w:r>
          </w:p>
        </w:tc>
        <w:tc>
          <w:tcPr>
            <w:tcW w:type="dxa" w:w="2160"/>
            <w:vAlign w:val="top"/>
          </w:tcPr>
          <w:p>
            <w:pPr>
              <w:spacing w:after="40" w:before="0" w:line="259" w:lineRule="auto"/>
            </w:pPr>
            <w:r>
              <w:rPr>
                <w:rFonts w:ascii="Calibri" w:hAnsi="Calibri"/>
                <w:b w:val="0"/>
                <w:i w:val="0"/>
                <w:color w:val="212121"/>
                <w:sz w:val="19"/>
              </w:rPr>
              <w:t>Central nervous system lesions</w:t>
            </w:r>
          </w:p>
        </w:tc>
        <w:tc>
          <w:tcPr>
            <w:tcW w:type="dxa" w:w="4276"/>
            <w:vAlign w:val="top"/>
          </w:tcPr>
          <w:p>
            <w:pPr>
              <w:spacing w:after="60" w:line="259" w:lineRule="auto"/>
            </w:pPr>
            <w:r>
              <w:rPr>
                <w:rFonts w:ascii="Calibri" w:hAnsi="Calibri"/>
                <w:b w:val="0"/>
                <w:i w:val="0"/>
                <w:color w:val="212121"/>
                <w:sz w:val="19"/>
              </w:rPr>
              <w:t>Damage to central somatosensory pathways from stroke, spinal cord injury or multiple sclerosis de-inhibits pain signalling, producing central neuropathic pain (e.g., central post-stroke pain) that is often severe and treatment-resistant.</w:t>
            </w:r>
          </w:p>
          <w:p>
            <w:pPr>
              <w:spacing w:after="40" w:before="60" w:line="259" w:lineRule="auto"/>
            </w:pPr>
            <w:r>
              <w:rPr>
                <w:rFonts w:ascii="Calibri" w:hAnsi="Calibri"/>
                <w:b w:val="0"/>
                <w:i w:val="0"/>
                <w:color w:val="212121"/>
                <w:sz w:val="19"/>
              </w:rPr>
              <w:t>Central post-stroke pain and spinal-cord-injury pain are well-recognised central causes of neuropathic pain, though they form a small minority of cases in Indian outpatient series.</w:t>
            </w:r>
          </w:p>
          <w:p>
            <w:pPr>
              <w:spacing w:before="60" w:after="40"/>
            </w:pPr>
            <w:r>
              <w:rPr>
                <w:rFonts w:ascii="Calibri" w:hAnsi="Calibri"/>
                <w:b w:val="0"/>
                <w:i w:val="0"/>
                <w:color w:val="5A5A5A"/>
                <w:sz w:val="18"/>
              </w:rPr>
              <w:t>#centralpain  #poststrokepain  #spinalcordinjury  #MS  #CNSlesion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and obesity worsen insulin resistance and glycaemic control — the main drivers of painful diabetic neuropathy — while regular aerobic and resistance exercise improves nerve function, reduces neuropathic pain and supports weight and mood.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central: glycaemic load and control drive diabetic neuropathic pain, dietary vitamin B12 (animal foods / fortification) determines cobalamin status, and thiamine / B-vitamin intake modifies alcoholic neuropathy.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Neuropathic pain is characteristically worse at night and fragments sleep; poor sleep in turn amplifies central pain processing and lowers pain thresholds, creating a strong bidirectional loop.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vasa-nervorum perfusion and potentiates hyperglycaemic nerve damage, accelerating diabetic and other painful neuropathies.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 direct axonal toxin and, with thiamine depletion, a leading cause of painful, burning length-dependent neuropathy; risk is dose-dependent on total lifetime intake.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and anxiety are extremely common in neuropathic pain and reciprocally worsen it: in one cohort 65.6% of neuropathic-pain patients had depression and 73.8% had anxiety, with marked quality-of-life impairment.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little direct effect on nerve injury, though adequate fluid intake helps limit orthostatic symptoms where there is coexisting autonomic neuropathy.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direct effect on neuropathic pain; excessive evening caffeine can aggravate the insomnia and anxiety that accompany chronic pain.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 diabetic and other insensate neuropathy, meticulous daily foot hygiene and inspection prevent unnoticed injury, ulceration and infection that can trigger further pain and disability.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Light touch, clothing, cold or wind can provoke allodynic pain; chewing, talking, shaving or a breeze trigger trigeminal-neuralgia paroxysms; and rapid glycaemic swings or neurotoxic drugs (chemotherapy, isoniazid without pyridoxine) provoke or worsen neuropathic pain.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Posture and spinal loading strongly modulate radicular / sciatic neuropathic pain, and sustained compressive positions can aggravate entrapment neuropathies; ergonomic correction reduces symptom flares.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Glycated haemoglobin (HbA1c)</w:t>
            </w:r>
          </w:p>
        </w:tc>
        <w:tc>
          <w:tcPr>
            <w:tcW w:type="dxa" w:w="1655"/>
            <w:vAlign w:val="top"/>
          </w:tcPr>
          <w:p>
            <w:pPr>
              <w:spacing w:after="40" w:before="0" w:line="259" w:lineRule="auto"/>
            </w:pPr>
            <w:r>
              <w:rPr>
                <w:rFonts w:ascii="Calibri" w:hAnsi="Calibri"/>
                <w:b w:val="0"/>
                <w:i w:val="0"/>
                <w:color w:val="212121"/>
                <w:sz w:val="19"/>
              </w:rPr>
              <w:t>People with diabetes</w:t>
            </w:r>
          </w:p>
        </w:tc>
        <w:tc>
          <w:tcPr>
            <w:tcW w:type="dxa" w:w="1512"/>
            <w:vAlign w:val="top"/>
          </w:tcPr>
          <w:p>
            <w:pPr>
              <w:spacing w:after="40" w:before="0" w:line="259" w:lineRule="auto"/>
            </w:pPr>
            <w:r>
              <w:rPr>
                <w:rFonts w:ascii="Calibri" w:hAnsi="Calibri"/>
                <w:b w:val="0"/>
                <w:i w:val="0"/>
                <w:color w:val="212121"/>
                <w:sz w:val="19"/>
              </w:rPr>
              <w:t>&lt; 7.0 % (individualised)</w:t>
            </w:r>
          </w:p>
        </w:tc>
        <w:tc>
          <w:tcPr>
            <w:tcW w:type="dxa" w:w="1512"/>
            <w:vAlign w:val="top"/>
          </w:tcPr>
          <w:p>
            <w:pPr>
              <w:spacing w:after="40" w:before="0" w:line="259" w:lineRule="auto"/>
            </w:pPr>
            <w:r>
              <w:rPr>
                <w:rFonts w:ascii="Calibri" w:hAnsi="Calibri"/>
                <w:b w:val="0"/>
                <w:i w:val="0"/>
                <w:color w:val="212121"/>
                <w:sz w:val="19"/>
              </w:rPr>
              <w:t>≥ 8.0 % (poor control)</w:t>
            </w:r>
          </w:p>
        </w:tc>
        <w:tc>
          <w:tcPr>
            <w:tcW w:type="dxa" w:w="1468"/>
            <w:vAlign w:val="top"/>
          </w:tcPr>
          <w:p>
            <w:pPr>
              <w:spacing w:after="40" w:before="0" w:line="259" w:lineRule="auto"/>
            </w:pPr>
            <w:r>
              <w:rPr>
                <w:rFonts w:ascii="Calibri" w:hAnsi="Calibri"/>
                <w:b w:val="0"/>
                <w:i w:val="0"/>
                <w:color w:val="212121"/>
                <w:sz w:val="19"/>
              </w:rPr>
              <w:t>Higher and longer-standing hyperglycaemia accelerates painful diabetic neuropathy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 (cobalamin)</w:t>
            </w:r>
          </w:p>
        </w:tc>
        <w:tc>
          <w:tcPr>
            <w:tcW w:type="dxa" w:w="1655"/>
            <w:vAlign w:val="top"/>
          </w:tcPr>
          <w:p>
            <w:pPr>
              <w:spacing w:after="40" w:before="0" w:line="259" w:lineRule="auto"/>
            </w:pPr>
            <w:r>
              <w:rPr>
                <w:rFonts w:ascii="Calibri" w:hAnsi="Calibri"/>
                <w:b w:val="0"/>
                <w:i w:val="0"/>
                <w:color w:val="212121"/>
                <w:sz w:val="19"/>
              </w:rPr>
              <w:t>Vegetarians, elderly, metformin/PPI users</w:t>
            </w:r>
          </w:p>
        </w:tc>
        <w:tc>
          <w:tcPr>
            <w:tcW w:type="dxa" w:w="1512"/>
            <w:vAlign w:val="top"/>
          </w:tcPr>
          <w:p>
            <w:pPr>
              <w:spacing w:after="40" w:before="0" w:line="259" w:lineRule="auto"/>
            </w:pPr>
            <w:r>
              <w:rPr>
                <w:rFonts w:ascii="Calibri" w:hAnsi="Calibri"/>
                <w:b w:val="0"/>
                <w:i w:val="0"/>
                <w:color w:val="212121"/>
                <w:sz w:val="19"/>
              </w:rPr>
              <w:t>&gt; 300 pg/mL</w:t>
            </w:r>
          </w:p>
        </w:tc>
        <w:tc>
          <w:tcPr>
            <w:tcW w:type="dxa" w:w="1512"/>
            <w:vAlign w:val="top"/>
          </w:tcPr>
          <w:p>
            <w:pPr>
              <w:spacing w:after="40" w:before="0" w:line="259" w:lineRule="auto"/>
            </w:pPr>
            <w:r>
              <w:rPr>
                <w:rFonts w:ascii="Calibri" w:hAnsi="Calibri"/>
                <w:b w:val="0"/>
                <w:i w:val="0"/>
                <w:color w:val="212121"/>
                <w:sz w:val="19"/>
              </w:rPr>
              <w:t>&lt; 200 pg/mL (deficient); 200–300 borderline — confirm with MMA</w:t>
            </w:r>
          </w:p>
        </w:tc>
        <w:tc>
          <w:tcPr>
            <w:tcW w:type="dxa" w:w="1468"/>
            <w:vAlign w:val="top"/>
          </w:tcPr>
          <w:p>
            <w:pPr>
              <w:spacing w:after="40" w:before="0" w:line="259" w:lineRule="auto"/>
            </w:pPr>
            <w:r>
              <w:rPr>
                <w:rFonts w:ascii="Calibri" w:hAnsi="Calibri"/>
                <w:b w:val="0"/>
                <w:i w:val="0"/>
                <w:color w:val="212121"/>
                <w:sz w:val="19"/>
              </w:rPr>
              <w:t>Low B12 causes a treatable painful sensory neuropathy; check methylmalonic acid if borderline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plasma glucose</w:t>
            </w:r>
          </w:p>
        </w:tc>
        <w:tc>
          <w:tcPr>
            <w:tcW w:type="dxa" w:w="1655"/>
            <w:vAlign w:val="top"/>
          </w:tcPr>
          <w:p>
            <w:pPr>
              <w:spacing w:after="40" w:before="0" w:line="259" w:lineRule="auto"/>
            </w:pPr>
            <w:r>
              <w:rPr>
                <w:rFonts w:ascii="Calibri" w:hAnsi="Calibri"/>
                <w:b w:val="0"/>
                <w:i w:val="0"/>
                <w:color w:val="212121"/>
                <w:sz w:val="19"/>
              </w:rPr>
              <w:t>Adults at risk / with diabetes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 (or random &gt; 200 mg/dL)</w:t>
            </w:r>
          </w:p>
        </w:tc>
        <w:tc>
          <w:tcPr>
            <w:tcW w:type="dxa" w:w="1468"/>
            <w:vAlign w:val="top"/>
          </w:tcPr>
          <w:p>
            <w:pPr>
              <w:spacing w:after="40" w:before="0" w:line="259" w:lineRule="auto"/>
            </w:pPr>
            <w:r>
              <w:rPr>
                <w:rFonts w:ascii="Calibri" w:hAnsi="Calibri"/>
                <w:b w:val="0"/>
                <w:i w:val="0"/>
                <w:color w:val="212121"/>
                <w:sz w:val="19"/>
              </w:rPr>
              <w:t>Confirms diabetes as the underlying cause of painful neuropathy</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DN4 screening score</w:t>
            </w:r>
          </w:p>
        </w:tc>
        <w:tc>
          <w:tcPr>
            <w:tcW w:type="dxa" w:w="1655"/>
            <w:vAlign w:val="top"/>
          </w:tcPr>
          <w:p>
            <w:pPr>
              <w:spacing w:after="40" w:before="0" w:line="259" w:lineRule="auto"/>
            </w:pPr>
            <w:r>
              <w:rPr>
                <w:rFonts w:ascii="Calibri" w:hAnsi="Calibri"/>
                <w:b w:val="0"/>
                <w:i w:val="0"/>
                <w:color w:val="212121"/>
                <w:sz w:val="19"/>
              </w:rPr>
              <w:t>Adults with chronic pain</w:t>
            </w:r>
          </w:p>
        </w:tc>
        <w:tc>
          <w:tcPr>
            <w:tcW w:type="dxa" w:w="1512"/>
            <w:vAlign w:val="top"/>
          </w:tcPr>
          <w:p>
            <w:pPr>
              <w:spacing w:after="40" w:before="0" w:line="259" w:lineRule="auto"/>
            </w:pPr>
            <w:r>
              <w:rPr>
                <w:rFonts w:ascii="Calibri" w:hAnsi="Calibri"/>
                <w:b w:val="0"/>
                <w:i w:val="0"/>
                <w:color w:val="212121"/>
                <w:sz w:val="19"/>
              </w:rPr>
              <w:t>&lt; 4 / 10 (unlikely neuropathic)</w:t>
            </w:r>
          </w:p>
        </w:tc>
        <w:tc>
          <w:tcPr>
            <w:tcW w:type="dxa" w:w="1512"/>
            <w:vAlign w:val="top"/>
          </w:tcPr>
          <w:p>
            <w:pPr>
              <w:spacing w:after="40" w:before="0" w:line="259" w:lineRule="auto"/>
            </w:pPr>
            <w:r>
              <w:rPr>
                <w:rFonts w:ascii="Calibri" w:hAnsi="Calibri"/>
                <w:b w:val="0"/>
                <w:i w:val="0"/>
                <w:color w:val="212121"/>
                <w:sz w:val="19"/>
              </w:rPr>
              <w:t>≥ 4 / 10 (likely neuropathic)</w:t>
            </w:r>
          </w:p>
        </w:tc>
        <w:tc>
          <w:tcPr>
            <w:tcW w:type="dxa" w:w="1468"/>
            <w:vAlign w:val="top"/>
          </w:tcPr>
          <w:p>
            <w:pPr>
              <w:spacing w:after="40" w:before="0" w:line="259" w:lineRule="auto"/>
            </w:pPr>
            <w:r>
              <w:rPr>
                <w:rFonts w:ascii="Calibri" w:hAnsi="Calibri"/>
                <w:b w:val="0"/>
                <w:i w:val="0"/>
                <w:color w:val="212121"/>
                <w:sz w:val="19"/>
              </w:rPr>
              <w:t>Simple validated tool to identify the neuropathic component and direct specific 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Pain intensity (NRS / VAS)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0–3 / 10 (mild)</w:t>
            </w:r>
          </w:p>
        </w:tc>
        <w:tc>
          <w:tcPr>
            <w:tcW w:type="dxa" w:w="1512"/>
            <w:vAlign w:val="top"/>
          </w:tcPr>
          <w:p>
            <w:pPr>
              <w:spacing w:after="40" w:before="0" w:line="259" w:lineRule="auto"/>
            </w:pPr>
            <w:r>
              <w:rPr>
                <w:rFonts w:ascii="Calibri" w:hAnsi="Calibri"/>
                <w:b w:val="0"/>
                <w:i w:val="0"/>
                <w:color w:val="212121"/>
                <w:sz w:val="19"/>
              </w:rPr>
              <w:t>≥ 7 / 10 (severe)</w:t>
            </w:r>
          </w:p>
        </w:tc>
        <w:tc>
          <w:tcPr>
            <w:tcW w:type="dxa" w:w="1468"/>
            <w:vAlign w:val="top"/>
          </w:tcPr>
          <w:p>
            <w:pPr>
              <w:spacing w:after="60" w:line="259" w:lineRule="auto"/>
            </w:pPr>
            <w:r>
              <w:rPr>
                <w:rFonts w:ascii="Calibri" w:hAnsi="Calibri"/>
                <w:b w:val="0"/>
                <w:i w:val="0"/>
                <w:color w:val="212121"/>
                <w:sz w:val="19"/>
              </w:rPr>
              <w:t>In Indian real-world data 16.2% had severe and 42.7% moderate pain; guides escalation</w:t>
            </w:r>
          </w:p>
          <w:p>
            <w:pPr>
              <w:spacing w:after="40" w:line="252" w:lineRule="auto"/>
            </w:pPr>
            <w:hyperlink r:id="rId9">
              <w:r>
                <w:rPr>
                  <w:rFonts w:ascii="Calibri" w:hAnsi="Calibri" w:cs="Calibri"/>
                  <w:sz w:val="18"/>
                  <w:color w:val="1155CC"/>
                  <w:u w:val="single"/>
                </w:rPr>
                <w:t xml:space="preserve">https://ijmpr.in/article/exploration-of-clinical-characteristics-and-treatment-patterns-in-painful-neuropathy-among-indian-patients-a-cross-sectional-study-2252/</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HADS depression / anxiety score</w:t>
            </w:r>
          </w:p>
        </w:tc>
        <w:tc>
          <w:tcPr>
            <w:tcW w:type="dxa" w:w="1655"/>
            <w:vAlign w:val="top"/>
          </w:tcPr>
          <w:p>
            <w:pPr>
              <w:spacing w:after="40" w:before="0" w:line="259" w:lineRule="auto"/>
            </w:pPr>
            <w:r>
              <w:rPr>
                <w:rFonts w:ascii="Calibri" w:hAnsi="Calibri"/>
                <w:b w:val="0"/>
                <w:i w:val="0"/>
                <w:color w:val="212121"/>
                <w:sz w:val="19"/>
              </w:rPr>
              <w:t>Chronic neuropathic pain</w:t>
            </w:r>
          </w:p>
        </w:tc>
        <w:tc>
          <w:tcPr>
            <w:tcW w:type="dxa" w:w="1512"/>
            <w:vAlign w:val="top"/>
          </w:tcPr>
          <w:p>
            <w:pPr>
              <w:spacing w:after="40" w:before="0" w:line="259" w:lineRule="auto"/>
            </w:pPr>
            <w:r>
              <w:rPr>
                <w:rFonts w:ascii="Calibri" w:hAnsi="Calibri"/>
                <w:b w:val="0"/>
                <w:i w:val="0"/>
                <w:color w:val="212121"/>
                <w:sz w:val="19"/>
              </w:rPr>
              <w:t>&lt; 8 (normal)</w:t>
            </w:r>
          </w:p>
        </w:tc>
        <w:tc>
          <w:tcPr>
            <w:tcW w:type="dxa" w:w="1512"/>
            <w:vAlign w:val="top"/>
          </w:tcPr>
          <w:p>
            <w:pPr>
              <w:spacing w:after="40" w:before="0" w:line="259" w:lineRule="auto"/>
            </w:pPr>
            <w:r>
              <w:rPr>
                <w:rFonts w:ascii="Calibri" w:hAnsi="Calibri"/>
                <w:b w:val="0"/>
                <w:i w:val="0"/>
                <w:color w:val="212121"/>
                <w:sz w:val="19"/>
              </w:rPr>
              <w:t>≥ 8 (probable case)</w:t>
            </w:r>
          </w:p>
        </w:tc>
        <w:tc>
          <w:tcPr>
            <w:tcW w:type="dxa" w:w="1468"/>
            <w:vAlign w:val="top"/>
          </w:tcPr>
          <w:p>
            <w:pPr>
              <w:spacing w:after="60" w:line="259" w:lineRule="auto"/>
            </w:pPr>
            <w:r>
              <w:rPr>
                <w:rFonts w:ascii="Calibri" w:hAnsi="Calibri"/>
                <w:b w:val="0"/>
                <w:i w:val="0"/>
                <w:color w:val="212121"/>
                <w:sz w:val="19"/>
              </w:rPr>
              <w:t>Depression (65.6%) and anxiety (73.8%) are highly prevalent and worsen pain and function</w:t>
            </w:r>
          </w:p>
          <w:p>
            <w:pPr>
              <w:spacing w:after="40" w:line="252" w:lineRule="auto"/>
            </w:pPr>
            <w:hyperlink r:id="rId15">
              <w:r>
                <w:rPr>
                  <w:rFonts w:ascii="Calibri" w:hAnsi="Calibri" w:cs="Calibri"/>
                  <w:sz w:val="18"/>
                  <w:color w:val="1155CC"/>
                  <w:u w:val="single"/>
                </w:rPr>
                <w:t xml:space="preserve">https://www.hindawi.com/journals/prm/2020/7408508/</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 quality</w:t>
            </w:r>
          </w:p>
        </w:tc>
        <w:tc>
          <w:tcPr>
            <w:tcW w:type="dxa" w:w="1655"/>
            <w:vAlign w:val="top"/>
          </w:tcPr>
          <w:p>
            <w:pPr>
              <w:spacing w:after="40" w:before="0" w:line="259" w:lineRule="auto"/>
            </w:pPr>
            <w:r>
              <w:rPr>
                <w:rFonts w:ascii="Calibri" w:hAnsi="Calibri"/>
                <w:b w:val="0"/>
                <w:i w:val="0"/>
                <w:color w:val="212121"/>
                <w:sz w:val="19"/>
              </w:rPr>
              <w:t>Adults with neuropathic pain</w:t>
            </w:r>
          </w:p>
        </w:tc>
        <w:tc>
          <w:tcPr>
            <w:tcW w:type="dxa" w:w="1512"/>
            <w:vAlign w:val="top"/>
          </w:tcPr>
          <w:p>
            <w:pPr>
              <w:spacing w:after="40" w:before="0" w:line="259" w:lineRule="auto"/>
            </w:pPr>
            <w:r>
              <w:rPr>
                <w:rFonts w:ascii="Calibri" w:hAnsi="Calibri"/>
                <w:b w:val="0"/>
                <w:i w:val="0"/>
                <w:color w:val="212121"/>
                <w:sz w:val="19"/>
              </w:rPr>
              <w:t>7–9 hours/night, unfragmented</w:t>
            </w:r>
          </w:p>
        </w:tc>
        <w:tc>
          <w:tcPr>
            <w:tcW w:type="dxa" w:w="1512"/>
            <w:vAlign w:val="top"/>
          </w:tcPr>
          <w:p>
            <w:pPr>
              <w:spacing w:after="40" w:before="0" w:line="259" w:lineRule="auto"/>
            </w:pPr>
            <w:r>
              <w:rPr>
                <w:rFonts w:ascii="Calibri" w:hAnsi="Calibri"/>
                <w:b w:val="0"/>
                <w:i w:val="0"/>
                <w:color w:val="212121"/>
                <w:sz w:val="19"/>
              </w:rPr>
              <w:t>&lt; 6 hours or highly fragmented</w:t>
            </w:r>
          </w:p>
        </w:tc>
        <w:tc>
          <w:tcPr>
            <w:tcW w:type="dxa" w:w="1468"/>
            <w:vAlign w:val="top"/>
          </w:tcPr>
          <w:p>
            <w:pPr>
              <w:spacing w:after="40" w:before="0" w:line="259" w:lineRule="auto"/>
            </w:pPr>
            <w:r>
              <w:rPr>
                <w:rFonts w:ascii="Calibri" w:hAnsi="Calibri"/>
                <w:b w:val="0"/>
                <w:i w:val="0"/>
                <w:color w:val="212121"/>
                <w:sz w:val="19"/>
              </w:rPr>
              <w:t>Night-time neuropathic pain fragments sleep and lowers pain thresholds</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Regular activity improves glycaemic control and may reduce neuropathic pain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40" w:before="0" w:line="259" w:lineRule="auto"/>
            </w:pPr>
            <w:r>
              <w:rPr>
                <w:rFonts w:ascii="Calibri" w:hAnsi="Calibri"/>
                <w:b w:val="0"/>
                <w:i w:val="0"/>
                <w:color w:val="212121"/>
                <w:sz w:val="19"/>
              </w:rPr>
              <w:t>Obesity worsens insulin resistance and glycaemic control, indirectly driving painful neuropathy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 lifetime dose</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None to low-risk (≤ 14 units/week)</w:t>
            </w:r>
          </w:p>
        </w:tc>
        <w:tc>
          <w:tcPr>
            <w:tcW w:type="dxa" w:w="1512"/>
            <w:vAlign w:val="top"/>
          </w:tcPr>
          <w:p>
            <w:pPr>
              <w:spacing w:after="40" w:before="0" w:line="259" w:lineRule="auto"/>
            </w:pPr>
            <w:r>
              <w:rPr>
                <w:rFonts w:ascii="Calibri" w:hAnsi="Calibri"/>
                <w:b w:val="0"/>
                <w:i w:val="0"/>
                <w:color w:val="212121"/>
                <w:sz w:val="19"/>
              </w:rPr>
              <w:t>Chronic heavy use; high cumulative dose</w:t>
            </w:r>
          </w:p>
        </w:tc>
        <w:tc>
          <w:tcPr>
            <w:tcW w:type="dxa" w:w="1468"/>
            <w:vAlign w:val="top"/>
          </w:tcPr>
          <w:p>
            <w:pPr>
              <w:spacing w:after="40" w:before="0" w:line="259" w:lineRule="auto"/>
            </w:pPr>
            <w:r>
              <w:rPr>
                <w:rFonts w:ascii="Calibri" w:hAnsi="Calibri"/>
                <w:b w:val="0"/>
                <w:i w:val="0"/>
                <w:color w:val="212121"/>
                <w:sz w:val="19"/>
              </w:rPr>
              <w:t>Painful alcoholic neuropathy is dose-dependent; abstinence allows partial recovery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accelerates microvascular nerve damage and painful neuropathy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10 g monofilament / vibration threshold</w:t>
            </w:r>
          </w:p>
        </w:tc>
        <w:tc>
          <w:tcPr>
            <w:tcW w:type="dxa" w:w="1655"/>
            <w:vAlign w:val="top"/>
          </w:tcPr>
          <w:p>
            <w:pPr>
              <w:spacing w:after="40" w:before="0" w:line="259" w:lineRule="auto"/>
            </w:pPr>
            <w:r>
              <w:rPr>
                <w:rFonts w:ascii="Calibri" w:hAnsi="Calibri"/>
                <w:b w:val="0"/>
                <w:i w:val="0"/>
                <w:color w:val="212121"/>
                <w:sz w:val="19"/>
              </w:rPr>
              <w:t>Diabetic, insensate feet</w:t>
            </w:r>
          </w:p>
        </w:tc>
        <w:tc>
          <w:tcPr>
            <w:tcW w:type="dxa" w:w="1512"/>
            <w:vAlign w:val="top"/>
          </w:tcPr>
          <w:p>
            <w:pPr>
              <w:spacing w:after="40" w:before="0" w:line="259" w:lineRule="auto"/>
            </w:pPr>
            <w:r>
              <w:rPr>
                <w:rFonts w:ascii="Calibri" w:hAnsi="Calibri"/>
                <w:b w:val="0"/>
                <w:i w:val="0"/>
                <w:color w:val="212121"/>
                <w:sz w:val="19"/>
              </w:rPr>
              <w:t>Sensation intact; VPT &lt; 15 V</w:t>
            </w:r>
          </w:p>
        </w:tc>
        <w:tc>
          <w:tcPr>
            <w:tcW w:type="dxa" w:w="1512"/>
            <w:vAlign w:val="top"/>
          </w:tcPr>
          <w:p>
            <w:pPr>
              <w:spacing w:after="40" w:before="0" w:line="259" w:lineRule="auto"/>
            </w:pPr>
            <w:r>
              <w:rPr>
                <w:rFonts w:ascii="Calibri" w:hAnsi="Calibri"/>
                <w:b w:val="0"/>
                <w:i w:val="0"/>
                <w:color w:val="212121"/>
                <w:sz w:val="19"/>
              </w:rPr>
              <w:t>Any insensate site; VPT ≥ 25 V</w:t>
            </w:r>
          </w:p>
        </w:tc>
        <w:tc>
          <w:tcPr>
            <w:tcW w:type="dxa" w:w="1468"/>
            <w:vAlign w:val="top"/>
          </w:tcPr>
          <w:p>
            <w:pPr>
              <w:spacing w:after="40" w:before="0" w:line="259" w:lineRule="auto"/>
            </w:pPr>
            <w:r>
              <w:rPr>
                <w:rFonts w:ascii="Calibri" w:hAnsi="Calibri"/>
                <w:b w:val="0"/>
                <w:i w:val="0"/>
                <w:color w:val="212121"/>
                <w:sz w:val="19"/>
              </w:rPr>
              <w:t>Marks loss of protective sensation and high foot-ulcer risk in painful diabetic neuropathy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Sugar / HbA1c</w:t>
            </w:r>
          </w:p>
        </w:tc>
        <w:tc>
          <w:tcPr>
            <w:tcW w:type="dxa" w:w="892"/>
            <w:vAlign w:val="top"/>
          </w:tcPr>
          <w:p>
            <w:pPr>
              <w:spacing w:after="40" w:before="0" w:line="259" w:lineRule="auto"/>
            </w:pPr>
            <w:r>
              <w:rPr>
                <w:rFonts w:ascii="Calibri" w:hAnsi="Calibri"/>
                <w:b w:val="0"/>
                <w:i w:val="0"/>
                <w:color w:val="212121"/>
                <w:sz w:val="16"/>
              </w:rPr>
              <w:t>Blood Glucose &amp; HbA1c</w:t>
            </w:r>
          </w:p>
        </w:tc>
        <w:tc>
          <w:tcPr>
            <w:tcW w:type="dxa" w:w="950"/>
            <w:vAlign w:val="top"/>
          </w:tcPr>
          <w:p>
            <w:pPr>
              <w:spacing w:after="40" w:before="0" w:line="259" w:lineRule="auto"/>
            </w:pPr>
            <w:r>
              <w:rPr>
                <w:rFonts w:ascii="Calibri" w:hAnsi="Calibri"/>
                <w:b w:val="0"/>
                <w:i w:val="0"/>
                <w:color w:val="212121"/>
                <w:sz w:val="16"/>
              </w:rPr>
              <w:t>FBS 70–99 mg/dL; HbA1c 4.0–5.6 %</w:t>
            </w:r>
          </w:p>
        </w:tc>
        <w:tc>
          <w:tcPr>
            <w:tcW w:type="dxa" w:w="950"/>
            <w:vAlign w:val="top"/>
          </w:tcPr>
          <w:p>
            <w:pPr>
              <w:spacing w:after="40" w:before="0" w:line="259" w:lineRule="auto"/>
            </w:pPr>
            <w:r>
              <w:rPr>
                <w:rFonts w:ascii="Calibri" w:hAnsi="Calibri"/>
                <w:b w:val="0"/>
                <w:i w:val="0"/>
                <w:color w:val="212121"/>
                <w:sz w:val="16"/>
              </w:rPr>
              <w:t>FBS ≥ 126 mg/dL; HbA1c ≥ 6.5 %</w:t>
            </w:r>
          </w:p>
        </w:tc>
        <w:tc>
          <w:tcPr>
            <w:tcW w:type="dxa" w:w="1036"/>
            <w:vAlign w:val="top"/>
          </w:tcPr>
          <w:p>
            <w:pPr>
              <w:spacing w:after="40" w:before="0" w:line="259" w:lineRule="auto"/>
            </w:pPr>
            <w:r>
              <w:rPr>
                <w:rFonts w:ascii="Calibri" w:hAnsi="Calibri"/>
                <w:b w:val="0"/>
                <w:i w:val="0"/>
                <w:color w:val="212121"/>
                <w:sz w:val="16"/>
              </w:rPr>
              <w:t>Diagnoses diabetes as the cause and gauges glycaemic control driving painful neuropathy</w:t>
            </w:r>
          </w:p>
        </w:tc>
        <w:tc>
          <w:tcPr>
            <w:tcW w:type="dxa" w:w="1036"/>
            <w:vAlign w:val="top"/>
          </w:tcPr>
          <w:p>
            <w:pPr>
              <w:spacing w:after="40" w:before="0" w:line="259" w:lineRule="auto"/>
            </w:pPr>
            <w:r>
              <w:rPr>
                <w:rFonts w:ascii="Calibri" w:hAnsi="Calibri"/>
                <w:b w:val="0"/>
                <w:i w:val="0"/>
                <w:color w:val="212121"/>
                <w:sz w:val="16"/>
              </w:rPr>
              <w:t>All patients with distal painful neuropathy, diabetics, prediabetics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HbA1c reflects 2–3 month average glycaemia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 (± MMA, homocysteine)</w:t>
            </w:r>
          </w:p>
        </w:tc>
        <w:tc>
          <w:tcPr>
            <w:tcW w:type="dxa" w:w="892"/>
            <w:vAlign w:val="top"/>
          </w:tcPr>
          <w:p>
            <w:pPr>
              <w:spacing w:after="40" w:before="0" w:line="259" w:lineRule="auto"/>
            </w:pPr>
            <w:r>
              <w:rPr>
                <w:rFonts w:ascii="Calibri" w:hAnsi="Calibri"/>
                <w:b w:val="0"/>
                <w:i w:val="0"/>
                <w:color w:val="212121"/>
                <w:sz w:val="16"/>
              </w:rPr>
              <w:t>Cobalamin assay</w:t>
            </w:r>
          </w:p>
        </w:tc>
        <w:tc>
          <w:tcPr>
            <w:tcW w:type="dxa" w:w="950"/>
            <w:vAlign w:val="top"/>
          </w:tcPr>
          <w:p>
            <w:pPr>
              <w:spacing w:after="40" w:before="0" w:line="259" w:lineRule="auto"/>
            </w:pPr>
            <w:r>
              <w:rPr>
                <w:rFonts w:ascii="Calibri" w:hAnsi="Calibri"/>
                <w:b w:val="0"/>
                <w:i w:val="0"/>
                <w:color w:val="212121"/>
                <w:sz w:val="16"/>
              </w:rPr>
              <w:t>&gt; 300 pg/mL</w:t>
            </w:r>
          </w:p>
        </w:tc>
        <w:tc>
          <w:tcPr>
            <w:tcW w:type="dxa" w:w="950"/>
            <w:vAlign w:val="top"/>
          </w:tcPr>
          <w:p>
            <w:pPr>
              <w:spacing w:after="40" w:before="0" w:line="259" w:lineRule="auto"/>
            </w:pPr>
            <w:r>
              <w:rPr>
                <w:rFonts w:ascii="Calibri" w:hAnsi="Calibri"/>
                <w:b w:val="0"/>
                <w:i w:val="0"/>
                <w:color w:val="212121"/>
                <w:sz w:val="16"/>
              </w:rPr>
              <w:t>&lt; 200 pg/mL (deficient); 200–300 borderline</w:t>
            </w:r>
          </w:p>
        </w:tc>
        <w:tc>
          <w:tcPr>
            <w:tcW w:type="dxa" w:w="1036"/>
            <w:vAlign w:val="top"/>
          </w:tcPr>
          <w:p>
            <w:pPr>
              <w:spacing w:after="40" w:before="0" w:line="259" w:lineRule="auto"/>
            </w:pPr>
            <w:r>
              <w:rPr>
                <w:rFonts w:ascii="Calibri" w:hAnsi="Calibri"/>
                <w:b w:val="0"/>
                <w:i w:val="0"/>
                <w:color w:val="212121"/>
                <w:sz w:val="16"/>
              </w:rPr>
              <w:t>Identifies a treatable, potentially reversible cause of painful sensory neuropathy</w:t>
            </w:r>
          </w:p>
        </w:tc>
        <w:tc>
          <w:tcPr>
            <w:tcW w:type="dxa" w:w="1036"/>
            <w:vAlign w:val="top"/>
          </w:tcPr>
          <w:p>
            <w:pPr>
              <w:spacing w:after="40" w:before="0" w:line="259" w:lineRule="auto"/>
            </w:pPr>
            <w:r>
              <w:rPr>
                <w:rFonts w:ascii="Calibri" w:hAnsi="Calibri"/>
                <w:b w:val="0"/>
                <w:i w:val="0"/>
                <w:color w:val="212121"/>
                <w:sz w:val="16"/>
              </w:rPr>
              <w:t>Vegetarians, elderly, metformin/PPI users, macrocytosis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MMA / homocysteine confirm true deficiency in borderline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Nerve Conduction Velocity &amp; Amplitude</w:t>
            </w:r>
          </w:p>
        </w:tc>
        <w:tc>
          <w:tcPr>
            <w:tcW w:type="dxa" w:w="892"/>
            <w:vAlign w:val="top"/>
          </w:tcPr>
          <w:p>
            <w:pPr>
              <w:spacing w:after="40" w:before="0" w:line="259" w:lineRule="auto"/>
            </w:pPr>
            <w:r>
              <w:rPr>
                <w:rFonts w:ascii="Calibri" w:hAnsi="Calibri"/>
                <w:b w:val="0"/>
                <w:i w:val="0"/>
                <w:color w:val="212121"/>
                <w:sz w:val="16"/>
              </w:rPr>
              <w:t>Nerve Conduction Studies / EMG</w:t>
            </w:r>
          </w:p>
        </w:tc>
        <w:tc>
          <w:tcPr>
            <w:tcW w:type="dxa" w:w="950"/>
            <w:vAlign w:val="top"/>
          </w:tcPr>
          <w:p>
            <w:pPr>
              <w:spacing w:after="40" w:before="0" w:line="259" w:lineRule="auto"/>
            </w:pPr>
            <w:r>
              <w:rPr>
                <w:rFonts w:ascii="Calibri" w:hAnsi="Calibri"/>
                <w:b w:val="0"/>
                <w:i w:val="0"/>
                <w:color w:val="212121"/>
                <w:sz w:val="16"/>
              </w:rPr>
              <w:t>Normal distal latencies, amplitudes &amp; velocities</w:t>
            </w:r>
          </w:p>
        </w:tc>
        <w:tc>
          <w:tcPr>
            <w:tcW w:type="dxa" w:w="950"/>
            <w:vAlign w:val="top"/>
          </w:tcPr>
          <w:p>
            <w:pPr>
              <w:spacing w:after="40" w:before="0" w:line="259" w:lineRule="auto"/>
            </w:pPr>
            <w:r>
              <w:rPr>
                <w:rFonts w:ascii="Calibri" w:hAnsi="Calibri"/>
                <w:b w:val="0"/>
                <w:i w:val="0"/>
                <w:color w:val="212121"/>
                <w:sz w:val="16"/>
              </w:rPr>
              <w:t>Reduced amplitudes (axonal) or slowed conduction (demyelinating)</w:t>
            </w:r>
          </w:p>
        </w:tc>
        <w:tc>
          <w:tcPr>
            <w:tcW w:type="dxa" w:w="1036"/>
            <w:vAlign w:val="top"/>
          </w:tcPr>
          <w:p>
            <w:pPr>
              <w:spacing w:after="40" w:before="0" w:line="259" w:lineRule="auto"/>
            </w:pPr>
            <w:r>
              <w:rPr>
                <w:rFonts w:ascii="Calibri" w:hAnsi="Calibri"/>
                <w:b w:val="0"/>
                <w:i w:val="0"/>
                <w:color w:val="212121"/>
                <w:sz w:val="16"/>
              </w:rPr>
              <w:t>Confirms and localises a large-fibre lesion; supports a ‘definite’ grading of neuropathic pain</w:t>
            </w:r>
          </w:p>
        </w:tc>
        <w:tc>
          <w:tcPr>
            <w:tcW w:type="dxa" w:w="1036"/>
            <w:vAlign w:val="top"/>
          </w:tcPr>
          <w:p>
            <w:pPr>
              <w:spacing w:after="40" w:before="0" w:line="259" w:lineRule="auto"/>
            </w:pPr>
            <w:r>
              <w:rPr>
                <w:rFonts w:ascii="Calibri" w:hAnsi="Calibri"/>
                <w:b w:val="0"/>
                <w:i w:val="0"/>
                <w:color w:val="212121"/>
                <w:sz w:val="16"/>
              </w:rPr>
              <w:t>Atypical, asymmetric, motor-predominant or diagnostically uncertain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Reference test</w:t>
            </w:r>
          </w:p>
        </w:tc>
        <w:tc>
          <w:tcPr>
            <w:tcW w:type="dxa" w:w="720"/>
            <w:vAlign w:val="top"/>
          </w:tcPr>
          <w:p>
            <w:pPr>
              <w:spacing w:after="40" w:before="0" w:line="259" w:lineRule="auto"/>
            </w:pPr>
            <w:r>
              <w:rPr>
                <w:rFonts w:ascii="Calibri" w:hAnsi="Calibri"/>
                <w:b w:val="0"/>
                <w:i w:val="0"/>
                <w:color w:val="212121"/>
                <w:sz w:val="16"/>
              </w:rPr>
              <w:t>Normal in pure small-fibre / central neuropathic pain — does not exclude 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Small-fibre testing</w:t>
            </w:r>
          </w:p>
        </w:tc>
        <w:tc>
          <w:tcPr>
            <w:tcW w:type="dxa" w:w="1036"/>
            <w:vAlign w:val="top"/>
          </w:tcPr>
          <w:p>
            <w:pPr>
              <w:spacing w:after="40" w:before="0" w:line="259" w:lineRule="auto"/>
            </w:pPr>
            <w:r>
              <w:rPr>
                <w:rFonts w:ascii="Calibri" w:hAnsi="Calibri"/>
                <w:b w:val="0"/>
                <w:i w:val="0"/>
                <w:color w:val="212121"/>
                <w:sz w:val="16"/>
              </w:rPr>
              <w:t>Intra-epidermal nerve-fibre density / QST</w:t>
            </w:r>
          </w:p>
        </w:tc>
        <w:tc>
          <w:tcPr>
            <w:tcW w:type="dxa" w:w="892"/>
            <w:vAlign w:val="top"/>
          </w:tcPr>
          <w:p>
            <w:pPr>
              <w:spacing w:after="40" w:before="0" w:line="259" w:lineRule="auto"/>
            </w:pPr>
            <w:r>
              <w:rPr>
                <w:rFonts w:ascii="Calibri" w:hAnsi="Calibri"/>
                <w:b w:val="0"/>
                <w:i w:val="0"/>
                <w:color w:val="212121"/>
                <w:sz w:val="16"/>
              </w:rPr>
              <w:t>Skin biopsy &amp; Quantitative Sensory Testing</w:t>
            </w:r>
          </w:p>
        </w:tc>
        <w:tc>
          <w:tcPr>
            <w:tcW w:type="dxa" w:w="950"/>
            <w:vAlign w:val="top"/>
          </w:tcPr>
          <w:p>
            <w:pPr>
              <w:spacing w:after="40" w:before="0" w:line="259" w:lineRule="auto"/>
            </w:pPr>
            <w:r>
              <w:rPr>
                <w:rFonts w:ascii="Calibri" w:hAnsi="Calibri"/>
                <w:b w:val="0"/>
                <w:i w:val="0"/>
                <w:color w:val="212121"/>
                <w:sz w:val="16"/>
              </w:rPr>
              <w:t>Normal fibre density; normal thermal thresholds</w:t>
            </w:r>
          </w:p>
        </w:tc>
        <w:tc>
          <w:tcPr>
            <w:tcW w:type="dxa" w:w="950"/>
            <w:vAlign w:val="top"/>
          </w:tcPr>
          <w:p>
            <w:pPr>
              <w:spacing w:after="40" w:before="0" w:line="259" w:lineRule="auto"/>
            </w:pPr>
            <w:r>
              <w:rPr>
                <w:rFonts w:ascii="Calibri" w:hAnsi="Calibri"/>
                <w:b w:val="0"/>
                <w:i w:val="0"/>
                <w:color w:val="212121"/>
                <w:sz w:val="16"/>
              </w:rPr>
              <w:t>Reduced intra-epidermal nerve-fibre density; raised thermal/pain thresholds</w:t>
            </w:r>
          </w:p>
        </w:tc>
        <w:tc>
          <w:tcPr>
            <w:tcW w:type="dxa" w:w="1036"/>
            <w:vAlign w:val="top"/>
          </w:tcPr>
          <w:p>
            <w:pPr>
              <w:spacing w:after="40" w:before="0" w:line="259" w:lineRule="auto"/>
            </w:pPr>
            <w:r>
              <w:rPr>
                <w:rFonts w:ascii="Calibri" w:hAnsi="Calibri"/>
                <w:b w:val="0"/>
                <w:i w:val="0"/>
                <w:color w:val="212121"/>
                <w:sz w:val="16"/>
              </w:rPr>
              <w:t>Confirms small-fibre neuropathy when NCS is normal but burning pain and allodynia are present</w:t>
            </w:r>
          </w:p>
        </w:tc>
        <w:tc>
          <w:tcPr>
            <w:tcW w:type="dxa" w:w="1036"/>
            <w:vAlign w:val="top"/>
          </w:tcPr>
          <w:p>
            <w:pPr>
              <w:spacing w:after="40" w:before="0" w:line="259" w:lineRule="auto"/>
            </w:pPr>
            <w:r>
              <w:rPr>
                <w:rFonts w:ascii="Calibri" w:hAnsi="Calibri"/>
                <w:b w:val="0"/>
                <w:i w:val="0"/>
                <w:color w:val="212121"/>
                <w:sz w:val="16"/>
              </w:rPr>
              <w:t>Painful small-fibre neuropathy, early diabetic/prediabetic neuropathy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QST maps positive and negative sensory signs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brain / spine (targeted)</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relevant structural lesion</w:t>
            </w:r>
          </w:p>
        </w:tc>
        <w:tc>
          <w:tcPr>
            <w:tcW w:type="dxa" w:w="950"/>
            <w:vAlign w:val="top"/>
          </w:tcPr>
          <w:p>
            <w:pPr>
              <w:spacing w:after="40" w:before="0" w:line="259" w:lineRule="auto"/>
            </w:pPr>
            <w:r>
              <w:rPr>
                <w:rFonts w:ascii="Calibri" w:hAnsi="Calibri"/>
                <w:b w:val="0"/>
                <w:i w:val="0"/>
                <w:color w:val="212121"/>
                <w:sz w:val="16"/>
              </w:rPr>
              <w:t>Disc prolapse / nerve-root compression, cord or brain lesion, neurovascular contact of CN V</w:t>
            </w:r>
          </w:p>
        </w:tc>
        <w:tc>
          <w:tcPr>
            <w:tcW w:type="dxa" w:w="1036"/>
            <w:vAlign w:val="top"/>
          </w:tcPr>
          <w:p>
            <w:pPr>
              <w:spacing w:after="40" w:before="0" w:line="259" w:lineRule="auto"/>
            </w:pPr>
            <w:r>
              <w:rPr>
                <w:rFonts w:ascii="Calibri" w:hAnsi="Calibri"/>
                <w:b w:val="0"/>
                <w:i w:val="0"/>
                <w:color w:val="212121"/>
                <w:sz w:val="16"/>
              </w:rPr>
              <w:t>Identifies structural and central causes (radiculopathy, stroke, cord injury, MS, trigeminal compression)</w:t>
            </w:r>
          </w:p>
        </w:tc>
        <w:tc>
          <w:tcPr>
            <w:tcW w:type="dxa" w:w="1036"/>
            <w:vAlign w:val="top"/>
          </w:tcPr>
          <w:p>
            <w:pPr>
              <w:spacing w:after="40" w:before="0" w:line="259" w:lineRule="auto"/>
            </w:pPr>
            <w:r>
              <w:rPr>
                <w:rFonts w:ascii="Calibri" w:hAnsi="Calibri"/>
                <w:b w:val="0"/>
                <w:i w:val="0"/>
                <w:color w:val="212121"/>
                <w:sz w:val="16"/>
              </w:rPr>
              <w:t>Radicular pain, central post-stroke / cord pain, trigeminal neuralgia</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MR angiography/FIESTA sequences assess neurovascular compression in trigeminal neuralgia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 / serology</w:t>
            </w:r>
          </w:p>
        </w:tc>
        <w:tc>
          <w:tcPr>
            <w:tcW w:type="dxa" w:w="1036"/>
            <w:vAlign w:val="top"/>
          </w:tcPr>
          <w:p>
            <w:pPr>
              <w:spacing w:after="40" w:before="0" w:line="259" w:lineRule="auto"/>
            </w:pPr>
            <w:r>
              <w:rPr>
                <w:rFonts w:ascii="Calibri" w:hAnsi="Calibri"/>
                <w:b w:val="0"/>
                <w:i w:val="0"/>
                <w:color w:val="212121"/>
                <w:sz w:val="16"/>
              </w:rPr>
              <w:t>Renal, TSH, HIV, ESR/CRP screen</w:t>
            </w:r>
          </w:p>
        </w:tc>
        <w:tc>
          <w:tcPr>
            <w:tcW w:type="dxa" w:w="892"/>
            <w:vAlign w:val="top"/>
          </w:tcPr>
          <w:p>
            <w:pPr>
              <w:spacing w:after="40" w:before="0" w:line="259" w:lineRule="auto"/>
            </w:pPr>
            <w:r>
              <w:rPr>
                <w:rFonts w:ascii="Calibri" w:hAnsi="Calibri"/>
                <w:b w:val="0"/>
                <w:i w:val="0"/>
                <w:color w:val="212121"/>
                <w:sz w:val="16"/>
              </w:rPr>
              <w:t>Second-line cause screen</w:t>
            </w:r>
          </w:p>
        </w:tc>
        <w:tc>
          <w:tcPr>
            <w:tcW w:type="dxa" w:w="950"/>
            <w:vAlign w:val="top"/>
          </w:tcPr>
          <w:p>
            <w:pPr>
              <w:spacing w:after="40" w:before="0" w:line="259" w:lineRule="auto"/>
            </w:pPr>
            <w:r>
              <w:rPr>
                <w:rFonts w:ascii="Calibri" w:hAnsi="Calibri"/>
                <w:b w:val="0"/>
                <w:i w:val="0"/>
                <w:color w:val="212121"/>
                <w:sz w:val="16"/>
              </w:rPr>
              <w:t>Normal eGFR &amp; TSH; negative serology</w:t>
            </w:r>
          </w:p>
        </w:tc>
        <w:tc>
          <w:tcPr>
            <w:tcW w:type="dxa" w:w="950"/>
            <w:vAlign w:val="top"/>
          </w:tcPr>
          <w:p>
            <w:pPr>
              <w:spacing w:after="40" w:before="0" w:line="259" w:lineRule="auto"/>
            </w:pPr>
            <w:r>
              <w:rPr>
                <w:rFonts w:ascii="Calibri" w:hAnsi="Calibri"/>
                <w:b w:val="0"/>
                <w:i w:val="0"/>
                <w:color w:val="212121"/>
                <w:sz w:val="16"/>
              </w:rPr>
              <w:t>Reduced eGFR (uraemic), raised TSH (hypothyroid), positive HIV, raised inflammatory markers</w:t>
            </w:r>
          </w:p>
        </w:tc>
        <w:tc>
          <w:tcPr>
            <w:tcW w:type="dxa" w:w="1036"/>
            <w:vAlign w:val="top"/>
          </w:tcPr>
          <w:p>
            <w:pPr>
              <w:spacing w:after="40" w:before="0" w:line="259" w:lineRule="auto"/>
            </w:pPr>
            <w:r>
              <w:rPr>
                <w:rFonts w:ascii="Calibri" w:hAnsi="Calibri"/>
                <w:b w:val="0"/>
                <w:i w:val="0"/>
                <w:color w:val="212121"/>
                <w:sz w:val="16"/>
              </w:rPr>
              <w:t>Uncovers uraemic, thyroid, infective and inflammatory causes/contributors</w:t>
            </w:r>
          </w:p>
        </w:tc>
        <w:tc>
          <w:tcPr>
            <w:tcW w:type="dxa" w:w="1036"/>
            <w:vAlign w:val="top"/>
          </w:tcPr>
          <w:p>
            <w:pPr>
              <w:spacing w:after="40" w:before="0" w:line="259" w:lineRule="auto"/>
            </w:pPr>
            <w:r>
              <w:rPr>
                <w:rFonts w:ascii="Calibri" w:hAnsi="Calibri"/>
                <w:b w:val="0"/>
                <w:i w:val="0"/>
                <w:color w:val="212121"/>
                <w:sz w:val="16"/>
              </w:rPr>
              <w:t>Unexplained, atypical or rapidly progressive painful neuropathy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Renal function also guides gabapentinoid dosing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 / questionnaire</w:t>
            </w:r>
          </w:p>
        </w:tc>
        <w:tc>
          <w:tcPr>
            <w:tcW w:type="dxa" w:w="950"/>
            <w:vAlign w:val="top"/>
          </w:tcPr>
          <w:p>
            <w:pPr>
              <w:spacing w:after="40" w:before="0" w:line="259" w:lineRule="auto"/>
            </w:pPr>
            <w:r>
              <w:rPr>
                <w:rFonts w:ascii="Calibri" w:hAnsi="Calibri"/>
                <w:b w:val="0"/>
                <w:i w:val="0"/>
                <w:color w:val="212121"/>
                <w:sz w:val="16"/>
              </w:rPr>
              <w:t>Pain characterisation (DN4 / painDETECT)</w:t>
            </w:r>
          </w:p>
        </w:tc>
        <w:tc>
          <w:tcPr>
            <w:tcW w:type="dxa" w:w="979"/>
            <w:vAlign w:val="top"/>
          </w:tcPr>
          <w:p>
            <w:pPr>
              <w:spacing w:after="40" w:before="0" w:line="259" w:lineRule="auto"/>
            </w:pPr>
            <w:r>
              <w:rPr>
                <w:rFonts w:ascii="Calibri" w:hAnsi="Calibri"/>
                <w:b w:val="0"/>
                <w:i w:val="0"/>
                <w:color w:val="212121"/>
                <w:sz w:val="16"/>
              </w:rPr>
              <w:t>Burning, shooting, electric-shock pain; tingling, numbness; neuroanatomical distribution</w:t>
            </w:r>
          </w:p>
        </w:tc>
        <w:tc>
          <w:tcPr>
            <w:tcW w:type="dxa" w:w="950"/>
            <w:vAlign w:val="top"/>
          </w:tcPr>
          <w:p>
            <w:pPr>
              <w:spacing w:after="40" w:before="0" w:line="259" w:lineRule="auto"/>
            </w:pPr>
            <w:r>
              <w:rPr>
                <w:rFonts w:ascii="Calibri" w:hAnsi="Calibri"/>
                <w:b w:val="0"/>
                <w:i w:val="0"/>
                <w:color w:val="212121"/>
                <w:sz w:val="16"/>
              </w:rPr>
              <w:t>Nociceptive descriptors only; DN4 &lt; 4</w:t>
            </w:r>
          </w:p>
        </w:tc>
        <w:tc>
          <w:tcPr>
            <w:tcW w:type="dxa" w:w="950"/>
            <w:vAlign w:val="top"/>
          </w:tcPr>
          <w:p>
            <w:pPr>
              <w:spacing w:after="40" w:before="0" w:line="259" w:lineRule="auto"/>
            </w:pPr>
            <w:r>
              <w:rPr>
                <w:rFonts w:ascii="Calibri" w:hAnsi="Calibri"/>
                <w:b w:val="0"/>
                <w:i w:val="0"/>
                <w:color w:val="212121"/>
                <w:sz w:val="16"/>
              </w:rPr>
              <w:t>Neuropathic descriptors; DN4 ≥ 4 / 10</w:t>
            </w:r>
          </w:p>
        </w:tc>
        <w:tc>
          <w:tcPr>
            <w:tcW w:type="dxa" w:w="1036"/>
            <w:vAlign w:val="top"/>
          </w:tcPr>
          <w:p>
            <w:pPr>
              <w:spacing w:after="40" w:before="0" w:line="259" w:lineRule="auto"/>
            </w:pPr>
            <w:r>
              <w:rPr>
                <w:rFonts w:ascii="Calibri" w:hAnsi="Calibri"/>
                <w:b w:val="0"/>
                <w:i w:val="0"/>
                <w:color w:val="212121"/>
                <w:sz w:val="16"/>
              </w:rPr>
              <w:t>Identifies and quantifies the neuropathic component and screens for it at the bedside</w:t>
            </w:r>
          </w:p>
        </w:tc>
        <w:tc>
          <w:tcPr>
            <w:tcW w:type="dxa" w:w="1036"/>
            <w:vAlign w:val="top"/>
          </w:tcPr>
          <w:p>
            <w:pPr>
              <w:spacing w:after="40" w:before="0" w:line="259" w:lineRule="auto"/>
            </w:pPr>
            <w:r>
              <w:rPr>
                <w:rFonts w:ascii="Calibri" w:hAnsi="Calibri"/>
                <w:b w:val="0"/>
                <w:i w:val="0"/>
                <w:color w:val="212121"/>
                <w:sz w:val="16"/>
              </w:rPr>
              <w:t>All patients with chronic or unexplained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DN4 combines symptom items with two bedside sensory tests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Sensory examination</w:t>
            </w:r>
          </w:p>
        </w:tc>
        <w:tc>
          <w:tcPr>
            <w:tcW w:type="dxa" w:w="950"/>
            <w:vAlign w:val="top"/>
          </w:tcPr>
          <w:p>
            <w:pPr>
              <w:spacing w:after="40" w:before="0" w:line="259" w:lineRule="auto"/>
            </w:pPr>
            <w:r>
              <w:rPr>
                <w:rFonts w:ascii="Calibri" w:hAnsi="Calibri"/>
                <w:b w:val="0"/>
                <w:i w:val="0"/>
                <w:color w:val="212121"/>
                <w:sz w:val="16"/>
              </w:rPr>
              <w:t>Bedside sensory testing</w:t>
            </w:r>
          </w:p>
        </w:tc>
        <w:tc>
          <w:tcPr>
            <w:tcW w:type="dxa" w:w="979"/>
            <w:vAlign w:val="top"/>
          </w:tcPr>
          <w:p>
            <w:pPr>
              <w:spacing w:after="40" w:before="0" w:line="259" w:lineRule="auto"/>
            </w:pPr>
            <w:r>
              <w:rPr>
                <w:rFonts w:ascii="Calibri" w:hAnsi="Calibri"/>
                <w:b w:val="0"/>
                <w:i w:val="0"/>
                <w:color w:val="212121"/>
                <w:sz w:val="16"/>
              </w:rPr>
              <w:t>Touch (brush), pinprick, thermal, vibration and position sense in the painful area</w:t>
            </w:r>
          </w:p>
        </w:tc>
        <w:tc>
          <w:tcPr>
            <w:tcW w:type="dxa" w:w="950"/>
            <w:vAlign w:val="top"/>
          </w:tcPr>
          <w:p>
            <w:pPr>
              <w:spacing w:after="40" w:before="0" w:line="259" w:lineRule="auto"/>
            </w:pPr>
            <w:r>
              <w:rPr>
                <w:rFonts w:ascii="Calibri" w:hAnsi="Calibri"/>
                <w:b w:val="0"/>
                <w:i w:val="0"/>
                <w:color w:val="212121"/>
                <w:sz w:val="16"/>
              </w:rPr>
              <w:t>Normal, symmetric sensation</w:t>
            </w:r>
          </w:p>
        </w:tc>
        <w:tc>
          <w:tcPr>
            <w:tcW w:type="dxa" w:w="950"/>
            <w:vAlign w:val="top"/>
          </w:tcPr>
          <w:p>
            <w:pPr>
              <w:spacing w:after="40" w:before="0" w:line="259" w:lineRule="auto"/>
            </w:pPr>
            <w:r>
              <w:rPr>
                <w:rFonts w:ascii="Calibri" w:hAnsi="Calibri"/>
                <w:b w:val="0"/>
                <w:i w:val="0"/>
                <w:color w:val="212121"/>
                <w:sz w:val="16"/>
              </w:rPr>
              <w:t>Allodynia, hyperalgesia (positive) or hypoaesthesia/hypoalgesia (negative)</w:t>
            </w:r>
          </w:p>
        </w:tc>
        <w:tc>
          <w:tcPr>
            <w:tcW w:type="dxa" w:w="1036"/>
            <w:vAlign w:val="top"/>
          </w:tcPr>
          <w:p>
            <w:pPr>
              <w:spacing w:after="40" w:before="0" w:line="259" w:lineRule="auto"/>
            </w:pPr>
            <w:r>
              <w:rPr>
                <w:rFonts w:ascii="Calibri" w:hAnsi="Calibri"/>
                <w:b w:val="0"/>
                <w:i w:val="0"/>
                <w:color w:val="212121"/>
                <w:sz w:val="16"/>
              </w:rPr>
              <w:t>Confirmatory sensory signs upgrade the diagnosis to ‘probable’ neuropathic pain</w:t>
            </w:r>
          </w:p>
        </w:tc>
        <w:tc>
          <w:tcPr>
            <w:tcW w:type="dxa" w:w="1036"/>
            <w:vAlign w:val="top"/>
          </w:tcPr>
          <w:p>
            <w:pPr>
              <w:spacing w:after="40" w:before="0" w:line="259" w:lineRule="auto"/>
            </w:pPr>
            <w:r>
              <w:rPr>
                <w:rFonts w:ascii="Calibri" w:hAnsi="Calibri"/>
                <w:b w:val="0"/>
                <w:i w:val="0"/>
                <w:color w:val="212121"/>
                <w:sz w:val="16"/>
              </w:rPr>
              <w:t>Suspected neuropathic pain of any cause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Signs must lie within a neuroanatomically plausible territory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Aetiological &amp; drug history</w:t>
            </w:r>
          </w:p>
        </w:tc>
        <w:tc>
          <w:tcPr>
            <w:tcW w:type="dxa" w:w="979"/>
            <w:vAlign w:val="top"/>
          </w:tcPr>
          <w:p>
            <w:pPr>
              <w:spacing w:after="40" w:before="0" w:line="259" w:lineRule="auto"/>
            </w:pPr>
            <w:r>
              <w:rPr>
                <w:rFonts w:ascii="Calibri" w:hAnsi="Calibri"/>
                <w:b w:val="0"/>
                <w:i w:val="0"/>
                <w:color w:val="212121"/>
                <w:sz w:val="16"/>
              </w:rPr>
              <w:t>Diabetes, herpes zoster, nerve trauma/surgery, chemotherapy, stroke, alcohol, diet</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An identifiable lesion or disease of the somatosensory system</w:t>
            </w:r>
          </w:p>
        </w:tc>
        <w:tc>
          <w:tcPr>
            <w:tcW w:type="dxa" w:w="1036"/>
            <w:vAlign w:val="top"/>
          </w:tcPr>
          <w:p>
            <w:pPr>
              <w:spacing w:after="40" w:before="0" w:line="259" w:lineRule="auto"/>
            </w:pPr>
            <w:r>
              <w:rPr>
                <w:rFonts w:ascii="Calibri" w:hAnsi="Calibri"/>
                <w:b w:val="0"/>
                <w:i w:val="0"/>
                <w:color w:val="212121"/>
                <w:sz w:val="16"/>
              </w:rPr>
              <w:t>Establishes the ‘lesion or disease’ required for the diagnosis and directs the work-up</w:t>
            </w:r>
          </w:p>
        </w:tc>
        <w:tc>
          <w:tcPr>
            <w:tcW w:type="dxa" w:w="1036"/>
            <w:vAlign w:val="top"/>
          </w:tcPr>
          <w:p>
            <w:pPr>
              <w:spacing w:after="40" w:before="0" w:line="259" w:lineRule="auto"/>
            </w:pPr>
            <w:r>
              <w:rPr>
                <w:rFonts w:ascii="Calibri" w:hAnsi="Calibri"/>
                <w:b w:val="0"/>
                <w:i w:val="0"/>
                <w:color w:val="212121"/>
                <w:sz w:val="16"/>
              </w:rPr>
              <w:t>All patients with suspected neuropathic pain</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shingles, chemotherapy and back/limb injury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Reflexes, motor &amp; monofilament</w:t>
            </w:r>
          </w:p>
        </w:tc>
        <w:tc>
          <w:tcPr>
            <w:tcW w:type="dxa" w:w="979"/>
            <w:vAlign w:val="top"/>
          </w:tcPr>
          <w:p>
            <w:pPr>
              <w:spacing w:after="40" w:before="0" w:line="259" w:lineRule="auto"/>
            </w:pPr>
            <w:r>
              <w:rPr>
                <w:rFonts w:ascii="Calibri" w:hAnsi="Calibri"/>
                <w:b w:val="0"/>
                <w:i w:val="0"/>
                <w:color w:val="212121"/>
                <w:sz w:val="16"/>
              </w:rPr>
              <w:t>Ankle reflexes, distal power/wasting, 10 g monofilament</w:t>
            </w:r>
          </w:p>
        </w:tc>
        <w:tc>
          <w:tcPr>
            <w:tcW w:type="dxa" w:w="950"/>
            <w:vAlign w:val="top"/>
          </w:tcPr>
          <w:p>
            <w:pPr>
              <w:spacing w:after="40" w:before="0" w:line="259" w:lineRule="auto"/>
            </w:pPr>
            <w:r>
              <w:rPr>
                <w:rFonts w:ascii="Calibri" w:hAnsi="Calibri"/>
                <w:b w:val="0"/>
                <w:i w:val="0"/>
                <w:color w:val="212121"/>
                <w:sz w:val="16"/>
              </w:rPr>
              <w:t>Reflexes present, normal power, sensation intact</w:t>
            </w:r>
          </w:p>
        </w:tc>
        <w:tc>
          <w:tcPr>
            <w:tcW w:type="dxa" w:w="950"/>
            <w:vAlign w:val="top"/>
          </w:tcPr>
          <w:p>
            <w:pPr>
              <w:spacing w:after="40" w:before="0" w:line="259" w:lineRule="auto"/>
            </w:pPr>
            <w:r>
              <w:rPr>
                <w:rFonts w:ascii="Calibri" w:hAnsi="Calibri"/>
                <w:b w:val="0"/>
                <w:i w:val="0"/>
                <w:color w:val="212121"/>
                <w:sz w:val="16"/>
              </w:rPr>
              <w:t>Absent ankle jerks, distal weakness, loss of protective sensation</w:t>
            </w:r>
          </w:p>
        </w:tc>
        <w:tc>
          <w:tcPr>
            <w:tcW w:type="dxa" w:w="1036"/>
            <w:vAlign w:val="top"/>
          </w:tcPr>
          <w:p>
            <w:pPr>
              <w:spacing w:after="40" w:before="0" w:line="259" w:lineRule="auto"/>
            </w:pPr>
            <w:r>
              <w:rPr>
                <w:rFonts w:ascii="Calibri" w:hAnsi="Calibri"/>
                <w:b w:val="0"/>
                <w:i w:val="0"/>
                <w:color w:val="212121"/>
                <w:sz w:val="16"/>
              </w:rPr>
              <w:t>Grades severity and identifies feet at risk of ulceration in painful diabetic neuropathy</w:t>
            </w:r>
          </w:p>
        </w:tc>
        <w:tc>
          <w:tcPr>
            <w:tcW w:type="dxa" w:w="1036"/>
            <w:vAlign w:val="top"/>
          </w:tcPr>
          <w:p>
            <w:pPr>
              <w:spacing w:after="40" w:before="0" w:line="259" w:lineRule="auto"/>
            </w:pPr>
            <w:r>
              <w:rPr>
                <w:rFonts w:ascii="Calibri" w:hAnsi="Calibri"/>
                <w:b w:val="0"/>
                <w:i w:val="0"/>
                <w:color w:val="212121"/>
                <w:sz w:val="16"/>
              </w:rPr>
              <w:t>Diabetics, established or advanced neuropathy</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Combine with visual foot inspection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Provocation tests</w:t>
            </w:r>
          </w:p>
        </w:tc>
        <w:tc>
          <w:tcPr>
            <w:tcW w:type="dxa" w:w="950"/>
            <w:vAlign w:val="top"/>
          </w:tcPr>
          <w:p>
            <w:pPr>
              <w:spacing w:after="40" w:before="0" w:line="259" w:lineRule="auto"/>
            </w:pPr>
            <w:r>
              <w:rPr>
                <w:rFonts w:ascii="Calibri" w:hAnsi="Calibri"/>
                <w:b w:val="0"/>
                <w:i w:val="0"/>
                <w:color w:val="212121"/>
                <w:sz w:val="16"/>
              </w:rPr>
              <w:t>Trigger &amp; nerve-tension testing</w:t>
            </w:r>
          </w:p>
        </w:tc>
        <w:tc>
          <w:tcPr>
            <w:tcW w:type="dxa" w:w="979"/>
            <w:vAlign w:val="top"/>
          </w:tcPr>
          <w:p>
            <w:pPr>
              <w:spacing w:after="40" w:before="0" w:line="259" w:lineRule="auto"/>
            </w:pPr>
            <w:r>
              <w:rPr>
                <w:rFonts w:ascii="Calibri" w:hAnsi="Calibri"/>
                <w:b w:val="0"/>
                <w:i w:val="0"/>
                <w:color w:val="212121"/>
                <w:sz w:val="16"/>
              </w:rPr>
              <w:t>Trigeminal trigger zones, straight-leg-raise (Lésegue), Tinel/Phalen</w:t>
            </w:r>
          </w:p>
        </w:tc>
        <w:tc>
          <w:tcPr>
            <w:tcW w:type="dxa" w:w="950"/>
            <w:vAlign w:val="top"/>
          </w:tcPr>
          <w:p>
            <w:pPr>
              <w:spacing w:after="40" w:before="0" w:line="259" w:lineRule="auto"/>
            </w:pPr>
            <w:r>
              <w:rPr>
                <w:rFonts w:ascii="Calibri" w:hAnsi="Calibri"/>
                <w:b w:val="0"/>
                <w:i w:val="0"/>
                <w:color w:val="212121"/>
                <w:sz w:val="16"/>
              </w:rPr>
              <w:t>No pain reproduction</w:t>
            </w:r>
          </w:p>
        </w:tc>
        <w:tc>
          <w:tcPr>
            <w:tcW w:type="dxa" w:w="950"/>
            <w:vAlign w:val="top"/>
          </w:tcPr>
          <w:p>
            <w:pPr>
              <w:spacing w:after="40" w:before="0" w:line="259" w:lineRule="auto"/>
            </w:pPr>
            <w:r>
              <w:rPr>
                <w:rFonts w:ascii="Calibri" w:hAnsi="Calibri"/>
                <w:b w:val="0"/>
                <w:i w:val="0"/>
                <w:color w:val="212121"/>
                <w:sz w:val="16"/>
              </w:rPr>
              <w:t>Paroxysm on light facial touch; positive SLR; positive Tinel/Phalen</w:t>
            </w:r>
          </w:p>
        </w:tc>
        <w:tc>
          <w:tcPr>
            <w:tcW w:type="dxa" w:w="1036"/>
            <w:vAlign w:val="top"/>
          </w:tcPr>
          <w:p>
            <w:pPr>
              <w:spacing w:after="40" w:before="0" w:line="259" w:lineRule="auto"/>
            </w:pPr>
            <w:r>
              <w:rPr>
                <w:rFonts w:ascii="Calibri" w:hAnsi="Calibri"/>
                <w:b w:val="0"/>
                <w:i w:val="0"/>
                <w:color w:val="212121"/>
                <w:sz w:val="16"/>
              </w:rPr>
              <w:t>Reproduces syndrome-specific neuropathic pain (trigeminal neuralgia, radiculopathy, entrapment)</w:t>
            </w:r>
          </w:p>
        </w:tc>
        <w:tc>
          <w:tcPr>
            <w:tcW w:type="dxa" w:w="1036"/>
            <w:vAlign w:val="top"/>
          </w:tcPr>
          <w:p>
            <w:pPr>
              <w:spacing w:after="40" w:before="0" w:line="259" w:lineRule="auto"/>
            </w:pPr>
            <w:r>
              <w:rPr>
                <w:rFonts w:ascii="Calibri" w:hAnsi="Calibri"/>
                <w:b w:val="0"/>
                <w:i w:val="0"/>
                <w:color w:val="212121"/>
                <w:sz w:val="16"/>
              </w:rPr>
              <w:t>Facial pain, sciatica, suspected entrapment</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Trigeminal paroxysms are triggered by chewing, talking, shaving or a breeze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Psychosocial screen</w:t>
            </w:r>
          </w:p>
        </w:tc>
        <w:tc>
          <w:tcPr>
            <w:tcW w:type="dxa" w:w="950"/>
            <w:vAlign w:val="top"/>
          </w:tcPr>
          <w:p>
            <w:pPr>
              <w:spacing w:after="40" w:before="0" w:line="259" w:lineRule="auto"/>
            </w:pPr>
            <w:r>
              <w:rPr>
                <w:rFonts w:ascii="Calibri" w:hAnsi="Calibri"/>
                <w:b w:val="0"/>
                <w:i w:val="0"/>
                <w:color w:val="212121"/>
                <w:sz w:val="16"/>
              </w:rPr>
              <w:t>Mood, sleep &amp; function assessment</w:t>
            </w:r>
          </w:p>
        </w:tc>
        <w:tc>
          <w:tcPr>
            <w:tcW w:type="dxa" w:w="979"/>
            <w:vAlign w:val="top"/>
          </w:tcPr>
          <w:p>
            <w:pPr>
              <w:spacing w:after="40" w:before="0" w:line="259" w:lineRule="auto"/>
            </w:pPr>
            <w:r>
              <w:rPr>
                <w:rFonts w:ascii="Calibri" w:hAnsi="Calibri"/>
                <w:b w:val="0"/>
                <w:i w:val="0"/>
                <w:color w:val="212121"/>
                <w:sz w:val="16"/>
              </w:rPr>
              <w:t>Depression/anxiety (HADS/PHQ-9), sleep, pain interference</w:t>
            </w:r>
          </w:p>
        </w:tc>
        <w:tc>
          <w:tcPr>
            <w:tcW w:type="dxa" w:w="950"/>
            <w:vAlign w:val="top"/>
          </w:tcPr>
          <w:p>
            <w:pPr>
              <w:spacing w:after="40" w:before="0" w:line="259" w:lineRule="auto"/>
            </w:pPr>
            <w:r>
              <w:rPr>
                <w:rFonts w:ascii="Calibri" w:hAnsi="Calibri"/>
                <w:b w:val="0"/>
                <w:i w:val="0"/>
                <w:color w:val="212121"/>
                <w:sz w:val="16"/>
              </w:rPr>
              <w:t>No mood disorder; preserved sleep and function</w:t>
            </w:r>
          </w:p>
        </w:tc>
        <w:tc>
          <w:tcPr>
            <w:tcW w:type="dxa" w:w="950"/>
            <w:vAlign w:val="top"/>
          </w:tcPr>
          <w:p>
            <w:pPr>
              <w:spacing w:after="40" w:before="0" w:line="259" w:lineRule="auto"/>
            </w:pPr>
            <w:r>
              <w:rPr>
                <w:rFonts w:ascii="Calibri" w:hAnsi="Calibri"/>
                <w:b w:val="0"/>
                <w:i w:val="0"/>
                <w:color w:val="212121"/>
                <w:sz w:val="16"/>
              </w:rPr>
              <w:t>Depression/anxiety, disturbed sleep, high pain interference</w:t>
            </w:r>
          </w:p>
        </w:tc>
        <w:tc>
          <w:tcPr>
            <w:tcW w:type="dxa" w:w="1036"/>
            <w:vAlign w:val="top"/>
          </w:tcPr>
          <w:p>
            <w:pPr>
              <w:spacing w:after="40" w:before="0" w:line="259" w:lineRule="auto"/>
            </w:pPr>
            <w:r>
              <w:rPr>
                <w:rFonts w:ascii="Calibri" w:hAnsi="Calibri"/>
                <w:b w:val="0"/>
                <w:i w:val="0"/>
                <w:color w:val="212121"/>
                <w:sz w:val="16"/>
              </w:rPr>
              <w:t>Detects the highly prevalent psychiatric comorbidity that maintains and amplifies pain</w:t>
            </w:r>
          </w:p>
        </w:tc>
        <w:tc>
          <w:tcPr>
            <w:tcW w:type="dxa" w:w="1036"/>
            <w:vAlign w:val="top"/>
          </w:tcPr>
          <w:p>
            <w:pPr>
              <w:spacing w:after="40" w:before="0" w:line="259" w:lineRule="auto"/>
            </w:pPr>
            <w:r>
              <w:rPr>
                <w:rFonts w:ascii="Calibri" w:hAnsi="Calibri"/>
                <w:b w:val="0"/>
                <w:i w:val="0"/>
                <w:color w:val="212121"/>
                <w:sz w:val="16"/>
              </w:rPr>
              <w:t>Chronic painful neuropathy of any cause</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Untreated mood and sleep disorders reduce treatment response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Burning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burning, often in the feet/hands or the affected territory; a hallmark of small-fibre and diabetic neuropathic pain.</w:t>
            </w:r>
          </w:p>
        </w:tc>
      </w:tr>
      <w:tr>
        <w:trPr>
          <w:cantSplit/>
        </w:trPr>
        <w:tc>
          <w:tcPr>
            <w:tcW w:type="dxa" w:w="2304"/>
            <w:vAlign w:val="top"/>
          </w:tcPr>
          <w:p>
            <w:pPr>
              <w:spacing w:after="40" w:before="0" w:line="259" w:lineRule="auto"/>
            </w:pPr>
            <w:r>
              <w:rPr>
                <w:rFonts w:ascii="Calibri" w:hAnsi="Calibri"/>
                <w:b/>
                <w:i w:val="0"/>
                <w:color w:val="212121"/>
                <w:sz w:val="19"/>
              </w:rPr>
              <w:t>Shooting / electric-shock (lancinating)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shock-like jolts along a nerve; classic in trigeminal neuralgia and radicular pain.</w:t>
            </w:r>
          </w:p>
        </w:tc>
      </w:tr>
      <w:tr>
        <w:trPr>
          <w:cantSplit/>
        </w:trPr>
        <w:tc>
          <w:tcPr>
            <w:tcW w:type="dxa" w:w="2304"/>
            <w:vAlign w:val="top"/>
          </w:tcPr>
          <w:p>
            <w:pPr>
              <w:spacing w:after="40" w:before="0" w:line="259" w:lineRule="auto"/>
            </w:pPr>
            <w:r>
              <w:rPr>
                <w:rFonts w:ascii="Calibri" w:hAnsi="Calibri"/>
                <w:b/>
                <w:i w:val="0"/>
                <w:color w:val="212121"/>
                <w:sz w:val="19"/>
              </w:rPr>
              <w:t>Tingling / pins-and-needles (paraesthesia)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Abnormal spontaneous sensation, frequently the earliest complaint.</w:t>
            </w:r>
          </w:p>
        </w:tc>
      </w:tr>
      <w:tr>
        <w:trPr>
          <w:cantSplit/>
        </w:trPr>
        <w:tc>
          <w:tcPr>
            <w:tcW w:type="dxa" w:w="2304"/>
            <w:vAlign w:val="top"/>
          </w:tcPr>
          <w:p>
            <w:pPr>
              <w:spacing w:after="40" w:before="0" w:line="259" w:lineRule="auto"/>
            </w:pPr>
            <w:r>
              <w:rPr>
                <w:rFonts w:ascii="Calibri" w:hAnsi="Calibri"/>
                <w:b/>
                <w:i w:val="0"/>
                <w:color w:val="212121"/>
                <w:sz w:val="19"/>
              </w:rPr>
              <w:t>Numbness / reduced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Negative sensory symptom in the painful area, often coexisting paradoxically with pain.</w:t>
            </w:r>
          </w:p>
        </w:tc>
      </w:tr>
      <w:tr>
        <w:trPr>
          <w:cantSplit/>
        </w:trPr>
        <w:tc>
          <w:tcPr>
            <w:tcW w:type="dxa" w:w="2304"/>
            <w:vAlign w:val="top"/>
          </w:tcPr>
          <w:p>
            <w:pPr>
              <w:spacing w:after="40" w:before="0" w:line="259" w:lineRule="auto"/>
            </w:pPr>
            <w:r>
              <w:rPr>
                <w:rFonts w:ascii="Calibri" w:hAnsi="Calibri"/>
                <w:b/>
                <w:i w:val="0"/>
                <w:color w:val="212121"/>
                <w:sz w:val="19"/>
              </w:rPr>
              <w:t>Allodynia (pain from light touch)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Clothing, bedsheets, a breeze or gentle touch perceived as painful due to sensitised pathways.</w:t>
            </w:r>
          </w:p>
        </w:tc>
      </w:tr>
      <w:tr>
        <w:trPr>
          <w:cantSplit/>
        </w:trPr>
        <w:tc>
          <w:tcPr>
            <w:tcW w:type="dxa" w:w="2304"/>
            <w:vAlign w:val="top"/>
          </w:tcPr>
          <w:p>
            <w:pPr>
              <w:spacing w:after="40" w:before="0" w:line="259" w:lineRule="auto"/>
            </w:pPr>
            <w:r>
              <w:rPr>
                <w:rFonts w:ascii="Calibri" w:hAnsi="Calibri"/>
                <w:b/>
                <w:i w:val="0"/>
                <w:color w:val="212121"/>
                <w:sz w:val="19"/>
              </w:rPr>
              <w:t>Hyperalgesia / hypersensitivity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Exaggerated pain to a mildly painful stimulus within the affected territory.</w:t>
            </w:r>
          </w:p>
        </w:tc>
      </w:tr>
      <w:tr>
        <w:trPr>
          <w:cantSplit/>
        </w:trPr>
        <w:tc>
          <w:tcPr>
            <w:tcW w:type="dxa" w:w="2304"/>
            <w:vAlign w:val="top"/>
          </w:tcPr>
          <w:p>
            <w:pPr>
              <w:spacing w:after="40" w:before="0" w:line="259" w:lineRule="auto"/>
            </w:pPr>
            <w:r>
              <w:rPr>
                <w:rFonts w:ascii="Calibri" w:hAnsi="Calibri"/>
                <w:b/>
                <w:i w:val="0"/>
                <w:color w:val="212121"/>
                <w:sz w:val="19"/>
              </w:rPr>
              <w:t>Cold- or touch-evoked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Cold, wind or contact triggers or intensifies pain, prominent in chemotherapy-induced and post-herpetic pain.</w:t>
            </w:r>
          </w:p>
        </w:tc>
      </w:tr>
      <w:tr>
        <w:trPr>
          <w:cantSplit/>
        </w:trPr>
        <w:tc>
          <w:tcPr>
            <w:tcW w:type="dxa" w:w="2304"/>
            <w:vAlign w:val="top"/>
          </w:tcPr>
          <w:p>
            <w:pPr>
              <w:spacing w:after="40" w:before="0" w:line="259" w:lineRule="auto"/>
            </w:pPr>
            <w:r>
              <w:rPr>
                <w:rFonts w:ascii="Calibri" w:hAnsi="Calibri"/>
                <w:b/>
                <w:i w:val="0"/>
                <w:color w:val="212121"/>
                <w:sz w:val="19"/>
              </w:rPr>
              <w:t>Pain worse at night / disturbed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Nocturnal exacerbation fragments sleep and lowers next-day pain tolerance.</w:t>
            </w:r>
          </w:p>
        </w:tc>
      </w:tr>
      <w:tr>
        <w:trPr>
          <w:cantSplit/>
        </w:trPr>
        <w:tc>
          <w:tcPr>
            <w:tcW w:type="dxa" w:w="2304"/>
            <w:vAlign w:val="top"/>
          </w:tcPr>
          <w:p>
            <w:pPr>
              <w:spacing w:after="40" w:before="0" w:line="259" w:lineRule="auto"/>
            </w:pPr>
            <w:r>
              <w:rPr>
                <w:rFonts w:ascii="Calibri" w:hAnsi="Calibri"/>
                <w:b/>
                <w:i w:val="0"/>
                <w:color w:val="212121"/>
                <w:sz w:val="19"/>
              </w:rPr>
              <w:t>Deep aching or cramping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deep, boring or cramping quality accompanying the superficial burning pain.</w:t>
            </w:r>
          </w:p>
        </w:tc>
      </w:tr>
      <w:tr>
        <w:trPr>
          <w:cantSplit/>
        </w:trPr>
        <w:tc>
          <w:tcPr>
            <w:tcW w:type="dxa" w:w="2304"/>
            <w:vAlign w:val="top"/>
          </w:tcPr>
          <w:p>
            <w:pPr>
              <w:spacing w:after="40" w:before="0" w:line="259" w:lineRule="auto"/>
            </w:pPr>
            <w:r>
              <w:rPr>
                <w:rFonts w:ascii="Calibri" w:hAnsi="Calibri"/>
                <w:b/>
                <w:i w:val="0"/>
                <w:color w:val="212121"/>
                <w:sz w:val="19"/>
              </w:rPr>
              <w:t>Itching, crawling or ‘tight-band’ dysaesthesia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Unpleasant abnormal sensations, including a constricting or crawling feeling.</w:t>
            </w:r>
          </w:p>
        </w:tc>
      </w:tr>
      <w:tr>
        <w:trPr>
          <w:cantSplit/>
        </w:trPr>
        <w:tc>
          <w:tcPr>
            <w:tcW w:type="dxa" w:w="2304"/>
            <w:vAlign w:val="top"/>
          </w:tcPr>
          <w:p>
            <w:pPr>
              <w:spacing w:after="40" w:before="0" w:line="259" w:lineRule="auto"/>
            </w:pPr>
            <w:r>
              <w:rPr>
                <w:rFonts w:ascii="Calibri" w:hAnsi="Calibri"/>
                <w:b/>
                <w:i w:val="0"/>
                <w:color w:val="212121"/>
                <w:sz w:val="19"/>
              </w:rPr>
              <w:t>Paroxysms triggered by chewing / talking / shaving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Brief, severe facial-pain attacks characteristic of trigeminal neuralgia.</w:t>
            </w:r>
          </w:p>
        </w:tc>
      </w:tr>
      <w:tr>
        <w:trPr>
          <w:cantSplit/>
        </w:trPr>
        <w:tc>
          <w:tcPr>
            <w:tcW w:type="dxa" w:w="2304"/>
            <w:vAlign w:val="top"/>
          </w:tcPr>
          <w:p>
            <w:pPr>
              <w:spacing w:after="40" w:before="0" w:line="259" w:lineRule="auto"/>
            </w:pPr>
            <w:r>
              <w:rPr>
                <w:rFonts w:ascii="Calibri" w:hAnsi="Calibri"/>
                <w:b/>
                <w:i w:val="0"/>
                <w:color w:val="212121"/>
                <w:sz w:val="19"/>
              </w:rPr>
              <w:t>Low mood, anxiety and fatigue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pain drives depression and anxiety, which in turn amplify pain perception.</w:t>
            </w:r>
          </w:p>
        </w:tc>
      </w:tr>
      <w:tr>
        <w:trPr>
          <w:cantSplit/>
        </w:trPr>
        <w:tc>
          <w:tcPr>
            <w:tcW w:type="dxa" w:w="2304"/>
            <w:vAlign w:val="top"/>
          </w:tcPr>
          <w:p>
            <w:pPr>
              <w:spacing w:after="40" w:before="0" w:line="259" w:lineRule="auto"/>
            </w:pPr>
            <w:r>
              <w:rPr>
                <w:rFonts w:ascii="Calibri" w:hAnsi="Calibri"/>
                <w:b/>
                <w:i w:val="0"/>
                <w:color w:val="212121"/>
                <w:sz w:val="19"/>
              </w:rPr>
              <w:t>Phantom-limb or post-amputation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Painful sensations perceived in an amputated limb after nerve injury.</w:t>
            </w:r>
          </w:p>
        </w:tc>
      </w:tr>
      <w:tr>
        <w:trPr>
          <w:cantSplit/>
        </w:trPr>
        <w:tc>
          <w:tcPr>
            <w:tcW w:type="dxa" w:w="2304"/>
            <w:vAlign w:val="top"/>
          </w:tcPr>
          <w:p>
            <w:pPr>
              <w:spacing w:after="40" w:before="0" w:line="259" w:lineRule="auto"/>
            </w:pPr>
            <w:r>
              <w:rPr>
                <w:rFonts w:ascii="Calibri" w:hAnsi="Calibri"/>
                <w:b/>
                <w:i w:val="0"/>
                <w:color w:val="212121"/>
                <w:sz w:val="19"/>
              </w:rPr>
              <w:t>Central post-stroke ‘thalamic’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often burning hemibody pain after a central somatosensory-pathway stroke.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Dynamic / static mechanical allodynia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light brushing or gentle pressure within the affected territory — a positive sensory sign.</w:t>
            </w:r>
          </w:p>
        </w:tc>
      </w:tr>
      <w:tr>
        <w:trPr>
          <w:cantSplit/>
        </w:trPr>
        <w:tc>
          <w:tcPr>
            <w:tcW w:type="dxa" w:w="3456"/>
            <w:vAlign w:val="top"/>
          </w:tcPr>
          <w:p>
            <w:pPr>
              <w:spacing w:after="40" w:before="0" w:line="259" w:lineRule="auto"/>
            </w:pPr>
            <w:r>
              <w:rPr>
                <w:rFonts w:ascii="Calibri" w:hAnsi="Calibri"/>
                <w:b/>
                <w:i w:val="0"/>
                <w:color w:val="212121"/>
                <w:sz w:val="19"/>
              </w:rPr>
              <w:t>Pinprick hyperalgesia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Exaggerated, lingering pain to pinprick, indicating central sensitisation.</w:t>
            </w:r>
          </w:p>
        </w:tc>
      </w:tr>
      <w:tr>
        <w:trPr>
          <w:cantSplit/>
        </w:trPr>
        <w:tc>
          <w:tcPr>
            <w:tcW w:type="dxa" w:w="3456"/>
            <w:vAlign w:val="top"/>
          </w:tcPr>
          <w:p>
            <w:pPr>
              <w:spacing w:after="40" w:before="0" w:line="259" w:lineRule="auto"/>
            </w:pPr>
            <w:r>
              <w:rPr>
                <w:rFonts w:ascii="Calibri" w:hAnsi="Calibri"/>
                <w:b/>
                <w:i w:val="0"/>
                <w:color w:val="212121"/>
                <w:sz w:val="19"/>
              </w:rPr>
              <w:t>Hypoaesthesia / hypoalgesia in a nerve territory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touch or pain sensation in a neuroanatomically plausible distribution (negative sign).</w:t>
            </w:r>
          </w:p>
        </w:tc>
      </w:tr>
      <w:tr>
        <w:trPr>
          <w:cantSplit/>
        </w:trPr>
        <w:tc>
          <w:tcPr>
            <w:tcW w:type="dxa" w:w="3456"/>
            <w:vAlign w:val="top"/>
          </w:tcPr>
          <w:p>
            <w:pPr>
              <w:spacing w:after="40" w:before="0" w:line="259" w:lineRule="auto"/>
            </w:pPr>
            <w:r>
              <w:rPr>
                <w:rFonts w:ascii="Calibri" w:hAnsi="Calibri"/>
                <w:b/>
                <w:i w:val="0"/>
                <w:color w:val="212121"/>
                <w:sz w:val="19"/>
              </w:rPr>
              <w:t>Impaired thermal / pinprick sensation (small fibre)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temperature and sharp discrimination in a stocking or dermatomal pattern.</w:t>
            </w:r>
          </w:p>
        </w:tc>
      </w:tr>
      <w:tr>
        <w:trPr>
          <w:cantSplit/>
        </w:trPr>
        <w:tc>
          <w:tcPr>
            <w:tcW w:type="dxa" w:w="3456"/>
            <w:vAlign w:val="top"/>
          </w:tcPr>
          <w:p>
            <w:pPr>
              <w:spacing w:after="40" w:before="0" w:line="259" w:lineRule="auto"/>
            </w:pPr>
            <w:r>
              <w:rPr>
                <w:rFonts w:ascii="Calibri" w:hAnsi="Calibri"/>
                <w:b/>
                <w:i w:val="0"/>
                <w:color w:val="212121"/>
                <w:sz w:val="19"/>
              </w:rPr>
              <w:t>Impaired vibration / proprioception (large fibre)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128 Hz tuning-fork and position sense, notably in diabetic and B12 neuropathy.</w:t>
            </w:r>
          </w:p>
        </w:tc>
      </w:tr>
      <w:tr>
        <w:trPr>
          <w:cantSplit/>
        </w:trPr>
        <w:tc>
          <w:tcPr>
            <w:tcW w:type="dxa" w:w="3456"/>
            <w:vAlign w:val="top"/>
          </w:tcPr>
          <w:p>
            <w:pPr>
              <w:spacing w:after="40" w:before="0" w:line="259" w:lineRule="auto"/>
            </w:pPr>
            <w:r>
              <w:rPr>
                <w:rFonts w:ascii="Calibri" w:hAnsi="Calibri"/>
                <w:b/>
                <w:i w:val="0"/>
                <w:color w:val="212121"/>
                <w:sz w:val="19"/>
              </w:rPr>
              <w:t>Reduced or absent ankle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Sensitive early sign of distal sensorimotor involvement.</w:t>
            </w:r>
          </w:p>
        </w:tc>
      </w:tr>
      <w:tr>
        <w:trPr>
          <w:cantSplit/>
        </w:trPr>
        <w:tc>
          <w:tcPr>
            <w:tcW w:type="dxa" w:w="3456"/>
            <w:vAlign w:val="top"/>
          </w:tcPr>
          <w:p>
            <w:pPr>
              <w:spacing w:after="40" w:before="0" w:line="259" w:lineRule="auto"/>
            </w:pPr>
            <w:r>
              <w:rPr>
                <w:rFonts w:ascii="Calibri" w:hAnsi="Calibri"/>
                <w:b/>
                <w:i w:val="0"/>
                <w:color w:val="212121"/>
                <w:sz w:val="19"/>
              </w:rPr>
              <w:t>Trigeminal trigger zones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Light touch to a facial ‘trigger’ area provokes a paroxysm of trigeminal neuralgia.</w:t>
            </w:r>
          </w:p>
        </w:tc>
      </w:tr>
      <w:tr>
        <w:trPr>
          <w:cantSplit/>
        </w:trPr>
        <w:tc>
          <w:tcPr>
            <w:tcW w:type="dxa" w:w="3456"/>
            <w:vAlign w:val="top"/>
          </w:tcPr>
          <w:p>
            <w:pPr>
              <w:spacing w:after="40" w:before="0" w:line="259" w:lineRule="auto"/>
            </w:pPr>
            <w:r>
              <w:rPr>
                <w:rFonts w:ascii="Calibri" w:hAnsi="Calibri"/>
                <w:b/>
                <w:i w:val="0"/>
                <w:color w:val="212121"/>
                <w:sz w:val="19"/>
              </w:rPr>
              <w:t>Positive straight-leg-raise (Lésegue)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Reproduces radicular/sciatic neuropathic pain from lumbar nerve-root compression.</w:t>
            </w:r>
          </w:p>
        </w:tc>
      </w:tr>
      <w:tr>
        <w:trPr>
          <w:cantSplit/>
        </w:trPr>
        <w:tc>
          <w:tcPr>
            <w:tcW w:type="dxa" w:w="3456"/>
            <w:vAlign w:val="top"/>
          </w:tcPr>
          <w:p>
            <w:pPr>
              <w:spacing w:after="40" w:before="0" w:line="259" w:lineRule="auto"/>
            </w:pPr>
            <w:r>
              <w:rPr>
                <w:rFonts w:ascii="Calibri" w:hAnsi="Calibri"/>
                <w:b/>
                <w:i w:val="0"/>
                <w:color w:val="212121"/>
                <w:sz w:val="19"/>
              </w:rPr>
              <w:t>Temporal summation / after-sensations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Repeated stimuli produce escalating and persistent pain, a marker of sensitisation.</w:t>
            </w:r>
          </w:p>
        </w:tc>
      </w:tr>
      <w:tr>
        <w:trPr>
          <w:cantSplit/>
        </w:trPr>
        <w:tc>
          <w:tcPr>
            <w:tcW w:type="dxa" w:w="3456"/>
            <w:vAlign w:val="top"/>
          </w:tcPr>
          <w:p>
            <w:pPr>
              <w:spacing w:after="40" w:before="0" w:line="259" w:lineRule="auto"/>
            </w:pPr>
            <w:r>
              <w:rPr>
                <w:rFonts w:ascii="Calibri" w:hAnsi="Calibri"/>
                <w:b/>
                <w:i w:val="0"/>
                <w:color w:val="212121"/>
                <w:sz w:val="19"/>
              </w:rPr>
              <w:t>Trophic / autonomic skin changes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Colour, temperature, sweating or nail changes in the painful area (CRPS-like features).</w:t>
            </w:r>
          </w:p>
        </w:tc>
      </w:tr>
      <w:tr>
        <w:trPr>
          <w:cantSplit/>
        </w:trPr>
        <w:tc>
          <w:tcPr>
            <w:tcW w:type="dxa" w:w="3456"/>
            <w:vAlign w:val="top"/>
          </w:tcPr>
          <w:p>
            <w:pPr>
              <w:spacing w:after="40" w:before="0" w:line="259" w:lineRule="auto"/>
            </w:pPr>
            <w:r>
              <w:rPr>
                <w:rFonts w:ascii="Calibri" w:hAnsi="Calibri"/>
                <w:b/>
                <w:i w:val="0"/>
                <w:color w:val="212121"/>
                <w:sz w:val="19"/>
              </w:rPr>
              <w:t>Loss of protective sensation (10 g monofilament)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Insensate plantar sites in painful diabetic neuropathy predict foot ulceration.</w:t>
            </w:r>
          </w:p>
        </w:tc>
      </w:tr>
      <w:tr>
        <w:trPr>
          <w:cantSplit/>
        </w:trPr>
        <w:tc>
          <w:tcPr>
            <w:tcW w:type="dxa" w:w="3456"/>
            <w:vAlign w:val="top"/>
          </w:tcPr>
          <w:p>
            <w:pPr>
              <w:spacing w:after="40" w:before="0" w:line="259" w:lineRule="auto"/>
            </w:pPr>
            <w:r>
              <w:rPr>
                <w:rFonts w:ascii="Calibri" w:hAnsi="Calibri"/>
                <w:b/>
                <w:i w:val="0"/>
                <w:color w:val="212121"/>
                <w:sz w:val="19"/>
              </w:rPr>
              <w:t>Distal muscle wasting / weakness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Motor involvement in advanced or mixed sensorimotor neuropathy.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intractable pain (burning, shooting, paroxysmal)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Allodynia and hyperalgesia limiting touch, clothing and daily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fatigue from nocturnal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concentration and physical function</w:t>
            </w:r>
          </w:p>
        </w:tc>
        <w:tc>
          <w:tcPr>
            <w:tcW w:type="dxa" w:w="2980"/>
            <w:vAlign w:val="top"/>
          </w:tcPr>
          <w:p>
            <w:pPr>
              <w:spacing w:after="40" w:before="0" w:line="259" w:lineRule="auto"/>
            </w:pPr>
            <w:r>
              <w:rPr>
                <w:rFonts w:ascii="Calibri" w:hAnsi="Calibri"/>
                <w:b w:val="0"/>
                <w:i w:val="0"/>
                <w:color w:val="212121"/>
                <w:sz w:val="19"/>
              </w:rPr>
              <w:t>Direct consequences of abnormal signalling in damaged somatosensory pathways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absenteeism, loss of income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 opioid overuse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and relationship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Deconditioning, and (in insensate diabetic feet) unnoticed injury and ulceration</w:t>
            </w:r>
          </w:p>
        </w:tc>
        <w:tc>
          <w:tcPr>
            <w:tcW w:type="dxa" w:w="2980"/>
            <w:vAlign w:val="top"/>
          </w:tcPr>
          <w:p>
            <w:pPr>
              <w:spacing w:after="40" w:before="0" w:line="259" w:lineRule="auto"/>
            </w:pPr>
            <w:r>
              <w:rPr>
                <w:rFonts w:ascii="Calibri" w:hAnsi="Calibri"/>
                <w:b w:val="0"/>
                <w:i w:val="0"/>
                <w:color w:val="212121"/>
                <w:sz w:val="19"/>
              </w:rPr>
              <w:t>Result from persistent pain, its psychological burden and maladaptive coping/treatment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Treatment-refractory pain requiring interventional therapy (nerve blocks, spinal cord stimulation, microvascular decompression)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sustained reduction in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Elevated risk of suicidality in severe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foot ulceration and amputation in advanced painful diabetic neuropathy</w:t>
            </w:r>
          </w:p>
        </w:tc>
        <w:tc>
          <w:tcPr>
            <w:tcW w:type="dxa" w:w="2980"/>
            <w:vAlign w:val="top"/>
          </w:tcPr>
          <w:p>
            <w:pPr>
              <w:spacing w:after="40" w:before="0" w:line="259" w:lineRule="auto"/>
            </w:pPr>
            <w:r>
              <w:rPr>
                <w:rFonts w:ascii="Calibri" w:hAnsi="Calibri"/>
                <w:b w:val="0"/>
                <w:i w:val="0"/>
                <w:color w:val="212121"/>
                <w:sz w:val="19"/>
              </w:rPr>
              <w:t>Irreversible, disabling outcomes of longstanding, poorly controlled neuropathic pain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 (painful diabetic neuropathy)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single commonest cause of neuropathic pain in India; chronic hyperglycaemia injures sensory fibres and pain often coexists with numbness.</w:t>
            </w:r>
          </w:p>
          <w:p>
            <w:pPr>
              <w:spacing w:after="40" w:before="0" w:line="259" w:lineRule="auto"/>
            </w:pPr>
            <w:r>
              <w:rPr>
                <w:rFonts w:ascii="Calibri" w:hAnsi="Calibri"/>
                <w:b/>
                <w:i w:val="0"/>
                <w:color w:val="212121"/>
                <w:sz w:val="19"/>
              </w:rPr>
              <w:t>~26% of diabetics</w:t>
            </w:r>
          </w:p>
        </w:tc>
      </w:tr>
      <w:tr>
        <w:trPr>
          <w:cantSplit/>
        </w:trPr>
        <w:tc>
          <w:tcPr>
            <w:tcW w:type="dxa" w:w="2232"/>
            <w:vAlign w:val="top"/>
          </w:tcPr>
          <w:p>
            <w:pPr>
              <w:spacing w:after="40" w:before="0" w:line="259" w:lineRule="auto"/>
            </w:pPr>
            <w:r>
              <w:rPr>
                <w:rFonts w:ascii="Calibri" w:hAnsi="Calibri"/>
                <w:b/>
                <w:i w:val="0"/>
                <w:color w:val="212121"/>
                <w:sz w:val="19"/>
              </w:rPr>
              <w:t>Post-herpetic neuralgia (herpes zoster)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Varicella-zoster reactivation damages sensory ganglia, leaving refractory neuralgia, especially in the elderly; vaccination reduces incidence.</w:t>
            </w:r>
          </w:p>
          <w:p>
            <w:pPr>
              <w:spacing w:after="40" w:before="0" w:line="259" w:lineRule="auto"/>
            </w:pPr>
            <w:r>
              <w:rPr>
                <w:rFonts w:ascii="Calibri" w:hAnsi="Calibri"/>
                <w:b/>
                <w:i w:val="0"/>
                <w:color w:val="212121"/>
                <w:sz w:val="19"/>
              </w:rPr>
              <w:t>~10–55% of zoster cases</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neuropathic pain and depression reinforce each other through shared monoaminergic and inflammatory pathways; depression worsens pain, sleep and adherence.</w:t>
            </w:r>
          </w:p>
          <w:p>
            <w:pPr>
              <w:spacing w:after="40" w:before="0" w:line="259" w:lineRule="auto"/>
            </w:pPr>
            <w:r>
              <w:rPr>
                <w:rFonts w:ascii="Calibri" w:hAnsi="Calibri"/>
                <w:b/>
                <w:i w:val="0"/>
                <w:color w:val="212121"/>
                <w:sz w:val="19"/>
              </w:rPr>
              <w:t>Up to ~66%</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alongside neuropathic pain and amplify pain perception and disability; screening and treatment improve outcomes.</w:t>
            </w:r>
          </w:p>
          <w:p>
            <w:pPr>
              <w:spacing w:after="40" w:before="0" w:line="259" w:lineRule="auto"/>
            </w:pPr>
            <w:r>
              <w:rPr>
                <w:rFonts w:ascii="Calibri" w:hAnsi="Calibri"/>
                <w:b/>
                <w:i w:val="0"/>
                <w:color w:val="212121"/>
                <w:sz w:val="19"/>
              </w:rPr>
              <w:t>Up to ~74%</w:t>
            </w:r>
          </w:p>
        </w:tc>
      </w:tr>
      <w:tr>
        <w:trPr>
          <w:cantSplit/>
        </w:trPr>
        <w:tc>
          <w:tcPr>
            <w:tcW w:type="dxa" w:w="2232"/>
            <w:vAlign w:val="top"/>
          </w:tcPr>
          <w:p>
            <w:pPr>
              <w:spacing w:after="40" w:before="0" w:line="259" w:lineRule="auto"/>
            </w:pPr>
            <w:r>
              <w:rPr>
                <w:rFonts w:ascii="Calibri" w:hAnsi="Calibri"/>
                <w:b/>
                <w:i w:val="0"/>
                <w:color w:val="212121"/>
                <w:sz w:val="19"/>
              </w:rPr>
              <w:t>Insomnia / 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Neuropathic pain is characteristically nocturnal and fragments sleep; poor sleep in turn lowers pain thresholds.</w:t>
            </w:r>
          </w:p>
        </w:tc>
      </w:tr>
      <w:tr>
        <w:trPr>
          <w:cantSplit/>
        </w:trPr>
        <w:tc>
          <w:tcPr>
            <w:tcW w:type="dxa" w:w="2232"/>
            <w:vAlign w:val="top"/>
          </w:tcPr>
          <w:p>
            <w:pPr>
              <w:spacing w:after="40" w:before="0" w:line="259" w:lineRule="auto"/>
            </w:pPr>
            <w:r>
              <w:rPr>
                <w:rFonts w:ascii="Calibri" w:hAnsi="Calibri"/>
                <w:b/>
                <w:i w:val="0"/>
                <w:color w:val="212121"/>
                <w:sz w:val="19"/>
              </w:rPr>
              <w:t>Chronic low back pain / radiculopathy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large share of chronic low back pain carries a neuropathic (radicular) component that requires specific therapy.</w:t>
            </w:r>
          </w:p>
          <w:p>
            <w:pPr>
              <w:spacing w:after="40" w:before="0" w:line="259" w:lineRule="auto"/>
            </w:pPr>
            <w:r>
              <w:rPr>
                <w:rFonts w:ascii="Calibri" w:hAnsi="Calibri"/>
                <w:b/>
                <w:i w:val="0"/>
                <w:color w:val="212121"/>
                <w:sz w:val="19"/>
              </w:rPr>
              <w:t>~37% neuropathic component</w:t>
            </w:r>
          </w:p>
        </w:tc>
      </w:tr>
      <w:tr>
        <w:trPr>
          <w:cantSplit/>
        </w:trPr>
        <w:tc>
          <w:tcPr>
            <w:tcW w:type="dxa" w:w="2232"/>
            <w:vAlign w:val="top"/>
          </w:tcPr>
          <w:p>
            <w:pPr>
              <w:spacing w:after="40" w:before="0" w:line="259" w:lineRule="auto"/>
            </w:pPr>
            <w:r>
              <w:rPr>
                <w:rFonts w:ascii="Calibri" w:hAnsi="Calibri"/>
                <w:b/>
                <w:i w:val="0"/>
                <w:color w:val="212121"/>
                <w:sz w:val="19"/>
              </w:rPr>
              <w:t>Cancer &amp; chemotherapy-induced neuropathy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Neurotoxic chemotherapy causes painful peripheral neuropathy that may persist for years and limit further cancer treatment.</w:t>
            </w:r>
          </w:p>
        </w:tc>
      </w:tr>
      <w:tr>
        <w:trPr>
          <w:cantSplit/>
        </w:trPr>
        <w:tc>
          <w:tcPr>
            <w:tcW w:type="dxa" w:w="2232"/>
            <w:vAlign w:val="top"/>
          </w:tcPr>
          <w:p>
            <w:pPr>
              <w:spacing w:after="40" w:before="0" w:line="259" w:lineRule="auto"/>
            </w:pPr>
            <w:r>
              <w:rPr>
                <w:rFonts w:ascii="Calibri" w:hAnsi="Calibri"/>
                <w:b/>
                <w:i w:val="0"/>
                <w:color w:val="212121"/>
                <w:sz w:val="19"/>
              </w:rPr>
              <w:t>Stroke / spinal cord injury (central pain)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Central somatosensory-pathway lesions produce severe, treatment-resistant central neuropathic pain.</w:t>
            </w:r>
          </w:p>
        </w:tc>
      </w:tr>
      <w:tr>
        <w:trPr>
          <w:cantSplit/>
        </w:trPr>
        <w:tc>
          <w:tcPr>
            <w:tcW w:type="dxa" w:w="2232"/>
            <w:vAlign w:val="top"/>
          </w:tcPr>
          <w:p>
            <w:pPr>
              <w:spacing w:after="40" w:before="0" w:line="259" w:lineRule="auto"/>
            </w:pPr>
            <w:r>
              <w:rPr>
                <w:rFonts w:ascii="Calibri" w:hAnsi="Calibri"/>
                <w:b/>
                <w:i w:val="0"/>
                <w:color w:val="212121"/>
                <w:sz w:val="19"/>
              </w:rPr>
              <w:t>Vitamin B12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 treatable, reversible cause of painful sensory neuropathy, endemic in vegetarian India and precipitated by metformin.</w:t>
            </w:r>
          </w:p>
        </w:tc>
      </w:tr>
      <w:tr>
        <w:trPr>
          <w:cantSplit/>
        </w:trPr>
        <w:tc>
          <w:tcPr>
            <w:tcW w:type="dxa" w:w="2232"/>
            <w:vAlign w:val="top"/>
          </w:tcPr>
          <w:p>
            <w:pPr>
              <w:spacing w:after="40" w:before="0" w:line="259" w:lineRule="auto"/>
            </w:pPr>
            <w:r>
              <w:rPr>
                <w:rFonts w:ascii="Calibri" w:hAnsi="Calibri"/>
                <w:b/>
                <w:i w:val="0"/>
                <w:color w:val="212121"/>
                <w:sz w:val="19"/>
              </w:rPr>
              <w:t>Chronic kidney disease (uraemia)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and worsens painful neuropathy and alters clearance of gabapentinoids, mandating dose adjustment.</w:t>
            </w:r>
          </w:p>
        </w:tc>
      </w:tr>
      <w:tr>
        <w:trPr>
          <w:cantSplit/>
        </w:trPr>
        <w:tc>
          <w:tcPr>
            <w:tcW w:type="dxa" w:w="2232"/>
            <w:vAlign w:val="top"/>
          </w:tcPr>
          <w:p>
            <w:pPr>
              <w:spacing w:after="40" w:before="0" w:line="259" w:lineRule="auto"/>
            </w:pPr>
            <w:r>
              <w:rPr>
                <w:rFonts w:ascii="Calibri" w:hAnsi="Calibri"/>
                <w:b/>
                <w:i w:val="0"/>
                <w:color w:val="212121"/>
                <w:sz w:val="19"/>
              </w:rPr>
              <w:t>Multiple sclerosis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Demyelinating CNS lesions cause central neuropathic pain and predispose to trigeminal neuralgia.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character of nerve pain — burning, shooting, electric-shock, tingling or pain from light touch — and seek medical assessment early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diabetes or prediabetes, keep blood sugar and HbA1c in target, as good glycaemic control is the most effective way to prevent painful diabetic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over 50 and the immunocompromised should ask about the shingles (herpes zoster) vaccine, which lowers the risk of zoster and post-herpetic neuralgia.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ordinary painkillers (paracetamol, NSAIDs) often do not work for nerve pain, which needs specific medicines such as gabapentin, pregabalin, amitriptyline or duloxetine.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or worsening nerve pain after shingles, injury, surgery or chemotherapy promptly — early treatment improves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Inspect insensate feet daily, wear well-fitted footwear and avoid barefoot walking to prevent unnoticed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and the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after shingles, injury or chemotherapy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unexplained burning or shooting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barefoot-walking populations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improve glycaemic control, nerve blood flow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graded strength and flexibility work, and core/posture exercises for radicular and back-related nerve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low-impact, non-weight-bearing exercise (cycling, swimming, chair exercises) if protective foot sensation is lost.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gentle pacing and graded activity to avoid pain flares while rebuilding function and reducing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exercise in proper footwear and check the feet before and after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painful diabetic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sciatica / back-related leg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or 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deconditioned by chronic pain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with whole grains and millets (ragi, jowar, bajra), pulses, non-starchy vegetables and controlled fruit to steady blood glucose.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B12 through dairy, eggs, fortified foods or supplements/injections if vegetarian, elderly or deficient.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thiamine and other B vitamins (whole grains, legumes, nuts), especially important for people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sugary drinks and ultra-processed foods that cause large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across meals and pair with protein/fibre to blunt postprandial peaks.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painful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Strict vegetarians /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poor intake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(7–9 hours) to reduce pain sensitivity and support glucose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night-time nerve pain with a clinician — evening dosing of pregabalin or amitriptyline can improve both pain and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good sleep hygiene: a cool, dark room, limited evening screens, alcohol and caffeine.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bed cradle or light bedding if allodynia makes sheets or clothing painful.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neuropathic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insomnia and chronic pain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 it accelerates nerve and small-vessel damage and worsens diabetic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medicines) and quitline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harms microvascular 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quitting reduces the risk of painful neuropathy progression, foot ulcers and cardiovascular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painful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peripheral arterial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stop alcohol — painful neuropathy risk rises with total lifetime intake, and abstinence allows partial nerve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dependent, seek structured support and de-addiction services; withdrawal should be medically supervised.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thiamine and B-complex supplementation as advised during and after reducing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nutrition, as much alcoholic neuropathy is compounded by vitamin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liver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affect the majority of people with neuropathic pain and worsen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relaxation, mindfulness and pain-coping strategies alongside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medicines that treat both pain and mood where appropriate (duloxetine, amitriptyline), under clinical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socially connected and consider pain support groups to reduce isolation and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help for hopelessness or suicidal thoughts, which can accompany severe chronic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painful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reduced mobility or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poor quality of life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avoid prolonged sitting to prevent insulin resistance and progression to diabetes and its painful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(BMI 18.5–24.9) to improve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good lifting technique and ergonomics to protect the spine and reduce radicular nerve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and resistance exercise for the greatest metabolic and neural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and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individuals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mpr.in/article/exploration-of-clinical-characteristics-and-treatment-patterns-in-painful-neuropathy-among-indian-patients-a-cross-sectional-study-2252/" TargetMode="External"/><Relationship Id="rId10" Type="http://schemas.openxmlformats.org/officeDocument/2006/relationships/hyperlink" Target="https://pmc.ncbi.nlm.nih.gov/articles/PMC8828134/" TargetMode="External"/><Relationship Id="rId11" Type="http://schemas.openxmlformats.org/officeDocument/2006/relationships/hyperlink" Target="https://pmc.ncbi.nlm.nih.gov/articles/PMC12802065/" TargetMode="External"/><Relationship Id="rId12" Type="http://schemas.openxmlformats.org/officeDocument/2006/relationships/hyperlink" Target="https://www.researchgate.net/publication/362585519_Prevalence_of_low_back_pain_in_India_A_systematic_review_and_meta-analysis" TargetMode="External"/><Relationship Id="rId13" Type="http://schemas.openxmlformats.org/officeDocument/2006/relationships/hyperlink" Target="https://www.iasp-pain.org/wp-content/uploads/2022/10/Epidemiology-of-Neuropathic-Pain.pdf" TargetMode="External"/><Relationship Id="rId14" Type="http://schemas.openxmlformats.org/officeDocument/2006/relationships/hyperlink" Target="https://pmc.ncbi.nlm.nih.gov/articles/PMC10571681/" TargetMode="External"/><Relationship Id="rId15" Type="http://schemas.openxmlformats.org/officeDocument/2006/relationships/hyperlink" Target="https://www.hindawi.com/journals/prm/2020/7408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