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Trigeminal Neuralgia</w:t>
      </w:r>
    </w:p>
    <w:p>
      <w:pPr>
        <w:spacing w:before="0" w:after="160"/>
      </w:pPr>
      <w:r>
        <w:rPr>
          <w:rFonts w:ascii="Calibri" w:hAnsi="Calibri"/>
          <w:b/>
          <w:i w:val="0"/>
          <w:color w:val="212121"/>
          <w:sz w:val="22"/>
        </w:rPr>
        <w:t xml:space="preserve">AKA </w:t>
      </w:r>
      <w:r>
        <w:rPr>
          <w:rFonts w:ascii="Calibri" w:hAnsi="Calibri"/>
          <w:b w:val="0"/>
          <w:i w:val="0"/>
          <w:color w:val="212121"/>
          <w:sz w:val="22"/>
        </w:rPr>
        <w:t>i.e., Tic douloureux, Trifacial neuralgia, Fothergill's disease, Prosopalgia, the 'Suicide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Trigeminal neuralgia (TN) is a chronic neuropathic facial-pain disorder characterised by recurrent, brief, paroxysmal attacks of severe, electric-shock-like, stabbing or shooting pain confined to one or more divisions of the trigeminal (fifth cranial) nerve, most often the maxillary (V2) and mandibular (V3) divisions. The pain is strictly unilateral, abrupt in onset and termination, lasts from a fraction of a second to about two minutes, and is characteristically triggered by innocuous stimuli such as light touch, chewing, talking, tooth-brushing or cold air. Most cases arise from neurovascular compression of the trigeminal nerve root, usually by the superior cerebellar artery, producing focal demyelination.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Trigeminal neuralgia is an uncommon but severely disabling facial-pain disorder. Population studies report an annual incidence of roughly 4-13 per 100,000 and an estimated lifetime prevalence of about 0.16-0.3%, so India - with its very large and progressively ageing population - carries a substantial absolute burden even though the condition remains widely under-recognised. It is about 1.5-1.7 times more common in women than men and usually begins after the age of 50. In Indian practice the pain is frequently mistaken for dental disease, leading to avoidable tooth extractions before the correct neurological diagnosis is made.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Trigeminal neuralgia is a clinical diagnosis based on the International Classification of Headache Disorders (ICHD-3). All of the following should be satisfied, with neuroimaging used to separate classical, idiopathic and secondary forms: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Recurrent paroxysms of unilateral facial pain confined to one or more divisions of the trigeminal nerve, without radiation beyond the trigeminal distribution;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Pain has all of the following: lasting from a fraction of a second to 2 minutes, severe intensity, and an electric shock-like, shooting, stabbing or sharp quality;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Pain is precipitated by innocuous stimuli within the affected trigeminal distribution (some attacks may be, or appear to be, spontaneous);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 other ICHD-3 diagnosis better accounts for the pain (dental, sinus, temporomandibular, cluster and SUNCT/SUNA causes excluded);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MRI of the brain with MR angiography and high-resolution (FIESTA/CISS) sequences is recommended to demonstrate neurovascular compression and to exclude secondary causes such as a multiple-sclerosis plaque or a cerebellopontine-angle tumour;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Features that raise suspicion of secondary TN - onset before age 40, bilateral pain, sensory loss, a depressed corneal reflex or other cranial-nerve signs - should prompt urgent imaging.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ICHD-3 recognises three aetiological categories, complemented by a clinical (Burchiel) typing that guides prognosis:</w:t>
      </w:r>
    </w:p>
    <w:p>
      <w:pPr>
        <w:spacing w:before="0" w:after="80"/>
      </w:pPr>
      <w:r>
        <w:rPr>
          <w:rFonts w:ascii="Calibri" w:hAnsi="Calibri"/>
          <w:b w:val="0"/>
          <w:i w:val="0"/>
          <w:color w:val="212121"/>
          <w:sz w:val="21"/>
        </w:rPr>
        <w:t>(1) Classical trigeminal neuralgia - caused by neurovascular compression (most often by the superior cerebellar artery) with demonstrable morphological change of the trigeminal root; subdivided into purely paroxysmal and with concomitant continuous pain;</w:t>
      </w:r>
    </w:p>
    <w:p>
      <w:pPr>
        <w:spacing w:before="0" w:after="80"/>
      </w:pPr>
      <w:r>
        <w:rPr>
          <w:rFonts w:ascii="Calibri" w:hAnsi="Calibri"/>
          <w:b w:val="0"/>
          <w:i w:val="0"/>
          <w:color w:val="212121"/>
          <w:sz w:val="21"/>
        </w:rPr>
        <w:t>(2) Secondary trigeminal neuralgia - due to an identifiable disease such as multiple sclerosis, a cerebellopontine-angle tumour (meningioma, vestibular schwannoma, epidermoid cyst) or an arteriovenous malformation; approximately 15% of all cases;</w:t>
      </w:r>
    </w:p>
    <w:p>
      <w:pPr>
        <w:spacing w:before="0" w:after="80"/>
      </w:pPr>
      <w:r>
        <w:rPr>
          <w:rFonts w:ascii="Calibri" w:hAnsi="Calibri"/>
          <w:b w:val="0"/>
          <w:i w:val="0"/>
          <w:color w:val="212121"/>
          <w:sz w:val="21"/>
        </w:rPr>
        <w:t>(3) Idiopathic trigeminal neuralgia - no cause demonstrable despite adequate MRI and electrophysiology; and</w:t>
      </w:r>
    </w:p>
    <w:p>
      <w:pPr>
        <w:spacing w:before="0" w:after="80"/>
      </w:pPr>
      <w:r>
        <w:rPr>
          <w:rFonts w:ascii="Calibri" w:hAnsi="Calibri"/>
          <w:b w:val="0"/>
          <w:i w:val="0"/>
          <w:color w:val="212121"/>
          <w:sz w:val="21"/>
        </w:rPr>
        <w:t>Clinically, Type 1 (TN1, predominantly paroxysmal/'typical') is distinguished from Type 2 (TN2, predominantly constant background pain/'atypical'), the latter tending to respond less well to medical and surgical therapy.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Neurovascular compression: Pulsatile compression of the trigeminal root-entry zone by a tortuous or aberrant vessel (the superior cerebellar artery in about 75-80%) causes focal demyelination and ephaptic cross-talk between fibres - the mechanism in 80-90% of cases.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Demyelination from multiple sclerosis: Pontine MS plaques along the trigeminal pathway produce secondary trigeminal neuralgia in roughly 2-4% of cases, often at a younger age and sometimes bilaterally.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Space-occupying lesions: Cerebellopontine-angle tumours (meningioma, vestibular schwannoma, epidermoid cyst) or arteriovenous malformations distort or compress the nerve.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Age-related vascular change and hypertension: Arterial elongation and ectasia with ageing, accelerated by hypertension, increase vessel-nerve contact and correlate with higher incidence.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Post-herpetic and traumatic injury: Prior herpes zoster of the trigeminal ganglion, facial or dental trauma and surgical nerve injury can cause trigeminal neuropathic pain.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Pharmacogenomic vulnerability (management factor): HLA-B*15:02, common in South and Southeast Asians, is not a cause of TN but strongly predisposes to carbamazepine-induced Stevens-Johnson syndrome / toxic epidermal necrolysis and must be screened for before treatment.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(40-59 years)</w:t>
            </w:r>
          </w:p>
        </w:tc>
        <w:tc>
          <w:tcPr>
            <w:tcW w:type="dxa" w:w="4276"/>
            <w:vAlign w:val="top"/>
          </w:tcPr>
          <w:p>
            <w:pPr>
              <w:spacing w:after="60" w:line="259" w:lineRule="auto"/>
            </w:pPr>
            <w:r>
              <w:rPr>
                <w:rFonts w:ascii="Calibri" w:hAnsi="Calibri"/>
                <w:b w:val="0"/>
                <w:i w:val="0"/>
                <w:color w:val="212121"/>
                <w:sz w:val="19"/>
              </w:rPr>
              <w:t>Incidence climbs from the fifth decade as arteries elongate and become more tortuous, increasing pulsatile contact with the trigeminal root-entry zone and provoking focal demyelination.</w:t>
            </w:r>
          </w:p>
          <w:p>
            <w:pPr>
              <w:spacing w:after="40" w:before="60" w:line="259" w:lineRule="auto"/>
            </w:pPr>
            <w:r>
              <w:rPr>
                <w:rFonts w:ascii="Calibri" w:hAnsi="Calibri"/>
                <w:b w:val="0"/>
                <w:i w:val="0"/>
                <w:color w:val="212121"/>
                <w:sz w:val="19"/>
              </w:rPr>
              <w:t>Trigeminal neuralgia most often begins after age 50; the annual incidence is about 4-13 per 100,000.</w:t>
            </w:r>
          </w:p>
          <w:p>
            <w:pPr>
              <w:spacing w:after="40" w:line="252" w:lineRule="auto"/>
            </w:pPr>
            <w:hyperlink r:id="rId9">
              <w:r>
                <w:rPr>
                  <w:rFonts w:ascii="Calibri" w:hAnsi="Calibri" w:cs="Calibri"/>
                  <w:sz w:val="18"/>
                  <w:color w:val="1155CC"/>
                  <w:u w:val="single"/>
                </w:rPr>
                <w:t xml:space="preserve">ncbi.nlm.nih.gov - StatPearls: Trigeminal Neuralgia</w:t>
              </w:r>
            </w:hyperlink>
          </w:p>
          <w:p>
            <w:pPr>
              <w:spacing w:before="60" w:after="40"/>
            </w:pPr>
            <w:r>
              <w:rPr>
                <w:rFonts w:ascii="Calibri" w:hAnsi="Calibri"/>
                <w:b w:val="0"/>
                <w:i w:val="0"/>
                <w:color w:val="5A5A5A"/>
                <w:sz w:val="18"/>
              </w:rPr>
              <w:t>#trigeminalneuralgia  #neurovascularconflict  #facialpain  #ageing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(&gt;=60 years)</w:t>
            </w:r>
          </w:p>
        </w:tc>
        <w:tc>
          <w:tcPr>
            <w:tcW w:type="dxa" w:w="4276"/>
            <w:vAlign w:val="top"/>
          </w:tcPr>
          <w:p>
            <w:pPr>
              <w:spacing w:after="60" w:line="259" w:lineRule="auto"/>
            </w:pPr>
            <w:r>
              <w:rPr>
                <w:rFonts w:ascii="Calibri" w:hAnsi="Calibri"/>
                <w:b w:val="0"/>
                <w:i w:val="0"/>
                <w:color w:val="212121"/>
                <w:sz w:val="19"/>
              </w:rPr>
              <w:t>Highest burden; age-related vascular ectasia plus commonly comorbid hypertension maximise neurovascular compression, while polypharmacy and frailty complicate anticonvulsant use.</w:t>
            </w:r>
          </w:p>
          <w:p>
            <w:pPr>
              <w:spacing w:after="40" w:before="60" w:line="259" w:lineRule="auto"/>
            </w:pPr>
            <w:r>
              <w:rPr>
                <w:rFonts w:ascii="Calibri" w:hAnsi="Calibri"/>
                <w:b w:val="0"/>
                <w:i w:val="0"/>
                <w:color w:val="212121"/>
                <w:sz w:val="19"/>
              </w:rPr>
              <w:t>Prevalence rises with age; in older adults, drug tolerability (sedation, hyponatraemia, falls) frequently limits therapy.</w:t>
            </w:r>
          </w:p>
          <w:p>
            <w:pPr>
              <w:spacing w:after="40" w:line="252" w:lineRule="auto"/>
            </w:pPr>
            <w:hyperlink r:id="rId9">
              <w:r>
                <w:rPr>
                  <w:rFonts w:ascii="Calibri" w:hAnsi="Calibri" w:cs="Calibri"/>
                  <w:sz w:val="18"/>
                  <w:color w:val="1155CC"/>
                  <w:u w:val="single"/>
                </w:rPr>
                <w:t xml:space="preserve">ncbi.nlm.nih.gov - StatPearls: Trigeminal Neuralgia</w:t>
              </w:r>
            </w:hyperlink>
          </w:p>
          <w:p>
            <w:pPr>
              <w:spacing w:before="60" w:after="40"/>
            </w:pPr>
            <w:r>
              <w:rPr>
                <w:rFonts w:ascii="Calibri" w:hAnsi="Calibri"/>
                <w:b w:val="0"/>
                <w:i w:val="0"/>
                <w:color w:val="5A5A5A"/>
                <w:sz w:val="18"/>
              </w:rPr>
              <w:t>#elderly  #polypharmacy  #hyponatraemia  #fallrisk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roughly 1.5-1.7 times more often than men; hormonal and vascular influences are proposed but not fully established.</w:t>
            </w:r>
          </w:p>
          <w:p>
            <w:pPr>
              <w:spacing w:after="40" w:before="60" w:line="259" w:lineRule="auto"/>
            </w:pPr>
            <w:r>
              <w:rPr>
                <w:rFonts w:ascii="Calibri" w:hAnsi="Calibri"/>
                <w:b w:val="0"/>
                <w:i w:val="0"/>
                <w:color w:val="212121"/>
                <w:sz w:val="19"/>
              </w:rPr>
              <w:t>Female-to-male prevalence ratio is about 1.5-1.7 : 1.</w:t>
            </w:r>
          </w:p>
          <w:p>
            <w:pPr>
              <w:spacing w:after="40" w:line="252" w:lineRule="auto"/>
            </w:pPr>
            <w:hyperlink r:id="rId9">
              <w:r>
                <w:rPr>
                  <w:rFonts w:ascii="Calibri" w:hAnsi="Calibri" w:cs="Calibri"/>
                  <w:sz w:val="18"/>
                  <w:color w:val="1155CC"/>
                  <w:u w:val="single"/>
                </w:rPr>
                <w:t xml:space="preserve">ncbi.nlm.nih.gov - StatPearls: Trigeminal Neuralgia</w:t>
              </w:r>
            </w:hyperlink>
          </w:p>
          <w:p>
            <w:pPr>
              <w:spacing w:before="60" w:after="40"/>
            </w:pPr>
            <w:r>
              <w:rPr>
                <w:rFonts w:ascii="Calibri" w:hAnsi="Calibri"/>
                <w:b w:val="0"/>
                <w:i w:val="0"/>
                <w:color w:val="5A5A5A"/>
                <w:sz w:val="18"/>
              </w:rPr>
              <w:t>#femalepredominance  #ticdouloureux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Rural and low-income populations (India)</w:t>
            </w:r>
          </w:p>
        </w:tc>
        <w:tc>
          <w:tcPr>
            <w:tcW w:type="dxa" w:w="4276"/>
            <w:vAlign w:val="top"/>
          </w:tcPr>
          <w:p>
            <w:pPr>
              <w:spacing w:after="60" w:line="259" w:lineRule="auto"/>
            </w:pPr>
            <w:r>
              <w:rPr>
                <w:rFonts w:ascii="Calibri" w:hAnsi="Calibri"/>
                <w:b w:val="0"/>
                <w:i w:val="0"/>
                <w:color w:val="212121"/>
                <w:sz w:val="19"/>
              </w:rPr>
              <w:t>Limited access to neurology, MRI and neurosurgery delays correct diagnosis; pain is often misattributed to dental disease, leading to repeated tooth extractions, and definitive microvascular decompression may be unavailable so peripheral neurectomy is used.</w:t>
            </w:r>
          </w:p>
          <w:p>
            <w:pPr>
              <w:spacing w:after="40" w:before="60" w:line="259" w:lineRule="auto"/>
            </w:pPr>
            <w:r>
              <w:rPr>
                <w:rFonts w:ascii="Calibri" w:hAnsi="Calibri"/>
                <w:b w:val="0"/>
                <w:i w:val="0"/>
                <w:color w:val="212121"/>
                <w:sz w:val="19"/>
              </w:rPr>
              <w:t>Peripheral neurectomy is often preferred for older patients in remote areas without neurosurgical access.</w:t>
            </w:r>
          </w:p>
          <w:p>
            <w:pPr>
              <w:spacing w:after="40" w:line="252" w:lineRule="auto"/>
            </w:pPr>
            <w:hyperlink r:id="rId9">
              <w:r>
                <w:rPr>
                  <w:rFonts w:ascii="Calibri" w:hAnsi="Calibri" w:cs="Calibri"/>
                  <w:sz w:val="18"/>
                  <w:color w:val="1155CC"/>
                  <w:u w:val="single"/>
                </w:rPr>
                <w:t xml:space="preserve">ncbi.nlm.nih.gov - StatPearls: Trigeminal Neuralgia</w:t>
              </w:r>
            </w:hyperlink>
          </w:p>
          <w:p>
            <w:pPr>
              <w:spacing w:before="60" w:after="40"/>
            </w:pPr>
            <w:r>
              <w:rPr>
                <w:rFonts w:ascii="Calibri" w:hAnsi="Calibri"/>
                <w:b w:val="0"/>
                <w:i w:val="0"/>
                <w:color w:val="5A5A5A"/>
                <w:sz w:val="18"/>
              </w:rPr>
              <w:t>#accessgap  #ruralindia  #misdiagnosis  #dentalextraction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 Indian ancestry (HLA-B*15:02 carriers)</w:t>
            </w:r>
          </w:p>
        </w:tc>
        <w:tc>
          <w:tcPr>
            <w:tcW w:type="dxa" w:w="4276"/>
            <w:vAlign w:val="top"/>
          </w:tcPr>
          <w:p>
            <w:pPr>
              <w:spacing w:after="60" w:line="259" w:lineRule="auto"/>
            </w:pPr>
            <w:r>
              <w:rPr>
                <w:rFonts w:ascii="Calibri" w:hAnsi="Calibri"/>
                <w:b w:val="0"/>
                <w:i w:val="0"/>
                <w:color w:val="212121"/>
                <w:sz w:val="19"/>
              </w:rPr>
              <w:t>Carbamazepine, the first-line drug, can cause Stevens-Johnson syndrome / toxic epidermal necrolysis in HLA-B*15:02 carriers - an allele markedly more common in South and Southeast Asian populations - so genotyping is advised before starting the drug.</w:t>
            </w:r>
          </w:p>
          <w:p>
            <w:pPr>
              <w:spacing w:after="40" w:before="60" w:line="259" w:lineRule="auto"/>
            </w:pPr>
            <w:r>
              <w:rPr>
                <w:rFonts w:ascii="Calibri" w:hAnsi="Calibri"/>
                <w:b w:val="0"/>
                <w:i w:val="0"/>
                <w:color w:val="212121"/>
                <w:sz w:val="19"/>
              </w:rPr>
              <w:t>HLA-B*15:02 testing is recommended in patients of Asian ancestry before starting carbamazepine because of a strong association with SJS/TEN.</w:t>
            </w:r>
          </w:p>
          <w:p>
            <w:pPr>
              <w:spacing w:after="40" w:line="252" w:lineRule="auto"/>
            </w:pPr>
            <w:hyperlink r:id="rId9">
              <w:r>
                <w:rPr>
                  <w:rFonts w:ascii="Calibri" w:hAnsi="Calibri" w:cs="Calibri"/>
                  <w:sz w:val="18"/>
                  <w:color w:val="1155CC"/>
                  <w:u w:val="single"/>
                </w:rPr>
                <w:t xml:space="preserve">ncbi.nlm.nih.gov - StatPearls: Trigeminal Neuralgia</w:t>
              </w:r>
            </w:hyperlink>
          </w:p>
          <w:p>
            <w:pPr>
              <w:spacing w:before="60" w:after="40"/>
            </w:pPr>
            <w:r>
              <w:rPr>
                <w:rFonts w:ascii="Calibri" w:hAnsi="Calibri"/>
                <w:b w:val="0"/>
                <w:i w:val="0"/>
                <w:color w:val="5A5A5A"/>
                <w:sz w:val="18"/>
              </w:rPr>
              <w:t>#HLAB1502  #pharmacogenomics  #carbamazepine  #SJS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cold exposure</w:t>
            </w:r>
          </w:p>
        </w:tc>
        <w:tc>
          <w:tcPr>
            <w:tcW w:type="dxa" w:w="2160"/>
            <w:vAlign w:val="top"/>
          </w:tcPr>
          <w:p>
            <w:pPr>
              <w:spacing w:after="40" w:before="0" w:line="259" w:lineRule="auto"/>
            </w:pPr>
            <w:r>
              <w:rPr>
                <w:rFonts w:ascii="Calibri" w:hAnsi="Calibri"/>
                <w:b w:val="0"/>
                <w:i w:val="0"/>
                <w:color w:val="212121"/>
                <w:sz w:val="19"/>
              </w:rPr>
              <w:t>Residents of cold or high-altitude regions; winter months</w:t>
            </w:r>
          </w:p>
        </w:tc>
        <w:tc>
          <w:tcPr>
            <w:tcW w:type="dxa" w:w="4276"/>
            <w:vAlign w:val="top"/>
          </w:tcPr>
          <w:p>
            <w:pPr>
              <w:spacing w:after="60" w:line="259" w:lineRule="auto"/>
            </w:pPr>
            <w:r>
              <w:rPr>
                <w:rFonts w:ascii="Calibri" w:hAnsi="Calibri"/>
                <w:b w:val="0"/>
                <w:i w:val="0"/>
                <w:color w:val="212121"/>
                <w:sz w:val="19"/>
              </w:rPr>
              <w:t>Cold wind and cold air blowing on the face are classic triggers that precipitate paroxysms, so exposure-heavy environments and seasons increase attack frequency.</w:t>
            </w:r>
          </w:p>
          <w:p>
            <w:pPr>
              <w:spacing w:after="40" w:before="60" w:line="259" w:lineRule="auto"/>
            </w:pPr>
            <w:r>
              <w:rPr>
                <w:rFonts w:ascii="Calibri" w:hAnsi="Calibri"/>
                <w:b w:val="0"/>
                <w:i w:val="0"/>
                <w:color w:val="212121"/>
                <w:sz w:val="19"/>
              </w:rPr>
              <w:t>Wind and cold-air exposure to the face are recognised triggers of attacks.</w:t>
            </w:r>
          </w:p>
          <w:p>
            <w:pPr>
              <w:spacing w:after="40" w:line="252" w:lineRule="auto"/>
            </w:pPr>
            <w:hyperlink r:id="rId10">
              <w:r>
                <w:rPr>
                  <w:rFonts w:ascii="Calibri" w:hAnsi="Calibri" w:cs="Calibri"/>
                  <w:sz w:val="18"/>
                  <w:color w:val="1155CC"/>
                  <w:u w:val="single"/>
                </w:rPr>
                <w:t xml:space="preserve">mayoclinic.org - Trigeminal neuralgia</w:t>
              </w:r>
            </w:hyperlink>
          </w:p>
          <w:p>
            <w:pPr>
              <w:spacing w:before="60" w:after="40"/>
            </w:pPr>
            <w:r>
              <w:rPr>
                <w:rFonts w:ascii="Calibri" w:hAnsi="Calibri"/>
                <w:b w:val="0"/>
                <w:i w:val="0"/>
                <w:color w:val="5A5A5A"/>
                <w:sz w:val="18"/>
              </w:rPr>
              <w:t>#coldtrigger  #windtrigger  #winter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w:t>
            </w:r>
          </w:p>
        </w:tc>
        <w:tc>
          <w:tcPr>
            <w:tcW w:type="dxa" w:w="4276"/>
            <w:vAlign w:val="top"/>
          </w:tcPr>
          <w:p>
            <w:pPr>
              <w:spacing w:after="60" w:line="259" w:lineRule="auto"/>
            </w:pPr>
            <w:r>
              <w:rPr>
                <w:rFonts w:ascii="Calibri" w:hAnsi="Calibri"/>
                <w:b w:val="0"/>
                <w:i w:val="0"/>
                <w:color w:val="212121"/>
                <w:sz w:val="19"/>
              </w:rPr>
              <w:t>Inactivity is not a direct cause but promotes hypertension and obesity, which are associated with higher trigeminal neuralgia incidence, and deconditioning worsens with pain-related activity avoidance.</w:t>
            </w:r>
          </w:p>
          <w:p>
            <w:pPr>
              <w:spacing w:after="40" w:before="60" w:line="259" w:lineRule="auto"/>
            </w:pPr>
            <w:r>
              <w:rPr>
                <w:rFonts w:ascii="Calibri" w:hAnsi="Calibri"/>
                <w:b w:val="0"/>
                <w:i w:val="0"/>
                <w:color w:val="212121"/>
                <w:sz w:val="19"/>
              </w:rPr>
              <w:t>Hypertension, aggravated by inactivity, is associated with a modestly higher incidence.</w:t>
            </w:r>
          </w:p>
          <w:p>
            <w:pPr>
              <w:spacing w:after="40" w:line="252" w:lineRule="auto"/>
            </w:pPr>
            <w:hyperlink r:id="rId10">
              <w:r>
                <w:rPr>
                  <w:rFonts w:ascii="Calibri" w:hAnsi="Calibri" w:cs="Calibri"/>
                  <w:sz w:val="18"/>
                  <w:color w:val="1155CC"/>
                  <w:u w:val="single"/>
                </w:rPr>
                <w:t xml:space="preserve">mayoclinic.org - Trigeminal neuralgia</w:t>
              </w:r>
            </w:hyperlink>
          </w:p>
          <w:p>
            <w:pPr>
              <w:spacing w:before="60" w:after="40"/>
            </w:pPr>
            <w:r>
              <w:rPr>
                <w:rFonts w:ascii="Calibri" w:hAnsi="Calibri"/>
                <w:b w:val="0"/>
                <w:i w:val="0"/>
                <w:color w:val="5A5A5A"/>
                <w:sz w:val="18"/>
              </w:rPr>
              <w:t>#sedentary  #hypertension  #indirectrisk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Adults with BMI 25-29.9 kg/m2</w:t>
            </w:r>
          </w:p>
        </w:tc>
        <w:tc>
          <w:tcPr>
            <w:tcW w:type="dxa" w:w="4276"/>
            <w:vAlign w:val="top"/>
          </w:tcPr>
          <w:p>
            <w:pPr>
              <w:spacing w:after="60" w:line="259" w:lineRule="auto"/>
            </w:pPr>
            <w:r>
              <w:rPr>
                <w:rFonts w:ascii="Calibri" w:hAnsi="Calibri"/>
                <w:b w:val="0"/>
                <w:i w:val="0"/>
                <w:color w:val="212121"/>
                <w:sz w:val="19"/>
              </w:rPr>
              <w:t>Excess weight contributes to hypertension and vascular change - the recognised association with trigeminal neuralgia - and also raises anaesthetic and surgical risk if decompression becomes necessary.</w:t>
            </w:r>
          </w:p>
          <w:p>
            <w:pPr>
              <w:spacing w:after="40" w:before="60" w:line="259" w:lineRule="auto"/>
            </w:pPr>
            <w:r>
              <w:rPr>
                <w:rFonts w:ascii="Calibri" w:hAnsi="Calibri"/>
                <w:b w:val="0"/>
                <w:i w:val="0"/>
                <w:color w:val="212121"/>
                <w:sz w:val="19"/>
              </w:rPr>
              <w:t>Hypertension, more common with excess weight, is a recognised associated factor.</w:t>
            </w:r>
          </w:p>
          <w:p>
            <w:pPr>
              <w:spacing w:after="40" w:line="252" w:lineRule="auto"/>
            </w:pPr>
            <w:hyperlink r:id="rId10">
              <w:r>
                <w:rPr>
                  <w:rFonts w:ascii="Calibri" w:hAnsi="Calibri" w:cs="Calibri"/>
                  <w:sz w:val="18"/>
                  <w:color w:val="1155CC"/>
                  <w:u w:val="single"/>
                </w:rPr>
                <w:t xml:space="preserve">mayoclinic.org - Trigeminal neuralgia</w:t>
              </w:r>
            </w:hyperlink>
          </w:p>
          <w:p>
            <w:pPr>
              <w:spacing w:before="60" w:after="40"/>
            </w:pPr>
            <w:r>
              <w:rPr>
                <w:rFonts w:ascii="Calibri" w:hAnsi="Calibri"/>
                <w:b w:val="0"/>
                <w:i w:val="0"/>
                <w:color w:val="5A5A5A"/>
                <w:sz w:val="18"/>
              </w:rPr>
              <w:t>#overweight  #bloodpressure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Adults with BMI &gt;=30 kg/m2</w:t>
            </w:r>
          </w:p>
        </w:tc>
        <w:tc>
          <w:tcPr>
            <w:tcW w:type="dxa" w:w="4276"/>
            <w:vAlign w:val="top"/>
          </w:tcPr>
          <w:p>
            <w:pPr>
              <w:spacing w:after="60" w:line="259" w:lineRule="auto"/>
            </w:pPr>
            <w:r>
              <w:rPr>
                <w:rFonts w:ascii="Calibri" w:hAnsi="Calibri"/>
                <w:b w:val="0"/>
                <w:i w:val="0"/>
                <w:color w:val="212121"/>
                <w:sz w:val="19"/>
              </w:rPr>
              <w:t>Obesity amplifies hypertension and obstructive sleep apnoea; hypertension is linked to higher incidence, and obesity increases peri-operative risk for microvascular decompression.</w:t>
            </w:r>
          </w:p>
          <w:p>
            <w:pPr>
              <w:spacing w:after="40" w:before="60" w:line="259" w:lineRule="auto"/>
            </w:pPr>
            <w:r>
              <w:rPr>
                <w:rFonts w:ascii="Calibri" w:hAnsi="Calibri"/>
                <w:b w:val="0"/>
                <w:i w:val="0"/>
                <w:color w:val="212121"/>
                <w:sz w:val="19"/>
              </w:rPr>
              <w:t>Hypertension and obesity-related vascular change are associated with the disorder.</w:t>
            </w:r>
          </w:p>
          <w:p>
            <w:pPr>
              <w:spacing w:after="40" w:line="252" w:lineRule="auto"/>
            </w:pPr>
            <w:hyperlink r:id="rId10">
              <w:r>
                <w:rPr>
                  <w:rFonts w:ascii="Calibri" w:hAnsi="Calibri" w:cs="Calibri"/>
                  <w:sz w:val="18"/>
                  <w:color w:val="1155CC"/>
                  <w:u w:val="single"/>
                </w:rPr>
                <w:t xml:space="preserve">mayoclinic.org - Trigeminal neuralgia</w:t>
              </w:r>
            </w:hyperlink>
          </w:p>
          <w:p>
            <w:pPr>
              <w:spacing w:before="60" w:after="40"/>
            </w:pPr>
            <w:r>
              <w:rPr>
                <w:rFonts w:ascii="Calibri" w:hAnsi="Calibri"/>
                <w:b w:val="0"/>
                <w:i w:val="0"/>
                <w:color w:val="5A5A5A"/>
                <w:sz w:val="18"/>
              </w:rPr>
              <w:t>#obesity  #OSA  #surgicalrisk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Nicotine and cold-air inhalation can trigger paroxysms, and smoking accelerates the vascular disease implicated in neurovascular compression while worsening surgical outcomes and healing.</w:t>
            </w:r>
          </w:p>
          <w:p>
            <w:pPr>
              <w:spacing w:before="60" w:after="40"/>
            </w:pPr>
            <w:r>
              <w:rPr>
                <w:rFonts w:ascii="Calibri" w:hAnsi="Calibri"/>
                <w:b w:val="0"/>
                <w:i w:val="0"/>
                <w:color w:val="5A5A5A"/>
                <w:sz w:val="18"/>
              </w:rPr>
              <w:t>#smoking  #vascularrisk  #trigger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or heavy drinkers</w:t>
            </w:r>
          </w:p>
        </w:tc>
        <w:tc>
          <w:tcPr>
            <w:tcW w:type="dxa" w:w="4276"/>
            <w:vAlign w:val="top"/>
          </w:tcPr>
          <w:p>
            <w:pPr>
              <w:spacing w:after="60" w:line="259" w:lineRule="auto"/>
            </w:pPr>
            <w:r>
              <w:rPr>
                <w:rFonts w:ascii="Calibri" w:hAnsi="Calibri"/>
                <w:b w:val="0"/>
                <w:i w:val="0"/>
                <w:color w:val="212121"/>
                <w:sz w:val="19"/>
              </w:rPr>
              <w:t>Alcohol can precipitate attacks in some patients and interacts with carbamazepine and oxcarbazepine, increasing sedation and the risk of hyponatraemia; heavy use also impairs medication adherence.</w:t>
            </w:r>
          </w:p>
          <w:p>
            <w:pPr>
              <w:spacing w:before="60" w:after="40"/>
            </w:pPr>
            <w:r>
              <w:rPr>
                <w:rFonts w:ascii="Calibri" w:hAnsi="Calibri"/>
                <w:b w:val="0"/>
                <w:i w:val="0"/>
                <w:color w:val="5A5A5A"/>
                <w:sz w:val="18"/>
              </w:rPr>
              <w:t>#alcohol  #treatmentinteraction  #hyponatraemia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 / mastication</w:t>
            </w:r>
          </w:p>
        </w:tc>
        <w:tc>
          <w:tcPr>
            <w:tcW w:type="dxa" w:w="2160"/>
            <w:vAlign w:val="top"/>
          </w:tcPr>
          <w:p>
            <w:pPr>
              <w:spacing w:after="40" w:before="0" w:line="259" w:lineRule="auto"/>
            </w:pPr>
            <w:r>
              <w:rPr>
                <w:rFonts w:ascii="Calibri" w:hAnsi="Calibri"/>
                <w:b w:val="0"/>
                <w:i w:val="0"/>
                <w:color w:val="212121"/>
                <w:sz w:val="19"/>
              </w:rPr>
              <w:t>Diets needing vigorous chewing; very hot or very cold foods and drinks</w:t>
            </w:r>
          </w:p>
        </w:tc>
        <w:tc>
          <w:tcPr>
            <w:tcW w:type="dxa" w:w="4276"/>
            <w:vAlign w:val="top"/>
          </w:tcPr>
          <w:p>
            <w:pPr>
              <w:spacing w:after="60" w:line="259" w:lineRule="auto"/>
            </w:pPr>
            <w:r>
              <w:rPr>
                <w:rFonts w:ascii="Calibri" w:hAnsi="Calibri"/>
                <w:b w:val="0"/>
                <w:i w:val="0"/>
                <w:color w:val="212121"/>
                <w:sz w:val="19"/>
              </w:rPr>
              <w:t>Chewing hard foods and hot or cold food and drink are common triggers, so patients frequently avoid eating, drinking and talking to prevent attacks.</w:t>
            </w:r>
          </w:p>
          <w:p>
            <w:pPr>
              <w:spacing w:after="40" w:before="60" w:line="259" w:lineRule="auto"/>
            </w:pPr>
            <w:r>
              <w:rPr>
                <w:rFonts w:ascii="Calibri" w:hAnsi="Calibri"/>
                <w:b w:val="0"/>
                <w:i w:val="0"/>
                <w:color w:val="212121"/>
                <w:sz w:val="19"/>
              </w:rPr>
              <w:t>Eating, drinking and chewing are recognised triggers of trigeminal neuralgia attacks.</w:t>
            </w:r>
          </w:p>
          <w:p>
            <w:pPr>
              <w:spacing w:after="40" w:line="252" w:lineRule="auto"/>
            </w:pPr>
            <w:hyperlink r:id="rId10">
              <w:r>
                <w:rPr>
                  <w:rFonts w:ascii="Calibri" w:hAnsi="Calibri" w:cs="Calibri"/>
                  <w:sz w:val="18"/>
                  <w:color w:val="1155CC"/>
                  <w:u w:val="single"/>
                </w:rPr>
                <w:t xml:space="preserve">mayoclinic.org - Trigeminal neuralgia</w:t>
              </w:r>
            </w:hyperlink>
          </w:p>
          <w:p>
            <w:pPr>
              <w:spacing w:before="60" w:after="40"/>
            </w:pPr>
            <w:r>
              <w:rPr>
                <w:rFonts w:ascii="Calibri" w:hAnsi="Calibri"/>
                <w:b w:val="0"/>
                <w:i w:val="0"/>
                <w:color w:val="5A5A5A"/>
                <w:sz w:val="18"/>
              </w:rPr>
              <w:t>#chewingtrigger  #hotcoldfood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Undernutrition</w:t>
            </w:r>
          </w:p>
        </w:tc>
        <w:tc>
          <w:tcPr>
            <w:tcW w:type="dxa" w:w="2160"/>
            <w:vAlign w:val="top"/>
          </w:tcPr>
          <w:p>
            <w:pPr>
              <w:spacing w:after="40" w:before="0" w:line="259" w:lineRule="auto"/>
            </w:pPr>
            <w:r>
              <w:rPr>
                <w:rFonts w:ascii="Calibri" w:hAnsi="Calibri"/>
                <w:b w:val="0"/>
                <w:i w:val="0"/>
                <w:color w:val="212121"/>
                <w:sz w:val="19"/>
              </w:rPr>
              <w:t>Patients avoiding oral intake</w:t>
            </w:r>
          </w:p>
        </w:tc>
        <w:tc>
          <w:tcPr>
            <w:tcW w:type="dxa" w:w="4276"/>
            <w:vAlign w:val="top"/>
          </w:tcPr>
          <w:p>
            <w:pPr>
              <w:spacing w:after="60" w:line="259" w:lineRule="auto"/>
            </w:pPr>
            <w:r>
              <w:rPr>
                <w:rFonts w:ascii="Calibri" w:hAnsi="Calibri"/>
                <w:b w:val="0"/>
                <w:i w:val="0"/>
                <w:color w:val="212121"/>
                <w:sz w:val="19"/>
              </w:rPr>
              <w:t>Fear of provoking pain during chewing and swallowing leads to reduced intake, unintentional weight loss, dehydration and micronutrient deficiency, especially in the elderly.</w:t>
            </w:r>
          </w:p>
          <w:p>
            <w:pPr>
              <w:spacing w:before="60" w:after="40"/>
            </w:pPr>
            <w:r>
              <w:rPr>
                <w:rFonts w:ascii="Calibri" w:hAnsi="Calibri"/>
                <w:b w:val="0"/>
                <w:i w:val="0"/>
                <w:color w:val="5A5A5A"/>
                <w:sz w:val="18"/>
              </w:rPr>
              <w:t>#weightloss  #malnutrition  #dehydration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Rare familial trigeminal neuralgia</w:t>
            </w:r>
          </w:p>
        </w:tc>
        <w:tc>
          <w:tcPr>
            <w:tcW w:type="dxa" w:w="4276"/>
            <w:vAlign w:val="top"/>
          </w:tcPr>
          <w:p>
            <w:pPr>
              <w:spacing w:after="60" w:line="259" w:lineRule="auto"/>
            </w:pPr>
            <w:r>
              <w:rPr>
                <w:rFonts w:ascii="Calibri" w:hAnsi="Calibri"/>
                <w:b w:val="0"/>
                <w:i w:val="0"/>
                <w:color w:val="212121"/>
                <w:sz w:val="19"/>
              </w:rPr>
              <w:t>Most cases are sporadic, but uncommon familial clustering and syndromic vascular anomalies suggest a minor heritable contribution to susceptibility to neurovascular conflict.</w:t>
            </w:r>
          </w:p>
          <w:p>
            <w:pPr>
              <w:spacing w:before="60" w:after="40"/>
            </w:pPr>
            <w:r>
              <w:rPr>
                <w:rFonts w:ascii="Calibri" w:hAnsi="Calibri"/>
                <w:b w:val="0"/>
                <w:i w:val="0"/>
                <w:color w:val="5A5A5A"/>
                <w:sz w:val="18"/>
              </w:rPr>
              <w:t>#familial  #heritability  #sporadic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Multiple sclerosis</w:t>
            </w:r>
          </w:p>
        </w:tc>
        <w:tc>
          <w:tcPr>
            <w:tcW w:type="dxa" w:w="2160"/>
            <w:vAlign w:val="top"/>
          </w:tcPr>
          <w:p>
            <w:pPr>
              <w:spacing w:after="40" w:before="0" w:line="259" w:lineRule="auto"/>
            </w:pPr>
            <w:r>
              <w:rPr>
                <w:rFonts w:ascii="Calibri" w:hAnsi="Calibri"/>
                <w:b w:val="0"/>
                <w:i w:val="0"/>
                <w:color w:val="212121"/>
                <w:sz w:val="19"/>
              </w:rPr>
              <w:t>Patients with multiple sclerosis</w:t>
            </w:r>
          </w:p>
        </w:tc>
        <w:tc>
          <w:tcPr>
            <w:tcW w:type="dxa" w:w="4276"/>
            <w:vAlign w:val="top"/>
          </w:tcPr>
          <w:p>
            <w:pPr>
              <w:spacing w:after="60" w:line="259" w:lineRule="auto"/>
            </w:pPr>
            <w:r>
              <w:rPr>
                <w:rFonts w:ascii="Calibri" w:hAnsi="Calibri"/>
                <w:b w:val="0"/>
                <w:i w:val="0"/>
                <w:color w:val="212121"/>
                <w:sz w:val="19"/>
              </w:rPr>
              <w:t>Demyelinating plaques in the pons along the trigeminal pathway cause secondary trigeminal neuralgia, which tends to occur at a younger age and may be bilateral.</w:t>
            </w:r>
          </w:p>
          <w:p>
            <w:pPr>
              <w:spacing w:after="40" w:before="60" w:line="259" w:lineRule="auto"/>
            </w:pPr>
            <w:r>
              <w:rPr>
                <w:rFonts w:ascii="Calibri" w:hAnsi="Calibri"/>
                <w:b w:val="0"/>
                <w:i w:val="0"/>
                <w:color w:val="212121"/>
                <w:sz w:val="19"/>
              </w:rPr>
              <w:t>Multiple sclerosis underlies roughly 2-4% of trigeminal neuralgia cases; TN is far more common in people with MS than in the general population.</w:t>
            </w:r>
          </w:p>
          <w:p>
            <w:pPr>
              <w:spacing w:after="40" w:line="252" w:lineRule="auto"/>
            </w:pPr>
            <w:hyperlink r:id="rId9">
              <w:r>
                <w:rPr>
                  <w:rFonts w:ascii="Calibri" w:hAnsi="Calibri" w:cs="Calibri"/>
                  <w:sz w:val="18"/>
                  <w:color w:val="1155CC"/>
                  <w:u w:val="single"/>
                </w:rPr>
                <w:t xml:space="preserve">ncbi.nlm.nih.gov - StatPearls: Trigeminal Neuralgia</w:t>
              </w:r>
            </w:hyperlink>
          </w:p>
          <w:p>
            <w:pPr>
              <w:spacing w:before="60" w:after="40"/>
            </w:pPr>
            <w:r>
              <w:rPr>
                <w:rFonts w:ascii="Calibri" w:hAnsi="Calibri"/>
                <w:b w:val="0"/>
                <w:i w:val="0"/>
                <w:color w:val="5A5A5A"/>
                <w:sz w:val="18"/>
              </w:rPr>
              <w:t>#multiplesclerosis  #demyelination  #secondaryTN  #bilateral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Adults with chronic high blood pressure</w:t>
            </w:r>
          </w:p>
        </w:tc>
        <w:tc>
          <w:tcPr>
            <w:tcW w:type="dxa" w:w="4276"/>
            <w:vAlign w:val="top"/>
          </w:tcPr>
          <w:p>
            <w:pPr>
              <w:spacing w:after="60" w:line="259" w:lineRule="auto"/>
            </w:pPr>
            <w:r>
              <w:rPr>
                <w:rFonts w:ascii="Calibri" w:hAnsi="Calibri"/>
                <w:b w:val="0"/>
                <w:i w:val="0"/>
                <w:color w:val="212121"/>
                <w:sz w:val="19"/>
              </w:rPr>
              <w:t>Chronic hypertension promotes arterial elongation and ectasia that increase neurovascular contact, and it correlates with a slightly higher incidence of trigeminal neuralgia.</w:t>
            </w:r>
          </w:p>
          <w:p>
            <w:pPr>
              <w:spacing w:after="40" w:before="60" w:line="259" w:lineRule="auto"/>
            </w:pPr>
            <w:r>
              <w:rPr>
                <w:rFonts w:ascii="Calibri" w:hAnsi="Calibri"/>
                <w:b w:val="0"/>
                <w:i w:val="0"/>
                <w:color w:val="212121"/>
                <w:sz w:val="19"/>
              </w:rPr>
              <w:t>Hypertension is associated with a modestly increased incidence of TN.</w:t>
            </w:r>
          </w:p>
          <w:p>
            <w:pPr>
              <w:spacing w:after="40" w:line="252" w:lineRule="auto"/>
            </w:pPr>
            <w:hyperlink r:id="rId10">
              <w:r>
                <w:rPr>
                  <w:rFonts w:ascii="Calibri" w:hAnsi="Calibri" w:cs="Calibri"/>
                  <w:sz w:val="18"/>
                  <w:color w:val="1155CC"/>
                  <w:u w:val="single"/>
                </w:rPr>
                <w:t xml:space="preserve">mayoclinic.org - Trigeminal neuralgia</w:t>
              </w:r>
            </w:hyperlink>
          </w:p>
          <w:p>
            <w:pPr>
              <w:spacing w:before="60" w:after="40"/>
            </w:pPr>
            <w:r>
              <w:rPr>
                <w:rFonts w:ascii="Calibri" w:hAnsi="Calibri"/>
                <w:b w:val="0"/>
                <w:i w:val="0"/>
                <w:color w:val="5A5A5A"/>
                <w:sz w:val="18"/>
              </w:rPr>
              <w:t>#hypertension  #vascularectasia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Space-occupying lesion</w:t>
            </w:r>
          </w:p>
        </w:tc>
        <w:tc>
          <w:tcPr>
            <w:tcW w:type="dxa" w:w="2160"/>
            <w:vAlign w:val="top"/>
          </w:tcPr>
          <w:p>
            <w:pPr>
              <w:spacing w:after="40" w:before="0" w:line="259" w:lineRule="auto"/>
            </w:pPr>
            <w:r>
              <w:rPr>
                <w:rFonts w:ascii="Calibri" w:hAnsi="Calibri"/>
                <w:b w:val="0"/>
                <w:i w:val="0"/>
                <w:color w:val="212121"/>
                <w:sz w:val="19"/>
              </w:rPr>
              <w:t>Cerebellopontine-angle tumours (meningioma, vestibular schwannoma, epidermoid cyst)</w:t>
            </w:r>
          </w:p>
        </w:tc>
        <w:tc>
          <w:tcPr>
            <w:tcW w:type="dxa" w:w="4276"/>
            <w:vAlign w:val="top"/>
          </w:tcPr>
          <w:p>
            <w:pPr>
              <w:spacing w:after="60" w:line="259" w:lineRule="auto"/>
            </w:pPr>
            <w:r>
              <w:rPr>
                <w:rFonts w:ascii="Calibri" w:hAnsi="Calibri"/>
                <w:b w:val="0"/>
                <w:i w:val="0"/>
                <w:color w:val="212121"/>
                <w:sz w:val="19"/>
              </w:rPr>
              <w:t>Mass lesions at the cerebellopontine angle compress or distort the trigeminal nerve, producing secondary trigeminal neuralgia often accompanied by sensory loss or other cranial-nerve signs.</w:t>
            </w:r>
          </w:p>
          <w:p>
            <w:pPr>
              <w:spacing w:after="40" w:before="60" w:line="259" w:lineRule="auto"/>
            </w:pPr>
            <w:r>
              <w:rPr>
                <w:rFonts w:ascii="Calibri" w:hAnsi="Calibri"/>
                <w:b w:val="0"/>
                <w:i w:val="0"/>
                <w:color w:val="212121"/>
                <w:sz w:val="19"/>
              </w:rPr>
              <w:t>Secondary causes account for about 15% of cases; MRI is required to detect them.</w:t>
            </w:r>
          </w:p>
          <w:p>
            <w:pPr>
              <w:spacing w:after="40" w:line="252" w:lineRule="auto"/>
            </w:pPr>
            <w:hyperlink r:id="rId11">
              <w:r>
                <w:rPr>
                  <w:rFonts w:ascii="Calibri" w:hAnsi="Calibri" w:cs="Calibri"/>
                  <w:sz w:val="18"/>
                  <w:color w:val="1155CC"/>
                  <w:u w:val="single"/>
                </w:rPr>
                <w:t xml:space="preserve">ninds.nih.gov - Trigeminal Neuralgia</w:t>
              </w:r>
            </w:hyperlink>
          </w:p>
          <w:p>
            <w:pPr>
              <w:spacing w:before="60" w:after="40"/>
            </w:pPr>
            <w:r>
              <w:rPr>
                <w:rFonts w:ascii="Calibri" w:hAnsi="Calibri"/>
                <w:b w:val="0"/>
                <w:i w:val="0"/>
                <w:color w:val="5A5A5A"/>
                <w:sz w:val="18"/>
              </w:rPr>
              <w:t>#CPAtumour  #meningioma  #schwannoma  #secondaryTN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Herpes zoster (V1)</w:t>
            </w:r>
          </w:p>
        </w:tc>
        <w:tc>
          <w:tcPr>
            <w:tcW w:type="dxa" w:w="2160"/>
            <w:vAlign w:val="top"/>
          </w:tcPr>
          <w:p>
            <w:pPr>
              <w:spacing w:after="40" w:before="0" w:line="259" w:lineRule="auto"/>
            </w:pPr>
            <w:r>
              <w:rPr>
                <w:rFonts w:ascii="Calibri" w:hAnsi="Calibri"/>
                <w:b w:val="0"/>
                <w:i w:val="0"/>
                <w:color w:val="212121"/>
                <w:sz w:val="19"/>
              </w:rPr>
              <w:t>Prior ophthalmic zoster / post-herpetic neuralgia</w:t>
            </w:r>
          </w:p>
        </w:tc>
        <w:tc>
          <w:tcPr>
            <w:tcW w:type="dxa" w:w="4276"/>
            <w:vAlign w:val="top"/>
          </w:tcPr>
          <w:p>
            <w:pPr>
              <w:spacing w:after="60" w:line="259" w:lineRule="auto"/>
            </w:pPr>
            <w:r>
              <w:rPr>
                <w:rFonts w:ascii="Calibri" w:hAnsi="Calibri"/>
                <w:b w:val="0"/>
                <w:i w:val="0"/>
                <w:color w:val="212121"/>
                <w:sz w:val="19"/>
              </w:rPr>
              <w:t>Reactivation of varicella-zoster in the trigeminal ganglion damages the nerve and can cause post-herpetic trigeminal neuropathic pain - an important differential diagnosis and comorbidity of classical trigeminal neuralgia.</w:t>
            </w:r>
          </w:p>
          <w:p>
            <w:pPr>
              <w:spacing w:before="60" w:after="40"/>
            </w:pPr>
            <w:r>
              <w:rPr>
                <w:rFonts w:ascii="Calibri" w:hAnsi="Calibri"/>
                <w:b w:val="0"/>
                <w:i w:val="0"/>
                <w:color w:val="5A5A5A"/>
                <w:sz w:val="18"/>
              </w:rPr>
              <w:t>#herpeszoster  #postherpetic  #differential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inactivity does not cause TN, but it promotes hypertension - a recognised associated vascular factor - and deconditioning is worsened by pain-related activity avoidance.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is not causal, yet chewing and hot or cold food and drink are common triggers of paroxysms, and pain-related feeding avoidance leads to weight loss and dehydration.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Attacks characteristically spare sleep, but chronic pain and anticonvulsant side-effects disrupt sleep, and poor sleep lowers the pain threshold.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Nicotine and cold-air inhalation can trigger attacks and smoking accelerates vascular disease and impairs surgical healing, though it is not a primary cause.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can precipitate attacks in some patients and interacts with carbamazepine/oxcarbazepine, adding sedation and hyponatraemia risk and impairing adherence.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severe, unpredictable pain frequently causes depression and anxiety; TN is nicknamed the 'suicide disease', and low mood in turn lowers pain tolerance in a bidirectional loop.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itself has no proven role in TN, but fluid and sodium balance must be monitored because carbamazepine and oxcarbazepine cause hyponatraemia.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trigeminal neuralgia incidence or attack frequency.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Tooth-brushing and face-washing are potent triggers, so patients neglect oral hygiene on the affected side, promoting dental disease; TN is also commonly misdiagnosed as dental pain.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Innocuous stimuli - light touch, chewing, talking, shaving, tooth-brushing and cold wind on defined trigger zones - are the defining precipitants of trigeminal neuralgia paroxysms.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is not causal; occasionally head or neck positions and facial movements coincide with attacks, but positioning itself does not produce the pain.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Attack frequency (paroxysms/day)</w:t>
            </w:r>
          </w:p>
        </w:tc>
        <w:tc>
          <w:tcPr>
            <w:tcW w:type="dxa" w:w="1655"/>
            <w:vAlign w:val="top"/>
          </w:tcPr>
          <w:p>
            <w:pPr>
              <w:spacing w:after="40" w:before="0" w:line="259" w:lineRule="auto"/>
            </w:pPr>
            <w:r>
              <w:rPr>
                <w:rFonts w:ascii="Calibri" w:hAnsi="Calibri"/>
                <w:b w:val="0"/>
                <w:i w:val="0"/>
                <w:color w:val="212121"/>
                <w:sz w:val="19"/>
              </w:rPr>
              <w:t>All TN patients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&gt;=1 attack/day</w:t>
            </w:r>
          </w:p>
        </w:tc>
        <w:tc>
          <w:tcPr>
            <w:tcW w:type="dxa" w:w="1468"/>
            <w:vAlign w:val="top"/>
          </w:tcPr>
          <w:p>
            <w:pPr>
              <w:spacing w:after="40" w:before="0" w:line="259" w:lineRule="auto"/>
            </w:pPr>
            <w:r>
              <w:rPr>
                <w:rFonts w:ascii="Calibri" w:hAnsi="Calibri"/>
                <w:b w:val="0"/>
                <w:i w:val="0"/>
                <w:color w:val="212121"/>
                <w:sz w:val="19"/>
              </w:rPr>
              <w:t>Rising frequency signals poor control and guides anticonvulsant titration.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Attack duration (per paroxysm)</w:t>
            </w:r>
          </w:p>
        </w:tc>
        <w:tc>
          <w:tcPr>
            <w:tcW w:type="dxa" w:w="1655"/>
            <w:vAlign w:val="top"/>
          </w:tcPr>
          <w:p>
            <w:pPr>
              <w:spacing w:after="40" w:before="0" w:line="259" w:lineRule="auto"/>
            </w:pPr>
            <w:r>
              <w:rPr>
                <w:rFonts w:ascii="Calibri" w:hAnsi="Calibri"/>
                <w:b w:val="0"/>
                <w:i w:val="0"/>
                <w:color w:val="212121"/>
                <w:sz w:val="19"/>
              </w:rPr>
              <w:t>All TN patients</w:t>
            </w:r>
          </w:p>
        </w:tc>
        <w:tc>
          <w:tcPr>
            <w:tcW w:type="dxa" w:w="1512"/>
            <w:vAlign w:val="top"/>
          </w:tcPr>
          <w:p>
            <w:pPr>
              <w:spacing w:after="40" w:before="0" w:line="259" w:lineRule="auto"/>
            </w:pPr>
            <w:r>
              <w:rPr>
                <w:rFonts w:ascii="Calibri" w:hAnsi="Calibri"/>
                <w:b w:val="0"/>
                <w:i w:val="0"/>
                <w:color w:val="212121"/>
                <w:sz w:val="19"/>
              </w:rPr>
              <w:t>Fraction of a second to &lt;2 minutes</w:t>
            </w:r>
          </w:p>
        </w:tc>
        <w:tc>
          <w:tcPr>
            <w:tcW w:type="dxa" w:w="1512"/>
            <w:vAlign w:val="top"/>
          </w:tcPr>
          <w:p>
            <w:pPr>
              <w:spacing w:after="40" w:before="0" w:line="259" w:lineRule="auto"/>
            </w:pPr>
            <w:r>
              <w:rPr>
                <w:rFonts w:ascii="Calibri" w:hAnsi="Calibri"/>
                <w:b w:val="0"/>
                <w:i w:val="0"/>
                <w:color w:val="212121"/>
                <w:sz w:val="19"/>
              </w:rPr>
              <w:t>Attacks lasting &gt;2 min or becoming continuous suggest atypical (TN2) or secondary TN</w:t>
            </w:r>
          </w:p>
        </w:tc>
        <w:tc>
          <w:tcPr>
            <w:tcW w:type="dxa" w:w="1468"/>
            <w:vAlign w:val="top"/>
          </w:tcPr>
          <w:p>
            <w:pPr>
              <w:spacing w:after="60" w:line="259" w:lineRule="auto"/>
            </w:pPr>
            <w:r>
              <w:rPr>
                <w:rFonts w:ascii="Calibri" w:hAnsi="Calibri"/>
                <w:b w:val="0"/>
                <w:i w:val="0"/>
                <w:color w:val="212121"/>
                <w:sz w:val="19"/>
              </w:rPr>
              <w:t>ICHD-3 defines the paroxysm length.</w:t>
            </w:r>
          </w:p>
          <w:p>
            <w:pPr>
              <w:spacing w:after="40" w:line="252" w:lineRule="auto"/>
            </w:pPr>
            <w:hyperlink r:id="rId12">
              <w:r>
                <w:rPr>
                  <w:rFonts w:ascii="Calibri" w:hAnsi="Calibri" w:cs="Calibri"/>
                  <w:sz w:val="18"/>
                  <w:color w:val="1155CC"/>
                  <w:u w:val="single"/>
                </w:rPr>
                <w:t xml:space="preserve">https://ichd-3.org/13-painful-cranial-neuropathies-and-other-facial-pains/13-1-trigeminal-neuralgia/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Pain intensity (NRS 0-10)</w:t>
            </w:r>
          </w:p>
        </w:tc>
        <w:tc>
          <w:tcPr>
            <w:tcW w:type="dxa" w:w="1655"/>
            <w:vAlign w:val="top"/>
          </w:tcPr>
          <w:p>
            <w:pPr>
              <w:spacing w:after="40" w:before="0" w:line="259" w:lineRule="auto"/>
            </w:pPr>
            <w:r>
              <w:rPr>
                <w:rFonts w:ascii="Calibri" w:hAnsi="Calibri"/>
                <w:b w:val="0"/>
                <w:i w:val="0"/>
                <w:color w:val="212121"/>
                <w:sz w:val="19"/>
              </w:rPr>
              <w:t>All TN patients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&gt;=7 (severe)</w:t>
            </w:r>
          </w:p>
        </w:tc>
        <w:tc>
          <w:tcPr>
            <w:tcW w:type="dxa" w:w="1468"/>
            <w:vAlign w:val="top"/>
          </w:tcPr>
          <w:p>
            <w:pPr>
              <w:spacing w:after="40" w:before="0" w:line="259" w:lineRule="auto"/>
            </w:pPr>
            <w:r>
              <w:rPr>
                <w:rFonts w:ascii="Calibri" w:hAnsi="Calibri"/>
                <w:b w:val="0"/>
                <w:i w:val="0"/>
                <w:color w:val="212121"/>
                <w:sz w:val="19"/>
              </w:rPr>
              <w:t>TN pain is characteristically severe; track response to therapy.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Chronic / refractory TN</w:t>
            </w:r>
          </w:p>
        </w:tc>
        <w:tc>
          <w:tcPr>
            <w:tcW w:type="dxa" w:w="1512"/>
            <w:vAlign w:val="top"/>
          </w:tcPr>
          <w:p>
            <w:pPr>
              <w:spacing w:after="40" w:before="0" w:line="259" w:lineRule="auto"/>
            </w:pPr>
            <w:r>
              <w:rPr>
                <w:rFonts w:ascii="Calibri" w:hAnsi="Calibri"/>
                <w:b w:val="0"/>
                <w:i w:val="0"/>
                <w:color w:val="212121"/>
                <w:sz w:val="19"/>
              </w:rPr>
              <w:t>&lt;5</w:t>
            </w:r>
          </w:p>
        </w:tc>
        <w:tc>
          <w:tcPr>
            <w:tcW w:type="dxa" w:w="1512"/>
            <w:vAlign w:val="top"/>
          </w:tcPr>
          <w:p>
            <w:pPr>
              <w:spacing w:after="40" w:before="0" w:line="259" w:lineRule="auto"/>
            </w:pPr>
            <w:r>
              <w:rPr>
                <w:rFonts w:ascii="Calibri" w:hAnsi="Calibri"/>
                <w:b w:val="0"/>
                <w:i w:val="0"/>
                <w:color w:val="212121"/>
                <w:sz w:val="19"/>
              </w:rPr>
              <w:t>&gt;=10</w:t>
            </w:r>
          </w:p>
        </w:tc>
        <w:tc>
          <w:tcPr>
            <w:tcW w:type="dxa" w:w="1468"/>
            <w:vAlign w:val="top"/>
          </w:tcPr>
          <w:p>
            <w:pPr>
              <w:spacing w:after="40" w:before="0" w:line="259" w:lineRule="auto"/>
            </w:pPr>
            <w:r>
              <w:rPr>
                <w:rFonts w:ascii="Calibri" w:hAnsi="Calibri"/>
                <w:b w:val="0"/>
                <w:i w:val="0"/>
                <w:color w:val="212121"/>
                <w:sz w:val="19"/>
              </w:rPr>
              <w:t>Screen routinely; chronic facial pain carries high depression and suicide risk.</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&lt;120/80</w:t>
            </w:r>
          </w:p>
        </w:tc>
        <w:tc>
          <w:tcPr>
            <w:tcW w:type="dxa" w:w="1512"/>
            <w:vAlign w:val="top"/>
          </w:tcPr>
          <w:p>
            <w:pPr>
              <w:spacing w:after="40" w:before="0" w:line="259" w:lineRule="auto"/>
            </w:pPr>
            <w:r>
              <w:rPr>
                <w:rFonts w:ascii="Calibri" w:hAnsi="Calibri"/>
                <w:b w:val="0"/>
                <w:i w:val="0"/>
                <w:color w:val="212121"/>
                <w:sz w:val="19"/>
              </w:rPr>
              <w:t>&gt;=140/90</w:t>
            </w:r>
          </w:p>
        </w:tc>
        <w:tc>
          <w:tcPr>
            <w:tcW w:type="dxa" w:w="1468"/>
            <w:vAlign w:val="top"/>
          </w:tcPr>
          <w:p>
            <w:pPr>
              <w:spacing w:after="60" w:line="259" w:lineRule="auto"/>
            </w:pPr>
            <w:r>
              <w:rPr>
                <w:rFonts w:ascii="Calibri" w:hAnsi="Calibri"/>
                <w:b w:val="0"/>
                <w:i w:val="0"/>
                <w:color w:val="212121"/>
                <w:sz w:val="19"/>
              </w:rPr>
              <w:t>Hypertension is a modifiable associated vascular factor.</w:t>
            </w:r>
          </w:p>
          <w:p>
            <w:pPr>
              <w:spacing w:after="40" w:line="252" w:lineRule="auto"/>
            </w:pPr>
            <w:hyperlink r:id="rId10">
              <w:r>
                <w:rPr>
                  <w:rFonts w:ascii="Calibri" w:hAnsi="Calibri" w:cs="Calibri"/>
                  <w:sz w:val="18"/>
                  <w:color w:val="1155CC"/>
                  <w:u w:val="single"/>
                </w:rPr>
                <w:t xml:space="preserve">https://www.mayoclinic.org/diseases-conditions/trigeminal-neuralgia/symptoms-causes/syc-20353344</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BMI / weight change</w:t>
            </w:r>
          </w:p>
        </w:tc>
        <w:tc>
          <w:tcPr>
            <w:tcW w:type="dxa" w:w="1655"/>
            <w:vAlign w:val="top"/>
          </w:tcPr>
          <w:p>
            <w:pPr>
              <w:spacing w:after="40" w:before="0" w:line="259" w:lineRule="auto"/>
            </w:pPr>
            <w:r>
              <w:rPr>
                <w:rFonts w:ascii="Calibri" w:hAnsi="Calibri"/>
                <w:b w:val="0"/>
                <w:i w:val="0"/>
                <w:color w:val="212121"/>
                <w:sz w:val="19"/>
              </w:rPr>
              <w:t>Patients avoiding food due to pain</w:t>
            </w:r>
          </w:p>
        </w:tc>
        <w:tc>
          <w:tcPr>
            <w:tcW w:type="dxa" w:w="1512"/>
            <w:vAlign w:val="top"/>
          </w:tcPr>
          <w:p>
            <w:pPr>
              <w:spacing w:after="40" w:before="0" w:line="259" w:lineRule="auto"/>
            </w:pPr>
            <w:r>
              <w:rPr>
                <w:rFonts w:ascii="Calibri" w:hAnsi="Calibri"/>
                <w:b w:val="0"/>
                <w:i w:val="0"/>
                <w:color w:val="212121"/>
                <w:sz w:val="19"/>
              </w:rPr>
              <w:t>18.5-24.9 kg/m2; stable weight</w:t>
            </w:r>
          </w:p>
        </w:tc>
        <w:tc>
          <w:tcPr>
            <w:tcW w:type="dxa" w:w="1512"/>
            <w:vAlign w:val="top"/>
          </w:tcPr>
          <w:p>
            <w:pPr>
              <w:spacing w:after="40" w:before="0" w:line="259" w:lineRule="auto"/>
            </w:pPr>
            <w:r>
              <w:rPr>
                <w:rFonts w:ascii="Calibri" w:hAnsi="Calibri"/>
                <w:b w:val="0"/>
                <w:i w:val="0"/>
                <w:color w:val="212121"/>
                <w:sz w:val="19"/>
              </w:rPr>
              <w:t>Unintentional loss &gt;5% in 6 months</w:t>
            </w:r>
          </w:p>
        </w:tc>
        <w:tc>
          <w:tcPr>
            <w:tcW w:type="dxa" w:w="1468"/>
            <w:vAlign w:val="top"/>
          </w:tcPr>
          <w:p>
            <w:pPr>
              <w:spacing w:after="40" w:before="0" w:line="259" w:lineRule="auto"/>
            </w:pPr>
            <w:r>
              <w:rPr>
                <w:rFonts w:ascii="Calibri" w:hAnsi="Calibri"/>
                <w:b w:val="0"/>
                <w:i w:val="0"/>
                <w:color w:val="212121"/>
                <w:sz w:val="19"/>
              </w:rPr>
              <w:t>Weight loss flags feeding avoidance and malnutrition.</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Serum sodium (mmol/L)</w:t>
            </w:r>
          </w:p>
        </w:tc>
        <w:tc>
          <w:tcPr>
            <w:tcW w:type="dxa" w:w="1655"/>
            <w:vAlign w:val="top"/>
          </w:tcPr>
          <w:p>
            <w:pPr>
              <w:spacing w:after="40" w:before="0" w:line="259" w:lineRule="auto"/>
            </w:pPr>
            <w:r>
              <w:rPr>
                <w:rFonts w:ascii="Calibri" w:hAnsi="Calibri"/>
                <w:b w:val="0"/>
                <w:i w:val="0"/>
                <w:color w:val="212121"/>
                <w:sz w:val="19"/>
              </w:rPr>
              <w:t>Patients on carbamazepine/oxcarbazepine</w:t>
            </w:r>
          </w:p>
        </w:tc>
        <w:tc>
          <w:tcPr>
            <w:tcW w:type="dxa" w:w="1512"/>
            <w:vAlign w:val="top"/>
          </w:tcPr>
          <w:p>
            <w:pPr>
              <w:spacing w:after="40" w:before="0" w:line="259" w:lineRule="auto"/>
            </w:pPr>
            <w:r>
              <w:rPr>
                <w:rFonts w:ascii="Calibri" w:hAnsi="Calibri"/>
                <w:b w:val="0"/>
                <w:i w:val="0"/>
                <w:color w:val="212121"/>
                <w:sz w:val="19"/>
              </w:rPr>
              <w:t>135-145</w:t>
            </w:r>
          </w:p>
        </w:tc>
        <w:tc>
          <w:tcPr>
            <w:tcW w:type="dxa" w:w="1512"/>
            <w:vAlign w:val="top"/>
          </w:tcPr>
          <w:p>
            <w:pPr>
              <w:spacing w:after="40" w:before="0" w:line="259" w:lineRule="auto"/>
            </w:pPr>
            <w:r>
              <w:rPr>
                <w:rFonts w:ascii="Calibri" w:hAnsi="Calibri"/>
                <w:b w:val="0"/>
                <w:i w:val="0"/>
                <w:color w:val="212121"/>
                <w:sz w:val="19"/>
              </w:rPr>
              <w:t>&lt;135</w:t>
            </w:r>
          </w:p>
        </w:tc>
        <w:tc>
          <w:tcPr>
            <w:tcW w:type="dxa" w:w="1468"/>
            <w:vAlign w:val="top"/>
          </w:tcPr>
          <w:p>
            <w:pPr>
              <w:spacing w:after="60" w:line="259" w:lineRule="auto"/>
            </w:pPr>
            <w:r>
              <w:rPr>
                <w:rFonts w:ascii="Calibri" w:hAnsi="Calibri"/>
                <w:b w:val="0"/>
                <w:i w:val="0"/>
                <w:color w:val="212121"/>
                <w:sz w:val="19"/>
              </w:rPr>
              <w:t>Anticonvulsant-induced hyponatraemia; check at baseline and after dose changes.</w:t>
            </w:r>
          </w:p>
          <w:p>
            <w:pPr>
              <w:spacing w:after="40" w:line="252" w:lineRule="auto"/>
            </w:pPr>
            <w:hyperlink r:id="rId9">
              <w:r>
                <w:rPr>
                  <w:rFonts w:ascii="Calibri" w:hAnsi="Calibri" w:cs="Calibri"/>
                  <w:sz w:val="18"/>
                  <w:color w:val="1155CC"/>
                  <w:u w:val="single"/>
                </w:rPr>
                <w:t xml:space="preserve">https://www.ncbi.nlm.nih.gov/books/NBK554486/</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Chronic pain patients</w:t>
            </w:r>
          </w:p>
        </w:tc>
        <w:tc>
          <w:tcPr>
            <w:tcW w:type="dxa" w:w="1512"/>
            <w:vAlign w:val="top"/>
          </w:tcPr>
          <w:p>
            <w:pPr>
              <w:spacing w:after="40" w:before="0" w:line="259" w:lineRule="auto"/>
            </w:pPr>
            <w:r>
              <w:rPr>
                <w:rFonts w:ascii="Calibri" w:hAnsi="Calibri"/>
                <w:b w:val="0"/>
                <w:i w:val="0"/>
                <w:color w:val="212121"/>
                <w:sz w:val="19"/>
              </w:rPr>
              <w:t>7-9 hours</w:t>
            </w:r>
          </w:p>
        </w:tc>
        <w:tc>
          <w:tcPr>
            <w:tcW w:type="dxa" w:w="1512"/>
            <w:vAlign w:val="top"/>
          </w:tcPr>
          <w:p>
            <w:pPr>
              <w:spacing w:after="40" w:before="0" w:line="259" w:lineRule="auto"/>
            </w:pPr>
            <w:r>
              <w:rPr>
                <w:rFonts w:ascii="Calibri" w:hAnsi="Calibri"/>
                <w:b w:val="0"/>
                <w:i w:val="0"/>
                <w:color w:val="212121"/>
                <w:sz w:val="19"/>
              </w:rPr>
              <w:t>&lt;6 hours or fragmented</w:t>
            </w:r>
          </w:p>
        </w:tc>
        <w:tc>
          <w:tcPr>
            <w:tcW w:type="dxa" w:w="1468"/>
            <w:vAlign w:val="top"/>
          </w:tcPr>
          <w:p>
            <w:pPr>
              <w:spacing w:after="40" w:before="0" w:line="259" w:lineRule="auto"/>
            </w:pPr>
            <w:r>
              <w:rPr>
                <w:rFonts w:ascii="Calibri" w:hAnsi="Calibri"/>
                <w:b w:val="0"/>
                <w:i w:val="0"/>
                <w:color w:val="212121"/>
                <w:sz w:val="19"/>
              </w:rPr>
              <w:t>Pain rarely wakes patients, but poor sleep lowers pain threshold and worsens mood.</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Smokers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&gt;=1</w:t>
            </w:r>
          </w:p>
        </w:tc>
        <w:tc>
          <w:tcPr>
            <w:tcW w:type="dxa" w:w="1468"/>
            <w:vAlign w:val="top"/>
          </w:tcPr>
          <w:p>
            <w:pPr>
              <w:spacing w:after="40" w:before="0" w:line="259" w:lineRule="auto"/>
            </w:pPr>
            <w:r>
              <w:rPr>
                <w:rFonts w:ascii="Calibri" w:hAnsi="Calibri"/>
                <w:b w:val="0"/>
                <w:i w:val="0"/>
                <w:color w:val="212121"/>
                <w:sz w:val="19"/>
              </w:rPr>
              <w:t>Cessation reduces vascular risk and cold-air/nicotine triggering and aids surgical healing.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Drinkers on anticonvulsants</w:t>
            </w:r>
          </w:p>
        </w:tc>
        <w:tc>
          <w:tcPr>
            <w:tcW w:type="dxa" w:w="1512"/>
            <w:vAlign w:val="top"/>
          </w:tcPr>
          <w:p>
            <w:pPr>
              <w:spacing w:after="40" w:before="0" w:line="259" w:lineRule="auto"/>
            </w:pPr>
            <w:r>
              <w:rPr>
                <w:rFonts w:ascii="Calibri" w:hAnsi="Calibri"/>
                <w:b w:val="0"/>
                <w:i w:val="0"/>
                <w:color w:val="212121"/>
                <w:sz w:val="19"/>
              </w:rPr>
              <w:t>0 while on carbamazepine/oxcarbazepine</w:t>
            </w:r>
          </w:p>
        </w:tc>
        <w:tc>
          <w:tcPr>
            <w:tcW w:type="dxa" w:w="1512"/>
            <w:vAlign w:val="top"/>
          </w:tcPr>
          <w:p>
            <w:pPr>
              <w:spacing w:after="40" w:before="0" w:line="259" w:lineRule="auto"/>
            </w:pPr>
            <w:r>
              <w:rPr>
                <w:rFonts w:ascii="Calibri" w:hAnsi="Calibri"/>
                <w:b w:val="0"/>
                <w:i w:val="0"/>
                <w:color w:val="212121"/>
                <w:sz w:val="19"/>
              </w:rPr>
              <w:t>Any regular use</w:t>
            </w:r>
          </w:p>
        </w:tc>
        <w:tc>
          <w:tcPr>
            <w:tcW w:type="dxa" w:w="1468"/>
            <w:vAlign w:val="top"/>
          </w:tcPr>
          <w:p>
            <w:pPr>
              <w:spacing w:after="40" w:before="0" w:line="259" w:lineRule="auto"/>
            </w:pPr>
            <w:r>
              <w:rPr>
                <w:rFonts w:ascii="Calibri" w:hAnsi="Calibri"/>
                <w:b w:val="0"/>
                <w:i w:val="0"/>
                <w:color w:val="212121"/>
                <w:sz w:val="19"/>
              </w:rPr>
              <w:t>Additive sedation and hyponatraemia with sodium-channel-blocking anticonvulsants.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Neurovascular compression / secondary cause</w:t>
            </w:r>
          </w:p>
        </w:tc>
        <w:tc>
          <w:tcPr>
            <w:tcW w:type="dxa" w:w="892"/>
            <w:vAlign w:val="top"/>
          </w:tcPr>
          <w:p>
            <w:pPr>
              <w:spacing w:after="40" w:before="0" w:line="259" w:lineRule="auto"/>
            </w:pPr>
            <w:r>
              <w:rPr>
                <w:rFonts w:ascii="Calibri" w:hAnsi="Calibri"/>
                <w:b w:val="0"/>
                <w:i w:val="0"/>
                <w:color w:val="212121"/>
                <w:sz w:val="16"/>
              </w:rPr>
              <w:t>MRI brain with MRA + high-resolution FIESTA/CISS</w:t>
            </w:r>
          </w:p>
        </w:tc>
        <w:tc>
          <w:tcPr>
            <w:tcW w:type="dxa" w:w="950"/>
            <w:vAlign w:val="top"/>
          </w:tcPr>
          <w:p>
            <w:pPr>
              <w:spacing w:after="40" w:before="0" w:line="259" w:lineRule="auto"/>
            </w:pPr>
            <w:r>
              <w:rPr>
                <w:rFonts w:ascii="Calibri" w:hAnsi="Calibri"/>
                <w:b w:val="0"/>
                <w:i w:val="0"/>
                <w:color w:val="212121"/>
                <w:sz w:val="16"/>
              </w:rPr>
              <w:t>No vascular conflict or lesion</w:t>
            </w:r>
          </w:p>
        </w:tc>
        <w:tc>
          <w:tcPr>
            <w:tcW w:type="dxa" w:w="950"/>
            <w:vAlign w:val="top"/>
          </w:tcPr>
          <w:p>
            <w:pPr>
              <w:spacing w:after="40" w:before="0" w:line="259" w:lineRule="auto"/>
            </w:pPr>
            <w:r>
              <w:rPr>
                <w:rFonts w:ascii="Calibri" w:hAnsi="Calibri"/>
                <w:b w:val="0"/>
                <w:i w:val="0"/>
                <w:color w:val="212121"/>
                <w:sz w:val="16"/>
              </w:rPr>
              <w:t>Vascular loop at the root-entry zone, MS plaque, or cerebellopontine-angle tumour</w:t>
            </w:r>
          </w:p>
        </w:tc>
        <w:tc>
          <w:tcPr>
            <w:tcW w:type="dxa" w:w="1036"/>
            <w:vAlign w:val="top"/>
          </w:tcPr>
          <w:p>
            <w:pPr>
              <w:spacing w:after="40" w:before="0" w:line="259" w:lineRule="auto"/>
            </w:pPr>
            <w:r>
              <w:rPr>
                <w:rFonts w:ascii="Calibri" w:hAnsi="Calibri"/>
                <w:b w:val="0"/>
                <w:i w:val="0"/>
                <w:color w:val="212121"/>
                <w:sz w:val="16"/>
              </w:rPr>
              <w:t>Distinguishes classical vs idiopathic vs secondary TN and plans surgery</w:t>
            </w:r>
          </w:p>
        </w:tc>
        <w:tc>
          <w:tcPr>
            <w:tcW w:type="dxa" w:w="1036"/>
            <w:vAlign w:val="top"/>
          </w:tcPr>
          <w:p>
            <w:pPr>
              <w:spacing w:after="40" w:before="0" w:line="259" w:lineRule="auto"/>
            </w:pPr>
            <w:r>
              <w:rPr>
                <w:rFonts w:ascii="Calibri" w:hAnsi="Calibri"/>
                <w:b w:val="0"/>
                <w:i w:val="0"/>
                <w:color w:val="212121"/>
                <w:sz w:val="16"/>
              </w:rPr>
              <w:t>All TN patients, especially age &lt;40, bilateral pain, or sensory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High-resolution sequences are needed to visualise the vessel-nerve conflict.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Pharmacogenomic</w:t>
            </w:r>
          </w:p>
        </w:tc>
        <w:tc>
          <w:tcPr>
            <w:tcW w:type="dxa" w:w="1036"/>
            <w:vAlign w:val="top"/>
          </w:tcPr>
          <w:p>
            <w:pPr>
              <w:spacing w:after="40" w:before="0" w:line="259" w:lineRule="auto"/>
            </w:pPr>
            <w:r>
              <w:rPr>
                <w:rFonts w:ascii="Calibri" w:hAnsi="Calibri"/>
                <w:b w:val="0"/>
                <w:i w:val="0"/>
                <w:color w:val="212121"/>
                <w:sz w:val="16"/>
              </w:rPr>
              <w:t>HLA-B*15:02 allele</w:t>
            </w:r>
          </w:p>
        </w:tc>
        <w:tc>
          <w:tcPr>
            <w:tcW w:type="dxa" w:w="892"/>
            <w:vAlign w:val="top"/>
          </w:tcPr>
          <w:p>
            <w:pPr>
              <w:spacing w:after="40" w:before="0" w:line="259" w:lineRule="auto"/>
            </w:pPr>
            <w:r>
              <w:rPr>
                <w:rFonts w:ascii="Calibri" w:hAnsi="Calibri"/>
                <w:b w:val="0"/>
                <w:i w:val="0"/>
                <w:color w:val="212121"/>
                <w:sz w:val="16"/>
              </w:rPr>
              <w:t>Genotyping</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Positive carriers are at high risk of carbamazepine SJS/TEN - choose an alternative agent</w:t>
            </w:r>
          </w:p>
        </w:tc>
        <w:tc>
          <w:tcPr>
            <w:tcW w:type="dxa" w:w="1036"/>
            <w:vAlign w:val="top"/>
          </w:tcPr>
          <w:p>
            <w:pPr>
              <w:spacing w:after="40" w:before="0" w:line="259" w:lineRule="auto"/>
            </w:pPr>
            <w:r>
              <w:rPr>
                <w:rFonts w:ascii="Calibri" w:hAnsi="Calibri"/>
                <w:b w:val="0"/>
                <w:i w:val="0"/>
                <w:color w:val="212121"/>
                <w:sz w:val="16"/>
              </w:rPr>
              <w:t>Patients of Asian/Indian ancestry before carbamazepine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Strongly advised in South and Southeast Asian populations.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sodium</w:t>
            </w:r>
          </w:p>
        </w:tc>
        <w:tc>
          <w:tcPr>
            <w:tcW w:type="dxa" w:w="892"/>
            <w:vAlign w:val="top"/>
          </w:tcPr>
          <w:p>
            <w:pPr>
              <w:spacing w:after="40" w:before="0" w:line="259" w:lineRule="auto"/>
            </w:pPr>
            <w:r>
              <w:rPr>
                <w:rFonts w:ascii="Calibri" w:hAnsi="Calibri"/>
                <w:b w:val="0"/>
                <w:i w:val="0"/>
                <w:color w:val="212121"/>
                <w:sz w:val="16"/>
              </w:rPr>
              <w:t>Electrolytes</w:t>
            </w:r>
          </w:p>
        </w:tc>
        <w:tc>
          <w:tcPr>
            <w:tcW w:type="dxa" w:w="950"/>
            <w:vAlign w:val="top"/>
          </w:tcPr>
          <w:p>
            <w:pPr>
              <w:spacing w:after="40" w:before="0" w:line="259" w:lineRule="auto"/>
            </w:pPr>
            <w:r>
              <w:rPr>
                <w:rFonts w:ascii="Calibri" w:hAnsi="Calibri"/>
                <w:b w:val="0"/>
                <w:i w:val="0"/>
                <w:color w:val="212121"/>
                <w:sz w:val="16"/>
              </w:rPr>
              <w:t>135-145 mmol/L</w:t>
            </w:r>
          </w:p>
        </w:tc>
        <w:tc>
          <w:tcPr>
            <w:tcW w:type="dxa" w:w="950"/>
            <w:vAlign w:val="top"/>
          </w:tcPr>
          <w:p>
            <w:pPr>
              <w:spacing w:after="40" w:before="0" w:line="259" w:lineRule="auto"/>
            </w:pPr>
            <w:r>
              <w:rPr>
                <w:rFonts w:ascii="Calibri" w:hAnsi="Calibri"/>
                <w:b w:val="0"/>
                <w:i w:val="0"/>
                <w:color w:val="212121"/>
                <w:sz w:val="16"/>
              </w:rPr>
              <w:t>&lt;135 mmol/L</w:t>
            </w:r>
          </w:p>
        </w:tc>
        <w:tc>
          <w:tcPr>
            <w:tcW w:type="dxa" w:w="1036"/>
            <w:vAlign w:val="top"/>
          </w:tcPr>
          <w:p>
            <w:pPr>
              <w:spacing w:after="40" w:before="0" w:line="259" w:lineRule="auto"/>
            </w:pPr>
            <w:r>
              <w:rPr>
                <w:rFonts w:ascii="Calibri" w:hAnsi="Calibri"/>
                <w:b w:val="0"/>
                <w:i w:val="0"/>
                <w:color w:val="212121"/>
                <w:sz w:val="16"/>
              </w:rPr>
              <w:t>Detects carbamazepine/oxcarbazepine-induced hyponatraemia</w:t>
            </w:r>
          </w:p>
        </w:tc>
        <w:tc>
          <w:tcPr>
            <w:tcW w:type="dxa" w:w="1036"/>
            <w:vAlign w:val="top"/>
          </w:tcPr>
          <w:p>
            <w:pPr>
              <w:spacing w:after="40" w:before="0" w:line="259" w:lineRule="auto"/>
            </w:pPr>
            <w:r>
              <w:rPr>
                <w:rFonts w:ascii="Calibri" w:hAnsi="Calibri"/>
                <w:b w:val="0"/>
                <w:i w:val="0"/>
                <w:color w:val="212121"/>
                <w:sz w:val="16"/>
              </w:rPr>
              <w:t>Patients on sodium-channel anticonvulsants, elderly</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Check at baseline and after each dose change.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Normal counts</w:t>
            </w:r>
          </w:p>
        </w:tc>
        <w:tc>
          <w:tcPr>
            <w:tcW w:type="dxa" w:w="950"/>
            <w:vAlign w:val="top"/>
          </w:tcPr>
          <w:p>
            <w:pPr>
              <w:spacing w:after="40" w:before="0" w:line="259" w:lineRule="auto"/>
            </w:pPr>
            <w:r>
              <w:rPr>
                <w:rFonts w:ascii="Calibri" w:hAnsi="Calibri"/>
                <w:b w:val="0"/>
                <w:i w:val="0"/>
                <w:color w:val="212121"/>
                <w:sz w:val="16"/>
              </w:rPr>
              <w:t>Leucopenia / agranulocytosis, aplastic anaemia</w:t>
            </w:r>
          </w:p>
        </w:tc>
        <w:tc>
          <w:tcPr>
            <w:tcW w:type="dxa" w:w="1036"/>
            <w:vAlign w:val="top"/>
          </w:tcPr>
          <w:p>
            <w:pPr>
              <w:spacing w:after="40" w:before="0" w:line="259" w:lineRule="auto"/>
            </w:pPr>
            <w:r>
              <w:rPr>
                <w:rFonts w:ascii="Calibri" w:hAnsi="Calibri"/>
                <w:b w:val="0"/>
                <w:i w:val="0"/>
                <w:color w:val="212121"/>
                <w:sz w:val="16"/>
              </w:rPr>
              <w:t>Screens for carbamazepine marrow toxicity</w:t>
            </w:r>
          </w:p>
        </w:tc>
        <w:tc>
          <w:tcPr>
            <w:tcW w:type="dxa" w:w="1036"/>
            <w:vAlign w:val="top"/>
          </w:tcPr>
          <w:p>
            <w:pPr>
              <w:spacing w:after="40" w:before="0" w:line="259" w:lineRule="auto"/>
            </w:pPr>
            <w:r>
              <w:rPr>
                <w:rFonts w:ascii="Calibri" w:hAnsi="Calibri"/>
                <w:b w:val="0"/>
                <w:i w:val="0"/>
                <w:color w:val="212121"/>
                <w:sz w:val="16"/>
              </w:rPr>
              <w:t>Patients starting or on carbamazepine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Baseline then periodic monitoring.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w:t>
            </w:r>
          </w:p>
        </w:tc>
        <w:tc>
          <w:tcPr>
            <w:tcW w:type="dxa" w:w="892"/>
            <w:vAlign w:val="top"/>
          </w:tcPr>
          <w:p>
            <w:pPr>
              <w:spacing w:after="40" w:before="0" w:line="259" w:lineRule="auto"/>
            </w:pPr>
            <w:r>
              <w:rPr>
                <w:rFonts w:ascii="Calibri" w:hAnsi="Calibri"/>
                <w:b w:val="0"/>
                <w:i w:val="0"/>
                <w:color w:val="212121"/>
                <w:sz w:val="16"/>
              </w:rPr>
              <w:t>LFT</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Transaminitis</w:t>
            </w:r>
          </w:p>
        </w:tc>
        <w:tc>
          <w:tcPr>
            <w:tcW w:type="dxa" w:w="1036"/>
            <w:vAlign w:val="top"/>
          </w:tcPr>
          <w:p>
            <w:pPr>
              <w:spacing w:after="40" w:before="0" w:line="259" w:lineRule="auto"/>
            </w:pPr>
            <w:r>
              <w:rPr>
                <w:rFonts w:ascii="Calibri" w:hAnsi="Calibri"/>
                <w:b w:val="0"/>
                <w:i w:val="0"/>
                <w:color w:val="212121"/>
                <w:sz w:val="16"/>
              </w:rPr>
              <w:t>Monitors carbamazepine/oxcarbazepine hepatotoxicity</w:t>
            </w:r>
          </w:p>
        </w:tc>
        <w:tc>
          <w:tcPr>
            <w:tcW w:type="dxa" w:w="1036"/>
            <w:vAlign w:val="top"/>
          </w:tcPr>
          <w:p>
            <w:pPr>
              <w:spacing w:after="40" w:before="0" w:line="259" w:lineRule="auto"/>
            </w:pPr>
            <w:r>
              <w:rPr>
                <w:rFonts w:ascii="Calibri" w:hAnsi="Calibri"/>
                <w:b w:val="0"/>
                <w:i w:val="0"/>
                <w:color w:val="212121"/>
                <w:sz w:val="16"/>
              </w:rPr>
              <w:t>Patients on anticonvulsants, especially with alcohol use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Relevant with concurrent alcohol intake.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Therapeutic drug monitoring</w:t>
            </w:r>
          </w:p>
        </w:tc>
        <w:tc>
          <w:tcPr>
            <w:tcW w:type="dxa" w:w="1036"/>
            <w:vAlign w:val="top"/>
          </w:tcPr>
          <w:p>
            <w:pPr>
              <w:spacing w:after="40" w:before="0" w:line="259" w:lineRule="auto"/>
            </w:pPr>
            <w:r>
              <w:rPr>
                <w:rFonts w:ascii="Calibri" w:hAnsi="Calibri"/>
                <w:b w:val="0"/>
                <w:i w:val="0"/>
                <w:color w:val="212121"/>
                <w:sz w:val="16"/>
              </w:rPr>
              <w:t>Carbamazepine serum level</w:t>
            </w:r>
          </w:p>
        </w:tc>
        <w:tc>
          <w:tcPr>
            <w:tcW w:type="dxa" w:w="892"/>
            <w:vAlign w:val="top"/>
          </w:tcPr>
          <w:p>
            <w:pPr>
              <w:spacing w:after="40" w:before="0" w:line="259" w:lineRule="auto"/>
            </w:pPr>
            <w:r>
              <w:rPr>
                <w:rFonts w:ascii="Calibri" w:hAnsi="Calibri"/>
                <w:b w:val="0"/>
                <w:i w:val="0"/>
                <w:color w:val="212121"/>
                <w:sz w:val="16"/>
              </w:rPr>
              <w:t>Drug level</w:t>
            </w:r>
          </w:p>
        </w:tc>
        <w:tc>
          <w:tcPr>
            <w:tcW w:type="dxa" w:w="950"/>
            <w:vAlign w:val="top"/>
          </w:tcPr>
          <w:p>
            <w:pPr>
              <w:spacing w:after="40" w:before="0" w:line="259" w:lineRule="auto"/>
            </w:pPr>
            <w:r>
              <w:rPr>
                <w:rFonts w:ascii="Calibri" w:hAnsi="Calibri"/>
                <w:b w:val="0"/>
                <w:i w:val="0"/>
                <w:color w:val="212121"/>
                <w:sz w:val="16"/>
              </w:rPr>
              <w:t>4-12 ug/mL (therapeutic)</w:t>
            </w:r>
          </w:p>
        </w:tc>
        <w:tc>
          <w:tcPr>
            <w:tcW w:type="dxa" w:w="950"/>
            <w:vAlign w:val="top"/>
          </w:tcPr>
          <w:p>
            <w:pPr>
              <w:spacing w:after="40" w:before="0" w:line="259" w:lineRule="auto"/>
            </w:pPr>
            <w:r>
              <w:rPr>
                <w:rFonts w:ascii="Calibri" w:hAnsi="Calibri"/>
                <w:b w:val="0"/>
                <w:i w:val="0"/>
                <w:color w:val="212121"/>
                <w:sz w:val="16"/>
              </w:rPr>
              <w:t>&gt;12 ug/mL (toxic)</w:t>
            </w:r>
          </w:p>
        </w:tc>
        <w:tc>
          <w:tcPr>
            <w:tcW w:type="dxa" w:w="1036"/>
            <w:vAlign w:val="top"/>
          </w:tcPr>
          <w:p>
            <w:pPr>
              <w:spacing w:after="40" w:before="0" w:line="259" w:lineRule="auto"/>
            </w:pPr>
            <w:r>
              <w:rPr>
                <w:rFonts w:ascii="Calibri" w:hAnsi="Calibri"/>
                <w:b w:val="0"/>
                <w:i w:val="0"/>
                <w:color w:val="212121"/>
                <w:sz w:val="16"/>
              </w:rPr>
              <w:t>Guides dosing and explains dose-related effects (ataxia, diplopia)</w:t>
            </w:r>
          </w:p>
        </w:tc>
        <w:tc>
          <w:tcPr>
            <w:tcW w:type="dxa" w:w="1036"/>
            <w:vAlign w:val="top"/>
          </w:tcPr>
          <w:p>
            <w:pPr>
              <w:spacing w:after="40" w:before="0" w:line="259" w:lineRule="auto"/>
            </w:pPr>
            <w:r>
              <w:rPr>
                <w:rFonts w:ascii="Calibri" w:hAnsi="Calibri"/>
                <w:b w:val="0"/>
                <w:i w:val="0"/>
                <w:color w:val="212121"/>
                <w:sz w:val="16"/>
              </w:rPr>
              <w:t>Patients with breakthrough pain or suspected toxicity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Correlate levels with symptoms.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Pain characterisation</w:t>
            </w:r>
          </w:p>
        </w:tc>
        <w:tc>
          <w:tcPr>
            <w:tcW w:type="dxa" w:w="979"/>
            <w:vAlign w:val="top"/>
          </w:tcPr>
          <w:p>
            <w:pPr>
              <w:spacing w:after="40" w:before="0" w:line="259" w:lineRule="auto"/>
            </w:pPr>
            <w:r>
              <w:rPr>
                <w:rFonts w:ascii="Calibri" w:hAnsi="Calibri"/>
                <w:b w:val="0"/>
                <w:i w:val="0"/>
                <w:color w:val="212121"/>
                <w:sz w:val="16"/>
              </w:rPr>
              <w:t>Unilateral, paroxysmal, electric-shock pain in V2/V3</w:t>
            </w:r>
          </w:p>
        </w:tc>
        <w:tc>
          <w:tcPr>
            <w:tcW w:type="dxa" w:w="950"/>
            <w:vAlign w:val="top"/>
          </w:tcPr>
          <w:p>
            <w:pPr>
              <w:spacing w:after="40" w:before="0" w:line="259" w:lineRule="auto"/>
            </w:pPr>
            <w:r>
              <w:rPr>
                <w:rFonts w:ascii="Calibri" w:hAnsi="Calibri"/>
                <w:b w:val="0"/>
                <w:i w:val="0"/>
                <w:color w:val="212121"/>
                <w:sz w:val="16"/>
              </w:rPr>
              <w:t>No such pain</w:t>
            </w:r>
          </w:p>
        </w:tc>
        <w:tc>
          <w:tcPr>
            <w:tcW w:type="dxa" w:w="950"/>
            <w:vAlign w:val="top"/>
          </w:tcPr>
          <w:p>
            <w:pPr>
              <w:spacing w:after="40" w:before="0" w:line="259" w:lineRule="auto"/>
            </w:pPr>
            <w:r>
              <w:rPr>
                <w:rFonts w:ascii="Calibri" w:hAnsi="Calibri"/>
                <w:b w:val="0"/>
                <w:i w:val="0"/>
                <w:color w:val="212121"/>
                <w:sz w:val="16"/>
              </w:rPr>
              <w:t>Typical trigeminal paroxysms present</w:t>
            </w:r>
          </w:p>
        </w:tc>
        <w:tc>
          <w:tcPr>
            <w:tcW w:type="dxa" w:w="1036"/>
            <w:vAlign w:val="top"/>
          </w:tcPr>
          <w:p>
            <w:pPr>
              <w:spacing w:after="40" w:before="0" w:line="259" w:lineRule="auto"/>
            </w:pPr>
            <w:r>
              <w:rPr>
                <w:rFonts w:ascii="Calibri" w:hAnsi="Calibri"/>
                <w:b w:val="0"/>
                <w:i w:val="0"/>
                <w:color w:val="212121"/>
                <w:sz w:val="16"/>
              </w:rPr>
              <w:t>Core ICHD-3 clinical diagnosis of trigeminal neuralgia</w:t>
            </w:r>
          </w:p>
        </w:tc>
        <w:tc>
          <w:tcPr>
            <w:tcW w:type="dxa" w:w="1036"/>
            <w:vAlign w:val="top"/>
          </w:tcPr>
          <w:p>
            <w:pPr>
              <w:spacing w:after="40" w:before="0" w:line="259" w:lineRule="auto"/>
            </w:pPr>
            <w:r>
              <w:rPr>
                <w:rFonts w:ascii="Calibri" w:hAnsi="Calibri"/>
                <w:b w:val="0"/>
                <w:i w:val="0"/>
                <w:color w:val="212121"/>
                <w:sz w:val="16"/>
              </w:rPr>
              <w:t>Adults presenting with facial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Radiation beyond the trigeminal territory argues against TN.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identification</w:t>
            </w:r>
          </w:p>
        </w:tc>
        <w:tc>
          <w:tcPr>
            <w:tcW w:type="dxa" w:w="979"/>
            <w:vAlign w:val="top"/>
          </w:tcPr>
          <w:p>
            <w:pPr>
              <w:spacing w:after="40" w:before="0" w:line="259" w:lineRule="auto"/>
            </w:pPr>
            <w:r>
              <w:rPr>
                <w:rFonts w:ascii="Calibri" w:hAnsi="Calibri"/>
                <w:b w:val="0"/>
                <w:i w:val="0"/>
                <w:color w:val="212121"/>
                <w:sz w:val="16"/>
              </w:rPr>
              <w:t>Light touch, chewing, talking, tooth-brushing, cold air</w:t>
            </w:r>
          </w:p>
        </w:tc>
        <w:tc>
          <w:tcPr>
            <w:tcW w:type="dxa" w:w="950"/>
            <w:vAlign w:val="top"/>
          </w:tcPr>
          <w:p>
            <w:pPr>
              <w:spacing w:after="40" w:before="0" w:line="259" w:lineRule="auto"/>
            </w:pPr>
            <w:r>
              <w:rPr>
                <w:rFonts w:ascii="Calibri" w:hAnsi="Calibri"/>
                <w:b w:val="0"/>
                <w:i w:val="0"/>
                <w:color w:val="212121"/>
                <w:sz w:val="16"/>
              </w:rPr>
              <w:t>No triggers</w:t>
            </w:r>
          </w:p>
        </w:tc>
        <w:tc>
          <w:tcPr>
            <w:tcW w:type="dxa" w:w="950"/>
            <w:vAlign w:val="top"/>
          </w:tcPr>
          <w:p>
            <w:pPr>
              <w:spacing w:after="40" w:before="0" w:line="259" w:lineRule="auto"/>
            </w:pPr>
            <w:r>
              <w:rPr>
                <w:rFonts w:ascii="Calibri" w:hAnsi="Calibri"/>
                <w:b w:val="0"/>
                <w:i w:val="0"/>
                <w:color w:val="212121"/>
                <w:sz w:val="16"/>
              </w:rPr>
              <w:t>Innocuous stimuli provoke pain</w:t>
            </w:r>
          </w:p>
        </w:tc>
        <w:tc>
          <w:tcPr>
            <w:tcW w:type="dxa" w:w="1036"/>
            <w:vAlign w:val="top"/>
          </w:tcPr>
          <w:p>
            <w:pPr>
              <w:spacing w:after="40" w:before="0" w:line="259" w:lineRule="auto"/>
            </w:pPr>
            <w:r>
              <w:rPr>
                <w:rFonts w:ascii="Calibri" w:hAnsi="Calibri"/>
                <w:b w:val="0"/>
                <w:i w:val="0"/>
                <w:color w:val="212121"/>
                <w:sz w:val="16"/>
              </w:rPr>
              <w:t>Trigger-evoked pain is highly characteristic of TN</w:t>
            </w:r>
          </w:p>
        </w:tc>
        <w:tc>
          <w:tcPr>
            <w:tcW w:type="dxa" w:w="1036"/>
            <w:vAlign w:val="top"/>
          </w:tcPr>
          <w:p>
            <w:pPr>
              <w:spacing w:after="40" w:before="0" w:line="259" w:lineRule="auto"/>
            </w:pPr>
            <w:r>
              <w:rPr>
                <w:rFonts w:ascii="Calibri" w:hAnsi="Calibri"/>
                <w:b w:val="0"/>
                <w:i w:val="0"/>
                <w:color w:val="212121"/>
                <w:sz w:val="16"/>
              </w:rPr>
              <w:t>All suspected TN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Trigger zones are often perioral or nasal.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Trigeminal sensory &amp; corneal reflex exam</w:t>
            </w:r>
          </w:p>
        </w:tc>
        <w:tc>
          <w:tcPr>
            <w:tcW w:type="dxa" w:w="979"/>
            <w:vAlign w:val="top"/>
          </w:tcPr>
          <w:p>
            <w:pPr>
              <w:spacing w:after="40" w:before="0" w:line="259" w:lineRule="auto"/>
            </w:pPr>
            <w:r>
              <w:rPr>
                <w:rFonts w:ascii="Calibri" w:hAnsi="Calibri"/>
                <w:b w:val="0"/>
                <w:i w:val="0"/>
                <w:color w:val="212121"/>
                <w:sz w:val="16"/>
              </w:rPr>
              <w:t>Facial sensation, corneal reflex, masticatory power</w:t>
            </w:r>
          </w:p>
        </w:tc>
        <w:tc>
          <w:tcPr>
            <w:tcW w:type="dxa" w:w="950"/>
            <w:vAlign w:val="top"/>
          </w:tcPr>
          <w:p>
            <w:pPr>
              <w:spacing w:after="40" w:before="0" w:line="259" w:lineRule="auto"/>
            </w:pPr>
            <w:r>
              <w:rPr>
                <w:rFonts w:ascii="Calibri" w:hAnsi="Calibri"/>
                <w:b w:val="0"/>
                <w:i w:val="0"/>
                <w:color w:val="212121"/>
                <w:sz w:val="16"/>
              </w:rPr>
              <w:t>Intact sensation and reflexes</w:t>
            </w:r>
          </w:p>
        </w:tc>
        <w:tc>
          <w:tcPr>
            <w:tcW w:type="dxa" w:w="950"/>
            <w:vAlign w:val="top"/>
          </w:tcPr>
          <w:p>
            <w:pPr>
              <w:spacing w:after="40" w:before="0" w:line="259" w:lineRule="auto"/>
            </w:pPr>
            <w:r>
              <w:rPr>
                <w:rFonts w:ascii="Calibri" w:hAnsi="Calibri"/>
                <w:b w:val="0"/>
                <w:i w:val="0"/>
                <w:color w:val="212121"/>
                <w:sz w:val="16"/>
              </w:rPr>
              <w:t>Sensory loss, reduced corneal reflex, jaw weakness</w:t>
            </w:r>
          </w:p>
        </w:tc>
        <w:tc>
          <w:tcPr>
            <w:tcW w:type="dxa" w:w="1036"/>
            <w:vAlign w:val="top"/>
          </w:tcPr>
          <w:p>
            <w:pPr>
              <w:spacing w:after="40" w:before="0" w:line="259" w:lineRule="auto"/>
            </w:pPr>
            <w:r>
              <w:rPr>
                <w:rFonts w:ascii="Calibri" w:hAnsi="Calibri"/>
                <w:b w:val="0"/>
                <w:i w:val="0"/>
                <w:color w:val="212121"/>
                <w:sz w:val="16"/>
              </w:rPr>
              <w:t>Deficits point to secondary TN and mandate imaging</w:t>
            </w:r>
          </w:p>
        </w:tc>
        <w:tc>
          <w:tcPr>
            <w:tcW w:type="dxa" w:w="1036"/>
            <w:vAlign w:val="top"/>
          </w:tcPr>
          <w:p>
            <w:pPr>
              <w:spacing w:after="40" w:before="0" w:line="259" w:lineRule="auto"/>
            </w:pPr>
            <w:r>
              <w:rPr>
                <w:rFonts w:ascii="Calibri" w:hAnsi="Calibri"/>
                <w:b w:val="0"/>
                <w:i w:val="0"/>
                <w:color w:val="212121"/>
                <w:sz w:val="16"/>
              </w:rPr>
              <w:t>All patients, especially red-flag groups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Classical TN usually has a normal examination.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Red-flag screen</w:t>
            </w:r>
          </w:p>
        </w:tc>
        <w:tc>
          <w:tcPr>
            <w:tcW w:type="dxa" w:w="950"/>
            <w:vAlign w:val="top"/>
          </w:tcPr>
          <w:p>
            <w:pPr>
              <w:spacing w:after="40" w:before="0" w:line="259" w:lineRule="auto"/>
            </w:pPr>
            <w:r>
              <w:rPr>
                <w:rFonts w:ascii="Calibri" w:hAnsi="Calibri"/>
                <w:b w:val="0"/>
                <w:i w:val="0"/>
                <w:color w:val="212121"/>
                <w:sz w:val="16"/>
              </w:rPr>
              <w:t>Secondary-cause screen</w:t>
            </w:r>
          </w:p>
        </w:tc>
        <w:tc>
          <w:tcPr>
            <w:tcW w:type="dxa" w:w="979"/>
            <w:vAlign w:val="top"/>
          </w:tcPr>
          <w:p>
            <w:pPr>
              <w:spacing w:after="40" w:before="0" w:line="259" w:lineRule="auto"/>
            </w:pPr>
            <w:r>
              <w:rPr>
                <w:rFonts w:ascii="Calibri" w:hAnsi="Calibri"/>
                <w:b w:val="0"/>
                <w:i w:val="0"/>
                <w:color w:val="212121"/>
                <w:sz w:val="16"/>
              </w:rPr>
              <w:t>Age &lt;40, bilateral pain, other cranial-nerve signs, hearing loss, ataxia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Raises suspicion of multiple sclerosis or a cerebellopontine-angle lesion</w:t>
            </w:r>
          </w:p>
        </w:tc>
        <w:tc>
          <w:tcPr>
            <w:tcW w:type="dxa" w:w="1036"/>
            <w:vAlign w:val="top"/>
          </w:tcPr>
          <w:p>
            <w:pPr>
              <w:spacing w:after="40" w:before="0" w:line="259" w:lineRule="auto"/>
            </w:pPr>
            <w:r>
              <w:rPr>
                <w:rFonts w:ascii="Calibri" w:hAnsi="Calibri"/>
                <w:b w:val="0"/>
                <w:i w:val="0"/>
                <w:color w:val="212121"/>
                <w:sz w:val="16"/>
              </w:rPr>
              <w:t>Younger patients, atypical features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the urgency of MRI.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Dental assessment</w:t>
            </w:r>
          </w:p>
        </w:tc>
        <w:tc>
          <w:tcPr>
            <w:tcW w:type="dxa" w:w="950"/>
            <w:vAlign w:val="top"/>
          </w:tcPr>
          <w:p>
            <w:pPr>
              <w:spacing w:after="40" w:before="0" w:line="259" w:lineRule="auto"/>
            </w:pPr>
            <w:r>
              <w:rPr>
                <w:rFonts w:ascii="Calibri" w:hAnsi="Calibri"/>
                <w:b w:val="0"/>
                <w:i w:val="0"/>
                <w:color w:val="212121"/>
                <w:sz w:val="16"/>
              </w:rPr>
              <w:t>Odontogenic pain exclusion</w:t>
            </w:r>
          </w:p>
        </w:tc>
        <w:tc>
          <w:tcPr>
            <w:tcW w:type="dxa" w:w="979"/>
            <w:vAlign w:val="top"/>
          </w:tcPr>
          <w:p>
            <w:pPr>
              <w:spacing w:after="40" w:before="0" w:line="259" w:lineRule="auto"/>
            </w:pPr>
            <w:r>
              <w:rPr>
                <w:rFonts w:ascii="Calibri" w:hAnsi="Calibri"/>
                <w:b w:val="0"/>
                <w:i w:val="0"/>
                <w:color w:val="212121"/>
                <w:sz w:val="16"/>
              </w:rPr>
              <w:t>Caries, pulpitis, cracked tooth, temporomandibular joint</w:t>
            </w:r>
          </w:p>
        </w:tc>
        <w:tc>
          <w:tcPr>
            <w:tcW w:type="dxa" w:w="950"/>
            <w:vAlign w:val="top"/>
          </w:tcPr>
          <w:p>
            <w:pPr>
              <w:spacing w:after="40" w:before="0" w:line="259" w:lineRule="auto"/>
            </w:pPr>
            <w:r>
              <w:rPr>
                <w:rFonts w:ascii="Calibri" w:hAnsi="Calibri"/>
                <w:b w:val="0"/>
                <w:i w:val="0"/>
                <w:color w:val="212121"/>
                <w:sz w:val="16"/>
              </w:rPr>
              <w:t>Healthy dentition and joint</w:t>
            </w:r>
          </w:p>
        </w:tc>
        <w:tc>
          <w:tcPr>
            <w:tcW w:type="dxa" w:w="950"/>
            <w:vAlign w:val="top"/>
          </w:tcPr>
          <w:p>
            <w:pPr>
              <w:spacing w:after="40" w:before="0" w:line="259" w:lineRule="auto"/>
            </w:pPr>
            <w:r>
              <w:rPr>
                <w:rFonts w:ascii="Calibri" w:hAnsi="Calibri"/>
                <w:b w:val="0"/>
                <w:i w:val="0"/>
                <w:color w:val="212121"/>
                <w:sz w:val="16"/>
              </w:rPr>
              <w:t>Dental pathology found</w:t>
            </w:r>
          </w:p>
        </w:tc>
        <w:tc>
          <w:tcPr>
            <w:tcW w:type="dxa" w:w="1036"/>
            <w:vAlign w:val="top"/>
          </w:tcPr>
          <w:p>
            <w:pPr>
              <w:spacing w:after="40" w:before="0" w:line="259" w:lineRule="auto"/>
            </w:pPr>
            <w:r>
              <w:rPr>
                <w:rFonts w:ascii="Calibri" w:hAnsi="Calibri"/>
                <w:b w:val="0"/>
                <w:i w:val="0"/>
                <w:color w:val="212121"/>
                <w:sz w:val="16"/>
              </w:rPr>
              <w:t>Prevents unnecessary extractions when the pain is neuralgic</w:t>
            </w:r>
          </w:p>
        </w:tc>
        <w:tc>
          <w:tcPr>
            <w:tcW w:type="dxa" w:w="1036"/>
            <w:vAlign w:val="top"/>
          </w:tcPr>
          <w:p>
            <w:pPr>
              <w:spacing w:after="40" w:before="0" w:line="259" w:lineRule="auto"/>
            </w:pPr>
            <w:r>
              <w:rPr>
                <w:rFonts w:ascii="Calibri" w:hAnsi="Calibri"/>
                <w:b w:val="0"/>
                <w:i w:val="0"/>
                <w:color w:val="212121"/>
                <w:sz w:val="16"/>
              </w:rPr>
              <w:t>Patients presenting with 'toothache'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common misdiagnosis in Indian practice.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Psychosocial</w:t>
            </w:r>
          </w:p>
        </w:tc>
        <w:tc>
          <w:tcPr>
            <w:tcW w:type="dxa" w:w="950"/>
            <w:vAlign w:val="top"/>
          </w:tcPr>
          <w:p>
            <w:pPr>
              <w:spacing w:after="40" w:before="0" w:line="259" w:lineRule="auto"/>
            </w:pPr>
            <w:r>
              <w:rPr>
                <w:rFonts w:ascii="Calibri" w:hAnsi="Calibri"/>
                <w:b w:val="0"/>
                <w:i w:val="0"/>
                <w:color w:val="212121"/>
                <w:sz w:val="16"/>
              </w:rPr>
              <w:t>Mood, sleep &amp; nutrition assessment</w:t>
            </w:r>
          </w:p>
        </w:tc>
        <w:tc>
          <w:tcPr>
            <w:tcW w:type="dxa" w:w="979"/>
            <w:vAlign w:val="top"/>
          </w:tcPr>
          <w:p>
            <w:pPr>
              <w:spacing w:after="40" w:before="0" w:line="259" w:lineRule="auto"/>
            </w:pPr>
            <w:r>
              <w:rPr>
                <w:rFonts w:ascii="Calibri" w:hAnsi="Calibri"/>
                <w:b w:val="0"/>
                <w:i w:val="0"/>
                <w:color w:val="212121"/>
                <w:sz w:val="16"/>
              </w:rPr>
              <w:t>Depression, anxiety, suicidality, weight change</w:t>
            </w:r>
          </w:p>
        </w:tc>
        <w:tc>
          <w:tcPr>
            <w:tcW w:type="dxa" w:w="950"/>
            <w:vAlign w:val="top"/>
          </w:tcPr>
          <w:p>
            <w:pPr>
              <w:spacing w:after="40" w:before="0" w:line="259" w:lineRule="auto"/>
            </w:pPr>
            <w:r>
              <w:rPr>
                <w:rFonts w:ascii="Calibri" w:hAnsi="Calibri"/>
                <w:b w:val="0"/>
                <w:i w:val="0"/>
                <w:color w:val="212121"/>
                <w:sz w:val="16"/>
              </w:rPr>
              <w:t>Stable mood and weight</w:t>
            </w:r>
          </w:p>
        </w:tc>
        <w:tc>
          <w:tcPr>
            <w:tcW w:type="dxa" w:w="950"/>
            <w:vAlign w:val="top"/>
          </w:tcPr>
          <w:p>
            <w:pPr>
              <w:spacing w:after="40" w:before="0" w:line="259" w:lineRule="auto"/>
            </w:pPr>
            <w:r>
              <w:rPr>
                <w:rFonts w:ascii="Calibri" w:hAnsi="Calibri"/>
                <w:b w:val="0"/>
                <w:i w:val="0"/>
                <w:color w:val="212121"/>
                <w:sz w:val="16"/>
              </w:rPr>
              <w:t>Depression, weight loss or suicidal ideation</w:t>
            </w:r>
          </w:p>
        </w:tc>
        <w:tc>
          <w:tcPr>
            <w:tcW w:type="dxa" w:w="1036"/>
            <w:vAlign w:val="top"/>
          </w:tcPr>
          <w:p>
            <w:pPr>
              <w:spacing w:after="40" w:before="0" w:line="259" w:lineRule="auto"/>
            </w:pPr>
            <w:r>
              <w:rPr>
                <w:rFonts w:ascii="Calibri" w:hAnsi="Calibri"/>
                <w:b w:val="0"/>
                <w:i w:val="0"/>
                <w:color w:val="212121"/>
                <w:sz w:val="16"/>
              </w:rPr>
              <w:t>Chronic severe pain drives psychiatric and nutritional morbidity</w:t>
            </w:r>
          </w:p>
        </w:tc>
        <w:tc>
          <w:tcPr>
            <w:tcW w:type="dxa" w:w="1036"/>
            <w:vAlign w:val="top"/>
          </w:tcPr>
          <w:p>
            <w:pPr>
              <w:spacing w:after="40" w:before="0" w:line="259" w:lineRule="auto"/>
            </w:pPr>
            <w:r>
              <w:rPr>
                <w:rFonts w:ascii="Calibri" w:hAnsi="Calibri"/>
                <w:b w:val="0"/>
                <w:i w:val="0"/>
                <w:color w:val="212121"/>
                <w:sz w:val="16"/>
              </w:rPr>
              <w:t>Chronic / refractory TN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TN is nicknamed the 'suicide disease' - assess risk.</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Paroxysmal electric-shock / stabbing facial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severe, lancinating pain lasting a fraction of a second to about 2 minutes.</w:t>
            </w:r>
          </w:p>
        </w:tc>
      </w:tr>
      <w:tr>
        <w:trPr>
          <w:cantSplit/>
        </w:trPr>
        <w:tc>
          <w:tcPr>
            <w:tcW w:type="dxa" w:w="2304"/>
            <w:vAlign w:val="top"/>
          </w:tcPr>
          <w:p>
            <w:pPr>
              <w:spacing w:after="40" w:before="0" w:line="259" w:lineRule="auto"/>
            </w:pPr>
            <w:r>
              <w:rPr>
                <w:rFonts w:ascii="Calibri" w:hAnsi="Calibri"/>
                <w:b/>
                <w:i w:val="0"/>
                <w:color w:val="212121"/>
                <w:sz w:val="19"/>
              </w:rPr>
              <w:t>Strictly unilateral pain in the cheek, jaw, gums or teeth (V2/V3)</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Follows one or more trigeminal divisions; maxillary and mandibular are most often affected.</w:t>
            </w:r>
          </w:p>
        </w:tc>
      </w:tr>
      <w:tr>
        <w:trPr>
          <w:cantSplit/>
        </w:trPr>
        <w:tc>
          <w:tcPr>
            <w:tcW w:type="dxa" w:w="2304"/>
            <w:vAlign w:val="top"/>
          </w:tcPr>
          <w:p>
            <w:pPr>
              <w:spacing w:after="40" w:before="0" w:line="259" w:lineRule="auto"/>
            </w:pPr>
            <w:r>
              <w:rPr>
                <w:rFonts w:ascii="Calibri" w:hAnsi="Calibri"/>
                <w:b/>
                <w:i w:val="0"/>
                <w:color w:val="212121"/>
                <w:sz w:val="19"/>
              </w:rPr>
              <w:t>Pain triggered by innocuous stimuli</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Light touch, chewing, talking, tooth-brushing, shaving, washing the face or cold wind precipitate attacks.</w:t>
            </w:r>
          </w:p>
        </w:tc>
      </w:tr>
      <w:tr>
        <w:trPr>
          <w:cantSplit/>
        </w:trPr>
        <w:tc>
          <w:tcPr>
            <w:tcW w:type="dxa" w:w="2304"/>
            <w:vAlign w:val="top"/>
          </w:tcPr>
          <w:p>
            <w:pPr>
              <w:spacing w:after="40" w:before="0" w:line="259" w:lineRule="auto"/>
            </w:pPr>
            <w:r>
              <w:rPr>
                <w:rFonts w:ascii="Calibri" w:hAnsi="Calibri"/>
                <w:b/>
                <w:i w:val="0"/>
                <w:color w:val="212121"/>
                <w:sz w:val="19"/>
              </w:rPr>
              <w:t>Repeated clustered attacks through the day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Volleys of paroxysms separated by brief pain-free intervals.</w:t>
            </w:r>
          </w:p>
        </w:tc>
      </w:tr>
      <w:tr>
        <w:trPr>
          <w:cantSplit/>
        </w:trPr>
        <w:tc>
          <w:tcPr>
            <w:tcW w:type="dxa" w:w="2304"/>
            <w:vAlign w:val="top"/>
          </w:tcPr>
          <w:p>
            <w:pPr>
              <w:spacing w:after="40" w:before="0" w:line="259" w:lineRule="auto"/>
            </w:pPr>
            <w:r>
              <w:rPr>
                <w:rFonts w:ascii="Calibri" w:hAnsi="Calibri"/>
                <w:b/>
                <w:i w:val="0"/>
                <w:color w:val="212121"/>
                <w:sz w:val="19"/>
              </w:rPr>
              <w:t>Refractory (pain-free) period after an attack</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short interval during which stimulation does not trigger further pain.</w:t>
            </w:r>
          </w:p>
        </w:tc>
      </w:tr>
      <w:tr>
        <w:trPr>
          <w:cantSplit/>
        </w:trPr>
        <w:tc>
          <w:tcPr>
            <w:tcW w:type="dxa" w:w="2304"/>
            <w:vAlign w:val="top"/>
          </w:tcPr>
          <w:p>
            <w:pPr>
              <w:spacing w:after="40" w:before="0" w:line="259" w:lineRule="auto"/>
            </w:pPr>
            <w:r>
              <w:rPr>
                <w:rFonts w:ascii="Calibri" w:hAnsi="Calibri"/>
                <w:b/>
                <w:i w:val="0"/>
                <w:color w:val="212121"/>
                <w:sz w:val="19"/>
              </w:rPr>
              <w:t>Avoidance of eating, talking, shaving or washing the face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Patients guard the face to prevent triggering, affecting nutrition and hygiene.</w:t>
            </w:r>
          </w:p>
        </w:tc>
      </w:tr>
      <w:tr>
        <w:trPr>
          <w:cantSplit/>
        </w:trPr>
        <w:tc>
          <w:tcPr>
            <w:tcW w:type="dxa" w:w="2304"/>
            <w:vAlign w:val="top"/>
          </w:tcPr>
          <w:p>
            <w:pPr>
              <w:spacing w:after="40" w:before="0" w:line="259" w:lineRule="auto"/>
            </w:pPr>
            <w:r>
              <w:rPr>
                <w:rFonts w:ascii="Calibri" w:hAnsi="Calibri"/>
                <w:b/>
                <w:i w:val="0"/>
                <w:color w:val="212121"/>
                <w:sz w:val="19"/>
              </w:rPr>
              <w:t>Continuous background aching or burning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concomitant persistent component characterises TN type 2 (atypical).</w:t>
            </w:r>
          </w:p>
        </w:tc>
      </w:tr>
      <w:tr>
        <w:trPr>
          <w:cantSplit/>
        </w:trPr>
        <w:tc>
          <w:tcPr>
            <w:tcW w:type="dxa" w:w="2304"/>
            <w:vAlign w:val="top"/>
          </w:tcPr>
          <w:p>
            <w:pPr>
              <w:spacing w:after="40" w:before="0" w:line="259" w:lineRule="auto"/>
            </w:pPr>
            <w:r>
              <w:rPr>
                <w:rFonts w:ascii="Calibri" w:hAnsi="Calibri"/>
                <w:b/>
                <w:i w:val="0"/>
                <w:color w:val="212121"/>
                <w:sz w:val="19"/>
              </w:rPr>
              <w:t>Unintentional weight loss and dehydration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Result from reduced oral intake driven by fear of provoking pain.</w:t>
            </w:r>
          </w:p>
        </w:tc>
      </w:tr>
      <w:tr>
        <w:trPr>
          <w:cantSplit/>
        </w:trPr>
        <w:tc>
          <w:tcPr>
            <w:tcW w:type="dxa" w:w="2304"/>
            <w:vAlign w:val="top"/>
          </w:tcPr>
          <w:p>
            <w:pPr>
              <w:spacing w:after="40" w:before="0" w:line="259" w:lineRule="auto"/>
            </w:pPr>
            <w:r>
              <w:rPr>
                <w:rFonts w:ascii="Calibri" w:hAnsi="Calibri"/>
                <w:b/>
                <w:i w:val="0"/>
                <w:color w:val="212121"/>
                <w:sz w:val="19"/>
              </w:rPr>
              <w:t>Ipsilateral autonomic features (tearing, eye redness, runny nose)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autonomic signs when the ophthalmic (V1) division is involved.</w:t>
            </w:r>
          </w:p>
        </w:tc>
      </w:tr>
      <w:tr>
        <w:trPr>
          <w:cantSplit/>
        </w:trPr>
        <w:tc>
          <w:tcPr>
            <w:tcW w:type="dxa" w:w="2304"/>
            <w:vAlign w:val="top"/>
          </w:tcPr>
          <w:p>
            <w:pPr>
              <w:spacing w:after="40" w:before="0" w:line="259" w:lineRule="auto"/>
            </w:pPr>
            <w:r>
              <w:rPr>
                <w:rFonts w:ascii="Calibri" w:hAnsi="Calibri"/>
                <w:b/>
                <w:i w:val="0"/>
                <w:color w:val="212121"/>
                <w:sz w:val="19"/>
              </w:rPr>
              <w:t>Pain almost never during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characteristic feature that helps distinguish TN from other facial pains.</w:t>
            </w:r>
          </w:p>
        </w:tc>
      </w:tr>
      <w:tr>
        <w:trPr>
          <w:cantSplit/>
        </w:trPr>
        <w:tc>
          <w:tcPr>
            <w:tcW w:type="dxa" w:w="2304"/>
            <w:vAlign w:val="top"/>
          </w:tcPr>
          <w:p>
            <w:pPr>
              <w:spacing w:after="40" w:before="0" w:line="259" w:lineRule="auto"/>
            </w:pPr>
            <w:r>
              <w:rPr>
                <w:rFonts w:ascii="Calibri" w:hAnsi="Calibri"/>
                <w:b/>
                <w:i w:val="0"/>
                <w:color w:val="212121"/>
                <w:sz w:val="19"/>
              </w:rPr>
              <w:t>Anxiety and low mood with fear of the next attack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Anticipatory anxiety and depression are frequent with chronic, severe, unpredictable pain.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Normal neurological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Classical and idiopathic TN typically show no focal deficit between attacks.</w:t>
            </w:r>
          </w:p>
        </w:tc>
      </w:tr>
      <w:tr>
        <w:trPr>
          <w:cantSplit/>
        </w:trPr>
        <w:tc>
          <w:tcPr>
            <w:tcW w:type="dxa" w:w="3456"/>
            <w:vAlign w:val="top"/>
          </w:tcPr>
          <w:p>
            <w:pPr>
              <w:spacing w:after="40" w:before="0" w:line="259" w:lineRule="auto"/>
            </w:pPr>
            <w:r>
              <w:rPr>
                <w:rFonts w:ascii="Calibri" w:hAnsi="Calibri"/>
                <w:b/>
                <w:i w:val="0"/>
                <w:color w:val="212121"/>
                <w:sz w:val="19"/>
              </w:rPr>
              <w:t>Cutaneous trigger zones on the face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Light touch of perioral or nasal zones reproduces the paroxysm.</w:t>
            </w:r>
          </w:p>
        </w:tc>
      </w:tr>
      <w:tr>
        <w:trPr>
          <w:cantSplit/>
        </w:trPr>
        <w:tc>
          <w:tcPr>
            <w:tcW w:type="dxa" w:w="3456"/>
            <w:vAlign w:val="top"/>
          </w:tcPr>
          <w:p>
            <w:pPr>
              <w:spacing w:after="40" w:before="0" w:line="259" w:lineRule="auto"/>
            </w:pPr>
            <w:r>
              <w:rPr>
                <w:rFonts w:ascii="Calibri" w:hAnsi="Calibri"/>
                <w:b/>
                <w:i w:val="0"/>
                <w:color w:val="212121"/>
                <w:sz w:val="19"/>
              </w:rPr>
              <w:t>Sudden facial wince or spasm during a paroxysm ('tic')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Involuntary contraction of facial muscles during severe pain - the 'tic douloureux'.</w:t>
            </w:r>
          </w:p>
        </w:tc>
      </w:tr>
      <w:tr>
        <w:trPr>
          <w:cantSplit/>
        </w:trPr>
        <w:tc>
          <w:tcPr>
            <w:tcW w:type="dxa" w:w="3456"/>
            <w:vAlign w:val="top"/>
          </w:tcPr>
          <w:p>
            <w:pPr>
              <w:spacing w:after="40" w:before="0" w:line="259" w:lineRule="auto"/>
            </w:pPr>
            <w:r>
              <w:rPr>
                <w:rFonts w:ascii="Calibri" w:hAnsi="Calibri"/>
                <w:b/>
                <w:i w:val="0"/>
                <w:color w:val="212121"/>
                <w:sz w:val="19"/>
              </w:rPr>
              <w:t>Guarding of the affected side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patient avoids touching, washing or shaving the painful area.</w:t>
            </w:r>
          </w:p>
        </w:tc>
      </w:tr>
      <w:tr>
        <w:trPr>
          <w:cantSplit/>
        </w:trPr>
        <w:tc>
          <w:tcPr>
            <w:tcW w:type="dxa" w:w="3456"/>
            <w:vAlign w:val="top"/>
          </w:tcPr>
          <w:p>
            <w:pPr>
              <w:spacing w:after="40" w:before="0" w:line="259" w:lineRule="auto"/>
            </w:pPr>
            <w:r>
              <w:rPr>
                <w:rFonts w:ascii="Calibri" w:hAnsi="Calibri"/>
                <w:b/>
                <w:i w:val="0"/>
                <w:color w:val="212121"/>
                <w:sz w:val="19"/>
              </w:rPr>
              <w:t>Sensory loss in the trigeminal distribution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secondary TN and warrants MRI.</w:t>
            </w:r>
          </w:p>
        </w:tc>
      </w:tr>
      <w:tr>
        <w:trPr>
          <w:cantSplit/>
        </w:trPr>
        <w:tc>
          <w:tcPr>
            <w:tcW w:type="dxa" w:w="3456"/>
            <w:vAlign w:val="top"/>
          </w:tcPr>
          <w:p>
            <w:pPr>
              <w:spacing w:after="40" w:before="0" w:line="259" w:lineRule="auto"/>
            </w:pPr>
            <w:r>
              <w:rPr>
                <w:rFonts w:ascii="Calibri" w:hAnsi="Calibri"/>
                <w:b/>
                <w:i w:val="0"/>
                <w:color w:val="212121"/>
                <w:sz w:val="19"/>
              </w:rPr>
              <w:t>Diminished or absent corneal reflex</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trigeminal nerve damage - a red flag for secondary TN.</w:t>
            </w:r>
          </w:p>
        </w:tc>
      </w:tr>
      <w:tr>
        <w:trPr>
          <w:cantSplit/>
        </w:trPr>
        <w:tc>
          <w:tcPr>
            <w:tcW w:type="dxa" w:w="3456"/>
            <w:vAlign w:val="top"/>
          </w:tcPr>
          <w:p>
            <w:pPr>
              <w:spacing w:after="40" w:before="0" w:line="259" w:lineRule="auto"/>
            </w:pPr>
            <w:r>
              <w:rPr>
                <w:rFonts w:ascii="Calibri" w:hAnsi="Calibri"/>
                <w:b/>
                <w:i w:val="0"/>
                <w:color w:val="212121"/>
                <w:sz w:val="19"/>
              </w:rPr>
              <w:t>Weakness of the muscles of mastication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V3 motor involvement points to a structural lesion.</w:t>
            </w:r>
          </w:p>
        </w:tc>
      </w:tr>
      <w:tr>
        <w:trPr>
          <w:cantSplit/>
        </w:trPr>
        <w:tc>
          <w:tcPr>
            <w:tcW w:type="dxa" w:w="3456"/>
            <w:vAlign w:val="top"/>
          </w:tcPr>
          <w:p>
            <w:pPr>
              <w:spacing w:after="40" w:before="0" w:line="259" w:lineRule="auto"/>
            </w:pPr>
            <w:r>
              <w:rPr>
                <w:rFonts w:ascii="Calibri" w:hAnsi="Calibri"/>
                <w:b/>
                <w:i w:val="0"/>
                <w:color w:val="212121"/>
                <w:sz w:val="19"/>
              </w:rPr>
              <w:t>Other cranial-nerve signs (hearing loss, ataxia)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 a cerebellopontine-angle lesion causing secondary TN.</w:t>
            </w:r>
          </w:p>
        </w:tc>
      </w:tr>
      <w:tr>
        <w:trPr>
          <w:cantSplit/>
        </w:trPr>
        <w:tc>
          <w:tcPr>
            <w:tcW w:type="dxa" w:w="3456"/>
            <w:vAlign w:val="top"/>
          </w:tcPr>
          <w:p>
            <w:pPr>
              <w:spacing w:after="40" w:before="0" w:line="259" w:lineRule="auto"/>
            </w:pPr>
            <w:r>
              <w:rPr>
                <w:rFonts w:ascii="Calibri" w:hAnsi="Calibri"/>
                <w:b/>
                <w:i w:val="0"/>
                <w:color w:val="212121"/>
                <w:sz w:val="19"/>
              </w:rPr>
              <w:t>Poor oral hygiene / dental neglect on the affected side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avoidance of tooth-brushing to prevent triggering pain.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disabling paroxysms of facial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Clusters/volleys of attacks limiting eating, drinking and speaking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dehydration from inability to drink</w:t>
            </w:r>
          </w:p>
        </w:tc>
        <w:tc>
          <w:tcPr>
            <w:tcW w:type="dxa" w:w="2980"/>
            <w:vAlign w:val="top"/>
          </w:tcPr>
          <w:p>
            <w:pPr>
              <w:spacing w:after="40" w:before="0" w:line="259" w:lineRule="auto"/>
            </w:pPr>
            <w:r>
              <w:rPr>
                <w:rFonts w:ascii="Calibri" w:hAnsi="Calibri"/>
                <w:b w:val="0"/>
                <w:i w:val="0"/>
                <w:color w:val="212121"/>
                <w:sz w:val="19"/>
              </w:rPr>
              <w:t>Direct consequences of the pain paroxysms themselves.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Unintentional weight loss and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oral hygiene and dental disease from brushing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Medication adverse effects - hyponatraemia, ataxia, diplopia, blood dyscrasias, and Stevens-Johnson syndrome/TEN in HLA-B*15:02 carriers</w:t>
            </w:r>
          </w:p>
        </w:tc>
        <w:tc>
          <w:tcPr>
            <w:tcW w:type="dxa" w:w="2980"/>
            <w:vAlign w:val="top"/>
          </w:tcPr>
          <w:p>
            <w:pPr>
              <w:spacing w:after="40" w:before="0" w:line="259" w:lineRule="auto"/>
            </w:pPr>
            <w:r>
              <w:rPr>
                <w:rFonts w:ascii="Calibri" w:hAnsi="Calibri"/>
                <w:b w:val="0"/>
                <w:i w:val="0"/>
                <w:color w:val="212121"/>
                <w:sz w:val="19"/>
              </w:rPr>
              <w:t>Result from chronic pain, feeding and hygiene avoidance, and anticonvulsant therapy.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 intractable trigeminal neuralgia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Sensory loss, corneal anaesthesia and keratitis after ablative procedures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Anaesthesia dolorosa (painful numbness)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complications - hearing loss, CSF leak, cerebellar injury after microvascular decompression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depression and suicidality</w:t>
            </w:r>
          </w:p>
        </w:tc>
        <w:tc>
          <w:tcPr>
            <w:tcW w:type="dxa" w:w="2980"/>
            <w:vAlign w:val="top"/>
          </w:tcPr>
          <w:p>
            <w:pPr>
              <w:spacing w:after="40" w:before="0" w:line="259" w:lineRule="auto"/>
            </w:pPr>
            <w:r>
              <w:rPr>
                <w:rFonts w:ascii="Calibri" w:hAnsi="Calibri"/>
                <w:b w:val="0"/>
                <w:i w:val="0"/>
                <w:color w:val="212121"/>
                <w:sz w:val="19"/>
              </w:rPr>
              <w:t>Irreversible or disabling outcomes of longstanding disease and its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Multiple sclerosis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Pontine demyelinating plaques cause secondary, often younger-onset and bilateral, trigeminal neuralgia; its presence changes work-up and prognosis.</w:t>
            </w:r>
          </w:p>
          <w:p>
            <w:pPr>
              <w:spacing w:after="40" w:before="0" w:line="259" w:lineRule="auto"/>
            </w:pPr>
            <w:r>
              <w:rPr>
                <w:rFonts w:ascii="Calibri" w:hAnsi="Calibri"/>
                <w:b/>
                <w:i w:val="0"/>
                <w:color w:val="212121"/>
                <w:sz w:val="19"/>
              </w:rPr>
              <w:t>~2-4% of TN cases</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severe, unpredictable facial pain frequently causes depression, which in turn lowers pain tolerance - a bidirectional relationship that must be treated.</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Anticipatory fear of triggering an attack drives avoidance behaviour and anxiety.</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Associated with arterial ectasia and a modestly higher incidence of TN; blood-pressure control forms part of vascular risk management.</w:t>
            </w:r>
          </w:p>
        </w:tc>
      </w:tr>
      <w:tr>
        <w:trPr>
          <w:cantSplit/>
        </w:trPr>
        <w:tc>
          <w:tcPr>
            <w:tcW w:type="dxa" w:w="2232"/>
            <w:vAlign w:val="top"/>
          </w:tcPr>
          <w:p>
            <w:pPr>
              <w:spacing w:after="40" w:before="0" w:line="259" w:lineRule="auto"/>
            </w:pPr>
            <w:r>
              <w:rPr>
                <w:rFonts w:ascii="Calibri" w:hAnsi="Calibri"/>
                <w:b/>
                <w:i w:val="0"/>
                <w:color w:val="212121"/>
                <w:sz w:val="19"/>
              </w:rPr>
              <w:t>Malnutrition and weight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Feeding avoidance to prevent pain leads to undernutrition and dehydration, especially in the elderly.</w:t>
            </w:r>
          </w:p>
        </w:tc>
      </w:tr>
      <w:tr>
        <w:trPr>
          <w:cantSplit/>
        </w:trPr>
        <w:tc>
          <w:tcPr>
            <w:tcW w:type="dxa" w:w="2232"/>
            <w:vAlign w:val="top"/>
          </w:tcPr>
          <w:p>
            <w:pPr>
              <w:spacing w:after="40" w:before="0" w:line="259" w:lineRule="auto"/>
            </w:pPr>
            <w:r>
              <w:rPr>
                <w:rFonts w:ascii="Calibri" w:hAnsi="Calibri"/>
                <w:b/>
                <w:i w:val="0"/>
                <w:color w:val="212121"/>
                <w:sz w:val="19"/>
              </w:rPr>
              <w:t>Insomnia / sleep disturbance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Although pain rarely occurs during sleep, chronic pain and anticonvulsant side-effects disrupt sleep, worsening mood and pain threshold.</w:t>
            </w:r>
          </w:p>
        </w:tc>
      </w:tr>
      <w:tr>
        <w:trPr>
          <w:cantSplit/>
        </w:trPr>
        <w:tc>
          <w:tcPr>
            <w:tcW w:type="dxa" w:w="2232"/>
            <w:vAlign w:val="top"/>
          </w:tcPr>
          <w:p>
            <w:pPr>
              <w:spacing w:after="40" w:before="0" w:line="259" w:lineRule="auto"/>
            </w:pPr>
            <w:r>
              <w:rPr>
                <w:rFonts w:ascii="Calibri" w:hAnsi="Calibri"/>
                <w:b/>
                <w:i w:val="0"/>
                <w:color w:val="212121"/>
                <w:sz w:val="19"/>
              </w:rPr>
              <w:t>Cerebellopontine-angle tumours (meningioma, vestibular schwannoma, epidermoid cyst)</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Compress the trigeminal nerve to produce secondary TN, usually with sensory loss or other cranial-nerve signs.</w:t>
            </w:r>
          </w:p>
        </w:tc>
      </w:tr>
      <w:tr>
        <w:trPr>
          <w:cantSplit/>
        </w:trPr>
        <w:tc>
          <w:tcPr>
            <w:tcW w:type="dxa" w:w="2232"/>
            <w:vAlign w:val="top"/>
          </w:tcPr>
          <w:p>
            <w:pPr>
              <w:spacing w:after="40" w:before="0" w:line="259" w:lineRule="auto"/>
            </w:pPr>
            <w:r>
              <w:rPr>
                <w:rFonts w:ascii="Calibri" w:hAnsi="Calibri"/>
                <w:b/>
                <w:i w:val="0"/>
                <w:color w:val="212121"/>
                <w:sz w:val="19"/>
              </w:rPr>
              <w:t>Carbamazepine-induced hyponatraemia and SJS/TEN</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First-line therapy can cause hyponatraemia and, in HLA-B*15:02 carriers, life-threatening skin reactions, mandating monitoring and pharmacogenomic screening.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pattern - sudden, one-sided, electric-shock facial pain triggered by touch, chewing or cold air - and seek a neurology opinion rather than repeated dental extractions.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trigeminal neuralgia is treatable; anticonvulsants such as carbamazepine or oxcarbazepine (not ordinary painkillers) are first-line.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red flags that need urgent MRI: onset before 40, pain on both sides, facial numbness, hearing loss or unsteadiness.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people of South or Southeast Asian ancestry, ask for HLA-B*15:02 testing before starting carbamazepine to avoid severe skin reactions.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medication regularly and do not stop abruptly; report drowsiness, rash, unsteadiness or low-sodium symptoms (nausea, confusion) promptly.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facial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of Asian/Indian ancestry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patients at risk of misdiagnosis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up gentle regular aerobic activity (walking, cycling) for mood, sleep and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blood pressure, as hypertension is an associated vascular factor.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face from cold wind with a scarf or mask during outdoor activity to avoid triggering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relaxation and paced breathing to reduce pain-related tension and anxiety.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and elderly with TN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or deconditioned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flares choose soft, lukewarm foods and avoid very hot, very cold or hard-to-chew items that trigger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small, frequent meals and use a straw or the non-trigger side of the mouth if it helps.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nutrition and hydration with liquid or fortified supplements to prevent weight loss and dehydration.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unintentional weight loss and seek dietitian support if intake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salt and fluid intake balanced and attend sodium checks while on carbamazepine or oxcarbazepine.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avoiding food due to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sodium-channel anticonvulsants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regular sleep schedule and good sleep hygiene; treat pain adequately so it does not delay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the timing of medication so peak drug levels cover the most trigger-heavy parts of the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and low mood, which commonly disturb sleep in chronic facial pain.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 refractory TN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 or depression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reduces the cardiovascular and vascular risk linked to the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cold-air inhalation and nicotine, which can trigger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Cessation improves outcomes and healing if microvascular decompression or other surgery is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can trigger attacks in some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while taking carbamazepine or oxcarbazepine because of added drowsiness and the risk of low sodium.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also impairs medication adherence and worsens mood.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anticonvulsants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depression and anxiety; because TN is nicknamed the 'suicide disease' for its severe, unpredictable pain, assess suicidal thoughts and refer urgently if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such as cognitive behavioural therapy and pain-coping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patient support groups and involve family to reduce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depression or anxiety, which lowers the pain threshold and worsens overall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and refractory TN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weight loss or insomnia</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54486/" TargetMode="External"/><Relationship Id="rId10" Type="http://schemas.openxmlformats.org/officeDocument/2006/relationships/hyperlink" Target="https://www.mayoclinic.org/diseases-conditions/trigeminal-neuralgia/symptoms-causes/syc-20353344" TargetMode="External"/><Relationship Id="rId11" Type="http://schemas.openxmlformats.org/officeDocument/2006/relationships/hyperlink" Target="https://www.ninds.nih.gov/health-information/disorders/trigeminal-neuralgia" TargetMode="External"/><Relationship Id="rId12" Type="http://schemas.openxmlformats.org/officeDocument/2006/relationships/hyperlink" Target="https://ichd-3.org/13-painful-cranial-neuropathies-and-other-facial-pains/13-1-trigeminal-neuralg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