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Multiple Sclerosis</w:t>
      </w:r>
    </w:p>
    <w:p>
      <w:pPr>
        <w:spacing w:before="0" w:after="160"/>
      </w:pPr>
      <w:r>
        <w:rPr>
          <w:rFonts w:ascii="Calibri" w:hAnsi="Calibri"/>
          <w:b/>
          <w:i w:val="0"/>
          <w:color w:val="212121"/>
          <w:sz w:val="22"/>
        </w:rPr>
        <w:t xml:space="preserve">AKA </w:t>
      </w:r>
      <w:r>
        <w:rPr>
          <w:rFonts w:ascii="Calibri" w:hAnsi="Calibri"/>
          <w:b w:val="0"/>
          <w:i w:val="0"/>
          <w:color w:val="212121"/>
          <w:sz w:val="22"/>
        </w:rPr>
        <w:t>i.e., MS, Disseminated sclerosis, Encephalomyelitis disseminata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Multiple sclerosis (MS) is a chronic, immune-mediated, inflammatory demyelinating disease of the central nervous system (brain, spinal cord and optic nerves) in which the immune system attacks the myelin sheath and underlying axons. This produces plaques of demyelination that are characteristically disseminated in space (multiple CNS sites) and in time (episodes separated by months or years). The result is a relapsing and/or progressive course of neurological dysfunction affecting vision, sensation, motor power, balance, bladder function and cognition, and it is a leading non-traumatic cause of neurological disability in young adults.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Multiple sclerosis is uncommon in India compared with Western populations, which historically placed the subcontinent in a low-to-intermediate prevalence zone. Regional Indian estimates cluster at roughly 5-10 per 100,000 population, against 100-300 per 100,000 in North America and northern Europe; the WHO South-East Asia region prevalence is around 9 per 100,000. The apparent burden is rising as MRI access and neurologist availability improve diagnosis. As elsewhere, Indian series show a clear female predominance (roughly 2-3:1) and onset in the third decade, with the relapsing-remitting form predominating.</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MS is a clinical diagnosis supported by imaging and laboratory evidence, made using the 2017 revised McDonald criteria after excluding better explanations. Diagnosis requires demonstrating CNS lesions disseminated in space (DIS) and in time (DIT):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 or more clinical attacks with objective clinical evidence of two or more lesions (or one lesion with reasonable historical evidence of a prior attack) fulfils DIS and DIT clinically;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Dissemination in space on MRI: one or more T2/FLAIR hyperintense lesions in two or more of four characteristic CNS regions - periventricular, cortical/juxtacortical, infratentorial, and spinal cord;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Dissemination in time on MRI: simultaneous presence of gadolinium-enhancing and non-enhancing lesions, or a new T2/enhancing lesion on a follow-up scan;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CSF-specific oligoclonal bands (&gt;=2 bands not present in serum) can substitute for DIT under the 2017 criteria in a patient with a typical clinically isolated syndrome;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investigations include delayed P100 latency on visual evoked potentials and exclusion of mimics (NMOSD via AQP4-IgG, MOGAD via MOG-IgG, neurosarcoidosis, SLE, vasculitis, B12 deficiency);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No single test is diagnostic - MRI of brain and spine, CSF analysis and clinical history are integrated, and an alternative diagnosis must be excluded ('no better explanation').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MS is classified by disease course (clinical phenotype), which guides prognosis and disease-modifying therapy. The recognised phenotypes are:</w:t>
      </w:r>
    </w:p>
    <w:p>
      <w:pPr>
        <w:spacing w:before="0" w:after="80"/>
      </w:pPr>
      <w:r>
        <w:rPr>
          <w:rFonts w:ascii="Calibri" w:hAnsi="Calibri"/>
          <w:b w:val="0"/>
          <w:i w:val="0"/>
          <w:color w:val="212121"/>
          <w:sz w:val="21"/>
        </w:rPr>
        <w:t>(1) Clinically isolated syndrome (CIS) - a first, monophasic clinical episode of CNS demyelination (e.g., optic neuritis, partial myelitis or a brainstem syndrome) that may or may not evolve into MS depending on MRI and CSF findings;</w:t>
      </w:r>
    </w:p>
    <w:p>
      <w:pPr>
        <w:spacing w:before="0" w:after="80"/>
      </w:pPr>
      <w:r>
        <w:rPr>
          <w:rFonts w:ascii="Calibri" w:hAnsi="Calibri"/>
          <w:b w:val="0"/>
          <w:i w:val="0"/>
          <w:color w:val="212121"/>
          <w:sz w:val="21"/>
        </w:rPr>
        <w:t>(2) Relapsing-remitting MS (RRMS) - the commonest form (about 85% of patients at onset), defined by clearly delineated relapses with full or partial recovery and clinical stability between attacks;</w:t>
      </w:r>
    </w:p>
    <w:p>
      <w:pPr>
        <w:spacing w:before="0" w:after="80"/>
      </w:pPr>
      <w:r>
        <w:rPr>
          <w:rFonts w:ascii="Calibri" w:hAnsi="Calibri"/>
          <w:b w:val="0"/>
          <w:i w:val="0"/>
          <w:color w:val="212121"/>
          <w:sz w:val="21"/>
        </w:rPr>
        <w:t>(3) Secondary-progressive MS (SPMS) - a gradual accumulation of disability that follows an initially relapsing course; historically the majority (around 65%) of untreated RRMS patients transition to SPMS over 15-20 years;</w:t>
      </w:r>
    </w:p>
    <w:p>
      <w:pPr>
        <w:spacing w:before="0" w:after="80"/>
      </w:pPr>
      <w:r>
        <w:rPr>
          <w:rFonts w:ascii="Calibri" w:hAnsi="Calibri"/>
          <w:b w:val="0"/>
          <w:i w:val="0"/>
          <w:color w:val="212121"/>
          <w:sz w:val="21"/>
        </w:rPr>
        <w:t>(4) Primary-progressive MS (PPMS) - steady progression of disability from onset without distinct relapses, accounting for about 10-15% of cases, presenting at an older mean age (around the fifties) with a more even sex ratio; and</w:t>
      </w:r>
    </w:p>
    <w:p>
      <w:pPr>
        <w:spacing w:before="0" w:after="80"/>
      </w:pPr>
      <w:r>
        <w:rPr>
          <w:rFonts w:ascii="Calibri" w:hAnsi="Calibri"/>
          <w:b w:val="0"/>
          <w:i w:val="0"/>
          <w:color w:val="212121"/>
          <w:sz w:val="21"/>
        </w:rPr>
        <w:t>(5) Radiologically isolated syndrome (RIS) - incidental MRI lesions typical of demyelination in a person without clinical symptoms, carrying a variable risk of future conversion to clinical MS.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Epstein-Barr virus (EBV): Prior EBV infection is a near-obligate antecedent; a large longitudinal study found a roughly 32-fold increase in MS risk after EBV seroconversion, implicating molecular mimicry and aberrant B-cell/T-cell autoimmunity.</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Low vitamin D / ultraviolet exposure: Higher latitude, less sun exposure and low serum 25-hydroxy-vitamin D are consistently associated with increased MS risk, contributing to the geographic latitude gradient.</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Cigarette smoking: An established modifiable risk factor that also accelerates disability accrual and the conversion from relapsing to secondary-progressive disease.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susceptibility: MS is polygenic; the HLA-DRB1*15:01 allele is the strongest single genetic risk factor, and first-degree relatives have several-fold higher risk, indicating familial clustering.</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Adolescent and young-adult obesity: A high BMI during adolescence increases later susceptibility, likely via adipokine-driven inflammation and altered vitamin D handling.</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Female sex and hormonal factors: A 2-3:1 female predominance points to sex-hormone and immune influences on susceptibility.</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Environmental/other: Emerging evidence links high dietary salt, a Western dietary pattern and gut microbiome alterations to autoimmune propensity.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(20-40 years)</w:t>
            </w:r>
          </w:p>
        </w:tc>
        <w:tc>
          <w:tcPr>
            <w:tcW w:type="dxa" w:w="4276"/>
            <w:vAlign w:val="top"/>
          </w:tcPr>
          <w:p>
            <w:pPr>
              <w:spacing w:after="60" w:line="259" w:lineRule="auto"/>
            </w:pPr>
            <w:r>
              <w:rPr>
                <w:rFonts w:ascii="Calibri" w:hAnsi="Calibri"/>
                <w:b w:val="0"/>
                <w:i w:val="0"/>
                <w:color w:val="212121"/>
                <w:sz w:val="19"/>
              </w:rPr>
              <w:t>MS is the leading non-traumatic disabling neurological disease of young adults. Onset peaks in the third and fourth decades, when the relapsing-remitting phenotype predominates and immune activity against myelin is greatest.</w:t>
            </w:r>
          </w:p>
          <w:p>
            <w:pPr>
              <w:spacing w:after="40" w:before="60" w:line="259" w:lineRule="auto"/>
            </w:pPr>
            <w:r>
              <w:rPr>
                <w:rFonts w:ascii="Calibri" w:hAnsi="Calibri"/>
                <w:b w:val="0"/>
                <w:i w:val="0"/>
                <w:color w:val="212121"/>
                <w:sz w:val="19"/>
              </w:rPr>
              <w:t>MS symptoms usually begin in young adults, most often between the ages of 20 and 40.</w:t>
            </w:r>
          </w:p>
          <w:p>
            <w:pPr>
              <w:spacing w:after="40" w:line="252" w:lineRule="auto"/>
            </w:pPr>
            <w:hyperlink r:id="rId9">
              <w:r>
                <w:rPr>
                  <w:rFonts w:ascii="Calibri" w:hAnsi="Calibri" w:cs="Calibri"/>
                  <w:sz w:val="18"/>
                  <w:color w:val="1155CC"/>
                  <w:u w:val="single"/>
                </w:rPr>
                <w:t xml:space="preserve">ninds.nih.gov - multiple sclerosis</w:t>
              </w:r>
            </w:hyperlink>
          </w:p>
          <w:p>
            <w:pPr>
              <w:spacing w:before="60" w:after="40"/>
            </w:pPr>
            <w:r>
              <w:rPr>
                <w:rFonts w:ascii="Calibri" w:hAnsi="Calibri"/>
                <w:b w:val="0"/>
                <w:i w:val="0"/>
                <w:color w:val="5A5A5A"/>
                <w:sz w:val="18"/>
              </w:rPr>
              <w:t>#multiplesclerosis  #youngadults  #demyelination  #RRMS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adults (&gt;50 years, late-onset / PPMS)</w:t>
            </w:r>
          </w:p>
        </w:tc>
        <w:tc>
          <w:tcPr>
            <w:tcW w:type="dxa" w:w="4276"/>
            <w:vAlign w:val="top"/>
          </w:tcPr>
          <w:p>
            <w:pPr>
              <w:spacing w:after="60" w:line="259" w:lineRule="auto"/>
            </w:pPr>
            <w:r>
              <w:rPr>
                <w:rFonts w:ascii="Calibri" w:hAnsi="Calibri"/>
                <w:b w:val="0"/>
                <w:i w:val="0"/>
                <w:color w:val="212121"/>
                <w:sz w:val="19"/>
              </w:rPr>
              <w:t>Onset after 50 (late-onset MS) is less common and more often follows a progressive course with prominent spinal-cord involvement and faster disability accrual; primary-progressive MS typically presents at this age.</w:t>
            </w:r>
          </w:p>
          <w:p>
            <w:pPr>
              <w:spacing w:after="40" w:before="60" w:line="259" w:lineRule="auto"/>
            </w:pPr>
            <w:r>
              <w:rPr>
                <w:rFonts w:ascii="Calibri" w:hAnsi="Calibri"/>
                <w:b w:val="0"/>
                <w:i w:val="0"/>
                <w:color w:val="212121"/>
                <w:sz w:val="19"/>
              </w:rPr>
              <w:t>The primary-progressive form emerges later, being more common in people in their fifties.</w:t>
            </w:r>
          </w:p>
          <w:p>
            <w:pPr>
              <w:spacing w:after="40" w:line="252" w:lineRule="auto"/>
            </w:pPr>
            <w:hyperlink r:id="rId10">
              <w:r>
                <w:rPr>
                  <w:rFonts w:ascii="Calibri" w:hAnsi="Calibri" w:cs="Calibri"/>
                  <w:sz w:val="18"/>
                  <w:color w:val="1155CC"/>
                  <w:u w:val="single"/>
                </w:rPr>
                <w:t xml:space="preserve">en.wikipedia.org - epidemiology of MS</w:t>
              </w:r>
            </w:hyperlink>
          </w:p>
          <w:p>
            <w:pPr>
              <w:spacing w:before="60" w:after="40"/>
            </w:pPr>
            <w:r>
              <w:rPr>
                <w:rFonts w:ascii="Calibri" w:hAnsi="Calibri"/>
                <w:b w:val="0"/>
                <w:i w:val="0"/>
                <w:color w:val="5A5A5A"/>
                <w:sz w:val="18"/>
              </w:rPr>
              <w:t>#lateonset  #PPMS  #progressive  #spinalcord</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Women are affected roughly two to three times more often than men, reflecting sex-hormone and immune modulation of susceptibility; the female-to-male ratio has risen over recent decades.</w:t>
            </w:r>
          </w:p>
          <w:p>
            <w:pPr>
              <w:spacing w:after="40" w:before="60" w:line="259" w:lineRule="auto"/>
            </w:pPr>
            <w:r>
              <w:rPr>
                <w:rFonts w:ascii="Calibri" w:hAnsi="Calibri"/>
                <w:b w:val="0"/>
                <w:i w:val="0"/>
                <w:color w:val="212121"/>
                <w:sz w:val="19"/>
              </w:rPr>
              <w:t>MS is about two times (up to 4:1 in some countries) more common in women than in men.</w:t>
            </w:r>
          </w:p>
          <w:p>
            <w:pPr>
              <w:spacing w:after="40" w:line="252" w:lineRule="auto"/>
            </w:pPr>
            <w:hyperlink r:id="rId10">
              <w:r>
                <w:rPr>
                  <w:rFonts w:ascii="Calibri" w:hAnsi="Calibri" w:cs="Calibri"/>
                  <w:sz w:val="18"/>
                  <w:color w:val="1155CC"/>
                  <w:u w:val="single"/>
                </w:rPr>
                <w:t xml:space="preserve">en.wikipedia.org - epidemiology of MS</w:t>
              </w:r>
            </w:hyperlink>
          </w:p>
          <w:p>
            <w:pPr>
              <w:spacing w:before="60" w:after="40"/>
            </w:pPr>
            <w:r>
              <w:rPr>
                <w:rFonts w:ascii="Calibri" w:hAnsi="Calibri"/>
                <w:b w:val="0"/>
                <w:i w:val="0"/>
                <w:color w:val="5A5A5A"/>
                <w:sz w:val="18"/>
              </w:rPr>
              <w:t>#female  #sexratio  #hormonalimmunity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Males (worse prognosis phenotype)</w:t>
            </w:r>
          </w:p>
        </w:tc>
        <w:tc>
          <w:tcPr>
            <w:tcW w:type="dxa" w:w="4276"/>
            <w:vAlign w:val="top"/>
          </w:tcPr>
          <w:p>
            <w:pPr>
              <w:spacing w:after="60" w:line="259" w:lineRule="auto"/>
            </w:pPr>
            <w:r>
              <w:rPr>
                <w:rFonts w:ascii="Calibri" w:hAnsi="Calibri"/>
                <w:b w:val="0"/>
                <w:i w:val="0"/>
                <w:color w:val="212121"/>
                <w:sz w:val="19"/>
              </w:rPr>
              <w:t>Although less frequently affected, men have a higher proportion of primary-progressive disease and tend toward faster disability progression and greater cognitive/spinal involvement.</w:t>
            </w:r>
          </w:p>
          <w:p>
            <w:pPr>
              <w:spacing w:after="40" w:before="60" w:line="259" w:lineRule="auto"/>
            </w:pPr>
            <w:r>
              <w:rPr>
                <w:rFonts w:ascii="Calibri" w:hAnsi="Calibri"/>
                <w:b w:val="0"/>
                <w:i w:val="0"/>
                <w:color w:val="212121"/>
                <w:sz w:val="19"/>
              </w:rPr>
              <w:t>PPMS, which carries a more progressive course, has a more even sex distribution than relapsing MS.</w:t>
            </w:r>
          </w:p>
          <w:p>
            <w:pPr>
              <w:spacing w:after="40" w:line="252" w:lineRule="auto"/>
            </w:pPr>
            <w:hyperlink r:id="rId11">
              <w:r>
                <w:rPr>
                  <w:rFonts w:ascii="Calibri" w:hAnsi="Calibri" w:cs="Calibri"/>
                  <w:sz w:val="18"/>
                  <w:color w:val="1155CC"/>
                  <w:u w:val="single"/>
                </w:rPr>
                <w:t xml:space="preserve">en.wikipedia.org - multiple sclerosis</w:t>
              </w:r>
            </w:hyperlink>
          </w:p>
          <w:p>
            <w:pPr>
              <w:spacing w:before="60" w:after="40"/>
            </w:pPr>
            <w:r>
              <w:rPr>
                <w:rFonts w:ascii="Calibri" w:hAnsi="Calibri"/>
                <w:b w:val="0"/>
                <w:i w:val="0"/>
                <w:color w:val="5A5A5A"/>
                <w:sz w:val="18"/>
              </w:rPr>
              <w:t>#male  #PPMS  #prognosis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higher-access populations</w:t>
            </w:r>
          </w:p>
        </w:tc>
        <w:tc>
          <w:tcPr>
            <w:tcW w:type="dxa" w:w="4276"/>
            <w:vAlign w:val="top"/>
          </w:tcPr>
          <w:p>
            <w:pPr>
              <w:spacing w:after="60" w:line="259" w:lineRule="auto"/>
            </w:pPr>
            <w:r>
              <w:rPr>
                <w:rFonts w:ascii="Calibri" w:hAnsi="Calibri"/>
                <w:b w:val="0"/>
                <w:i w:val="0"/>
                <w:color w:val="212121"/>
                <w:sz w:val="19"/>
              </w:rPr>
              <w:t>In India detection is strongly influenced by access to MRI and neurology services, so recorded prevalence is higher in urban, higher-income groups; the 'hygiene hypothesis' also links reduced early-life infection exposure to autoimmune susceptibility.</w:t>
            </w:r>
          </w:p>
          <w:p>
            <w:pPr>
              <w:spacing w:after="40" w:before="60" w:line="259" w:lineRule="auto"/>
            </w:pPr>
            <w:r>
              <w:rPr>
                <w:rFonts w:ascii="Calibri" w:hAnsi="Calibri"/>
                <w:b w:val="0"/>
                <w:i w:val="0"/>
                <w:color w:val="212121"/>
                <w:sz w:val="19"/>
              </w:rPr>
              <w:t>Rising Indian case numbers partly reflect improved MRI availability and diagnostic ascertainment rather than true incidence alone.</w:t>
            </w:r>
          </w:p>
          <w:p>
            <w:pPr>
              <w:spacing w:before="60" w:after="40"/>
            </w:pPr>
            <w:r>
              <w:rPr>
                <w:rFonts w:ascii="Calibri" w:hAnsi="Calibri"/>
                <w:b w:val="0"/>
                <w:i w:val="0"/>
                <w:color w:val="5A5A5A"/>
                <w:sz w:val="18"/>
              </w:rPr>
              <w:t>#urban  #access  #hygienehypothesis  #ascertainment</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Northern European ancestry (India lower; Parsi community relatively higher)</w:t>
            </w:r>
          </w:p>
        </w:tc>
        <w:tc>
          <w:tcPr>
            <w:tcW w:type="dxa" w:w="4276"/>
            <w:vAlign w:val="top"/>
          </w:tcPr>
          <w:p>
            <w:pPr>
              <w:spacing w:after="60" w:line="259" w:lineRule="auto"/>
            </w:pPr>
            <w:r>
              <w:rPr>
                <w:rFonts w:ascii="Calibri" w:hAnsi="Calibri"/>
                <w:b w:val="0"/>
                <w:i w:val="0"/>
                <w:color w:val="212121"/>
                <w:sz w:val="19"/>
              </w:rPr>
              <w:t>Susceptibility is highest in people of northern European descent and lower in South Asians; within India the Parsi (Zoroastrian) community has historically shown comparatively higher prevalence, consistent with genetic ancestry effects layered on the latitude gradient.</w:t>
            </w:r>
          </w:p>
          <w:p>
            <w:pPr>
              <w:spacing w:after="40" w:before="60" w:line="259" w:lineRule="auto"/>
            </w:pPr>
            <w:r>
              <w:rPr>
                <w:rFonts w:ascii="Calibri" w:hAnsi="Calibri"/>
                <w:b w:val="0"/>
                <w:i w:val="0"/>
                <w:color w:val="212121"/>
                <w:sz w:val="19"/>
              </w:rPr>
              <w:t>MS is more common farther from the equator, with important exceptions among certain ethnic groups regardless of geography.</w:t>
            </w:r>
          </w:p>
          <w:p>
            <w:pPr>
              <w:spacing w:after="40" w:line="252" w:lineRule="auto"/>
            </w:pPr>
            <w:hyperlink r:id="rId10">
              <w:r>
                <w:rPr>
                  <w:rFonts w:ascii="Calibri" w:hAnsi="Calibri" w:cs="Calibri"/>
                  <w:sz w:val="18"/>
                  <w:color w:val="1155CC"/>
                  <w:u w:val="single"/>
                </w:rPr>
                <w:t xml:space="preserve">en.wikipedia.org - epidemiology of MS</w:t>
              </w:r>
            </w:hyperlink>
          </w:p>
          <w:p>
            <w:pPr>
              <w:spacing w:before="60" w:after="40"/>
            </w:pPr>
            <w:r>
              <w:rPr>
                <w:rFonts w:ascii="Calibri" w:hAnsi="Calibri"/>
                <w:b w:val="0"/>
                <w:i w:val="0"/>
                <w:color w:val="5A5A5A"/>
                <w:sz w:val="18"/>
              </w:rPr>
              <w:t>#ancestry  #ethnicity  #Parsi  #latitude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latitude</w:t>
            </w:r>
          </w:p>
        </w:tc>
        <w:tc>
          <w:tcPr>
            <w:tcW w:type="dxa" w:w="2160"/>
            <w:vAlign w:val="top"/>
          </w:tcPr>
          <w:p>
            <w:pPr>
              <w:spacing w:after="40" w:before="0" w:line="259" w:lineRule="auto"/>
            </w:pPr>
            <w:r>
              <w:rPr>
                <w:rFonts w:ascii="Calibri" w:hAnsi="Calibri"/>
                <w:b w:val="0"/>
                <w:i w:val="0"/>
                <w:color w:val="212121"/>
                <w:sz w:val="19"/>
              </w:rPr>
              <w:t>Higher-latitude, low-sunlight regions (India lower)</w:t>
            </w:r>
          </w:p>
        </w:tc>
        <w:tc>
          <w:tcPr>
            <w:tcW w:type="dxa" w:w="4276"/>
            <w:vAlign w:val="top"/>
          </w:tcPr>
          <w:p>
            <w:pPr>
              <w:spacing w:after="60" w:line="259" w:lineRule="auto"/>
            </w:pPr>
            <w:r>
              <w:rPr>
                <w:rFonts w:ascii="Calibri" w:hAnsi="Calibri"/>
                <w:b w:val="0"/>
                <w:i w:val="0"/>
                <w:color w:val="212121"/>
                <w:sz w:val="19"/>
              </w:rPr>
              <w:t>A robust latitude gradient exists - prevalence rises with distance from the equator, attributed to reduced ultraviolet exposure and lower vitamin D. India's tropical-to-subtropical latitude contributes to its comparatively low burden.</w:t>
            </w:r>
          </w:p>
          <w:p>
            <w:pPr>
              <w:spacing w:after="40" w:before="60" w:line="259" w:lineRule="auto"/>
            </w:pPr>
            <w:r>
              <w:rPr>
                <w:rFonts w:ascii="Calibri" w:hAnsi="Calibri"/>
                <w:b w:val="0"/>
                <w:i w:val="0"/>
                <w:color w:val="212121"/>
                <w:sz w:val="19"/>
              </w:rPr>
              <w:t>In the WHO South-East Asia region the prevalence of MS is about 9 per 100,000, far below temperate high-income regions.</w:t>
            </w:r>
          </w:p>
          <w:p>
            <w:pPr>
              <w:spacing w:after="40" w:line="252" w:lineRule="auto"/>
            </w:pPr>
            <w:hyperlink r:id="rId10">
              <w:r>
                <w:rPr>
                  <w:rFonts w:ascii="Calibri" w:hAnsi="Calibri" w:cs="Calibri"/>
                  <w:sz w:val="18"/>
                  <w:color w:val="1155CC"/>
                  <w:u w:val="single"/>
                </w:rPr>
                <w:t xml:space="preserve">en.wikipedia.org - epidemiology of MS</w:t>
              </w:r>
            </w:hyperlink>
          </w:p>
          <w:p>
            <w:pPr>
              <w:spacing w:before="60" w:after="40"/>
            </w:pPr>
            <w:r>
              <w:rPr>
                <w:rFonts w:ascii="Calibri" w:hAnsi="Calibri"/>
                <w:b w:val="0"/>
                <w:i w:val="0"/>
                <w:color w:val="5A5A5A"/>
                <w:sz w:val="18"/>
              </w:rPr>
              <w:t>#latitudegradient  #UVB  #SouthEastAsia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and passive smokers</w:t>
            </w:r>
          </w:p>
        </w:tc>
        <w:tc>
          <w:tcPr>
            <w:tcW w:type="dxa" w:w="4276"/>
            <w:vAlign w:val="top"/>
          </w:tcPr>
          <w:p>
            <w:pPr>
              <w:spacing w:after="60" w:line="259" w:lineRule="auto"/>
            </w:pPr>
            <w:r>
              <w:rPr>
                <w:rFonts w:ascii="Calibri" w:hAnsi="Calibri"/>
                <w:b w:val="0"/>
                <w:i w:val="0"/>
                <w:color w:val="212121"/>
                <w:sz w:val="19"/>
              </w:rPr>
              <w:t>Tobacco smoke is an established environmental risk factor and, in those already diagnosed, accelerates disability and the transition from relapsing to secondary-progressive disease.</w:t>
            </w:r>
          </w:p>
          <w:p>
            <w:pPr>
              <w:spacing w:after="40" w:before="60" w:line="259" w:lineRule="auto"/>
            </w:pPr>
            <w:r>
              <w:rPr>
                <w:rFonts w:ascii="Calibri" w:hAnsi="Calibri"/>
                <w:b w:val="0"/>
                <w:i w:val="0"/>
                <w:color w:val="212121"/>
                <w:sz w:val="19"/>
              </w:rPr>
              <w:t>Smoking is an established risk factor for the development and faster progression of MS.</w:t>
            </w:r>
          </w:p>
          <w:p>
            <w:pPr>
              <w:spacing w:after="40" w:line="252" w:lineRule="auto"/>
            </w:pPr>
            <w:hyperlink r:id="rId11">
              <w:r>
                <w:rPr>
                  <w:rFonts w:ascii="Calibri" w:hAnsi="Calibri" w:cs="Calibri"/>
                  <w:sz w:val="18"/>
                  <w:color w:val="1155CC"/>
                  <w:u w:val="single"/>
                </w:rPr>
                <w:t xml:space="preserve">en.wikipedia.org - multiple sclerosis</w:t>
              </w:r>
            </w:hyperlink>
          </w:p>
          <w:p>
            <w:pPr>
              <w:spacing w:before="60" w:after="40"/>
            </w:pPr>
            <w:r>
              <w:rPr>
                <w:rFonts w:ascii="Calibri" w:hAnsi="Calibri"/>
                <w:b w:val="0"/>
                <w:i w:val="0"/>
                <w:color w:val="5A5A5A"/>
                <w:sz w:val="18"/>
              </w:rPr>
              <w:t>#smoking  #tobacco  #progression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Sedentary behaviour</w:t>
            </w:r>
          </w:p>
        </w:tc>
        <w:tc>
          <w:tcPr>
            <w:tcW w:type="dxa" w:w="2160"/>
            <w:vAlign w:val="top"/>
          </w:tcPr>
          <w:p>
            <w:pPr>
              <w:spacing w:after="40" w:before="0" w:line="259" w:lineRule="auto"/>
            </w:pPr>
            <w:r>
              <w:rPr>
                <w:rFonts w:ascii="Calibri" w:hAnsi="Calibri"/>
                <w:b w:val="0"/>
                <w:i w:val="0"/>
                <w:color w:val="212121"/>
                <w:sz w:val="19"/>
              </w:rPr>
              <w:t>Physically inactive / deconditioned adults</w:t>
            </w:r>
          </w:p>
        </w:tc>
        <w:tc>
          <w:tcPr>
            <w:tcW w:type="dxa" w:w="4276"/>
            <w:vAlign w:val="top"/>
          </w:tcPr>
          <w:p>
            <w:pPr>
              <w:spacing w:after="60" w:line="259" w:lineRule="auto"/>
            </w:pPr>
            <w:r>
              <w:rPr>
                <w:rFonts w:ascii="Calibri" w:hAnsi="Calibri"/>
                <w:b w:val="0"/>
                <w:i w:val="0"/>
                <w:color w:val="212121"/>
                <w:sz w:val="19"/>
              </w:rPr>
              <w:t>Inactivity does not cause MS but worsens fatigue, deconditioning, spasticity and mobility; structured exercise is the best-supported rehabilitation intervention and reduces MS-related fatigue without increasing relapses.</w:t>
            </w:r>
          </w:p>
          <w:p>
            <w:pPr>
              <w:spacing w:after="40" w:before="60" w:line="259" w:lineRule="auto"/>
            </w:pPr>
            <w:r>
              <w:rPr>
                <w:rFonts w:ascii="Calibri" w:hAnsi="Calibri"/>
                <w:b w:val="0"/>
                <w:i w:val="0"/>
                <w:color w:val="212121"/>
                <w:sz w:val="19"/>
              </w:rPr>
              <w:t>Exercise therapy reduces self-reported MS fatigue (standardised mean difference about -0.53) with no increase in relapse rate.</w:t>
            </w:r>
          </w:p>
          <w:p>
            <w:pPr>
              <w:spacing w:after="40" w:line="252" w:lineRule="auto"/>
            </w:pPr>
            <w:hyperlink r:id="rId12">
              <w:r>
                <w:rPr>
                  <w:rFonts w:ascii="Calibri" w:hAnsi="Calibri" w:cs="Calibri"/>
                  <w:sz w:val="18"/>
                  <w:color w:val="1155CC"/>
                  <w:u w:val="single"/>
                </w:rPr>
                <w:t xml:space="preserve">cochrane.org - exercise for MS fatigue (CD009956)</w:t>
              </w:r>
            </w:hyperlink>
          </w:p>
          <w:p>
            <w:pPr>
              <w:spacing w:before="60" w:after="40"/>
            </w:pPr>
            <w:r>
              <w:rPr>
                <w:rFonts w:ascii="Calibri" w:hAnsi="Calibri"/>
                <w:b w:val="0"/>
                <w:i w:val="0"/>
                <w:color w:val="5A5A5A"/>
                <w:sz w:val="18"/>
              </w:rPr>
              <w:t>#sedentary  #fatigue  #deconditioning  #rehab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Sun exposure</w:t>
            </w:r>
          </w:p>
        </w:tc>
        <w:tc>
          <w:tcPr>
            <w:tcW w:type="dxa" w:w="2160"/>
            <w:vAlign w:val="top"/>
          </w:tcPr>
          <w:p>
            <w:pPr>
              <w:spacing w:after="40" w:before="0" w:line="259" w:lineRule="auto"/>
            </w:pPr>
            <w:r>
              <w:rPr>
                <w:rFonts w:ascii="Calibri" w:hAnsi="Calibri"/>
                <w:b w:val="0"/>
                <w:i w:val="0"/>
                <w:color w:val="212121"/>
                <w:sz w:val="19"/>
              </w:rPr>
              <w:t>Indoor workers, extensively covered individuals</w:t>
            </w:r>
          </w:p>
        </w:tc>
        <w:tc>
          <w:tcPr>
            <w:tcW w:type="dxa" w:w="4276"/>
            <w:vAlign w:val="top"/>
          </w:tcPr>
          <w:p>
            <w:pPr>
              <w:spacing w:after="60" w:line="259" w:lineRule="auto"/>
            </w:pPr>
            <w:r>
              <w:rPr>
                <w:rFonts w:ascii="Calibri" w:hAnsi="Calibri"/>
                <w:b w:val="0"/>
                <w:i w:val="0"/>
                <w:color w:val="212121"/>
                <w:sz w:val="19"/>
              </w:rPr>
              <w:t>Limited ultraviolet-B skin exposure lowers cutaneous vitamin D synthesis; low vitamin D status is linked to higher MS risk and is a plausible mediator of the latitude gradient.</w:t>
            </w:r>
          </w:p>
          <w:p>
            <w:pPr>
              <w:spacing w:after="40" w:before="60" w:line="259" w:lineRule="auto"/>
            </w:pPr>
            <w:r>
              <w:rPr>
                <w:rFonts w:ascii="Calibri" w:hAnsi="Calibri"/>
                <w:b w:val="0"/>
                <w:i w:val="0"/>
                <w:color w:val="212121"/>
                <w:sz w:val="19"/>
              </w:rPr>
              <w:t>MS is more common at higher latitudes, possibly due to reduced sun exposure and vitamin D.</w:t>
            </w:r>
          </w:p>
          <w:p>
            <w:pPr>
              <w:spacing w:after="40" w:line="252" w:lineRule="auto"/>
            </w:pPr>
            <w:hyperlink r:id="rId13">
              <w:r>
                <w:rPr>
                  <w:rFonts w:ascii="Calibri" w:hAnsi="Calibri" w:cs="Calibri"/>
                  <w:sz w:val="18"/>
                  <w:color w:val="1155CC"/>
                  <w:u w:val="single"/>
                </w:rPr>
                <w:t xml:space="preserve">who.int - multiple sclerosis fact sheet</w:t>
              </w:r>
            </w:hyperlink>
          </w:p>
          <w:p>
            <w:pPr>
              <w:spacing w:before="60" w:after="40"/>
            </w:pPr>
            <w:r>
              <w:rPr>
                <w:rFonts w:ascii="Calibri" w:hAnsi="Calibri"/>
                <w:b w:val="0"/>
                <w:i w:val="0"/>
                <w:color w:val="5A5A5A"/>
                <w:sz w:val="18"/>
              </w:rPr>
              <w:t>#sunlight  #vitaminD  #indoorlifestyle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Obese adolescents and young adults</w:t>
            </w:r>
          </w:p>
        </w:tc>
        <w:tc>
          <w:tcPr>
            <w:tcW w:type="dxa" w:w="4276"/>
            <w:vAlign w:val="top"/>
          </w:tcPr>
          <w:p>
            <w:pPr>
              <w:spacing w:after="60" w:line="259" w:lineRule="auto"/>
            </w:pPr>
            <w:r>
              <w:rPr>
                <w:rFonts w:ascii="Calibri" w:hAnsi="Calibri"/>
                <w:b w:val="0"/>
                <w:i w:val="0"/>
                <w:color w:val="212121"/>
                <w:sz w:val="19"/>
              </w:rPr>
              <w:t>A high body-mass index during adolescence and early adulthood raises susceptibility, probably through chronic low-grade inflammation and disturbed vitamin D metabolism.</w:t>
            </w:r>
          </w:p>
          <w:p>
            <w:pPr>
              <w:spacing w:after="40" w:before="60" w:line="259" w:lineRule="auto"/>
            </w:pPr>
            <w:r>
              <w:rPr>
                <w:rFonts w:ascii="Calibri" w:hAnsi="Calibri"/>
                <w:b w:val="0"/>
                <w:i w:val="0"/>
                <w:color w:val="212121"/>
                <w:sz w:val="19"/>
              </w:rPr>
              <w:t>Adolescent and young-adult obesity increases susceptibility to later MS.</w:t>
            </w:r>
          </w:p>
          <w:p>
            <w:pPr>
              <w:spacing w:after="40" w:line="252" w:lineRule="auto"/>
            </w:pPr>
            <w:hyperlink r:id="rId11">
              <w:r>
                <w:rPr>
                  <w:rFonts w:ascii="Calibri" w:hAnsi="Calibri" w:cs="Calibri"/>
                  <w:sz w:val="18"/>
                  <w:color w:val="1155CC"/>
                  <w:u w:val="single"/>
                </w:rPr>
                <w:t xml:space="preserve">en.wikipedia.org - multiple sclerosis</w:t>
              </w:r>
            </w:hyperlink>
          </w:p>
          <w:p>
            <w:pPr>
              <w:spacing w:before="60" w:after="40"/>
            </w:pPr>
            <w:r>
              <w:rPr>
                <w:rFonts w:ascii="Calibri" w:hAnsi="Calibri"/>
                <w:b w:val="0"/>
                <w:i w:val="0"/>
                <w:color w:val="5A5A5A"/>
                <w:sz w:val="18"/>
              </w:rPr>
              <w:t>#obesity  #adolescentBMI  #inflammation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Vitamin D intake</w:t>
            </w:r>
          </w:p>
        </w:tc>
        <w:tc>
          <w:tcPr>
            <w:tcW w:type="dxa" w:w="2160"/>
            <w:vAlign w:val="top"/>
          </w:tcPr>
          <w:p>
            <w:pPr>
              <w:spacing w:after="40" w:before="0" w:line="259" w:lineRule="auto"/>
            </w:pPr>
            <w:r>
              <w:rPr>
                <w:rFonts w:ascii="Calibri" w:hAnsi="Calibri"/>
                <w:b w:val="0"/>
                <w:i w:val="0"/>
                <w:color w:val="212121"/>
                <w:sz w:val="19"/>
              </w:rPr>
              <w:t>Low vitamin D diet / deficiency</w:t>
            </w:r>
          </w:p>
        </w:tc>
        <w:tc>
          <w:tcPr>
            <w:tcW w:type="dxa" w:w="4276"/>
            <w:vAlign w:val="top"/>
          </w:tcPr>
          <w:p>
            <w:pPr>
              <w:spacing w:after="60" w:line="259" w:lineRule="auto"/>
            </w:pPr>
            <w:r>
              <w:rPr>
                <w:rFonts w:ascii="Calibri" w:hAnsi="Calibri"/>
                <w:b w:val="0"/>
                <w:i w:val="0"/>
                <w:color w:val="212121"/>
                <w:sz w:val="19"/>
              </w:rPr>
              <w:t>Diets and lifestyles yielding low serum vitamin D are associated with increased MS risk; however, vitamin D supplementation once disease is established has not shown clear benefit on relapse or disability.</w:t>
            </w:r>
          </w:p>
          <w:p>
            <w:pPr>
              <w:spacing w:after="40" w:before="60" w:line="259" w:lineRule="auto"/>
            </w:pPr>
            <w:r>
              <w:rPr>
                <w:rFonts w:ascii="Calibri" w:hAnsi="Calibri"/>
                <w:b w:val="0"/>
                <w:i w:val="0"/>
                <w:color w:val="212121"/>
                <w:sz w:val="19"/>
              </w:rPr>
              <w:t>Trials show vitamin D has no clear effect on relapse recurrence, EDSS-measured disability or MRI lesions (very low-quality evidence).</w:t>
            </w:r>
          </w:p>
          <w:p>
            <w:pPr>
              <w:spacing w:after="40" w:line="252" w:lineRule="auto"/>
            </w:pPr>
            <w:hyperlink r:id="rId14">
              <w:r>
                <w:rPr>
                  <w:rFonts w:ascii="Calibri" w:hAnsi="Calibri" w:cs="Calibri"/>
                  <w:sz w:val="18"/>
                  <w:color w:val="1155CC"/>
                  <w:u w:val="single"/>
                </w:rPr>
                <w:t xml:space="preserve">cochrane.org - vitamin D for MS (CD008422)</w:t>
              </w:r>
            </w:hyperlink>
          </w:p>
          <w:p>
            <w:pPr>
              <w:spacing w:before="60" w:after="40"/>
            </w:pPr>
            <w:r>
              <w:rPr>
                <w:rFonts w:ascii="Calibri" w:hAnsi="Calibri"/>
                <w:b w:val="0"/>
                <w:i w:val="0"/>
                <w:color w:val="5A5A5A"/>
                <w:sz w:val="18"/>
              </w:rPr>
              <w:t>#vitaminD  #diet  #deficiency  #riskfactor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High-salt / Western dietary pattern</w:t>
            </w:r>
          </w:p>
        </w:tc>
        <w:tc>
          <w:tcPr>
            <w:tcW w:type="dxa" w:w="2160"/>
            <w:vAlign w:val="top"/>
          </w:tcPr>
          <w:p>
            <w:pPr>
              <w:spacing w:after="40" w:before="0" w:line="259" w:lineRule="auto"/>
            </w:pPr>
            <w:r>
              <w:rPr>
                <w:rFonts w:ascii="Calibri" w:hAnsi="Calibri"/>
                <w:b w:val="0"/>
                <w:i w:val="0"/>
                <w:color w:val="212121"/>
                <w:sz w:val="19"/>
              </w:rPr>
              <w:t>High-salt, ultra-processed diet consumers</w:t>
            </w:r>
          </w:p>
        </w:tc>
        <w:tc>
          <w:tcPr>
            <w:tcW w:type="dxa" w:w="4276"/>
            <w:vAlign w:val="top"/>
          </w:tcPr>
          <w:p>
            <w:pPr>
              <w:spacing w:after="60" w:line="259" w:lineRule="auto"/>
            </w:pPr>
            <w:r>
              <w:rPr>
                <w:rFonts w:ascii="Calibri" w:hAnsi="Calibri"/>
                <w:b w:val="0"/>
                <w:i w:val="0"/>
                <w:color w:val="212121"/>
                <w:sz w:val="19"/>
              </w:rPr>
              <w:t>Emerging experimental and observational data associate high dietary salt and a Western dietary pattern with enhanced pro-inflammatory (Th17) autoimmunity, though causality in humans is not established.</w:t>
            </w:r>
          </w:p>
          <w:p>
            <w:pPr>
              <w:spacing w:after="40" w:before="60" w:line="259" w:lineRule="auto"/>
            </w:pPr>
            <w:r>
              <w:rPr>
                <w:rFonts w:ascii="Calibri" w:hAnsi="Calibri"/>
                <w:b w:val="0"/>
                <w:i w:val="0"/>
                <w:color w:val="212121"/>
                <w:sz w:val="19"/>
              </w:rPr>
              <w:t>High salt intake and Western diets are being investigated as modifiable dietary contributors to MS autoimmunity.</w:t>
            </w:r>
          </w:p>
          <w:p>
            <w:pPr>
              <w:spacing w:before="60" w:after="40"/>
            </w:pPr>
            <w:r>
              <w:rPr>
                <w:rFonts w:ascii="Calibri" w:hAnsi="Calibri"/>
                <w:b w:val="0"/>
                <w:i w:val="0"/>
                <w:color w:val="5A5A5A"/>
                <w:sz w:val="18"/>
              </w:rPr>
              <w:t>#highsalt  #westerndiet  #Th17  #ultraprocessed</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MS patients</w:t>
            </w:r>
          </w:p>
        </w:tc>
        <w:tc>
          <w:tcPr>
            <w:tcW w:type="dxa" w:w="4276"/>
            <w:vAlign w:val="top"/>
          </w:tcPr>
          <w:p>
            <w:pPr>
              <w:spacing w:after="60" w:line="259" w:lineRule="auto"/>
            </w:pPr>
            <w:r>
              <w:rPr>
                <w:rFonts w:ascii="Calibri" w:hAnsi="Calibri"/>
                <w:b w:val="0"/>
                <w:i w:val="0"/>
                <w:color w:val="212121"/>
                <w:sz w:val="19"/>
              </w:rPr>
              <w:t>MS is not directly inherited but susceptibility clusters in families; having an affected parent or sibling raises lifetime risk several-fold above the general population.</w:t>
            </w:r>
          </w:p>
          <w:p>
            <w:pPr>
              <w:spacing w:after="40" w:before="60" w:line="259" w:lineRule="auto"/>
            </w:pPr>
            <w:r>
              <w:rPr>
                <w:rFonts w:ascii="Calibri" w:hAnsi="Calibri"/>
                <w:b w:val="0"/>
                <w:i w:val="0"/>
                <w:color w:val="212121"/>
                <w:sz w:val="19"/>
              </w:rPr>
              <w:t>A family history of the disease may increase the risk of MS.</w:t>
            </w:r>
          </w:p>
          <w:p>
            <w:pPr>
              <w:spacing w:after="40" w:line="252" w:lineRule="auto"/>
            </w:pPr>
            <w:hyperlink r:id="rId13">
              <w:r>
                <w:rPr>
                  <w:rFonts w:ascii="Calibri" w:hAnsi="Calibri" w:cs="Calibri"/>
                  <w:sz w:val="18"/>
                  <w:color w:val="1155CC"/>
                  <w:u w:val="single"/>
                </w:rPr>
                <w:t xml:space="preserve">who.int - multiple sclerosis fact sheet</w:t>
              </w:r>
            </w:hyperlink>
          </w:p>
          <w:p>
            <w:pPr>
              <w:spacing w:before="60" w:after="40"/>
            </w:pPr>
            <w:r>
              <w:rPr>
                <w:rFonts w:ascii="Calibri" w:hAnsi="Calibri"/>
                <w:b w:val="0"/>
                <w:i w:val="0"/>
                <w:color w:val="5A5A5A"/>
                <w:sz w:val="18"/>
              </w:rPr>
              <w:t>#familyhistory  #firstdegree  #susceptibility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genotype</w:t>
            </w:r>
          </w:p>
        </w:tc>
        <w:tc>
          <w:tcPr>
            <w:tcW w:type="dxa" w:w="2160"/>
            <w:vAlign w:val="top"/>
          </w:tcPr>
          <w:p>
            <w:pPr>
              <w:spacing w:after="40" w:before="0" w:line="259" w:lineRule="auto"/>
            </w:pPr>
            <w:r>
              <w:rPr>
                <w:rFonts w:ascii="Calibri" w:hAnsi="Calibri"/>
                <w:b w:val="0"/>
                <w:i w:val="0"/>
                <w:color w:val="212121"/>
                <w:sz w:val="19"/>
              </w:rPr>
              <w:t>HLA-DRB1*15:01 carriers</w:t>
            </w:r>
          </w:p>
        </w:tc>
        <w:tc>
          <w:tcPr>
            <w:tcW w:type="dxa" w:w="4276"/>
            <w:vAlign w:val="top"/>
          </w:tcPr>
          <w:p>
            <w:pPr>
              <w:spacing w:after="60" w:line="259" w:lineRule="auto"/>
            </w:pPr>
            <w:r>
              <w:rPr>
                <w:rFonts w:ascii="Calibri" w:hAnsi="Calibri"/>
                <w:b w:val="0"/>
                <w:i w:val="0"/>
                <w:color w:val="212121"/>
                <w:sz w:val="19"/>
              </w:rPr>
              <w:t>The HLA-DRB1*15:01 haplotype is the single strongest genetic risk factor, altering antigen presentation and myelin-directed T-cell responses; risk is amplified when combined with EBV and smoking.</w:t>
            </w:r>
          </w:p>
          <w:p>
            <w:pPr>
              <w:spacing w:after="40" w:before="60" w:line="259" w:lineRule="auto"/>
            </w:pPr>
            <w:r>
              <w:rPr>
                <w:rFonts w:ascii="Calibri" w:hAnsi="Calibri"/>
                <w:b w:val="0"/>
                <w:i w:val="0"/>
                <w:color w:val="212121"/>
                <w:sz w:val="19"/>
              </w:rPr>
              <w:t>HLA-DRB1*15:01 is the principal susceptibility allele identified in genome-wide studies of MS.</w:t>
            </w:r>
          </w:p>
          <w:p>
            <w:pPr>
              <w:spacing w:after="40" w:line="252" w:lineRule="auto"/>
            </w:pPr>
            <w:hyperlink r:id="rId11">
              <w:r>
                <w:rPr>
                  <w:rFonts w:ascii="Calibri" w:hAnsi="Calibri" w:cs="Calibri"/>
                  <w:sz w:val="18"/>
                  <w:color w:val="1155CC"/>
                  <w:u w:val="single"/>
                </w:rPr>
                <w:t xml:space="preserve">en.wikipedia.org - multiple sclerosis</w:t>
              </w:r>
            </w:hyperlink>
          </w:p>
          <w:p>
            <w:pPr>
              <w:spacing w:before="60" w:after="40"/>
            </w:pPr>
            <w:r>
              <w:rPr>
                <w:rFonts w:ascii="Calibri" w:hAnsi="Calibri"/>
                <w:b w:val="0"/>
                <w:i w:val="0"/>
                <w:color w:val="5A5A5A"/>
                <w:sz w:val="18"/>
              </w:rPr>
              <w:t>#HLA  #DRB1  #genetics  #immunogenetics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Prior EBV / infectious mononucleosis</w:t>
            </w:r>
          </w:p>
        </w:tc>
        <w:tc>
          <w:tcPr>
            <w:tcW w:type="dxa" w:w="2160"/>
            <w:vAlign w:val="top"/>
          </w:tcPr>
          <w:p>
            <w:pPr>
              <w:spacing w:after="40" w:before="0" w:line="259" w:lineRule="auto"/>
            </w:pPr>
            <w:r>
              <w:rPr>
                <w:rFonts w:ascii="Calibri" w:hAnsi="Calibri"/>
                <w:b w:val="0"/>
                <w:i w:val="0"/>
                <w:color w:val="212121"/>
                <w:sz w:val="19"/>
              </w:rPr>
              <w:t>Individuals with past symptomatic EBV</w:t>
            </w:r>
          </w:p>
        </w:tc>
        <w:tc>
          <w:tcPr>
            <w:tcW w:type="dxa" w:w="4276"/>
            <w:vAlign w:val="top"/>
          </w:tcPr>
          <w:p>
            <w:pPr>
              <w:spacing w:after="60" w:line="259" w:lineRule="auto"/>
            </w:pPr>
            <w:r>
              <w:rPr>
                <w:rFonts w:ascii="Calibri" w:hAnsi="Calibri"/>
                <w:b w:val="0"/>
                <w:i w:val="0"/>
                <w:color w:val="212121"/>
                <w:sz w:val="19"/>
              </w:rPr>
              <w:t>A history of symptomatic EBV infection (infectious mononucleosis) markedly raises MS risk and is considered a necessary, though not sufficient, environmental trigger.</w:t>
            </w:r>
          </w:p>
          <w:p>
            <w:pPr>
              <w:spacing w:after="40" w:before="60" w:line="259" w:lineRule="auto"/>
            </w:pPr>
            <w:r>
              <w:rPr>
                <w:rFonts w:ascii="Calibri" w:hAnsi="Calibri"/>
                <w:b w:val="0"/>
                <w:i w:val="0"/>
                <w:color w:val="212121"/>
                <w:sz w:val="19"/>
              </w:rPr>
              <w:t>A large study found roughly a 32-fold increased risk of MS following EBV infection.</w:t>
            </w:r>
          </w:p>
          <w:p>
            <w:pPr>
              <w:spacing w:after="40" w:line="252" w:lineRule="auto"/>
            </w:pPr>
            <w:hyperlink r:id="rId11">
              <w:r>
                <w:rPr>
                  <w:rFonts w:ascii="Calibri" w:hAnsi="Calibri" w:cs="Calibri"/>
                  <w:sz w:val="18"/>
                  <w:color w:val="1155CC"/>
                  <w:u w:val="single"/>
                </w:rPr>
                <w:t xml:space="preserve">en.wikipedia.org - multiple sclerosis</w:t>
              </w:r>
            </w:hyperlink>
          </w:p>
          <w:p>
            <w:pPr>
              <w:spacing w:before="60" w:after="40"/>
            </w:pPr>
            <w:r>
              <w:rPr>
                <w:rFonts w:ascii="Calibri" w:hAnsi="Calibri"/>
                <w:b w:val="0"/>
                <w:i w:val="0"/>
                <w:color w:val="5A5A5A"/>
                <w:sz w:val="18"/>
              </w:rPr>
              <w:t>#EBV  #mononucleosis  #viraltrigger  #molecularmimicry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Coexisting autoimmune disease</w:t>
            </w:r>
          </w:p>
        </w:tc>
        <w:tc>
          <w:tcPr>
            <w:tcW w:type="dxa" w:w="2160"/>
            <w:vAlign w:val="top"/>
          </w:tcPr>
          <w:p>
            <w:pPr>
              <w:spacing w:after="40" w:before="0" w:line="259" w:lineRule="auto"/>
            </w:pPr>
            <w:r>
              <w:rPr>
                <w:rFonts w:ascii="Calibri" w:hAnsi="Calibri"/>
                <w:b w:val="0"/>
                <w:i w:val="0"/>
                <w:color w:val="212121"/>
                <w:sz w:val="19"/>
              </w:rPr>
              <w:t>Patients / families with autoimmune thyroiditis, type 1 diabetes, IBD</w:t>
            </w:r>
          </w:p>
        </w:tc>
        <w:tc>
          <w:tcPr>
            <w:tcW w:type="dxa" w:w="4276"/>
            <w:vAlign w:val="top"/>
          </w:tcPr>
          <w:p>
            <w:pPr>
              <w:spacing w:after="60" w:line="259" w:lineRule="auto"/>
            </w:pPr>
            <w:r>
              <w:rPr>
                <w:rFonts w:ascii="Calibri" w:hAnsi="Calibri"/>
                <w:b w:val="0"/>
                <w:i w:val="0"/>
                <w:color w:val="212121"/>
                <w:sz w:val="19"/>
              </w:rPr>
              <w:t>A personal or family history of other organ-specific autoimmune disorders reflects shared immune-dysregulation pathways and is over-represented among people who develop MS.</w:t>
            </w:r>
          </w:p>
          <w:p>
            <w:pPr>
              <w:spacing w:after="40" w:before="60" w:line="259" w:lineRule="auto"/>
            </w:pPr>
            <w:r>
              <w:rPr>
                <w:rFonts w:ascii="Calibri" w:hAnsi="Calibri"/>
                <w:b w:val="0"/>
                <w:i w:val="0"/>
                <w:color w:val="212121"/>
                <w:sz w:val="19"/>
              </w:rPr>
              <w:t>MS shares HLA-linked autoimmune susceptibility with thyroid disease, type 1 diabetes and inflammatory bowel disease.</w:t>
            </w:r>
          </w:p>
          <w:p>
            <w:pPr>
              <w:spacing w:before="60" w:after="40"/>
            </w:pPr>
            <w:r>
              <w:rPr>
                <w:rFonts w:ascii="Calibri" w:hAnsi="Calibri"/>
                <w:b w:val="0"/>
                <w:i w:val="0"/>
                <w:color w:val="5A5A5A"/>
                <w:sz w:val="18"/>
              </w:rPr>
              <w:t>#autoimmunity  #thyroid  #T1DM  #IBD  #shareddiathesis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Exercise does not prevent MS but is the best-supported rehabilitation intervention, reducing fatigue (SMD about -0.53) and improving strength, mobility and quality of life; a physically inactive, deconditioned state worsens these outcomes.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Low vitamin D status, adolescent obesity and high-salt/Western dietary patterns are linked to susceptibility; a balanced, weight-appropriate diet supports comorbidity control, though supplemental vitamin D has not clearly altered established disease.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 disorders and disabling fatigue are highly prevalent in MS and are bidirectional - poor or fragmented sleep amplifies fatigue, cognitive slowing and mood disturbance.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Active and passive smoking increase the risk of developing MS and accelerate disability accrual and conversion from relapsing to secondary-progressive disease; cessation improves the trajectory.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causal link with MS onset; heavy intake worsens balance, cognition and mood and can interact with CNS-active symptomatic medications.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anxiety are among the commonest MS comorbidities (lifetime depression approaching 50%) and are bidirectionally tied to fatigue, disability, adherence and quality of life.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but appropriately timed hydration supports neurogenic-bladder management and reduces urinary-tract infection risk; over-restriction to control urgency promotes concentrated urine and infection.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Some observational studies suggest a modest inverse association between coffee/caffeine intake and MS risk, but the evidence is weak and not a basis for clinical recommendation.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 'hygiene hypothesis' links reduced early-life infection to autoimmune risk; clinically, perineal and hand hygiene plus catheter care reduce infections in patients with neurogenic bladder.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Heat and raised core temperature cause transient worsening of symptoms (Uhthoff phenomenon); febrile infections trigger pseudo-relapses, and physiological/emotional stress and the postpartum period can precipitate true relapses.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 advanced disease, spasticity, weakness and immobility cause contractures and pressure-area risk; positioning, seating and posture management become important to prevent skin breakdown and deformity.</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Ambulatory MS adults</w:t>
            </w:r>
          </w:p>
        </w:tc>
        <w:tc>
          <w:tcPr>
            <w:tcW w:type="dxa" w:w="1512"/>
            <w:vAlign w:val="top"/>
          </w:tcPr>
          <w:p>
            <w:pPr>
              <w:spacing w:after="40" w:before="0" w:line="259" w:lineRule="auto"/>
            </w:pPr>
            <w:r>
              <w:rPr>
                <w:rFonts w:ascii="Calibri" w:hAnsi="Calibri"/>
                <w:b w:val="0"/>
                <w:i w:val="0"/>
                <w:color w:val="212121"/>
                <w:sz w:val="19"/>
              </w:rPr>
              <w:t>&gt;= 150 min/week (adapted)</w:t>
            </w:r>
          </w:p>
        </w:tc>
        <w:tc>
          <w:tcPr>
            <w:tcW w:type="dxa" w:w="1512"/>
            <w:vAlign w:val="top"/>
          </w:tcPr>
          <w:p>
            <w:pPr>
              <w:spacing w:after="40" w:before="0" w:line="259" w:lineRule="auto"/>
            </w:pPr>
            <w:r>
              <w:rPr>
                <w:rFonts w:ascii="Calibri" w:hAnsi="Calibri"/>
                <w:b w:val="0"/>
                <w:i w:val="0"/>
                <w:color w:val="212121"/>
                <w:sz w:val="19"/>
              </w:rPr>
              <w:t>&lt; 150 min/week / sedentary</w:t>
            </w:r>
          </w:p>
        </w:tc>
        <w:tc>
          <w:tcPr>
            <w:tcW w:type="dxa" w:w="1468"/>
            <w:vAlign w:val="top"/>
          </w:tcPr>
          <w:p>
            <w:pPr>
              <w:spacing w:after="60" w:line="259" w:lineRule="auto"/>
            </w:pPr>
            <w:r>
              <w:rPr>
                <w:rFonts w:ascii="Calibri" w:hAnsi="Calibri"/>
                <w:b w:val="0"/>
                <w:i w:val="0"/>
                <w:color w:val="212121"/>
                <w:sz w:val="19"/>
              </w:rPr>
              <w:t>Structured aerobic + resistance + balance training reduces fatigue and improves mobility without raising relapse risk</w:t>
            </w:r>
          </w:p>
          <w:p>
            <w:pPr>
              <w:spacing w:after="40" w:line="252" w:lineRule="auto"/>
            </w:pPr>
            <w:hyperlink r:id="rId12">
              <w:r>
                <w:rPr>
                  <w:rFonts w:ascii="Calibri" w:hAnsi="Calibri" w:cs="Calibri"/>
                  <w:sz w:val="18"/>
                  <w:color w:val="1155CC"/>
                  <w:u w:val="single"/>
                </w:rPr>
                <w:t xml:space="preserve">https://www.cochrane.org/CD009956/MS_exercise-therapy-for-fatigue-in-multiple-sclerosis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Expanded Disability Status Scale (EDSS 0-10)</w:t>
            </w:r>
          </w:p>
        </w:tc>
        <w:tc>
          <w:tcPr>
            <w:tcW w:type="dxa" w:w="1655"/>
            <w:vAlign w:val="top"/>
          </w:tcPr>
          <w:p>
            <w:pPr>
              <w:spacing w:after="40" w:before="0" w:line="259" w:lineRule="auto"/>
            </w:pPr>
            <w:r>
              <w:rPr>
                <w:rFonts w:ascii="Calibri" w:hAnsi="Calibri"/>
                <w:b w:val="0"/>
                <w:i w:val="0"/>
                <w:color w:val="212121"/>
                <w:sz w:val="19"/>
              </w:rPr>
              <w:t>All MS patients</w:t>
            </w:r>
          </w:p>
        </w:tc>
        <w:tc>
          <w:tcPr>
            <w:tcW w:type="dxa" w:w="1512"/>
            <w:vAlign w:val="top"/>
          </w:tcPr>
          <w:p>
            <w:pPr>
              <w:spacing w:after="40" w:before="0" w:line="259" w:lineRule="auto"/>
            </w:pPr>
            <w:r>
              <w:rPr>
                <w:rFonts w:ascii="Calibri" w:hAnsi="Calibri"/>
                <w:b w:val="0"/>
                <w:i w:val="0"/>
                <w:color w:val="212121"/>
                <w:sz w:val="19"/>
              </w:rPr>
              <w:t>&lt;= 3.0 (fully ambulatory)</w:t>
            </w:r>
          </w:p>
        </w:tc>
        <w:tc>
          <w:tcPr>
            <w:tcW w:type="dxa" w:w="1512"/>
            <w:vAlign w:val="top"/>
          </w:tcPr>
          <w:p>
            <w:pPr>
              <w:spacing w:after="40" w:before="0" w:line="259" w:lineRule="auto"/>
            </w:pPr>
            <w:r>
              <w:rPr>
                <w:rFonts w:ascii="Calibri" w:hAnsi="Calibri"/>
                <w:b w:val="0"/>
                <w:i w:val="0"/>
                <w:color w:val="212121"/>
                <w:sz w:val="19"/>
              </w:rPr>
              <w:t>&gt;= 6.0 (walking aid required)</w:t>
            </w:r>
          </w:p>
        </w:tc>
        <w:tc>
          <w:tcPr>
            <w:tcW w:type="dxa" w:w="1468"/>
            <w:vAlign w:val="top"/>
          </w:tcPr>
          <w:p>
            <w:pPr>
              <w:spacing w:after="40" w:before="0" w:line="259" w:lineRule="auto"/>
            </w:pPr>
            <w:r>
              <w:rPr>
                <w:rFonts w:ascii="Calibri" w:hAnsi="Calibri"/>
                <w:b w:val="0"/>
                <w:i w:val="0"/>
                <w:color w:val="212121"/>
                <w:sz w:val="19"/>
              </w:rPr>
              <w:t>Standard disability metric; rising EDSS signals progression and guides therapy escalation</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MS patients and at-risk relatives</w:t>
            </w:r>
          </w:p>
        </w:tc>
        <w:tc>
          <w:tcPr>
            <w:tcW w:type="dxa" w:w="1512"/>
            <w:vAlign w:val="top"/>
          </w:tcPr>
          <w:p>
            <w:pPr>
              <w:spacing w:after="40" w:before="0" w:line="259" w:lineRule="auto"/>
            </w:pPr>
            <w:r>
              <w:rPr>
                <w:rFonts w:ascii="Calibri" w:hAnsi="Calibri"/>
                <w:b w:val="0"/>
                <w:i w:val="0"/>
                <w:color w:val="212121"/>
                <w:sz w:val="19"/>
              </w:rPr>
              <w:t>30-50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60" w:line="259" w:lineRule="auto"/>
            </w:pPr>
            <w:r>
              <w:rPr>
                <w:rFonts w:ascii="Calibri" w:hAnsi="Calibri"/>
                <w:b w:val="0"/>
                <w:i w:val="0"/>
                <w:color w:val="212121"/>
                <w:sz w:val="19"/>
              </w:rPr>
              <w:t>Low status is a risk factor and worth correcting for bone health, though supplementation has not clearly altered disease course</w:t>
            </w:r>
          </w:p>
          <w:p>
            <w:pPr>
              <w:spacing w:after="40" w:line="252" w:lineRule="auto"/>
            </w:pPr>
            <w:hyperlink r:id="rId13">
              <w:r>
                <w:rPr>
                  <w:rFonts w:ascii="Calibri" w:hAnsi="Calibri" w:cs="Calibri"/>
                  <w:sz w:val="18"/>
                  <w:color w:val="1155CC"/>
                  <w:u w:val="single"/>
                </w:rPr>
                <w:t xml:space="preserve">https://www.who.int/news-room/fact-sheets/detail/multiple-sclerosis</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Adolescents and young adults</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&gt;= 25 (esp. in adolescence)</w:t>
            </w:r>
          </w:p>
        </w:tc>
        <w:tc>
          <w:tcPr>
            <w:tcW w:type="dxa" w:w="1468"/>
            <w:vAlign w:val="top"/>
          </w:tcPr>
          <w:p>
            <w:pPr>
              <w:spacing w:after="60" w:line="259" w:lineRule="auto"/>
            </w:pPr>
            <w:r>
              <w:rPr>
                <w:rFonts w:ascii="Calibri" w:hAnsi="Calibri"/>
                <w:b w:val="0"/>
                <w:i w:val="0"/>
                <w:color w:val="212121"/>
                <w:sz w:val="19"/>
              </w:rPr>
              <w:t>Adolescent obesity increases susceptibility; weight control also eases mobility and fatigue</w:t>
            </w:r>
          </w:p>
          <w:p>
            <w:pPr>
              <w:spacing w:after="40" w:line="252" w:lineRule="auto"/>
            </w:pPr>
            <w:hyperlink r:id="rId11">
              <w:r>
                <w:rPr>
                  <w:rFonts w:ascii="Calibri" w:hAnsi="Calibri" w:cs="Calibri"/>
                  <w:sz w:val="18"/>
                  <w:color w:val="1155CC"/>
                  <w:u w:val="single"/>
                </w:rPr>
                <w:t xml:space="preserve">https://en.wikipedia.org/wiki/Multiple_sclerosis</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MS adults with fatigue</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fragmented</w:t>
            </w:r>
          </w:p>
        </w:tc>
        <w:tc>
          <w:tcPr>
            <w:tcW w:type="dxa" w:w="1468"/>
            <w:vAlign w:val="top"/>
          </w:tcPr>
          <w:p>
            <w:pPr>
              <w:spacing w:after="40" w:before="0" w:line="259" w:lineRule="auto"/>
            </w:pPr>
            <w:r>
              <w:rPr>
                <w:rFonts w:ascii="Calibri" w:hAnsi="Calibri"/>
                <w:b w:val="0"/>
                <w:i w:val="0"/>
                <w:color w:val="212121"/>
                <w:sz w:val="19"/>
              </w:rPr>
              <w:t>Poor sleep worsens fatigue, pain and cognition; screen for nocturia, spasticity and restless legs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Teenagers,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60" w:line="259" w:lineRule="auto"/>
            </w:pPr>
            <w:r>
              <w:rPr>
                <w:rFonts w:ascii="Calibri" w:hAnsi="Calibri"/>
                <w:b w:val="0"/>
                <w:i w:val="0"/>
                <w:color w:val="212121"/>
                <w:sz w:val="19"/>
              </w:rPr>
              <w:t>Any smoking raises risk and accelerates disability and RRMS-to-SPMS conversion</w:t>
            </w:r>
          </w:p>
          <w:p>
            <w:pPr>
              <w:spacing w:after="40" w:line="252" w:lineRule="auto"/>
            </w:pPr>
            <w:hyperlink r:id="rId11">
              <w:r>
                <w:rPr>
                  <w:rFonts w:ascii="Calibri" w:hAnsi="Calibri" w:cs="Calibri"/>
                  <w:sz w:val="18"/>
                  <w:color w:val="1155CC"/>
                  <w:u w:val="single"/>
                </w:rPr>
                <w:t xml:space="preserve">https://en.wikipedia.org/wiki/Multiple_sclerosis</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MS adults</w:t>
            </w:r>
          </w:p>
        </w:tc>
        <w:tc>
          <w:tcPr>
            <w:tcW w:type="dxa" w:w="1512"/>
            <w:vAlign w:val="top"/>
          </w:tcPr>
          <w:p>
            <w:pPr>
              <w:spacing w:after="40" w:before="0" w:line="259" w:lineRule="auto"/>
            </w:pPr>
            <w:r>
              <w:rPr>
                <w:rFonts w:ascii="Calibri" w:hAnsi="Calibri"/>
                <w:b w:val="0"/>
                <w:i w:val="0"/>
                <w:color w:val="212121"/>
                <w:sz w:val="19"/>
              </w:rPr>
              <w:t>&lt;= 7-14 drinks/week (or abstain)</w:t>
            </w:r>
          </w:p>
        </w:tc>
        <w:tc>
          <w:tcPr>
            <w:tcW w:type="dxa" w:w="1512"/>
            <w:vAlign w:val="top"/>
          </w:tcPr>
          <w:p>
            <w:pPr>
              <w:spacing w:after="40" w:before="0" w:line="259" w:lineRule="auto"/>
            </w:pPr>
            <w:r>
              <w:rPr>
                <w:rFonts w:ascii="Calibri" w:hAnsi="Calibri"/>
                <w:b w:val="0"/>
                <w:i w:val="0"/>
                <w:color w:val="212121"/>
                <w:sz w:val="19"/>
              </w:rPr>
              <w:t>Heavy / binge intake</w:t>
            </w:r>
          </w:p>
        </w:tc>
        <w:tc>
          <w:tcPr>
            <w:tcW w:type="dxa" w:w="1468"/>
            <w:vAlign w:val="top"/>
          </w:tcPr>
          <w:p>
            <w:pPr>
              <w:spacing w:after="40" w:before="0" w:line="259" w:lineRule="auto"/>
            </w:pPr>
            <w:r>
              <w:rPr>
                <w:rFonts w:ascii="Calibri" w:hAnsi="Calibri"/>
                <w:b w:val="0"/>
                <w:i w:val="0"/>
                <w:color w:val="212121"/>
                <w:sz w:val="19"/>
              </w:rPr>
              <w:t>Excess alcohol compounds ataxia, cognitive impairment and interacts with CNS-active drugs</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All MS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(moderate-severe)</w:t>
            </w:r>
          </w:p>
        </w:tc>
        <w:tc>
          <w:tcPr>
            <w:tcW w:type="dxa" w:w="1468"/>
            <w:vAlign w:val="top"/>
          </w:tcPr>
          <w:p>
            <w:pPr>
              <w:spacing w:after="40" w:before="0" w:line="259" w:lineRule="auto"/>
            </w:pPr>
            <w:r>
              <w:rPr>
                <w:rFonts w:ascii="Calibri" w:hAnsi="Calibri"/>
                <w:b w:val="0"/>
                <w:i w:val="0"/>
                <w:color w:val="212121"/>
                <w:sz w:val="19"/>
              </w:rPr>
              <w:t>Routine screening warranted; depression is common and treatable and affects adherence and QoL</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Core body temperature / heat exposure</w:t>
            </w:r>
          </w:p>
        </w:tc>
        <w:tc>
          <w:tcPr>
            <w:tcW w:type="dxa" w:w="1655"/>
            <w:vAlign w:val="top"/>
          </w:tcPr>
          <w:p>
            <w:pPr>
              <w:spacing w:after="40" w:before="0" w:line="259" w:lineRule="auto"/>
            </w:pPr>
            <w:r>
              <w:rPr>
                <w:rFonts w:ascii="Calibri" w:hAnsi="Calibri"/>
                <w:b w:val="0"/>
                <w:i w:val="0"/>
                <w:color w:val="212121"/>
                <w:sz w:val="19"/>
              </w:rPr>
              <w:t>Heat-sensitive MS patients</w:t>
            </w:r>
          </w:p>
        </w:tc>
        <w:tc>
          <w:tcPr>
            <w:tcW w:type="dxa" w:w="1512"/>
            <w:vAlign w:val="top"/>
          </w:tcPr>
          <w:p>
            <w:pPr>
              <w:spacing w:after="40" w:before="0" w:line="259" w:lineRule="auto"/>
            </w:pPr>
            <w:r>
              <w:rPr>
                <w:rFonts w:ascii="Calibri" w:hAnsi="Calibri"/>
                <w:b w:val="0"/>
                <w:i w:val="0"/>
                <w:color w:val="212121"/>
                <w:sz w:val="19"/>
              </w:rPr>
              <w:t>Avoid overheating; cool ambient</w:t>
            </w:r>
          </w:p>
        </w:tc>
        <w:tc>
          <w:tcPr>
            <w:tcW w:type="dxa" w:w="1512"/>
            <w:vAlign w:val="top"/>
          </w:tcPr>
          <w:p>
            <w:pPr>
              <w:spacing w:after="40" w:before="0" w:line="259" w:lineRule="auto"/>
            </w:pPr>
            <w:r>
              <w:rPr>
                <w:rFonts w:ascii="Calibri" w:hAnsi="Calibri"/>
                <w:b w:val="0"/>
                <w:i w:val="0"/>
                <w:color w:val="212121"/>
                <w:sz w:val="19"/>
              </w:rPr>
              <w:t>Fever, hot/humid climate, hot baths</w:t>
            </w:r>
          </w:p>
        </w:tc>
        <w:tc>
          <w:tcPr>
            <w:tcW w:type="dxa" w:w="1468"/>
            <w:vAlign w:val="top"/>
          </w:tcPr>
          <w:p>
            <w:pPr>
              <w:spacing w:after="40" w:before="0" w:line="259" w:lineRule="auto"/>
            </w:pPr>
            <w:r>
              <w:rPr>
                <w:rFonts w:ascii="Calibri" w:hAnsi="Calibri"/>
                <w:b w:val="0"/>
                <w:i w:val="0"/>
                <w:color w:val="212121"/>
                <w:sz w:val="19"/>
              </w:rPr>
              <w:t>Raised temperature causes transient Uhthoff worsening and febrile pseudo-relapses; treat fevers and use cooling strategies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brain and spinal cord (with gadolinium)</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demyelinating lesions</w:t>
            </w:r>
          </w:p>
        </w:tc>
        <w:tc>
          <w:tcPr>
            <w:tcW w:type="dxa" w:w="950"/>
            <w:vAlign w:val="top"/>
          </w:tcPr>
          <w:p>
            <w:pPr>
              <w:spacing w:after="40" w:before="0" w:line="259" w:lineRule="auto"/>
            </w:pPr>
            <w:r>
              <w:rPr>
                <w:rFonts w:ascii="Calibri" w:hAnsi="Calibri"/>
                <w:b w:val="0"/>
                <w:i w:val="0"/>
                <w:color w:val="212121"/>
                <w:sz w:val="16"/>
              </w:rPr>
              <w:t>T2/FLAIR lesions in characteristic sites; gadolinium-enhancing lesions</w:t>
            </w:r>
          </w:p>
        </w:tc>
        <w:tc>
          <w:tcPr>
            <w:tcW w:type="dxa" w:w="1036"/>
            <w:vAlign w:val="top"/>
          </w:tcPr>
          <w:p>
            <w:pPr>
              <w:spacing w:after="40" w:before="0" w:line="259" w:lineRule="auto"/>
            </w:pPr>
            <w:r>
              <w:rPr>
                <w:rFonts w:ascii="Calibri" w:hAnsi="Calibri"/>
                <w:b w:val="0"/>
                <w:i w:val="0"/>
                <w:color w:val="212121"/>
                <w:sz w:val="16"/>
              </w:rPr>
              <w:t>Demonstrates dissemination in space and time; enhancement indicates active inflammation</w:t>
            </w:r>
          </w:p>
        </w:tc>
        <w:tc>
          <w:tcPr>
            <w:tcW w:type="dxa" w:w="1036"/>
            <w:vAlign w:val="top"/>
          </w:tcPr>
          <w:p>
            <w:pPr>
              <w:spacing w:after="40" w:before="0" w:line="259" w:lineRule="auto"/>
            </w:pPr>
            <w:r>
              <w:rPr>
                <w:rFonts w:ascii="Calibri" w:hAnsi="Calibri"/>
                <w:b w:val="0"/>
                <w:i w:val="0"/>
                <w:color w:val="212121"/>
                <w:sz w:val="16"/>
              </w:rPr>
              <w:t>Suspected MS, CIS, relapse, monitoring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Periventricular, cortical/juxtacortical, infratentorial and spinal-cord regions assessed per McDonald 2017</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Oligoclonal bands / IgG index</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No CSF-restricted bands; normal IgG index</w:t>
            </w:r>
          </w:p>
        </w:tc>
        <w:tc>
          <w:tcPr>
            <w:tcW w:type="dxa" w:w="950"/>
            <w:vAlign w:val="top"/>
          </w:tcPr>
          <w:p>
            <w:pPr>
              <w:spacing w:after="40" w:before="0" w:line="259" w:lineRule="auto"/>
            </w:pPr>
            <w:r>
              <w:rPr>
                <w:rFonts w:ascii="Calibri" w:hAnsi="Calibri"/>
                <w:b w:val="0"/>
                <w:i w:val="0"/>
                <w:color w:val="212121"/>
                <w:sz w:val="16"/>
              </w:rPr>
              <w:t>&gt;= 2 CSF-specific oligoclonal bands; raised IgG index</w:t>
            </w:r>
          </w:p>
        </w:tc>
        <w:tc>
          <w:tcPr>
            <w:tcW w:type="dxa" w:w="1036"/>
            <w:vAlign w:val="top"/>
          </w:tcPr>
          <w:p>
            <w:pPr>
              <w:spacing w:after="40" w:before="0" w:line="259" w:lineRule="auto"/>
            </w:pPr>
            <w:r>
              <w:rPr>
                <w:rFonts w:ascii="Calibri" w:hAnsi="Calibri"/>
                <w:b w:val="0"/>
                <w:i w:val="0"/>
                <w:color w:val="212121"/>
                <w:sz w:val="16"/>
              </w:rPr>
              <w:t>Indicates intrathecal immunoglobulin synthesis; can substitute for dissemination in time</w:t>
            </w:r>
          </w:p>
        </w:tc>
        <w:tc>
          <w:tcPr>
            <w:tcW w:type="dxa" w:w="1036"/>
            <w:vAlign w:val="top"/>
          </w:tcPr>
          <w:p>
            <w:pPr>
              <w:spacing w:after="40" w:before="0" w:line="259" w:lineRule="auto"/>
            </w:pPr>
            <w:r>
              <w:rPr>
                <w:rFonts w:ascii="Calibri" w:hAnsi="Calibri"/>
                <w:b w:val="0"/>
                <w:i w:val="0"/>
                <w:color w:val="212121"/>
                <w:sz w:val="16"/>
              </w:rPr>
              <w:t>CIS, atypical presentations, diagnostic uncertainty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Present in the large majority of MS; paired serum sample required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AQP4-IgG and MOG-IgG</w:t>
            </w:r>
          </w:p>
        </w:tc>
        <w:tc>
          <w:tcPr>
            <w:tcW w:type="dxa" w:w="892"/>
            <w:vAlign w:val="top"/>
          </w:tcPr>
          <w:p>
            <w:pPr>
              <w:spacing w:after="40" w:before="0" w:line="259" w:lineRule="auto"/>
            </w:pPr>
            <w:r>
              <w:rPr>
                <w:rFonts w:ascii="Calibri" w:hAnsi="Calibri"/>
                <w:b w:val="0"/>
                <w:i w:val="0"/>
                <w:color w:val="212121"/>
                <w:sz w:val="16"/>
              </w:rPr>
              <w:t>Cell-based antibody assay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AQP4-IgG or MOG-IgG positive</w:t>
            </w:r>
          </w:p>
        </w:tc>
        <w:tc>
          <w:tcPr>
            <w:tcW w:type="dxa" w:w="1036"/>
            <w:vAlign w:val="top"/>
          </w:tcPr>
          <w:p>
            <w:pPr>
              <w:spacing w:after="40" w:before="0" w:line="259" w:lineRule="auto"/>
            </w:pPr>
            <w:r>
              <w:rPr>
                <w:rFonts w:ascii="Calibri" w:hAnsi="Calibri"/>
                <w:b w:val="0"/>
                <w:i w:val="0"/>
                <w:color w:val="212121"/>
                <w:sz w:val="16"/>
              </w:rPr>
              <w:t>Positivity indicates NMOSD or MOGAD rather than MS - a critical distinction</w:t>
            </w:r>
          </w:p>
        </w:tc>
        <w:tc>
          <w:tcPr>
            <w:tcW w:type="dxa" w:w="1036"/>
            <w:vAlign w:val="top"/>
          </w:tcPr>
          <w:p>
            <w:pPr>
              <w:spacing w:after="40" w:before="0" w:line="259" w:lineRule="auto"/>
            </w:pPr>
            <w:r>
              <w:rPr>
                <w:rFonts w:ascii="Calibri" w:hAnsi="Calibri"/>
                <w:b w:val="0"/>
                <w:i w:val="0"/>
                <w:color w:val="212121"/>
                <w:sz w:val="16"/>
              </w:rPr>
              <w:t>Severe optic neuritis, longitudinally extensive myelitis, atypical 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 (mandatory)</w:t>
            </w:r>
          </w:p>
        </w:tc>
        <w:tc>
          <w:tcPr>
            <w:tcW w:type="dxa" w:w="720"/>
            <w:vAlign w:val="top"/>
          </w:tcPr>
          <w:p>
            <w:pPr>
              <w:spacing w:after="40" w:before="0" w:line="259" w:lineRule="auto"/>
            </w:pPr>
            <w:r>
              <w:rPr>
                <w:rFonts w:ascii="Calibri" w:hAnsi="Calibri"/>
                <w:b w:val="0"/>
                <w:i w:val="0"/>
                <w:color w:val="212121"/>
                <w:sz w:val="16"/>
              </w:rPr>
              <w:t>Different immunotherapy; some MS treatments worsen NMOSD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Visual evoked potentials (P100 latency)</w:t>
            </w:r>
          </w:p>
        </w:tc>
        <w:tc>
          <w:tcPr>
            <w:tcW w:type="dxa" w:w="892"/>
            <w:vAlign w:val="top"/>
          </w:tcPr>
          <w:p>
            <w:pPr>
              <w:spacing w:after="40" w:before="0" w:line="259" w:lineRule="auto"/>
            </w:pPr>
            <w:r>
              <w:rPr>
                <w:rFonts w:ascii="Calibri" w:hAnsi="Calibri"/>
                <w:b w:val="0"/>
                <w:i w:val="0"/>
                <w:color w:val="212121"/>
                <w:sz w:val="16"/>
              </w:rPr>
              <w:t>Evoked potential study</w:t>
            </w:r>
          </w:p>
        </w:tc>
        <w:tc>
          <w:tcPr>
            <w:tcW w:type="dxa" w:w="950"/>
            <w:vAlign w:val="top"/>
          </w:tcPr>
          <w:p>
            <w:pPr>
              <w:spacing w:after="40" w:before="0" w:line="259" w:lineRule="auto"/>
            </w:pPr>
            <w:r>
              <w:rPr>
                <w:rFonts w:ascii="Calibri" w:hAnsi="Calibri"/>
                <w:b w:val="0"/>
                <w:i w:val="0"/>
                <w:color w:val="212121"/>
                <w:sz w:val="16"/>
              </w:rPr>
              <w:t>Normal P100 latency</w:t>
            </w:r>
          </w:p>
        </w:tc>
        <w:tc>
          <w:tcPr>
            <w:tcW w:type="dxa" w:w="950"/>
            <w:vAlign w:val="top"/>
          </w:tcPr>
          <w:p>
            <w:pPr>
              <w:spacing w:after="40" w:before="0" w:line="259" w:lineRule="auto"/>
            </w:pPr>
            <w:r>
              <w:rPr>
                <w:rFonts w:ascii="Calibri" w:hAnsi="Calibri"/>
                <w:b w:val="0"/>
                <w:i w:val="0"/>
                <w:color w:val="212121"/>
                <w:sz w:val="16"/>
              </w:rPr>
              <w:t>Prolonged/delayed P100 latency</w:t>
            </w:r>
          </w:p>
        </w:tc>
        <w:tc>
          <w:tcPr>
            <w:tcW w:type="dxa" w:w="1036"/>
            <w:vAlign w:val="top"/>
          </w:tcPr>
          <w:p>
            <w:pPr>
              <w:spacing w:after="40" w:before="0" w:line="259" w:lineRule="auto"/>
            </w:pPr>
            <w:r>
              <w:rPr>
                <w:rFonts w:ascii="Calibri" w:hAnsi="Calibri"/>
                <w:b w:val="0"/>
                <w:i w:val="0"/>
                <w:color w:val="212121"/>
                <w:sz w:val="16"/>
              </w:rPr>
              <w:t>Detects subclinical optic-nerve demyelination, supporting dissemination in space</w:t>
            </w:r>
          </w:p>
        </w:tc>
        <w:tc>
          <w:tcPr>
            <w:tcW w:type="dxa" w:w="1036"/>
            <w:vAlign w:val="top"/>
          </w:tcPr>
          <w:p>
            <w:pPr>
              <w:spacing w:after="40" w:before="0" w:line="259" w:lineRule="auto"/>
            </w:pPr>
            <w:r>
              <w:rPr>
                <w:rFonts w:ascii="Calibri" w:hAnsi="Calibri"/>
                <w:b w:val="0"/>
                <w:i w:val="0"/>
                <w:color w:val="212121"/>
                <w:sz w:val="16"/>
              </w:rPr>
              <w:t>Suspected subclinical optic involvement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Useful when MRI is equivocal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w:t>
            </w:r>
          </w:p>
        </w:tc>
        <w:tc>
          <w:tcPr>
            <w:tcW w:type="dxa" w:w="892"/>
            <w:vAlign w:val="top"/>
          </w:tcPr>
          <w:p>
            <w:pPr>
              <w:spacing w:after="40" w:before="0" w:line="259" w:lineRule="auto"/>
            </w:pPr>
            <w:r>
              <w:rPr>
                <w:rFonts w:ascii="Calibri" w:hAnsi="Calibri"/>
                <w:b w:val="0"/>
                <w:i w:val="0"/>
                <w:color w:val="212121"/>
                <w:sz w:val="16"/>
              </w:rPr>
              <w:t>Vitamin D assay</w:t>
            </w:r>
          </w:p>
        </w:tc>
        <w:tc>
          <w:tcPr>
            <w:tcW w:type="dxa" w:w="950"/>
            <w:vAlign w:val="top"/>
          </w:tcPr>
          <w:p>
            <w:pPr>
              <w:spacing w:after="40" w:before="0" w:line="259" w:lineRule="auto"/>
            </w:pPr>
            <w:r>
              <w:rPr>
                <w:rFonts w:ascii="Calibri" w:hAnsi="Calibri"/>
                <w:b w:val="0"/>
                <w:i w:val="0"/>
                <w:color w:val="212121"/>
                <w:sz w:val="16"/>
              </w:rPr>
              <w:t>30-50 ng/mL</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Low status is a risk marker; correction advised for bone health</w:t>
            </w:r>
          </w:p>
        </w:tc>
        <w:tc>
          <w:tcPr>
            <w:tcW w:type="dxa" w:w="1036"/>
            <w:vAlign w:val="top"/>
          </w:tcPr>
          <w:p>
            <w:pPr>
              <w:spacing w:after="40" w:before="0" w:line="259" w:lineRule="auto"/>
            </w:pPr>
            <w:r>
              <w:rPr>
                <w:rFonts w:ascii="Calibri" w:hAnsi="Calibri"/>
                <w:b w:val="0"/>
                <w:i w:val="0"/>
                <w:color w:val="212121"/>
                <w:sz w:val="16"/>
              </w:rPr>
              <w:t>All MS patients, at-risk relatives</w:t>
            </w:r>
          </w:p>
        </w:tc>
        <w:tc>
          <w:tcPr>
            <w:tcW w:type="dxa" w:w="720"/>
            <w:vAlign w:val="top"/>
          </w:tcPr>
          <w:p>
            <w:pPr>
              <w:spacing w:after="40" w:before="0" w:line="259" w:lineRule="auto"/>
            </w:pPr>
            <w:r>
              <w:rPr>
                <w:rFonts w:ascii="Calibri" w:hAnsi="Calibri"/>
                <w:b w:val="0"/>
                <w:i w:val="0"/>
                <w:color w:val="212121"/>
                <w:sz w:val="16"/>
              </w:rPr>
              <w:t>Food; Sun exposure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Supplementation not shown to alter relapse or disability (very low-quality evidence)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haematology</w:t>
            </w:r>
          </w:p>
        </w:tc>
        <w:tc>
          <w:tcPr>
            <w:tcW w:type="dxa" w:w="1036"/>
            <w:vAlign w:val="top"/>
          </w:tcPr>
          <w:p>
            <w:pPr>
              <w:spacing w:after="40" w:before="0" w:line="259" w:lineRule="auto"/>
            </w:pPr>
            <w:r>
              <w:rPr>
                <w:rFonts w:ascii="Calibri" w:hAnsi="Calibri"/>
                <w:b w:val="0"/>
                <w:i w:val="0"/>
                <w:color w:val="212121"/>
                <w:sz w:val="16"/>
              </w:rPr>
              <w:t>CBC, LFT, TFT, JC virus antibody</w:t>
            </w:r>
          </w:p>
        </w:tc>
        <w:tc>
          <w:tcPr>
            <w:tcW w:type="dxa" w:w="892"/>
            <w:vAlign w:val="top"/>
          </w:tcPr>
          <w:p>
            <w:pPr>
              <w:spacing w:after="40" w:before="0" w:line="259" w:lineRule="auto"/>
            </w:pPr>
            <w:r>
              <w:rPr>
                <w:rFonts w:ascii="Calibri" w:hAnsi="Calibri"/>
                <w:b w:val="0"/>
                <w:i w:val="0"/>
                <w:color w:val="212121"/>
                <w:sz w:val="16"/>
              </w:rPr>
              <w:t>Baseline pre-DMT panel</w:t>
            </w:r>
          </w:p>
        </w:tc>
        <w:tc>
          <w:tcPr>
            <w:tcW w:type="dxa" w:w="950"/>
            <w:vAlign w:val="top"/>
          </w:tcPr>
          <w:p>
            <w:pPr>
              <w:spacing w:after="40" w:before="0" w:line="259" w:lineRule="auto"/>
            </w:pPr>
            <w:r>
              <w:rPr>
                <w:rFonts w:ascii="Calibri" w:hAnsi="Calibri"/>
                <w:b w:val="0"/>
                <w:i w:val="0"/>
                <w:color w:val="212121"/>
                <w:sz w:val="16"/>
              </w:rPr>
              <w:t>Within reference ranges; JCV antibody negative</w:t>
            </w:r>
          </w:p>
        </w:tc>
        <w:tc>
          <w:tcPr>
            <w:tcW w:type="dxa" w:w="950"/>
            <w:vAlign w:val="top"/>
          </w:tcPr>
          <w:p>
            <w:pPr>
              <w:spacing w:after="40" w:before="0" w:line="259" w:lineRule="auto"/>
            </w:pPr>
            <w:r>
              <w:rPr>
                <w:rFonts w:ascii="Calibri" w:hAnsi="Calibri"/>
                <w:b w:val="0"/>
                <w:i w:val="0"/>
                <w:color w:val="212121"/>
                <w:sz w:val="16"/>
              </w:rPr>
              <w:t>Cytopenia, deranged LFTs, thyroid dysfunction, JCV antibody positive</w:t>
            </w:r>
          </w:p>
        </w:tc>
        <w:tc>
          <w:tcPr>
            <w:tcW w:type="dxa" w:w="1036"/>
            <w:vAlign w:val="top"/>
          </w:tcPr>
          <w:p>
            <w:pPr>
              <w:spacing w:after="40" w:before="0" w:line="259" w:lineRule="auto"/>
            </w:pPr>
            <w:r>
              <w:rPr>
                <w:rFonts w:ascii="Calibri" w:hAnsi="Calibri"/>
                <w:b w:val="0"/>
                <w:i w:val="0"/>
                <w:color w:val="212121"/>
                <w:sz w:val="16"/>
              </w:rPr>
              <w:t>Screens organ function and infection risk before/on disease-modifying therapy</w:t>
            </w:r>
          </w:p>
        </w:tc>
        <w:tc>
          <w:tcPr>
            <w:tcW w:type="dxa" w:w="1036"/>
            <w:vAlign w:val="top"/>
          </w:tcPr>
          <w:p>
            <w:pPr>
              <w:spacing w:after="40" w:before="0" w:line="259" w:lineRule="auto"/>
            </w:pPr>
            <w:r>
              <w:rPr>
                <w:rFonts w:ascii="Calibri" w:hAnsi="Calibri"/>
                <w:b w:val="0"/>
                <w:i w:val="0"/>
                <w:color w:val="212121"/>
                <w:sz w:val="16"/>
              </w:rPr>
              <w:t>Patients starting or on DMT</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 monitoring</w:t>
            </w:r>
          </w:p>
        </w:tc>
        <w:tc>
          <w:tcPr>
            <w:tcW w:type="dxa" w:w="720"/>
            <w:vAlign w:val="top"/>
          </w:tcPr>
          <w:p>
            <w:pPr>
              <w:spacing w:after="40" w:before="0" w:line="259" w:lineRule="auto"/>
            </w:pPr>
            <w:r>
              <w:rPr>
                <w:rFonts w:ascii="Calibri" w:hAnsi="Calibri"/>
                <w:b w:val="0"/>
                <w:i w:val="0"/>
                <w:color w:val="212121"/>
                <w:sz w:val="16"/>
              </w:rPr>
              <w:t>JCV-antibody positivity raises PML risk with natalizumab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Autoimmune / infective screen</w:t>
            </w:r>
          </w:p>
        </w:tc>
        <w:tc>
          <w:tcPr>
            <w:tcW w:type="dxa" w:w="1036"/>
            <w:vAlign w:val="top"/>
          </w:tcPr>
          <w:p>
            <w:pPr>
              <w:spacing w:after="40" w:before="0" w:line="259" w:lineRule="auto"/>
            </w:pPr>
            <w:r>
              <w:rPr>
                <w:rFonts w:ascii="Calibri" w:hAnsi="Calibri"/>
                <w:b w:val="0"/>
                <w:i w:val="0"/>
                <w:color w:val="212121"/>
                <w:sz w:val="16"/>
              </w:rPr>
              <w:t>ESR/CRP, ANA/ENA, B12, HIV, serology</w:t>
            </w:r>
          </w:p>
        </w:tc>
        <w:tc>
          <w:tcPr>
            <w:tcW w:type="dxa" w:w="892"/>
            <w:vAlign w:val="top"/>
          </w:tcPr>
          <w:p>
            <w:pPr>
              <w:spacing w:after="40" w:before="0" w:line="259" w:lineRule="auto"/>
            </w:pPr>
            <w:r>
              <w:rPr>
                <w:rFonts w:ascii="Calibri" w:hAnsi="Calibri"/>
                <w:b w:val="0"/>
                <w:i w:val="0"/>
                <w:color w:val="212121"/>
                <w:sz w:val="16"/>
              </w:rPr>
              <w:t>Mimic-exclusion panel</w:t>
            </w:r>
          </w:p>
        </w:tc>
        <w:tc>
          <w:tcPr>
            <w:tcW w:type="dxa" w:w="950"/>
            <w:vAlign w:val="top"/>
          </w:tcPr>
          <w:p>
            <w:pPr>
              <w:spacing w:after="40" w:before="0" w:line="259" w:lineRule="auto"/>
            </w:pPr>
            <w:r>
              <w:rPr>
                <w:rFonts w:ascii="Calibri" w:hAnsi="Calibri"/>
                <w:b w:val="0"/>
                <w:i w:val="0"/>
                <w:color w:val="212121"/>
                <w:sz w:val="16"/>
              </w:rPr>
              <w:t>Unremarkable</w:t>
            </w:r>
          </w:p>
        </w:tc>
        <w:tc>
          <w:tcPr>
            <w:tcW w:type="dxa" w:w="950"/>
            <w:vAlign w:val="top"/>
          </w:tcPr>
          <w:p>
            <w:pPr>
              <w:spacing w:after="40" w:before="0" w:line="259" w:lineRule="auto"/>
            </w:pPr>
            <w:r>
              <w:rPr>
                <w:rFonts w:ascii="Calibri" w:hAnsi="Calibri"/>
                <w:b w:val="0"/>
                <w:i w:val="0"/>
                <w:color w:val="212121"/>
                <w:sz w:val="16"/>
              </w:rPr>
              <w:t>Raised inflammatory markers, positive autoimmune serology, B12 deficiency</w:t>
            </w:r>
          </w:p>
        </w:tc>
        <w:tc>
          <w:tcPr>
            <w:tcW w:type="dxa" w:w="1036"/>
            <w:vAlign w:val="top"/>
          </w:tcPr>
          <w:p>
            <w:pPr>
              <w:spacing w:after="40" w:before="0" w:line="259" w:lineRule="auto"/>
            </w:pPr>
            <w:r>
              <w:rPr>
                <w:rFonts w:ascii="Calibri" w:hAnsi="Calibri"/>
                <w:b w:val="0"/>
                <w:i w:val="0"/>
                <w:color w:val="212121"/>
                <w:sz w:val="16"/>
              </w:rPr>
              <w:t>Excludes MS mimics (SLE, neurosarcoidosis, vasculitis, B12 deficiency, infections)</w:t>
            </w:r>
          </w:p>
        </w:tc>
        <w:tc>
          <w:tcPr>
            <w:tcW w:type="dxa" w:w="1036"/>
            <w:vAlign w:val="top"/>
          </w:tcPr>
          <w:p>
            <w:pPr>
              <w:spacing w:after="40" w:before="0" w:line="259" w:lineRule="auto"/>
            </w:pPr>
            <w:r>
              <w:rPr>
                <w:rFonts w:ascii="Calibri" w:hAnsi="Calibri"/>
                <w:b w:val="0"/>
                <w:i w:val="0"/>
                <w:color w:val="212121"/>
                <w:sz w:val="16"/>
              </w:rPr>
              <w:t>Atypical features, older onset, systemic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Differential</w:t>
            </w:r>
          </w:p>
        </w:tc>
        <w:tc>
          <w:tcPr>
            <w:tcW w:type="dxa" w:w="720"/>
            <w:vAlign w:val="top"/>
          </w:tcPr>
          <w:p>
            <w:pPr>
              <w:spacing w:after="40" w:before="0" w:line="259" w:lineRule="auto"/>
            </w:pPr>
            <w:r>
              <w:rPr>
                <w:rFonts w:ascii="Calibri" w:hAnsi="Calibri"/>
                <w:b w:val="0"/>
                <w:i w:val="0"/>
                <w:color w:val="212121"/>
                <w:sz w:val="16"/>
              </w:rPr>
              <w:t>Part of 'no better explanation' requirement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Relapse history (dissemination in time)</w:t>
            </w:r>
          </w:p>
        </w:tc>
        <w:tc>
          <w:tcPr>
            <w:tcW w:type="dxa" w:w="979"/>
            <w:vAlign w:val="top"/>
          </w:tcPr>
          <w:p>
            <w:pPr>
              <w:spacing w:after="40" w:before="0" w:line="259" w:lineRule="auto"/>
            </w:pPr>
            <w:r>
              <w:rPr>
                <w:rFonts w:ascii="Calibri" w:hAnsi="Calibri"/>
                <w:b w:val="0"/>
                <w:i w:val="0"/>
                <w:color w:val="212121"/>
                <w:sz w:val="16"/>
              </w:rPr>
              <w:t>Discrete neurological attacks separated in time</w:t>
            </w:r>
          </w:p>
        </w:tc>
        <w:tc>
          <w:tcPr>
            <w:tcW w:type="dxa" w:w="950"/>
            <w:vAlign w:val="top"/>
          </w:tcPr>
          <w:p>
            <w:pPr>
              <w:spacing w:after="40" w:before="0" w:line="259" w:lineRule="auto"/>
            </w:pPr>
            <w:r>
              <w:rPr>
                <w:rFonts w:ascii="Calibri" w:hAnsi="Calibri"/>
                <w:b w:val="0"/>
                <w:i w:val="0"/>
                <w:color w:val="212121"/>
                <w:sz w:val="16"/>
              </w:rPr>
              <w:t>No prior attacks</w:t>
            </w:r>
          </w:p>
        </w:tc>
        <w:tc>
          <w:tcPr>
            <w:tcW w:type="dxa" w:w="950"/>
            <w:vAlign w:val="top"/>
          </w:tcPr>
          <w:p>
            <w:pPr>
              <w:spacing w:after="40" w:before="0" w:line="259" w:lineRule="auto"/>
            </w:pPr>
            <w:r>
              <w:rPr>
                <w:rFonts w:ascii="Calibri" w:hAnsi="Calibri"/>
                <w:b w:val="0"/>
                <w:i w:val="0"/>
                <w:color w:val="212121"/>
                <w:sz w:val="16"/>
              </w:rPr>
              <w:t>&gt;= 2 attacks with recovery, or progressive course</w:t>
            </w:r>
          </w:p>
        </w:tc>
        <w:tc>
          <w:tcPr>
            <w:tcW w:type="dxa" w:w="1036"/>
            <w:vAlign w:val="top"/>
          </w:tcPr>
          <w:p>
            <w:pPr>
              <w:spacing w:after="40" w:before="0" w:line="259" w:lineRule="auto"/>
            </w:pPr>
            <w:r>
              <w:rPr>
                <w:rFonts w:ascii="Calibri" w:hAnsi="Calibri"/>
                <w:b w:val="0"/>
                <w:i w:val="0"/>
                <w:color w:val="212121"/>
                <w:sz w:val="16"/>
              </w:rPr>
              <w:t>Cornerstone of diagnosis; establishes relapsing versus progressive phenotype</w:t>
            </w:r>
          </w:p>
        </w:tc>
        <w:tc>
          <w:tcPr>
            <w:tcW w:type="dxa" w:w="1036"/>
            <w:vAlign w:val="top"/>
          </w:tcPr>
          <w:p>
            <w:pPr>
              <w:spacing w:after="40" w:before="0" w:line="259" w:lineRule="auto"/>
            </w:pPr>
            <w:r>
              <w:rPr>
                <w:rFonts w:ascii="Calibri" w:hAnsi="Calibri"/>
                <w:b w:val="0"/>
                <w:i w:val="0"/>
                <w:color w:val="212121"/>
                <w:sz w:val="16"/>
              </w:rPr>
              <w:t>All suspected 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Distinguish true relapse (&gt;24 h, no fever) from heat/infection pseudo-relapse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Optic neuritis, sensory/motor deficits, imbalance, bladder symptoms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Typical CNS-localising demyelinating symptoms</w:t>
            </w:r>
          </w:p>
        </w:tc>
        <w:tc>
          <w:tcPr>
            <w:tcW w:type="dxa" w:w="1036"/>
            <w:vAlign w:val="top"/>
          </w:tcPr>
          <w:p>
            <w:pPr>
              <w:spacing w:after="40" w:before="0" w:line="259" w:lineRule="auto"/>
            </w:pPr>
            <w:r>
              <w:rPr>
                <w:rFonts w:ascii="Calibri" w:hAnsi="Calibri"/>
                <w:b w:val="0"/>
                <w:i w:val="0"/>
                <w:color w:val="212121"/>
                <w:sz w:val="16"/>
              </w:rPr>
              <w:t>Young adults with focal neurological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Painful monocular visual loss is a classic first presentation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Heat sensitivity and Lhermitte phenomenon</w:t>
            </w:r>
          </w:p>
        </w:tc>
        <w:tc>
          <w:tcPr>
            <w:tcW w:type="dxa" w:w="979"/>
            <w:vAlign w:val="top"/>
          </w:tcPr>
          <w:p>
            <w:pPr>
              <w:spacing w:after="40" w:before="0" w:line="259" w:lineRule="auto"/>
            </w:pPr>
            <w:r>
              <w:rPr>
                <w:rFonts w:ascii="Calibri" w:hAnsi="Calibri"/>
                <w:b w:val="0"/>
                <w:i w:val="0"/>
                <w:color w:val="212121"/>
                <w:sz w:val="16"/>
              </w:rPr>
              <w:t>Uhthoff worsening with heat; electric-shock sensation on neck flexion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Supportive symptoms of demyelination (Uhthoff, Lhermitte)</w:t>
            </w:r>
          </w:p>
        </w:tc>
        <w:tc>
          <w:tcPr>
            <w:tcW w:type="dxa" w:w="1036"/>
            <w:vAlign w:val="top"/>
          </w:tcPr>
          <w:p>
            <w:pPr>
              <w:spacing w:after="40" w:before="0" w:line="259" w:lineRule="auto"/>
            </w:pPr>
            <w:r>
              <w:rPr>
                <w:rFonts w:ascii="Calibri" w:hAnsi="Calibri"/>
                <w:b w:val="0"/>
                <w:i w:val="0"/>
                <w:color w:val="212121"/>
                <w:sz w:val="16"/>
              </w:rPr>
              <w:t>Suspected or known MS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Highly suggestive though not diagnostic in isolation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EDSS / functional systems</w:t>
            </w:r>
          </w:p>
        </w:tc>
        <w:tc>
          <w:tcPr>
            <w:tcW w:type="dxa" w:w="979"/>
            <w:vAlign w:val="top"/>
          </w:tcPr>
          <w:p>
            <w:pPr>
              <w:spacing w:after="40" w:before="0" w:line="259" w:lineRule="auto"/>
            </w:pPr>
            <w:r>
              <w:rPr>
                <w:rFonts w:ascii="Calibri" w:hAnsi="Calibri"/>
                <w:b w:val="0"/>
                <w:i w:val="0"/>
                <w:color w:val="212121"/>
                <w:sz w:val="16"/>
              </w:rPr>
              <w:t>Pyramidal, cerebellar, sensory, brainstem, visual, bladder, cognitive systems</w:t>
            </w:r>
          </w:p>
        </w:tc>
        <w:tc>
          <w:tcPr>
            <w:tcW w:type="dxa" w:w="950"/>
            <w:vAlign w:val="top"/>
          </w:tcPr>
          <w:p>
            <w:pPr>
              <w:spacing w:after="40" w:before="0" w:line="259" w:lineRule="auto"/>
            </w:pPr>
            <w:r>
              <w:rPr>
                <w:rFonts w:ascii="Calibri" w:hAnsi="Calibri"/>
                <w:b w:val="0"/>
                <w:i w:val="0"/>
                <w:color w:val="212121"/>
                <w:sz w:val="16"/>
              </w:rPr>
              <w:t>EDSS 0 (normal exam)</w:t>
            </w:r>
          </w:p>
        </w:tc>
        <w:tc>
          <w:tcPr>
            <w:tcW w:type="dxa" w:w="950"/>
            <w:vAlign w:val="top"/>
          </w:tcPr>
          <w:p>
            <w:pPr>
              <w:spacing w:after="40" w:before="0" w:line="259" w:lineRule="auto"/>
            </w:pPr>
            <w:r>
              <w:rPr>
                <w:rFonts w:ascii="Calibri" w:hAnsi="Calibri"/>
                <w:b w:val="0"/>
                <w:i w:val="0"/>
                <w:color w:val="212121"/>
                <w:sz w:val="16"/>
              </w:rPr>
              <w:t>Focal deficits; rising EDSS</w:t>
            </w:r>
          </w:p>
        </w:tc>
        <w:tc>
          <w:tcPr>
            <w:tcW w:type="dxa" w:w="1036"/>
            <w:vAlign w:val="top"/>
          </w:tcPr>
          <w:p>
            <w:pPr>
              <w:spacing w:after="40" w:before="0" w:line="259" w:lineRule="auto"/>
            </w:pPr>
            <w:r>
              <w:rPr>
                <w:rFonts w:ascii="Calibri" w:hAnsi="Calibri"/>
                <w:b w:val="0"/>
                <w:i w:val="0"/>
                <w:color w:val="212121"/>
                <w:sz w:val="16"/>
              </w:rPr>
              <w:t>Quantifies disability and tracks progression over time</w:t>
            </w:r>
          </w:p>
        </w:tc>
        <w:tc>
          <w:tcPr>
            <w:tcW w:type="dxa" w:w="1036"/>
            <w:vAlign w:val="top"/>
          </w:tcPr>
          <w:p>
            <w:pPr>
              <w:spacing w:after="40" w:before="0" w:line="259" w:lineRule="auto"/>
            </w:pPr>
            <w:r>
              <w:rPr>
                <w:rFonts w:ascii="Calibri" w:hAnsi="Calibri"/>
                <w:b w:val="0"/>
                <w:i w:val="0"/>
                <w:color w:val="212121"/>
                <w:sz w:val="16"/>
              </w:rPr>
              <w:t>All MS patients at follow-up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 / monitoring</w:t>
            </w:r>
          </w:p>
        </w:tc>
        <w:tc>
          <w:tcPr>
            <w:tcW w:type="dxa" w:w="720"/>
            <w:vAlign w:val="top"/>
          </w:tcPr>
          <w:p>
            <w:pPr>
              <w:spacing w:after="40" w:before="0" w:line="259" w:lineRule="auto"/>
            </w:pPr>
            <w:r>
              <w:rPr>
                <w:rFonts w:ascii="Calibri" w:hAnsi="Calibri"/>
                <w:b w:val="0"/>
                <w:i w:val="0"/>
                <w:color w:val="212121"/>
                <w:sz w:val="16"/>
              </w:rPr>
              <w:t>Standardised, repeatable metric guiding therapy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Cranial nerve / eye examination</w:t>
            </w:r>
          </w:p>
        </w:tc>
        <w:tc>
          <w:tcPr>
            <w:tcW w:type="dxa" w:w="950"/>
            <w:vAlign w:val="top"/>
          </w:tcPr>
          <w:p>
            <w:pPr>
              <w:spacing w:after="40" w:before="0" w:line="259" w:lineRule="auto"/>
            </w:pPr>
            <w:r>
              <w:rPr>
                <w:rFonts w:ascii="Calibri" w:hAnsi="Calibri"/>
                <w:b w:val="0"/>
                <w:i w:val="0"/>
                <w:color w:val="212121"/>
                <w:sz w:val="16"/>
              </w:rPr>
              <w:t>INO, RAPD, disc pallor</w:t>
            </w:r>
          </w:p>
        </w:tc>
        <w:tc>
          <w:tcPr>
            <w:tcW w:type="dxa" w:w="979"/>
            <w:vAlign w:val="top"/>
          </w:tcPr>
          <w:p>
            <w:pPr>
              <w:spacing w:after="40" w:before="0" w:line="259" w:lineRule="auto"/>
            </w:pPr>
            <w:r>
              <w:rPr>
                <w:rFonts w:ascii="Calibri" w:hAnsi="Calibri"/>
                <w:b w:val="0"/>
                <w:i w:val="0"/>
                <w:color w:val="212121"/>
                <w:sz w:val="16"/>
              </w:rPr>
              <w:t>Internuclear ophthalmoplegia, relative afferent pupillary defect, optic atrophy</w:t>
            </w:r>
          </w:p>
        </w:tc>
        <w:tc>
          <w:tcPr>
            <w:tcW w:type="dxa" w:w="950"/>
            <w:vAlign w:val="top"/>
          </w:tcPr>
          <w:p>
            <w:pPr>
              <w:spacing w:after="40" w:before="0" w:line="259" w:lineRule="auto"/>
            </w:pPr>
            <w:r>
              <w:rPr>
                <w:rFonts w:ascii="Calibri" w:hAnsi="Calibri"/>
                <w:b w:val="0"/>
                <w:i w:val="0"/>
                <w:color w:val="212121"/>
                <w:sz w:val="16"/>
              </w:rPr>
              <w:t>Normal eye movements and pupils</w:t>
            </w:r>
          </w:p>
        </w:tc>
        <w:tc>
          <w:tcPr>
            <w:tcW w:type="dxa" w:w="950"/>
            <w:vAlign w:val="top"/>
          </w:tcPr>
          <w:p>
            <w:pPr>
              <w:spacing w:after="40" w:before="0" w:line="259" w:lineRule="auto"/>
            </w:pPr>
            <w:r>
              <w:rPr>
                <w:rFonts w:ascii="Calibri" w:hAnsi="Calibri"/>
                <w:b w:val="0"/>
                <w:i w:val="0"/>
                <w:color w:val="212121"/>
                <w:sz w:val="16"/>
              </w:rPr>
              <w:t>INO, RAPD (Marcus Gunn), pale optic disc</w:t>
            </w:r>
          </w:p>
        </w:tc>
        <w:tc>
          <w:tcPr>
            <w:tcW w:type="dxa" w:w="1036"/>
            <w:vAlign w:val="top"/>
          </w:tcPr>
          <w:p>
            <w:pPr>
              <w:spacing w:after="40" w:before="0" w:line="259" w:lineRule="auto"/>
            </w:pPr>
            <w:r>
              <w:rPr>
                <w:rFonts w:ascii="Calibri" w:hAnsi="Calibri"/>
                <w:b w:val="0"/>
                <w:i w:val="0"/>
                <w:color w:val="212121"/>
                <w:sz w:val="16"/>
              </w:rPr>
              <w:t>Signs of brainstem and optic-nerve demyelination</w:t>
            </w:r>
          </w:p>
        </w:tc>
        <w:tc>
          <w:tcPr>
            <w:tcW w:type="dxa" w:w="1036"/>
            <w:vAlign w:val="top"/>
          </w:tcPr>
          <w:p>
            <w:pPr>
              <w:spacing w:after="40" w:before="0" w:line="259" w:lineRule="auto"/>
            </w:pPr>
            <w:r>
              <w:rPr>
                <w:rFonts w:ascii="Calibri" w:hAnsi="Calibri"/>
                <w:b w:val="0"/>
                <w:i w:val="0"/>
                <w:color w:val="212121"/>
                <w:sz w:val="16"/>
              </w:rPr>
              <w:t>Patients with visual or diplopia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 sign</w:t>
            </w:r>
          </w:p>
        </w:tc>
        <w:tc>
          <w:tcPr>
            <w:tcW w:type="dxa" w:w="720"/>
            <w:vAlign w:val="top"/>
          </w:tcPr>
          <w:p>
            <w:pPr>
              <w:spacing w:after="40" w:before="0" w:line="259" w:lineRule="auto"/>
            </w:pPr>
            <w:r>
              <w:rPr>
                <w:rFonts w:ascii="Calibri" w:hAnsi="Calibri"/>
                <w:b w:val="0"/>
                <w:i w:val="0"/>
                <w:color w:val="212121"/>
                <w:sz w:val="16"/>
              </w:rPr>
              <w:t>Bilateral INO in a young adult is strongly suggestive of MS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and autoimmune history</w:t>
            </w:r>
          </w:p>
        </w:tc>
        <w:tc>
          <w:tcPr>
            <w:tcW w:type="dxa" w:w="979"/>
            <w:vAlign w:val="top"/>
          </w:tcPr>
          <w:p>
            <w:pPr>
              <w:spacing w:after="40" w:before="0" w:line="259" w:lineRule="auto"/>
            </w:pPr>
            <w:r>
              <w:rPr>
                <w:rFonts w:ascii="Calibri" w:hAnsi="Calibri"/>
                <w:b w:val="0"/>
                <w:i w:val="0"/>
                <w:color w:val="212121"/>
                <w:sz w:val="16"/>
              </w:rPr>
              <w:t>MS or other autoimmune disease in relatives</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&gt;= 1 affected relative / personal autoimmune disease</w:t>
            </w:r>
          </w:p>
        </w:tc>
        <w:tc>
          <w:tcPr>
            <w:tcW w:type="dxa" w:w="1036"/>
            <w:vAlign w:val="top"/>
          </w:tcPr>
          <w:p>
            <w:pPr>
              <w:spacing w:after="40" w:before="0" w:line="259" w:lineRule="auto"/>
            </w:pPr>
            <w:r>
              <w:rPr>
                <w:rFonts w:ascii="Calibri" w:hAnsi="Calibri"/>
                <w:b w:val="0"/>
                <w:i w:val="0"/>
                <w:color w:val="212121"/>
                <w:sz w:val="16"/>
              </w:rPr>
              <w:t>Reflects genetic and shared-autoimmune predisposition</w:t>
            </w:r>
          </w:p>
        </w:tc>
        <w:tc>
          <w:tcPr>
            <w:tcW w:type="dxa" w:w="1036"/>
            <w:vAlign w:val="top"/>
          </w:tcPr>
          <w:p>
            <w:pPr>
              <w:spacing w:after="40" w:before="0" w:line="259" w:lineRule="auto"/>
            </w:pPr>
            <w:r>
              <w:rPr>
                <w:rFonts w:ascii="Calibri" w:hAnsi="Calibri"/>
                <w:b w:val="0"/>
                <w:i w:val="0"/>
                <w:color w:val="212121"/>
                <w:sz w:val="16"/>
              </w:rPr>
              <w:t>First-degree relatives, autoimmune background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HLA-linked disorders (thyroiditis, type 1 diabetes)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Optic neuritis (painful monocular visual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Subacute unilateral blurring/loss with pain on eye movement and colour desaturation; a classic first presentation.</w:t>
            </w:r>
          </w:p>
        </w:tc>
      </w:tr>
      <w:tr>
        <w:trPr>
          <w:cantSplit/>
        </w:trPr>
        <w:tc>
          <w:tcPr>
            <w:tcW w:type="dxa" w:w="2304"/>
            <w:vAlign w:val="top"/>
          </w:tcPr>
          <w:p>
            <w:pPr>
              <w:spacing w:after="40" w:before="0" w:line="259" w:lineRule="auto"/>
            </w:pPr>
            <w:r>
              <w:rPr>
                <w:rFonts w:ascii="Calibri" w:hAnsi="Calibri"/>
                <w:b/>
                <w:i w:val="0"/>
                <w:color w:val="212121"/>
                <w:sz w:val="19"/>
              </w:rPr>
              <w:t>Sensory disturbance (numbness, tingling,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Patchy or limb/truncal numbness and pins-and-needles from dorsal-column or spinothalamic demyelination.</w:t>
            </w:r>
          </w:p>
        </w:tc>
      </w:tr>
      <w:tr>
        <w:trPr>
          <w:cantSplit/>
        </w:trPr>
        <w:tc>
          <w:tcPr>
            <w:tcW w:type="dxa" w:w="2304"/>
            <w:vAlign w:val="top"/>
          </w:tcPr>
          <w:p>
            <w:pPr>
              <w:spacing w:after="40" w:before="0" w:line="259" w:lineRule="auto"/>
            </w:pPr>
            <w:r>
              <w:rPr>
                <w:rFonts w:ascii="Calibri" w:hAnsi="Calibri"/>
                <w:b/>
                <w:i w:val="0"/>
                <w:color w:val="212121"/>
                <w:sz w:val="19"/>
              </w:rPr>
              <w:t>Motor weakness / spastic paresis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Limb weakness, heaviness and stiffness from corticospinal-tract involvement.</w:t>
            </w:r>
          </w:p>
        </w:tc>
      </w:tr>
      <w:tr>
        <w:trPr>
          <w:cantSplit/>
        </w:trPr>
        <w:tc>
          <w:tcPr>
            <w:tcW w:type="dxa" w:w="2304"/>
            <w:vAlign w:val="top"/>
          </w:tcPr>
          <w:p>
            <w:pPr>
              <w:spacing w:after="40" w:before="0" w:line="259" w:lineRule="auto"/>
            </w:pPr>
            <w:r>
              <w:rPr>
                <w:rFonts w:ascii="Calibri" w:hAnsi="Calibri"/>
                <w:b/>
                <w:i w:val="0"/>
                <w:color w:val="212121"/>
                <w:sz w:val="19"/>
              </w:rPr>
              <w:t>Fatigue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Disabling, disproportionate tiredness (lassitude) that is often the most limiting symptom and worsens with heat.</w:t>
            </w:r>
          </w:p>
        </w:tc>
      </w:tr>
      <w:tr>
        <w:trPr>
          <w:cantSplit/>
        </w:trPr>
        <w:tc>
          <w:tcPr>
            <w:tcW w:type="dxa" w:w="2304"/>
            <w:vAlign w:val="top"/>
          </w:tcPr>
          <w:p>
            <w:pPr>
              <w:spacing w:after="40" w:before="0" w:line="259" w:lineRule="auto"/>
            </w:pPr>
            <w:r>
              <w:rPr>
                <w:rFonts w:ascii="Calibri" w:hAnsi="Calibri"/>
                <w:b/>
                <w:i w:val="0"/>
                <w:color w:val="212121"/>
                <w:sz w:val="19"/>
              </w:rPr>
              <w:t>Bladder dysfunction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Urgency, frequency, nocturia, incontinence or incomplete emptying from neurogenic bladder.</w:t>
            </w:r>
          </w:p>
        </w:tc>
      </w:tr>
      <w:tr>
        <w:trPr>
          <w:cantSplit/>
        </w:trPr>
        <w:tc>
          <w:tcPr>
            <w:tcW w:type="dxa" w:w="2304"/>
            <w:vAlign w:val="top"/>
          </w:tcPr>
          <w:p>
            <w:pPr>
              <w:spacing w:after="40" w:before="0" w:line="259" w:lineRule="auto"/>
            </w:pPr>
            <w:r>
              <w:rPr>
                <w:rFonts w:ascii="Calibri" w:hAnsi="Calibri"/>
                <w:b/>
                <w:i w:val="0"/>
                <w:color w:val="212121"/>
                <w:sz w:val="19"/>
              </w:rPr>
              <w:t>Imbalance and gait ataxia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Unsteadiness and incoordination from cerebellar and sensory pathway involvement.</w:t>
            </w:r>
          </w:p>
        </w:tc>
      </w:tr>
      <w:tr>
        <w:trPr>
          <w:cantSplit/>
        </w:trPr>
        <w:tc>
          <w:tcPr>
            <w:tcW w:type="dxa" w:w="2304"/>
            <w:vAlign w:val="top"/>
          </w:tcPr>
          <w:p>
            <w:pPr>
              <w:spacing w:after="40" w:before="0" w:line="259" w:lineRule="auto"/>
            </w:pPr>
            <w:r>
              <w:rPr>
                <w:rFonts w:ascii="Calibri" w:hAnsi="Calibri"/>
                <w:b/>
                <w:i w:val="0"/>
                <w:color w:val="212121"/>
                <w:sz w:val="19"/>
              </w:rPr>
              <w:t>Diplopia / blurred vision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Double or blurred vision from internuclear ophthalmoplegia or cranial-nerve involvement.</w:t>
            </w:r>
          </w:p>
        </w:tc>
      </w:tr>
      <w:tr>
        <w:trPr>
          <w:cantSplit/>
        </w:trPr>
        <w:tc>
          <w:tcPr>
            <w:tcW w:type="dxa" w:w="2304"/>
            <w:vAlign w:val="top"/>
          </w:tcPr>
          <w:p>
            <w:pPr>
              <w:spacing w:after="40" w:before="0" w:line="259" w:lineRule="auto"/>
            </w:pPr>
            <w:r>
              <w:rPr>
                <w:rFonts w:ascii="Calibri" w:hAnsi="Calibri"/>
                <w:b/>
                <w:i w:val="0"/>
                <w:color w:val="212121"/>
                <w:sz w:val="19"/>
              </w:rPr>
              <w:t>Lhermitte phenomenon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electric-shock sensation radiating down the spine or limbs on neck flexion; indicates cervical-cord demyelination.</w:t>
            </w:r>
          </w:p>
        </w:tc>
      </w:tr>
      <w:tr>
        <w:trPr>
          <w:cantSplit/>
        </w:trPr>
        <w:tc>
          <w:tcPr>
            <w:tcW w:type="dxa" w:w="2304"/>
            <w:vAlign w:val="top"/>
          </w:tcPr>
          <w:p>
            <w:pPr>
              <w:spacing w:after="40" w:before="0" w:line="259" w:lineRule="auto"/>
            </w:pPr>
            <w:r>
              <w:rPr>
                <w:rFonts w:ascii="Calibri" w:hAnsi="Calibri"/>
                <w:b/>
                <w:i w:val="0"/>
                <w:color w:val="212121"/>
                <w:sz w:val="19"/>
              </w:rPr>
              <w:t>Uhthoff phenomenon (heat-induced worsening)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recurrence/worsening of symptoms with raised body temperature (exercise, fever, hot weather).</w:t>
            </w:r>
          </w:p>
        </w:tc>
      </w:tr>
      <w:tr>
        <w:trPr>
          <w:cantSplit/>
        </w:trPr>
        <w:tc>
          <w:tcPr>
            <w:tcW w:type="dxa" w:w="2304"/>
            <w:vAlign w:val="top"/>
          </w:tcPr>
          <w:p>
            <w:pPr>
              <w:spacing w:after="40" w:before="0" w:line="259" w:lineRule="auto"/>
            </w:pPr>
            <w:r>
              <w:rPr>
                <w:rFonts w:ascii="Calibri" w:hAnsi="Calibri"/>
                <w:b/>
                <w:i w:val="0"/>
                <w:color w:val="212121"/>
                <w:sz w:val="19"/>
              </w:rPr>
              <w:t>Spasticity, spasms and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Increased tone and painful flexor/extensor spasms, especially in the legs.</w:t>
            </w:r>
          </w:p>
        </w:tc>
      </w:tr>
      <w:tr>
        <w:trPr>
          <w:cantSplit/>
        </w:trPr>
        <w:tc>
          <w:tcPr>
            <w:tcW w:type="dxa" w:w="2304"/>
            <w:vAlign w:val="top"/>
          </w:tcPr>
          <w:p>
            <w:pPr>
              <w:spacing w:after="40" w:before="0" w:line="259" w:lineRule="auto"/>
            </w:pPr>
            <w:r>
              <w:rPr>
                <w:rFonts w:ascii="Calibri" w:hAnsi="Calibri"/>
                <w:b/>
                <w:i w:val="0"/>
                <w:color w:val="212121"/>
                <w:sz w:val="19"/>
              </w:rPr>
              <w:t>Depression and mood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partly reactive and partly disease-related; strongly affects quality of life and adherence.</w:t>
            </w:r>
          </w:p>
        </w:tc>
      </w:tr>
      <w:tr>
        <w:trPr>
          <w:cantSplit/>
        </w:trPr>
        <w:tc>
          <w:tcPr>
            <w:tcW w:type="dxa" w:w="2304"/>
            <w:vAlign w:val="top"/>
          </w:tcPr>
          <w:p>
            <w:pPr>
              <w:spacing w:after="40" w:before="0" w:line="259" w:lineRule="auto"/>
            </w:pPr>
            <w:r>
              <w:rPr>
                <w:rFonts w:ascii="Calibri" w:hAnsi="Calibri"/>
                <w:b/>
                <w:i w:val="0"/>
                <w:color w:val="212121"/>
                <w:sz w:val="19"/>
              </w:rPr>
              <w:t>Cognitive impairment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Slowed information-processing speed, attention and memory difficulties, often subtle early on.</w:t>
            </w:r>
          </w:p>
        </w:tc>
      </w:tr>
      <w:tr>
        <w:trPr>
          <w:cantSplit/>
        </w:trPr>
        <w:tc>
          <w:tcPr>
            <w:tcW w:type="dxa" w:w="2304"/>
            <w:vAlign w:val="top"/>
          </w:tcPr>
          <w:p>
            <w:pPr>
              <w:spacing w:after="40" w:before="0" w:line="259" w:lineRule="auto"/>
            </w:pPr>
            <w:r>
              <w:rPr>
                <w:rFonts w:ascii="Calibri" w:hAnsi="Calibri"/>
                <w:b/>
                <w:i w:val="0"/>
                <w:color w:val="212121"/>
                <w:sz w:val="19"/>
              </w:rPr>
              <w:t>Sexual and bowel dysfunction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Erectile/orgasmic difficulty, reduced libido, and constipation from autonomic and spinal involvement.</w:t>
            </w:r>
          </w:p>
        </w:tc>
      </w:tr>
      <w:tr>
        <w:trPr>
          <w:cantSplit/>
        </w:trPr>
        <w:tc>
          <w:tcPr>
            <w:tcW w:type="dxa" w:w="2304"/>
            <w:vAlign w:val="top"/>
          </w:tcPr>
          <w:p>
            <w:pPr>
              <w:spacing w:after="40" w:before="0" w:line="259" w:lineRule="auto"/>
            </w:pPr>
            <w:r>
              <w:rPr>
                <w:rFonts w:ascii="Calibri" w:hAnsi="Calibri"/>
                <w:b/>
                <w:i w:val="0"/>
                <w:color w:val="212121"/>
                <w:sz w:val="19"/>
              </w:rPr>
              <w:t>Paroxysmal symptoms / trigeminal neuralgia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Brief stereotyped attacks (tonic spasms, trigeminal neuralgia) - trigeminal neuralgia in a young adult should prompt consideration of MS.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Internuclear ophthalmoplegia (INO)</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Impaired adduction of one eye with nystagmus of the abducting eye on lateral gaze; bilateral INO in a young adult strongly suggests MS.</w:t>
            </w:r>
          </w:p>
        </w:tc>
      </w:tr>
      <w:tr>
        <w:trPr>
          <w:cantSplit/>
        </w:trPr>
        <w:tc>
          <w:tcPr>
            <w:tcW w:type="dxa" w:w="3456"/>
            <w:vAlign w:val="top"/>
          </w:tcPr>
          <w:p>
            <w:pPr>
              <w:spacing w:after="40" w:before="0" w:line="259" w:lineRule="auto"/>
            </w:pPr>
            <w:r>
              <w:rPr>
                <w:rFonts w:ascii="Calibri" w:hAnsi="Calibri"/>
                <w:b/>
                <w:i w:val="0"/>
                <w:color w:val="212121"/>
                <w:sz w:val="19"/>
              </w:rPr>
              <w:t>Relative afferent pupillary defect (Marcus Gunn pupil)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Paradoxical pupillary dilatation on swinging-flashlight test - sign of optic-nerve dysfunction after optic neuritis.</w:t>
            </w:r>
          </w:p>
        </w:tc>
      </w:tr>
      <w:tr>
        <w:trPr>
          <w:cantSplit/>
        </w:trPr>
        <w:tc>
          <w:tcPr>
            <w:tcW w:type="dxa" w:w="3456"/>
            <w:vAlign w:val="top"/>
          </w:tcPr>
          <w:p>
            <w:pPr>
              <w:spacing w:after="40" w:before="0" w:line="259" w:lineRule="auto"/>
            </w:pPr>
            <w:r>
              <w:rPr>
                <w:rFonts w:ascii="Calibri" w:hAnsi="Calibri"/>
                <w:b/>
                <w:i w:val="0"/>
                <w:color w:val="212121"/>
                <w:sz w:val="19"/>
              </w:rPr>
              <w:t>Optic disc pallor / atrophy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Temporal or diffuse disc pallor on fundoscopy following prior optic neuritis.</w:t>
            </w:r>
          </w:p>
        </w:tc>
      </w:tr>
      <w:tr>
        <w:trPr>
          <w:cantSplit/>
        </w:trPr>
        <w:tc>
          <w:tcPr>
            <w:tcW w:type="dxa" w:w="3456"/>
            <w:vAlign w:val="top"/>
          </w:tcPr>
          <w:p>
            <w:pPr>
              <w:spacing w:after="40" w:before="0" w:line="259" w:lineRule="auto"/>
            </w:pPr>
            <w:r>
              <w:rPr>
                <w:rFonts w:ascii="Calibri" w:hAnsi="Calibri"/>
                <w:b/>
                <w:i w:val="0"/>
                <w:color w:val="212121"/>
                <w:sz w:val="19"/>
              </w:rPr>
              <w:t>Hyperreflexia with extensor plantar response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Brisk deep-tendon reflexes and Babinski sign indicating upper-motor-neuron (corticospinal) involvement.</w:t>
            </w:r>
          </w:p>
        </w:tc>
      </w:tr>
      <w:tr>
        <w:trPr>
          <w:cantSplit/>
        </w:trPr>
        <w:tc>
          <w:tcPr>
            <w:tcW w:type="dxa" w:w="3456"/>
            <w:vAlign w:val="top"/>
          </w:tcPr>
          <w:p>
            <w:pPr>
              <w:spacing w:after="40" w:before="0" w:line="259" w:lineRule="auto"/>
            </w:pPr>
            <w:r>
              <w:rPr>
                <w:rFonts w:ascii="Calibri" w:hAnsi="Calibri"/>
                <w:b/>
                <w:i w:val="0"/>
                <w:color w:val="212121"/>
                <w:sz w:val="19"/>
              </w:rPr>
              <w:t>Spasticity (increased muscle tone)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Velocity-dependent increase in tone, clonus and clasp-knife rigidity, chiefly in the lower limbs.</w:t>
            </w:r>
          </w:p>
        </w:tc>
      </w:tr>
      <w:tr>
        <w:trPr>
          <w:cantSplit/>
        </w:trPr>
        <w:tc>
          <w:tcPr>
            <w:tcW w:type="dxa" w:w="3456"/>
            <w:vAlign w:val="top"/>
          </w:tcPr>
          <w:p>
            <w:pPr>
              <w:spacing w:after="40" w:before="0" w:line="259" w:lineRule="auto"/>
            </w:pPr>
            <w:r>
              <w:rPr>
                <w:rFonts w:ascii="Calibri" w:hAnsi="Calibri"/>
                <w:b/>
                <w:i w:val="0"/>
                <w:color w:val="212121"/>
                <w:sz w:val="19"/>
              </w:rPr>
              <w:t>Cerebellar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Intention tremor, dysmetria, dysdiadochokinesis, gaze-evoked nystagmus and scanning (staccato) speech.</w:t>
            </w:r>
          </w:p>
        </w:tc>
      </w:tr>
      <w:tr>
        <w:trPr>
          <w:cantSplit/>
        </w:trPr>
        <w:tc>
          <w:tcPr>
            <w:tcW w:type="dxa" w:w="3456"/>
            <w:vAlign w:val="top"/>
          </w:tcPr>
          <w:p>
            <w:pPr>
              <w:spacing w:after="40" w:before="0" w:line="259" w:lineRule="auto"/>
            </w:pPr>
            <w:r>
              <w:rPr>
                <w:rFonts w:ascii="Calibri" w:hAnsi="Calibri"/>
                <w:b/>
                <w:i w:val="0"/>
                <w:color w:val="212121"/>
                <w:sz w:val="19"/>
              </w:rPr>
              <w:t>Impaired vibration and proprioception / sensory level</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dorsal-column sensation, sensory ataxia and a spinal sensory level in myelitis.</w:t>
            </w:r>
          </w:p>
        </w:tc>
      </w:tr>
      <w:tr>
        <w:trPr>
          <w:cantSplit/>
        </w:trPr>
        <w:tc>
          <w:tcPr>
            <w:tcW w:type="dxa" w:w="3456"/>
            <w:vAlign w:val="top"/>
          </w:tcPr>
          <w:p>
            <w:pPr>
              <w:spacing w:after="40" w:before="0" w:line="259" w:lineRule="auto"/>
            </w:pPr>
            <w:r>
              <w:rPr>
                <w:rFonts w:ascii="Calibri" w:hAnsi="Calibri"/>
                <w:b/>
                <w:i w:val="0"/>
                <w:color w:val="212121"/>
                <w:sz w:val="19"/>
              </w:rPr>
              <w:t>Absent superficial abdominal reflexes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Early loss reflects corticospinal-tract disease and is a useful, if non-specific, MS sign.</w:t>
            </w:r>
          </w:p>
        </w:tc>
      </w:tr>
      <w:tr>
        <w:trPr>
          <w:cantSplit/>
        </w:trPr>
        <w:tc>
          <w:tcPr>
            <w:tcW w:type="dxa" w:w="3456"/>
            <w:vAlign w:val="top"/>
          </w:tcPr>
          <w:p>
            <w:pPr>
              <w:spacing w:after="40" w:before="0" w:line="259" w:lineRule="auto"/>
            </w:pPr>
            <w:r>
              <w:rPr>
                <w:rFonts w:ascii="Calibri" w:hAnsi="Calibri"/>
                <w:b/>
                <w:i w:val="0"/>
                <w:color w:val="212121"/>
                <w:sz w:val="19"/>
              </w:rPr>
              <w:t>Charcot neurologic triad</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Nystagmus, intention tremor and scanning speech - a classic (though not universal) triad of established MS.</w:t>
            </w:r>
          </w:p>
        </w:tc>
      </w:tr>
      <w:tr>
        <w:trPr>
          <w:cantSplit/>
        </w:trPr>
        <w:tc>
          <w:tcPr>
            <w:tcW w:type="dxa" w:w="3456"/>
            <w:vAlign w:val="top"/>
          </w:tcPr>
          <w:p>
            <w:pPr>
              <w:spacing w:after="40" w:before="0" w:line="259" w:lineRule="auto"/>
            </w:pPr>
            <w:r>
              <w:rPr>
                <w:rFonts w:ascii="Calibri" w:hAnsi="Calibri"/>
                <w:b/>
                <w:i w:val="0"/>
                <w:color w:val="212121"/>
                <w:sz w:val="19"/>
              </w:rPr>
              <w:t>Positive Romberg / gait instability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Unsteadiness worse with eyes closed indicating proprioceptive (dorsal-column) loss.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relapses (optic neuritis, partial myelitis, brainstem/cerebellar syndromes)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monocular visual loss from optic neuritis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limb weakness, sensory loss or sphincter disturbance from active demyelination</w:t>
            </w:r>
          </w:p>
        </w:tc>
        <w:tc>
          <w:tcPr>
            <w:tcW w:type="dxa" w:w="2980"/>
            <w:vAlign w:val="top"/>
          </w:tcPr>
          <w:p>
            <w:pPr>
              <w:spacing w:after="40" w:before="0" w:line="259" w:lineRule="auto"/>
            </w:pPr>
            <w:r>
              <w:rPr>
                <w:rFonts w:ascii="Calibri" w:hAnsi="Calibri"/>
                <w:b w:val="0"/>
                <w:i w:val="0"/>
                <w:color w:val="212121"/>
                <w:sz w:val="19"/>
              </w:rPr>
              <w:t>Direct consequences of acute inflammatory demyelinating attacks disseminated in the CNS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disability and rising EDSS (transition to secondary-progressive 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Spasticity, painful spasms and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Neurogenic bladder with recurrent urinary-tract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and disabling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chronic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Mobility impairment, falls and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bone mineral density / osteoporosis (immobility, corticosteroids, low vitamin D)</w:t>
            </w:r>
          </w:p>
        </w:tc>
        <w:tc>
          <w:tcPr>
            <w:tcW w:type="dxa" w:w="2980"/>
            <w:vAlign w:val="top"/>
          </w:tcPr>
          <w:p>
            <w:pPr>
              <w:spacing w:after="40" w:before="0" w:line="259" w:lineRule="auto"/>
            </w:pPr>
            <w:r>
              <w:rPr>
                <w:rFonts w:ascii="Calibri" w:hAnsi="Calibri"/>
                <w:b w:val="0"/>
                <w:i w:val="0"/>
                <w:color w:val="212121"/>
                <w:sz w:val="19"/>
              </w:rPr>
              <w:t>Result from cumulative axonal loss, chronic demyelination and their downstream functional effects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Wheelchair or bed dependence and loss of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from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ulcers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Urosepsis from recurrent urinary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Fragility fractures from osteoporosis and falls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modestly shortened life expectancy</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progressive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Among the commonest MS comorbidities, arising from both disease-related (inflammatory, lesion-load) and reactive mechanisms; it worsens fatigue, adherence and quality of life and is eminently treatable.</w:t>
            </w:r>
          </w:p>
          <w:p>
            <w:pPr>
              <w:spacing w:after="40" w:before="0" w:line="259" w:lineRule="auto"/>
            </w:pPr>
            <w:r>
              <w:rPr>
                <w:rFonts w:ascii="Calibri" w:hAnsi="Calibri"/>
                <w:b/>
                <w:i w:val="0"/>
                <w:color w:val="212121"/>
                <w:sz w:val="19"/>
              </w:rPr>
              <w:t>Lifetime up to ~50%</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coexist with depression and are driven by disease unpredictability and disability; they amplify symptom perception and reduce quality of life.</w:t>
            </w:r>
          </w:p>
          <w:p>
            <w:pPr>
              <w:spacing w:after="40" w:before="0" w:line="259" w:lineRule="auto"/>
            </w:pPr>
            <w:r>
              <w:rPr>
                <w:rFonts w:ascii="Calibri" w:hAnsi="Calibri"/>
                <w:b/>
                <w:i w:val="0"/>
                <w:color w:val="212121"/>
                <w:sz w:val="19"/>
              </w:rPr>
              <w:t>~22-36%</w:t>
            </w:r>
          </w:p>
        </w:tc>
      </w:tr>
      <w:tr>
        <w:trPr>
          <w:cantSplit/>
        </w:trPr>
        <w:tc>
          <w:tcPr>
            <w:tcW w:type="dxa" w:w="2232"/>
            <w:vAlign w:val="top"/>
          </w:tcPr>
          <w:p>
            <w:pPr>
              <w:spacing w:after="40" w:before="0" w:line="259" w:lineRule="auto"/>
            </w:pPr>
            <w:r>
              <w:rPr>
                <w:rFonts w:ascii="Calibri" w:hAnsi="Calibri"/>
                <w:b/>
                <w:i w:val="0"/>
                <w:color w:val="212121"/>
                <w:sz w:val="19"/>
              </w:rPr>
              <w:t>Neurogenic bladder and recurrent UTI</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Detrusor overactivity and incomplete emptying cause urgency, incontinence and retention, predisposing to recurrent urinary-tract infection and pseudo-relapses.</w:t>
            </w:r>
          </w:p>
          <w:p>
            <w:pPr>
              <w:spacing w:after="40" w:before="0" w:line="259" w:lineRule="auto"/>
            </w:pPr>
            <w:r>
              <w:rPr>
                <w:rFonts w:ascii="Calibri" w:hAnsi="Calibri"/>
                <w:b/>
                <w:i w:val="0"/>
                <w:color w:val="212121"/>
                <w:sz w:val="19"/>
              </w:rPr>
              <w:t>Bladder dysfunction up to ~80% over disease course</w:t>
            </w:r>
          </w:p>
        </w:tc>
      </w:tr>
      <w:tr>
        <w:trPr>
          <w:cantSplit/>
        </w:trPr>
        <w:tc>
          <w:tcPr>
            <w:tcW w:type="dxa" w:w="2232"/>
            <w:vAlign w:val="top"/>
          </w:tcPr>
          <w:p>
            <w:pPr>
              <w:spacing w:after="40" w:before="0" w:line="259" w:lineRule="auto"/>
            </w:pPr>
            <w:r>
              <w:rPr>
                <w:rFonts w:ascii="Calibri" w:hAnsi="Calibri"/>
                <w:b/>
                <w:i w:val="0"/>
                <w:color w:val="212121"/>
                <w:sz w:val="19"/>
              </w:rPr>
              <w:t>Osteoporosis / low bone mineral density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Immobility, repeated corticosteroid courses, low vitamin D and reduced sun exposure lower bone density and raise fracture risk.</w:t>
            </w:r>
          </w:p>
        </w:tc>
      </w:tr>
      <w:tr>
        <w:trPr>
          <w:cantSplit/>
        </w:trPr>
        <w:tc>
          <w:tcPr>
            <w:tcW w:type="dxa" w:w="2232"/>
            <w:vAlign w:val="top"/>
          </w:tcPr>
          <w:p>
            <w:pPr>
              <w:spacing w:after="40" w:before="0" w:line="259" w:lineRule="auto"/>
            </w:pPr>
            <w:r>
              <w:rPr>
                <w:rFonts w:ascii="Calibri" w:hAnsi="Calibri"/>
                <w:b/>
                <w:i w:val="0"/>
                <w:color w:val="212121"/>
                <w:sz w:val="19"/>
              </w:rPr>
              <w:t>Other autoimmune disease (autoimmune thyroiditis, type 1 diabetes, IBD, psoriasis)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Shared HLA-linked immune dysregulation means these organ-specific autoimmune disorders cluster with MS in patients and families.</w:t>
            </w:r>
          </w:p>
        </w:tc>
      </w:tr>
      <w:tr>
        <w:trPr>
          <w:cantSplit/>
        </w:trPr>
        <w:tc>
          <w:tcPr>
            <w:tcW w:type="dxa" w:w="2232"/>
            <w:vAlign w:val="top"/>
          </w:tcPr>
          <w:p>
            <w:pPr>
              <w:spacing w:after="40" w:before="0" w:line="259" w:lineRule="auto"/>
            </w:pPr>
            <w:r>
              <w:rPr>
                <w:rFonts w:ascii="Calibri" w:hAnsi="Calibri"/>
                <w:b/>
                <w:i w:val="0"/>
                <w:color w:val="212121"/>
                <w:sz w:val="19"/>
              </w:rPr>
              <w:t>Epilepsy / seizures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Cortical and juxtacortical demyelinating lesions increase seizure risk several-fold above the general population, complicating management.</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Migraine is over-represented in people with MS and can confound relapse assessment and MRI interpretation.</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Low vitamin D is both a risk factor for MS and common among patients (indoor lifestyle, disability), and is relevant to bone health and monitoring.</w:t>
            </w:r>
          </w:p>
        </w:tc>
      </w:tr>
      <w:tr>
        <w:trPr>
          <w:cantSplit/>
        </w:trPr>
        <w:tc>
          <w:tcPr>
            <w:tcW w:type="dxa" w:w="2232"/>
            <w:vAlign w:val="top"/>
          </w:tcPr>
          <w:p>
            <w:pPr>
              <w:spacing w:after="40" w:before="0" w:line="259" w:lineRule="auto"/>
            </w:pPr>
            <w:r>
              <w:rPr>
                <w:rFonts w:ascii="Calibri" w:hAnsi="Calibri"/>
                <w:b/>
                <w:i w:val="0"/>
                <w:color w:val="212121"/>
                <w:sz w:val="19"/>
              </w:rPr>
              <w:t>NMOSD / MOGAD (key differentials)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Aquaporin-4 and MOG antibody-associated diseases mimic MS but require different immunotherapy; some MS drugs worsen NMOSD, so antibody testing is mandatory in atypical cases.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early warning symptoms - painful loss of vision in one eye, new numbness or weakness, unsteadiness, or bladder change lasting more than 24 hours - and seek prompt neurological assessment.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the difference between a true relapse and a heat- or infection-related 'pseudo-relapse' (Uhthoff), which settles once temperature normalises.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Adhere to prescribed disease-modifying therapy and keep scheduled MRI and blood-safety monitoring; early effective treatment reduces relapses and slows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fevers promptly, keep vaccinations up to date, and avoid unnecessary infection exposure, as infections can trigger relapses.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vitamin D status and a healthy body weight from adolescence, and stop smoking - the strongest modifiable measures.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adults with a first demyelinating episode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CIS/RIS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adapted aerobic exercise (walking, cycling, aquatic exercise) building toward about 150 minutes/week, split into tolerable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progressive resistance training 2-3 days/week, which is particularly effective for reducing MS-related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balance, gait and stretching work (yoga, physiotherapy) to reduce spasticity, falls and stiffness.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cooling strategies (cool room, hydration, cooling vests) during exercise to limit heat-related (Uhthoff) worsening.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Exercise is safe in MS and does not increase relapse rate - reassurance improves participation.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Ambulatory MS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Deconditioned/sedentary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mild-moderate spasticity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balanced diet rich in vegetables, fruit, whole grains, pulses and healthy fats, keeping weight in the healthy range.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intake and correct documented deficiency, mainly for bone-health protection.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high-salt and ultra-processed foods, which are being linked to pro-inflammatory autoimmunity.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good fibre and fluid intake to help manage constipation and bowel dysfunction.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MS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 D-deficient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bowel dysfunction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consistent sleep hygiene (regular schedule, dark cool room, limited evening screens) to reduce fatigue and cognitive slowing.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causes of disturbed sleep - nocturia, spasticity/spasms, restless legs, pain and mood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Time diuretic bladder medication and fluid intake to reduce night-time waking.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sleep-disordered breathing when fatigue is disproportionate.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disabling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nocturia/spasticity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 disturbance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complete smoking cessation - smoking increases the risk of developing MS and speeds disability and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(counselling, nicotine replacement, pharmacotherapy) and set a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also contributes to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that quitting at any stage slows the transition from relapsing to secondary-progressive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or at risk of 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Households with passive smoke exposure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or abstain, especially where balance and coordination are affected.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aware alcohol compounds ataxia, cognitive slowing and fatigue and interacts with CNS-active symptomatic drugs (baclofen, gabapentin, antidepressants).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cope with low mood, which worsens depression and sleep.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MS patients with ataxia/imbalance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CNS-active 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mood disorder</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routinely for depression and anxiety (e.g., PHQ-9) - both are common, treatable and affect adherence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psychological therapy (CBT), antidepressants where indicated, and peer/support-group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disabling fatigue and cognitive complaints with energy-conservation strategies and cognitive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structured support around diagnosis, employment and family planning to reduce distress and improve coping.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fatigue or cognitive complaints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facing disability progression</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nds.nih.gov/health-information/disorders/multiple-sclerosis" TargetMode="External"/><Relationship Id="rId10" Type="http://schemas.openxmlformats.org/officeDocument/2006/relationships/hyperlink" Target="https://en.wikipedia.org/wiki/Epidemiology_of_multiple_sclerosis" TargetMode="External"/><Relationship Id="rId11" Type="http://schemas.openxmlformats.org/officeDocument/2006/relationships/hyperlink" Target="https://en.wikipedia.org/wiki/Multiple_sclerosis" TargetMode="External"/><Relationship Id="rId12" Type="http://schemas.openxmlformats.org/officeDocument/2006/relationships/hyperlink" Target="https://www.cochrane.org/CD009956/MS_exercise-therapy-for-fatigue-in-multiple-sclerosis" TargetMode="External"/><Relationship Id="rId13" Type="http://schemas.openxmlformats.org/officeDocument/2006/relationships/hyperlink" Target="https://www.who.int/news-room/fact-sheets/detail/multiple-sclerosis" TargetMode="External"/><Relationship Id="rId14" Type="http://schemas.openxmlformats.org/officeDocument/2006/relationships/hyperlink" Target="https://www.cochrane.org/CD008422/MS_vitamin-d-for-multiple-sclero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