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Motor Neuron Disease / Amyotrophic Lateral Sclerosis</w:t>
      </w:r>
    </w:p>
    <w:p>
      <w:pPr>
        <w:spacing w:before="0" w:after="160"/>
      </w:pPr>
      <w:r>
        <w:rPr>
          <w:rFonts w:ascii="Calibri" w:hAnsi="Calibri"/>
          <w:b/>
          <w:i w:val="0"/>
          <w:color w:val="212121"/>
          <w:sz w:val="22"/>
        </w:rPr>
        <w:t xml:space="preserve">AKA </w:t>
      </w:r>
      <w:r>
        <w:rPr>
          <w:rFonts w:ascii="Calibri" w:hAnsi="Calibri"/>
          <w:b w:val="0"/>
          <w:i w:val="0"/>
          <w:color w:val="212121"/>
          <w:sz w:val="22"/>
        </w:rPr>
        <w:t>i.e., Amyotrophic lateral sclerosis (ALS), Lou Gehrig's disease, Charcot's disease, Motor neurone disease (MND)</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Motor neuron disease (MND), of which amyotrophic lateral sclerosis (ALS) is the commonest form, is a progressive, incurable neurodegenerative disorder in which the upper motor neurons of the motor cortex and corticospinal tracts and the lower motor neurons of the brainstem and spinal cord degenerate. This produces relentless muscle weakness, wasting, fasciculations and spasticity that spread to involve the limbs, speech, swallowing and — critically — the respiratory muscles, while sensation, eye movements and sphincter control are typically spared until late. Most cases are sporadic; only 5–10% are familial. Death, usually from respiratory failure, occurs on average within 2–5 years of onset, although survival is notably more prolonged in Indian cohorts.</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ALS/MND is uncommon but uniformly serious. Global incidence estimates range from about 0.26 to 23.46 per 100,000 person-years and prevalence from 1.57 to 11.80 per 100,000, and worldwide cases are projected to rise by 69% — from roughly 222,801 in 2015 to 376,674 by 2040 — driven mainly by population ageing in developing nations such as India. Indian hospital cohorts are distinctive: onset is roughly a decade earlier than in the West (mean age around 46 years, with one-third of patients presenting before 40), the male-to-female ratio is about 2–3:1, and median survival is longer. India also harbours Madras motor neuron disease, a unique juvenile-onset variant (mean onset around 16 years) with universal sensorineural hearing loss.</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MND/ALS is a clinical diagnosis supported by electrodiagnostic testing and by exclusion of mimics. The 2020 Gold Coast criteria (which superseded the revised El Escorial and Awaji criteria and improve sensitivity) require: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progressive motor impairment documented by history or repeated clinical assessment, preceded by normal motor function;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the presence of upper motor neuron AND lower motor neuron dysfunction in at least one body region (UMN and LMN in the same region), OR lower motor neuron dysfunction in at least two of the four body regions (bulbar, cervical, thoracic, lumbosacral);</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lower motor neuron dysfunction demonstrated clinically or on needle electromyography (EMG) — active denervation (fibrillations, positive sharp waves) with chronic reinnervation and fasciculation potentials, and normal sensory conduction;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exclusion of other disease processes by neuroimaging (MRI of brain and spinal cord), nerve conduction studies and laboratory tests — e.g., cervical spondylotic myelopathy, multifocal motor neuropathy, inclusion-body myopathy, or vitamin B12 deficiency.</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Motor neuron disease encompasses a spectrum of phenotypes defined by the relative involvement of upper (UMN) and lower (LMN) motor neurons and the region of onset:</w:t>
      </w:r>
    </w:p>
    <w:p>
      <w:pPr>
        <w:spacing w:before="0" w:after="80"/>
      </w:pPr>
      <w:r>
        <w:rPr>
          <w:rFonts w:ascii="Calibri" w:hAnsi="Calibri"/>
          <w:b w:val="0"/>
          <w:i w:val="0"/>
          <w:color w:val="212121"/>
          <w:sz w:val="21"/>
        </w:rPr>
        <w:t>(1) Classic amyotrophic lateral sclerosis (ALS) — combined UMN and LMN degeneration; the commonest form (about two-thirds of cases), usually limb-onset and asymmetric;</w:t>
      </w:r>
    </w:p>
    <w:p>
      <w:pPr>
        <w:spacing w:before="0" w:after="80"/>
      </w:pPr>
      <w:r>
        <w:rPr>
          <w:rFonts w:ascii="Calibri" w:hAnsi="Calibri"/>
          <w:b w:val="0"/>
          <w:i w:val="0"/>
          <w:color w:val="212121"/>
          <w:sz w:val="21"/>
        </w:rPr>
        <w:t>(2) Progressive bulbar palsy (PBP) — onset with bulbar (speech and swallowing) involvement; carries the poorest prognosis and is commoner in women and the elderly;</w:t>
      </w:r>
    </w:p>
    <w:p>
      <w:pPr>
        <w:spacing w:before="0" w:after="80"/>
      </w:pPr>
      <w:r>
        <w:rPr>
          <w:rFonts w:ascii="Calibri" w:hAnsi="Calibri"/>
          <w:b w:val="0"/>
          <w:i w:val="0"/>
          <w:color w:val="212121"/>
          <w:sz w:val="21"/>
        </w:rPr>
        <w:t>(3) Primary lateral sclerosis (PLS) — a pure upper motor neuron phenotype with slow progression and substantially longer survival;</w:t>
      </w:r>
    </w:p>
    <w:p>
      <w:pPr>
        <w:spacing w:before="0" w:after="80"/>
      </w:pPr>
      <w:r>
        <w:rPr>
          <w:rFonts w:ascii="Calibri" w:hAnsi="Calibri"/>
          <w:b w:val="0"/>
          <w:i w:val="0"/>
          <w:color w:val="212121"/>
          <w:sz w:val="21"/>
        </w:rPr>
        <w:t>(4) Progressive muscular atrophy (PMA) — a pure lower motor neuron phenotype; together with regional flail-arm and flail-leg variants;</w:t>
      </w:r>
    </w:p>
    <w:p>
      <w:pPr>
        <w:spacing w:before="0" w:after="80"/>
      </w:pPr>
      <w:r>
        <w:rPr>
          <w:rFonts w:ascii="Calibri" w:hAnsi="Calibri"/>
          <w:b w:val="0"/>
          <w:i w:val="0"/>
          <w:color w:val="212121"/>
          <w:sz w:val="21"/>
        </w:rPr>
        <w:t>(5) ALS–frontotemporal dementia (ALS-FTD) — motor neuron disease accompanied by behavioural or cognitive frontotemporal features, frequently C9orf72-related and sharing TDP-43 pathology;</w:t>
      </w:r>
    </w:p>
    <w:p>
      <w:pPr>
        <w:spacing w:before="0" w:after="80"/>
      </w:pPr>
      <w:r>
        <w:rPr>
          <w:rFonts w:ascii="Calibri" w:hAnsi="Calibri"/>
          <w:b w:val="0"/>
          <w:i w:val="0"/>
          <w:color w:val="212121"/>
          <w:sz w:val="21"/>
        </w:rPr>
        <w:t>(6) Familial (5–10%, inherited, earlier onset) versus sporadic (90–95%) disease; plus Madras motor neuron disease (MMND), a distinct juvenile-onset variant clustering in southern India, characterised by limb wasting, pyramidal signs, multiple lower cranial nerve palsies and sensorineural hearing loss.</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mutations: Pathogenic variants in C9orf72, SOD1, TARDBP (TDP-43) and FUS cause familial and a minority of sporadic ALS; more than 30 ALS-associated genes are recognised, with a distinct mutation spectrum and founder effects reported in Indian patients.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TDP-43 proteinopathy: Cytoplasmic mislocalisation and aggregation of the TDP-43 protein in motor neurons is the pathological hallmark of most ALS and mechanistically links it with frontotemporal dementia.</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Glutamate excitotoxicity: Impaired astrocytic glutamate reuptake (EAAT2) leads to excessive calcium influx and motor neuron death — the target of the disease-modifying drug riluzole.</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Oxidative stress and mitochondrial dysfunction: Free-radical damage (e.g., from mutant SOD1) and failing cellular energy metabolism create a hypermetabolic, degeneration-prone state.</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Neuroinflammation: Activated microglia and astrocytes propagate motor neuron injury through non-cell-autonomous mechanisms.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Environmental and lifestyle exposures: Cigarette smoking, heavy metals (lead), pesticides, strenuous/elite physical activity and possibly repetitive head trauma modestly raise risk in susceptible individuals.</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Age-related neuronal vulnerability: Declining protein homeostasis and neuronal repair capacity with ageing underlie the rising incidence in older adults.</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(40–60 years)</w:t>
            </w:r>
          </w:p>
        </w:tc>
        <w:tc>
          <w:tcPr>
            <w:tcW w:type="dxa" w:w="4276"/>
            <w:vAlign w:val="top"/>
          </w:tcPr>
          <w:p>
            <w:pPr>
              <w:spacing w:after="60" w:line="259" w:lineRule="auto"/>
            </w:pPr>
            <w:r>
              <w:rPr>
                <w:rFonts w:ascii="Calibri" w:hAnsi="Calibri"/>
                <w:b w:val="0"/>
                <w:i w:val="0"/>
                <w:color w:val="212121"/>
                <w:sz w:val="19"/>
              </w:rPr>
              <w:t>Peak incidence of ALS falls in mid-to-late adulthood, when cumulative oxidative stress, mitochondrial decline and TDP-43 mislocalisation overwhelm ageing motor neurons. In India, onset is characteristically about a decade earlier than in Western populations.</w:t>
            </w:r>
          </w:p>
          <w:p>
            <w:pPr>
              <w:spacing w:after="40" w:before="60" w:line="259" w:lineRule="auto"/>
            </w:pPr>
            <w:r>
              <w:rPr>
                <w:rFonts w:ascii="Calibri" w:hAnsi="Calibri"/>
                <w:b w:val="0"/>
                <w:i w:val="0"/>
                <w:color w:val="212121"/>
                <w:sz w:val="19"/>
              </w:rPr>
              <w:t>In a 30-year Indian cohort of 1,153 ALS patients the mean age of onset was 46.2 ± 14.1 years, with one-third presenting before 40 — nearly a decade younger than Caucasian cohorts.</w:t>
            </w:r>
          </w:p>
          <w:p>
            <w:pPr>
              <w:spacing w:after="40" w:line="252" w:lineRule="auto"/>
            </w:pPr>
            <w:hyperlink r:id="rId9">
              <w:r>
                <w:rPr>
                  <w:rFonts w:ascii="Calibri" w:hAnsi="Calibri" w:cs="Calibri"/>
                  <w:sz w:val="18"/>
                  <w:color w:val="1155CC"/>
                  <w:u w:val="single"/>
                </w:rPr>
                <w:t xml:space="preserve">pubmed.ncbi.nlm.nih.gov/18550082 — 1,153-patient Indian ALS cohort</w:t>
              </w:r>
            </w:hyperlink>
          </w:p>
          <w:p>
            <w:pPr>
              <w:spacing w:before="60" w:after="40"/>
            </w:pPr>
            <w:r>
              <w:rPr>
                <w:rFonts w:ascii="Calibri" w:hAnsi="Calibri"/>
                <w:b w:val="0"/>
                <w:i w:val="0"/>
                <w:color w:val="5A5A5A"/>
                <w:sz w:val="18"/>
              </w:rPr>
              <w:t>#midadulthood  #tdp43  #earlyonsetindia  #motorneuron  #neurodegeneration</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65 years)</w:t>
            </w:r>
          </w:p>
        </w:tc>
        <w:tc>
          <w:tcPr>
            <w:tcW w:type="dxa" w:w="4276"/>
            <w:vAlign w:val="top"/>
          </w:tcPr>
          <w:p>
            <w:pPr>
              <w:spacing w:after="60" w:line="259" w:lineRule="auto"/>
            </w:pPr>
            <w:r>
              <w:rPr>
                <w:rFonts w:ascii="Calibri" w:hAnsi="Calibri"/>
                <w:b w:val="0"/>
                <w:i w:val="0"/>
                <w:color w:val="212121"/>
                <w:sz w:val="19"/>
              </w:rPr>
              <w:t>Incidence continues to climb into the seventh decade as neuronal repair capacity and protein homeostasis fail. Elderly-onset disease more often begins in the bulbar region and carries a worse prognosis, and is easily mislabelled as stroke or ageing-related decline.</w:t>
            </w:r>
          </w:p>
          <w:p>
            <w:pPr>
              <w:spacing w:after="40" w:before="60" w:line="259" w:lineRule="auto"/>
            </w:pPr>
            <w:r>
              <w:rPr>
                <w:rFonts w:ascii="Calibri" w:hAnsi="Calibri"/>
                <w:b w:val="0"/>
                <w:i w:val="0"/>
                <w:color w:val="212121"/>
                <w:sz w:val="19"/>
              </w:rPr>
              <w:t>Global ALS cases are projected to rise from 222,801 (2015) to 376,674 (2040) — a 69% increase driven predominantly by ageing populations in developing nations.</w:t>
            </w:r>
          </w:p>
          <w:p>
            <w:pPr>
              <w:spacing w:after="40" w:line="252" w:lineRule="auto"/>
            </w:pPr>
            <w:hyperlink r:id="rId10">
              <w:r>
                <w:rPr>
                  <w:rFonts w:ascii="Calibri" w:hAnsi="Calibri" w:cs="Calibri"/>
                  <w:sz w:val="18"/>
                  <w:color w:val="1155CC"/>
                  <w:u w:val="single"/>
                </w:rPr>
                <w:t xml:space="preserve">nature.com/ncomms12408 — projected global ALS increase to 2040</w:t>
              </w:r>
            </w:hyperlink>
          </w:p>
          <w:p>
            <w:pPr>
              <w:spacing w:before="60" w:after="40"/>
            </w:pPr>
            <w:r>
              <w:rPr>
                <w:rFonts w:ascii="Calibri" w:hAnsi="Calibri"/>
                <w:b w:val="0"/>
                <w:i w:val="0"/>
                <w:color w:val="5A5A5A"/>
                <w:sz w:val="18"/>
              </w:rPr>
              <w:t>#ageing  #bulbaronset  #risingburden  #poorprognosis  #proteostasis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Males are affected more often than females, an excess attributed to hormonal, occupational and possibly androgen-related influences; the male predominance narrows with advancing age.</w:t>
            </w:r>
          </w:p>
          <w:p>
            <w:pPr>
              <w:spacing w:after="40" w:before="60" w:line="259" w:lineRule="auto"/>
            </w:pPr>
            <w:r>
              <w:rPr>
                <w:rFonts w:ascii="Calibri" w:hAnsi="Calibri"/>
                <w:b w:val="0"/>
                <w:i w:val="0"/>
                <w:color w:val="212121"/>
                <w:sz w:val="19"/>
              </w:rPr>
              <w:t>Indian series report a male-to-female ratio of roughly 2:1 to 3:1 (men were 74.2% of a 1,153-patient cohort).</w:t>
            </w:r>
          </w:p>
          <w:p>
            <w:pPr>
              <w:spacing w:after="40" w:line="252" w:lineRule="auto"/>
            </w:pPr>
            <w:hyperlink r:id="rId9">
              <w:r>
                <w:rPr>
                  <w:rFonts w:ascii="Calibri" w:hAnsi="Calibri" w:cs="Calibri"/>
                  <w:sz w:val="18"/>
                  <w:color w:val="1155CC"/>
                  <w:u w:val="single"/>
                </w:rPr>
                <w:t xml:space="preserve">pubmed.ncbi.nlm.nih.gov/18550082 — male predominance in Indian ALS</w:t>
              </w:r>
            </w:hyperlink>
          </w:p>
          <w:p>
            <w:pPr>
              <w:spacing w:before="60" w:after="40"/>
            </w:pPr>
            <w:r>
              <w:rPr>
                <w:rFonts w:ascii="Calibri" w:hAnsi="Calibri"/>
                <w:b w:val="0"/>
                <w:i w:val="0"/>
                <w:color w:val="5A5A5A"/>
                <w:sz w:val="18"/>
              </w:rPr>
              <w:t>#malepredominance  #androgen  #occupationalexposure  #3to1ratio</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Manual labourers, rural and low-access populations</w:t>
            </w:r>
          </w:p>
        </w:tc>
        <w:tc>
          <w:tcPr>
            <w:tcW w:type="dxa" w:w="4276"/>
            <w:vAlign w:val="top"/>
          </w:tcPr>
          <w:p>
            <w:pPr>
              <w:spacing w:after="60" w:line="259" w:lineRule="auto"/>
            </w:pPr>
            <w:r>
              <w:rPr>
                <w:rFonts w:ascii="Calibri" w:hAnsi="Calibri"/>
                <w:b w:val="0"/>
                <w:i w:val="0"/>
                <w:color w:val="212121"/>
                <w:sz w:val="19"/>
              </w:rPr>
              <w:t>Limited access to neurologists and electrodiagnostic services delays diagnosis, while physically demanding manual occupations and environmental toxin exposure may add risk. Late presentation shortens the window for disease-modifying and supportive care.</w:t>
            </w:r>
          </w:p>
          <w:p>
            <w:pPr>
              <w:spacing w:after="40" w:before="60" w:line="259" w:lineRule="auto"/>
            </w:pPr>
            <w:r>
              <w:rPr>
                <w:rFonts w:ascii="Calibri" w:hAnsi="Calibri"/>
                <w:b w:val="0"/>
                <w:i w:val="0"/>
                <w:color w:val="212121"/>
                <w:sz w:val="19"/>
              </w:rPr>
              <w:t>Delayed referral and diagnosis are common in resource-limited settings and worsen outcomes.</w:t>
            </w:r>
          </w:p>
          <w:p>
            <w:pPr>
              <w:spacing w:before="60" w:after="40"/>
            </w:pPr>
            <w:r>
              <w:rPr>
                <w:rFonts w:ascii="Calibri" w:hAnsi="Calibri"/>
                <w:b w:val="0"/>
                <w:i w:val="0"/>
                <w:color w:val="5A5A5A"/>
                <w:sz w:val="18"/>
              </w:rPr>
              <w:t>#accessgap  #delayeddiagnosis  #ruralindia  #manuallabour</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w:t>
            </w:r>
          </w:p>
        </w:tc>
        <w:tc>
          <w:tcPr>
            <w:tcW w:type="dxa" w:w="2160"/>
            <w:vAlign w:val="top"/>
          </w:tcPr>
          <w:p>
            <w:pPr>
              <w:spacing w:after="40" w:before="0" w:line="259" w:lineRule="auto"/>
            </w:pPr>
            <w:r>
              <w:rPr>
                <w:rFonts w:ascii="Calibri" w:hAnsi="Calibri"/>
                <w:b w:val="0"/>
                <w:i w:val="0"/>
                <w:color w:val="212121"/>
                <w:sz w:val="19"/>
              </w:rPr>
              <w:t>South Indian (Madras MND variant)</w:t>
            </w:r>
          </w:p>
        </w:tc>
        <w:tc>
          <w:tcPr>
            <w:tcW w:type="dxa" w:w="4276"/>
            <w:vAlign w:val="top"/>
          </w:tcPr>
          <w:p>
            <w:pPr>
              <w:spacing w:after="60" w:line="259" w:lineRule="auto"/>
            </w:pPr>
            <w:r>
              <w:rPr>
                <w:rFonts w:ascii="Calibri" w:hAnsi="Calibri"/>
                <w:b w:val="0"/>
                <w:i w:val="0"/>
                <w:color w:val="212121"/>
                <w:sz w:val="19"/>
              </w:rPr>
              <w:t>A distinct juvenile-onset motor neuron disease clusters in southern India, combining distal limb wasting, pyramidal signs, multiple lower cranial nerve palsies and, invariably, sensorineural hearing loss — features atypical of classical ALS.</w:t>
            </w:r>
          </w:p>
          <w:p>
            <w:pPr>
              <w:spacing w:after="40" w:before="60" w:line="259" w:lineRule="auto"/>
            </w:pPr>
            <w:r>
              <w:rPr>
                <w:rFonts w:ascii="Calibri" w:hAnsi="Calibri"/>
                <w:b w:val="0"/>
                <w:i w:val="0"/>
                <w:color w:val="212121"/>
                <w:sz w:val="19"/>
              </w:rPr>
              <w:t>In 116 Madras MND patients from southern India the mean age of onset was 15.8 ± 7.9 years, all had hearing impairment, and mean survival was about 335 months (~28 years).</w:t>
            </w:r>
          </w:p>
          <w:p>
            <w:pPr>
              <w:spacing w:after="40" w:line="252" w:lineRule="auto"/>
            </w:pPr>
            <w:hyperlink r:id="rId11">
              <w:r>
                <w:rPr>
                  <w:rFonts w:ascii="Calibri" w:hAnsi="Calibri" w:cs="Calibri"/>
                  <w:sz w:val="18"/>
                  <w:color w:val="1155CC"/>
                  <w:u w:val="single"/>
                </w:rPr>
                <w:t xml:space="preserve">pubmed.ncbi.nlm.nih.gov/18261745 — Madras MND, 116 patients over 36 years</w:t>
              </w:r>
            </w:hyperlink>
          </w:p>
          <w:p>
            <w:pPr>
              <w:spacing w:before="60" w:after="40"/>
            </w:pPr>
            <w:r>
              <w:rPr>
                <w:rFonts w:ascii="Calibri" w:hAnsi="Calibri"/>
                <w:b w:val="0"/>
                <w:i w:val="0"/>
                <w:color w:val="5A5A5A"/>
                <w:sz w:val="18"/>
              </w:rPr>
              <w:t>#madrasmnd  #juvenileonset  #hearingloss  #southindia  #cranialnerves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Environmental exposure</w:t>
            </w:r>
          </w:p>
        </w:tc>
        <w:tc>
          <w:tcPr>
            <w:tcW w:type="dxa" w:w="2160"/>
            <w:vAlign w:val="top"/>
          </w:tcPr>
          <w:p>
            <w:pPr>
              <w:spacing w:after="40" w:before="0" w:line="259" w:lineRule="auto"/>
            </w:pPr>
            <w:r>
              <w:rPr>
                <w:rFonts w:ascii="Calibri" w:hAnsi="Calibri"/>
                <w:b w:val="0"/>
                <w:i w:val="0"/>
                <w:color w:val="212121"/>
                <w:sz w:val="19"/>
              </w:rPr>
              <w:t>Agricultural belts and industrial/toxin-exposed regions</w:t>
            </w:r>
          </w:p>
        </w:tc>
        <w:tc>
          <w:tcPr>
            <w:tcW w:type="dxa" w:w="4276"/>
            <w:vAlign w:val="top"/>
          </w:tcPr>
          <w:p>
            <w:pPr>
              <w:spacing w:after="60" w:line="259" w:lineRule="auto"/>
            </w:pPr>
            <w:r>
              <w:rPr>
                <w:rFonts w:ascii="Calibri" w:hAnsi="Calibri"/>
                <w:b w:val="0"/>
                <w:i w:val="0"/>
                <w:color w:val="212121"/>
                <w:sz w:val="19"/>
              </w:rPr>
              <w:t>Geographic clustering (historically the Western Pacific ALS-parkinsonism-dementia complex) and agricultural or industrial areas with heavy pesticide and heavy-metal exposure show elevated risk, implicating environmental neurotoxins such as lead and cyanobacterial BMAA.</w:t>
            </w:r>
          </w:p>
          <w:p>
            <w:pPr>
              <w:spacing w:after="40" w:before="60" w:line="259" w:lineRule="auto"/>
            </w:pPr>
            <w:r>
              <w:rPr>
                <w:rFonts w:ascii="Calibri" w:hAnsi="Calibri"/>
                <w:b w:val="0"/>
                <w:i w:val="0"/>
                <w:color w:val="212121"/>
                <w:sz w:val="19"/>
              </w:rPr>
              <w:t>Exposure to lead, pesticides and cyanotoxins is an established but modest environmental contributor to ALS risk.</w:t>
            </w:r>
          </w:p>
          <w:p>
            <w:pPr>
              <w:spacing w:after="40" w:line="252" w:lineRule="auto"/>
            </w:pPr>
            <w:hyperlink r:id="rId12">
              <w:r>
                <w:rPr>
                  <w:rFonts w:ascii="Calibri" w:hAnsi="Calibri" w:cs="Calibri"/>
                  <w:sz w:val="18"/>
                  <w:color w:val="1155CC"/>
                  <w:u w:val="single"/>
                </w:rPr>
                <w:t xml:space="preserve">pmc.ncbi.nlm.nih.gov/PMC4334292 — risk factors for ALS (environmental)</w:t>
              </w:r>
            </w:hyperlink>
          </w:p>
          <w:p>
            <w:pPr>
              <w:spacing w:before="60" w:after="40"/>
            </w:pPr>
            <w:r>
              <w:rPr>
                <w:rFonts w:ascii="Calibri" w:hAnsi="Calibri"/>
                <w:b w:val="0"/>
                <w:i w:val="0"/>
                <w:color w:val="5A5A5A"/>
                <w:sz w:val="18"/>
              </w:rPr>
              <w:t>#environmentaltoxins  #pesticides  #heavymetals  #bmaa  #clusters</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Vigorous physical activity</w:t>
            </w:r>
          </w:p>
        </w:tc>
        <w:tc>
          <w:tcPr>
            <w:tcW w:type="dxa" w:w="2160"/>
            <w:vAlign w:val="top"/>
          </w:tcPr>
          <w:p>
            <w:pPr>
              <w:spacing w:after="40" w:before="0" w:line="259" w:lineRule="auto"/>
            </w:pPr>
            <w:r>
              <w:rPr>
                <w:rFonts w:ascii="Calibri" w:hAnsi="Calibri"/>
                <w:b w:val="0"/>
                <w:i w:val="0"/>
                <w:color w:val="212121"/>
                <w:sz w:val="19"/>
              </w:rPr>
              <w:t>Elite athletes, professional sportspersons</w:t>
            </w:r>
          </w:p>
        </w:tc>
        <w:tc>
          <w:tcPr>
            <w:tcW w:type="dxa" w:w="4276"/>
            <w:vAlign w:val="top"/>
          </w:tcPr>
          <w:p>
            <w:pPr>
              <w:spacing w:after="60" w:line="259" w:lineRule="auto"/>
            </w:pPr>
            <w:r>
              <w:rPr>
                <w:rFonts w:ascii="Calibri" w:hAnsi="Calibri"/>
                <w:b w:val="0"/>
                <w:i w:val="0"/>
                <w:color w:val="212121"/>
                <w:sz w:val="19"/>
              </w:rPr>
              <w:t>Repeated strenuous exercise and elite/professional sport are associated with higher ALS risk and earlier onset, plausibly through oxidative stress, glutamate excitotoxicity, trauma and gene–environment interaction — in contrast to most chronic diseases where activity is protective.</w:t>
            </w:r>
          </w:p>
          <w:p>
            <w:pPr>
              <w:spacing w:after="40" w:before="60" w:line="259" w:lineRule="auto"/>
            </w:pPr>
            <w:r>
              <w:rPr>
                <w:rFonts w:ascii="Calibri" w:hAnsi="Calibri"/>
                <w:b w:val="0"/>
                <w:i w:val="0"/>
                <w:color w:val="212121"/>
                <w:sz w:val="19"/>
              </w:rPr>
              <w:t>Professional Italian soccer players show a significantly increased incidence of ALS and an earlier age of onset than the general population.</w:t>
            </w:r>
          </w:p>
          <w:p>
            <w:pPr>
              <w:spacing w:after="40" w:line="252" w:lineRule="auto"/>
            </w:pPr>
            <w:hyperlink r:id="rId13">
              <w:r>
                <w:rPr>
                  <w:rFonts w:ascii="Calibri" w:hAnsi="Calibri" w:cs="Calibri"/>
                  <w:sz w:val="18"/>
                  <w:color w:val="1155CC"/>
                  <w:u w:val="single"/>
                </w:rPr>
                <w:t xml:space="preserve">pubmed.ncbi.nlm.nih.gov/32321311 — raised ALS risk in professional footballers</w:t>
              </w:r>
            </w:hyperlink>
          </w:p>
          <w:p>
            <w:pPr>
              <w:spacing w:before="60" w:after="40"/>
            </w:pPr>
            <w:r>
              <w:rPr>
                <w:rFonts w:ascii="Calibri" w:hAnsi="Calibri"/>
                <w:b w:val="0"/>
                <w:i w:val="0"/>
                <w:color w:val="5A5A5A"/>
                <w:sz w:val="18"/>
              </w:rPr>
              <w:t>#athletes  #vigorousexercise  #soccer  #excitotoxicity  #earlyonset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w:t>
            </w:r>
          </w:p>
        </w:tc>
        <w:tc>
          <w:tcPr>
            <w:tcW w:type="dxa" w:w="2160"/>
            <w:vAlign w:val="top"/>
          </w:tcPr>
          <w:p>
            <w:pPr>
              <w:spacing w:after="40" w:before="0" w:line="259" w:lineRule="auto"/>
            </w:pPr>
            <w:r>
              <w:rPr>
                <w:rFonts w:ascii="Calibri" w:hAnsi="Calibri"/>
                <w:b w:val="0"/>
                <w:i w:val="0"/>
                <w:color w:val="212121"/>
                <w:sz w:val="19"/>
              </w:rPr>
              <w:t>Current smokers, especially women</w:t>
            </w:r>
          </w:p>
        </w:tc>
        <w:tc>
          <w:tcPr>
            <w:tcW w:type="dxa" w:w="4276"/>
            <w:vAlign w:val="top"/>
          </w:tcPr>
          <w:p>
            <w:pPr>
              <w:spacing w:after="60" w:line="259" w:lineRule="auto"/>
            </w:pPr>
            <w:r>
              <w:rPr>
                <w:rFonts w:ascii="Calibri" w:hAnsi="Calibri"/>
                <w:b w:val="0"/>
                <w:i w:val="0"/>
                <w:color w:val="212121"/>
                <w:sz w:val="19"/>
              </w:rPr>
              <w:t>Cigarette smoking is the most consistently replicated modifiable risk factor for ALS, acting through oxidative stress, neuroinflammation and formaldehyde exposure; the association is strongest in women.</w:t>
            </w:r>
          </w:p>
          <w:p>
            <w:pPr>
              <w:spacing w:after="40" w:before="60" w:line="259" w:lineRule="auto"/>
            </w:pPr>
            <w:r>
              <w:rPr>
                <w:rFonts w:ascii="Calibri" w:hAnsi="Calibri"/>
                <w:b w:val="0"/>
                <w:i w:val="0"/>
                <w:color w:val="212121"/>
                <w:sz w:val="19"/>
              </w:rPr>
              <w:t>Meta-analysis: current-smoking adjusted OR 1.28 (95% CI 1.10–1.48); in women AOR 1.25, with no significant association in men.</w:t>
            </w:r>
          </w:p>
          <w:p>
            <w:pPr>
              <w:spacing w:after="40" w:line="252" w:lineRule="auto"/>
            </w:pPr>
            <w:hyperlink r:id="rId14">
              <w:r>
                <w:rPr>
                  <w:rFonts w:ascii="Calibri" w:hAnsi="Calibri" w:cs="Calibri"/>
                  <w:sz w:val="18"/>
                  <w:color w:val="1155CC"/>
                  <w:u w:val="single"/>
                </w:rPr>
                <w:t xml:space="preserve">tobaccoinduceddiseases.org — smoking &amp; ALS meta-analysis</w:t>
              </w:r>
            </w:hyperlink>
          </w:p>
          <w:p>
            <w:pPr>
              <w:spacing w:before="60" w:after="40"/>
            </w:pPr>
            <w:r>
              <w:rPr>
                <w:rFonts w:ascii="Calibri" w:hAnsi="Calibri"/>
                <w:b w:val="0"/>
                <w:i w:val="0"/>
                <w:color w:val="5A5A5A"/>
                <w:sz w:val="18"/>
              </w:rPr>
              <w:t>#smoking  #modifiablerisk  #oxidativestress  #womenrisk  #neuroinflammation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Occupational exposure</w:t>
            </w:r>
          </w:p>
        </w:tc>
        <w:tc>
          <w:tcPr>
            <w:tcW w:type="dxa" w:w="2160"/>
            <w:vAlign w:val="top"/>
          </w:tcPr>
          <w:p>
            <w:pPr>
              <w:spacing w:after="40" w:before="0" w:line="259" w:lineRule="auto"/>
            </w:pPr>
            <w:r>
              <w:rPr>
                <w:rFonts w:ascii="Calibri" w:hAnsi="Calibri"/>
                <w:b w:val="0"/>
                <w:i w:val="0"/>
                <w:color w:val="212121"/>
                <w:sz w:val="19"/>
              </w:rPr>
              <w:t>Welders, farmers, military veterans</w:t>
            </w:r>
          </w:p>
        </w:tc>
        <w:tc>
          <w:tcPr>
            <w:tcW w:type="dxa" w:w="4276"/>
            <w:vAlign w:val="top"/>
          </w:tcPr>
          <w:p>
            <w:pPr>
              <w:spacing w:after="60" w:line="259" w:lineRule="auto"/>
            </w:pPr>
            <w:r>
              <w:rPr>
                <w:rFonts w:ascii="Calibri" w:hAnsi="Calibri"/>
                <w:b w:val="0"/>
                <w:i w:val="0"/>
                <w:color w:val="212121"/>
                <w:sz w:val="19"/>
              </w:rPr>
              <w:t>Occupational exposure to heavy metals (lead, mercury), organic solvents, pesticides and electromagnetic fields, as well as military service, has been linked to increased ALS risk in multiple cohorts.</w:t>
            </w:r>
          </w:p>
          <w:p>
            <w:pPr>
              <w:spacing w:after="40" w:before="60" w:line="259" w:lineRule="auto"/>
            </w:pPr>
            <w:r>
              <w:rPr>
                <w:rFonts w:ascii="Calibri" w:hAnsi="Calibri"/>
                <w:b w:val="0"/>
                <w:i w:val="0"/>
                <w:color w:val="212121"/>
                <w:sz w:val="19"/>
              </w:rPr>
              <w:t>Military veterans show a modestly elevated ALS risk across several studies, and heavy-metal/pesticide exposure is a recurring occupational association.</w:t>
            </w:r>
          </w:p>
          <w:p>
            <w:pPr>
              <w:spacing w:after="40" w:line="252" w:lineRule="auto"/>
            </w:pPr>
            <w:hyperlink r:id="rId12">
              <w:r>
                <w:rPr>
                  <w:rFonts w:ascii="Calibri" w:hAnsi="Calibri" w:cs="Calibri"/>
                  <w:sz w:val="18"/>
                  <w:color w:val="1155CC"/>
                  <w:u w:val="single"/>
                </w:rPr>
                <w:t xml:space="preserve">pmc.ncbi.nlm.nih.gov/PMC4334292 — risk factors for ALS (occupational)</w:t>
              </w:r>
            </w:hyperlink>
          </w:p>
          <w:p>
            <w:pPr>
              <w:spacing w:before="60" w:after="40"/>
            </w:pPr>
            <w:r>
              <w:rPr>
                <w:rFonts w:ascii="Calibri" w:hAnsi="Calibri"/>
                <w:b w:val="0"/>
                <w:i w:val="0"/>
                <w:color w:val="5A5A5A"/>
                <w:sz w:val="18"/>
              </w:rPr>
              <w:t>#occupational  #heavymetals  #military  #pesticides  #solvents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Body habitus</w:t>
            </w:r>
          </w:p>
        </w:tc>
        <w:tc>
          <w:tcPr>
            <w:tcW w:type="dxa" w:w="2160"/>
            <w:vAlign w:val="top"/>
          </w:tcPr>
          <w:p>
            <w:pPr>
              <w:spacing w:after="40" w:before="0" w:line="259" w:lineRule="auto"/>
            </w:pPr>
            <w:r>
              <w:rPr>
                <w:rFonts w:ascii="Calibri" w:hAnsi="Calibri"/>
                <w:b w:val="0"/>
                <w:i w:val="0"/>
                <w:color w:val="212121"/>
                <w:sz w:val="19"/>
              </w:rPr>
              <w:t>Lean individuals with low premorbid BMI</w:t>
            </w:r>
          </w:p>
        </w:tc>
        <w:tc>
          <w:tcPr>
            <w:tcW w:type="dxa" w:w="4276"/>
            <w:vAlign w:val="top"/>
          </w:tcPr>
          <w:p>
            <w:pPr>
              <w:spacing w:after="60" w:line="259" w:lineRule="auto"/>
            </w:pPr>
            <w:r>
              <w:rPr>
                <w:rFonts w:ascii="Calibri" w:hAnsi="Calibri"/>
                <w:b w:val="0"/>
                <w:i w:val="0"/>
                <w:color w:val="212121"/>
                <w:sz w:val="19"/>
              </w:rPr>
              <w:t>A lean premorbid body habitus and lower BMI are associated with higher ALS risk and faster progression, reflecting the disease's hypermetabolic state; a higher BMI appears relatively protective.</w:t>
            </w:r>
          </w:p>
          <w:p>
            <w:pPr>
              <w:spacing w:after="40" w:before="60" w:line="259" w:lineRule="auto"/>
            </w:pPr>
            <w:r>
              <w:rPr>
                <w:rFonts w:ascii="Calibri" w:hAnsi="Calibri"/>
                <w:b w:val="0"/>
                <w:i w:val="0"/>
                <w:color w:val="212121"/>
                <w:sz w:val="19"/>
              </w:rPr>
              <w:t>Lower premorbid BMI is consistently associated with higher ALS risk and shorter survival, whereas weight loss after onset predicts faster decline.</w:t>
            </w:r>
          </w:p>
          <w:p>
            <w:pPr>
              <w:spacing w:before="60" w:after="40"/>
            </w:pPr>
            <w:r>
              <w:rPr>
                <w:rFonts w:ascii="Calibri" w:hAnsi="Calibri"/>
                <w:b w:val="0"/>
                <w:i w:val="0"/>
                <w:color w:val="5A5A5A"/>
                <w:sz w:val="18"/>
              </w:rPr>
              <w:t>#lowbmi  #hypermetabolism  #leanhabitus  #weightloss</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pattern</w:t>
            </w:r>
          </w:p>
        </w:tc>
        <w:tc>
          <w:tcPr>
            <w:tcW w:type="dxa" w:w="2160"/>
            <w:vAlign w:val="top"/>
          </w:tcPr>
          <w:p>
            <w:pPr>
              <w:spacing w:after="40" w:before="0" w:line="259" w:lineRule="auto"/>
            </w:pPr>
            <w:r>
              <w:rPr>
                <w:rFonts w:ascii="Calibri" w:hAnsi="Calibri"/>
                <w:b w:val="0"/>
                <w:i w:val="0"/>
                <w:color w:val="212121"/>
                <w:sz w:val="19"/>
              </w:rPr>
              <w:t>Diets low in antioxidants and omega-3 fats</w:t>
            </w:r>
          </w:p>
        </w:tc>
        <w:tc>
          <w:tcPr>
            <w:tcW w:type="dxa" w:w="4276"/>
            <w:vAlign w:val="top"/>
          </w:tcPr>
          <w:p>
            <w:pPr>
              <w:spacing w:after="60" w:line="259" w:lineRule="auto"/>
            </w:pPr>
            <w:r>
              <w:rPr>
                <w:rFonts w:ascii="Calibri" w:hAnsi="Calibri"/>
                <w:b w:val="0"/>
                <w:i w:val="0"/>
                <w:color w:val="212121"/>
                <w:sz w:val="19"/>
              </w:rPr>
              <w:t>Diets low in antioxidants (vitamin E), carotenoids and long-chain omega-3 fatty acids may confer higher risk, whereas higher intake shows a modest protective association in prospective studies. No diet, however, prevents ALS.</w:t>
            </w:r>
          </w:p>
          <w:p>
            <w:pPr>
              <w:spacing w:after="40" w:before="60" w:line="259" w:lineRule="auto"/>
            </w:pPr>
            <w:r>
              <w:rPr>
                <w:rFonts w:ascii="Calibri" w:hAnsi="Calibri"/>
                <w:b w:val="0"/>
                <w:i w:val="0"/>
                <w:color w:val="212121"/>
                <w:sz w:val="19"/>
              </w:rPr>
              <w:t>Higher dietary vitamin E and long-chain omega-3 intake have been associated with modestly lower ALS risk in prospective cohorts.</w:t>
            </w:r>
          </w:p>
          <w:p>
            <w:pPr>
              <w:spacing w:before="60" w:after="40"/>
            </w:pPr>
            <w:r>
              <w:rPr>
                <w:rFonts w:ascii="Calibri" w:hAnsi="Calibri"/>
                <w:b w:val="0"/>
                <w:i w:val="0"/>
                <w:color w:val="5A5A5A"/>
                <w:sz w:val="18"/>
              </w:rPr>
              <w:t>#vitamine  #omega3  #antioxidants  #diet</w:t>
            </w:r>
          </w:p>
        </w:tc>
      </w:tr>
      <w:tr>
        <w:trPr>
          <w:cantSplit/>
        </w:trPr>
        <w:tc>
          <w:tcPr>
            <w:tcW w:type="dxa" w:w="1512"/>
            <w:vMerge w:val="restart"/>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 with ALS or FTD</w:t>
            </w:r>
          </w:p>
        </w:tc>
        <w:tc>
          <w:tcPr>
            <w:tcW w:type="dxa" w:w="4276"/>
            <w:vAlign w:val="top"/>
          </w:tcPr>
          <w:p>
            <w:pPr>
              <w:spacing w:after="60" w:line="259" w:lineRule="auto"/>
            </w:pPr>
            <w:r>
              <w:rPr>
                <w:rFonts w:ascii="Calibri" w:hAnsi="Calibri"/>
                <w:b w:val="0"/>
                <w:i w:val="0"/>
                <w:color w:val="212121"/>
                <w:sz w:val="19"/>
              </w:rPr>
              <w:t>A family history of ALS or frontotemporal dementia markedly raises risk; familial ALS is usually autosomal dominant and presents about a decade earlier than sporadic disease.</w:t>
            </w:r>
          </w:p>
          <w:p>
            <w:pPr>
              <w:spacing w:after="40" w:before="60" w:line="259" w:lineRule="auto"/>
            </w:pPr>
            <w:r>
              <w:rPr>
                <w:rFonts w:ascii="Calibri" w:hAnsi="Calibri"/>
                <w:b w:val="0"/>
                <w:i w:val="0"/>
                <w:color w:val="212121"/>
                <w:sz w:val="19"/>
              </w:rPr>
              <w:t>About 5–10% of ALS is familial, and familial cases present earlier (mean 43–52 years) than sporadic cases (58–63 years).</w:t>
            </w:r>
          </w:p>
          <w:p>
            <w:pPr>
              <w:spacing w:after="40" w:line="252" w:lineRule="auto"/>
            </w:pPr>
            <w:hyperlink r:id="rId15">
              <w:r>
                <w:rPr>
                  <w:rFonts w:ascii="Calibri" w:hAnsi="Calibri" w:cs="Calibri"/>
                  <w:sz w:val="18"/>
                  <w:color w:val="1155CC"/>
                  <w:u w:val="single"/>
                </w:rPr>
                <w:t xml:space="preserve">mims.com/india — ALS familial vs sporadic onset</w:t>
              </w:r>
            </w:hyperlink>
          </w:p>
          <w:p>
            <w:pPr>
              <w:spacing w:before="60" w:after="40"/>
            </w:pPr>
            <w:r>
              <w:rPr>
                <w:rFonts w:ascii="Calibri" w:hAnsi="Calibri"/>
                <w:b w:val="0"/>
                <w:i w:val="0"/>
                <w:color w:val="5A5A5A"/>
                <w:sz w:val="18"/>
              </w:rPr>
              <w:t>#familialals  #autosomaldominant  #ftdspectrum  #geneticrisk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Gene carriers</w:t>
            </w:r>
          </w:p>
        </w:tc>
        <w:tc>
          <w:tcPr>
            <w:tcW w:type="dxa" w:w="2160"/>
            <w:vAlign w:val="top"/>
          </w:tcPr>
          <w:p>
            <w:pPr>
              <w:spacing w:after="40" w:before="0" w:line="259" w:lineRule="auto"/>
            </w:pPr>
            <w:r>
              <w:rPr>
                <w:rFonts w:ascii="Calibri" w:hAnsi="Calibri"/>
                <w:b w:val="0"/>
                <w:i w:val="0"/>
                <w:color w:val="212121"/>
                <w:sz w:val="19"/>
              </w:rPr>
              <w:t>C9orf72, SOD1, TARDBP or FUS carriers</w:t>
            </w:r>
          </w:p>
        </w:tc>
        <w:tc>
          <w:tcPr>
            <w:tcW w:type="dxa" w:w="4276"/>
            <w:vAlign w:val="top"/>
          </w:tcPr>
          <w:p>
            <w:pPr>
              <w:spacing w:after="60" w:line="259" w:lineRule="auto"/>
            </w:pPr>
            <w:r>
              <w:rPr>
                <w:rFonts w:ascii="Calibri" w:hAnsi="Calibri"/>
                <w:b w:val="0"/>
                <w:i w:val="0"/>
                <w:color w:val="212121"/>
                <w:sz w:val="19"/>
              </w:rPr>
              <w:t>Pathogenic expansions or mutations in C9orf72 (the leading genetic cause in the West), SOD1, TARDBP and FUS drive motor neuron degeneration; C9orf72 links ALS with frontotemporal dementia. The mutation spectrum differs in Indian patients.</w:t>
            </w:r>
          </w:p>
          <w:p>
            <w:pPr>
              <w:spacing w:after="40" w:before="60" w:line="259" w:lineRule="auto"/>
            </w:pPr>
            <w:r>
              <w:rPr>
                <w:rFonts w:ascii="Calibri" w:hAnsi="Calibri"/>
                <w:b w:val="0"/>
                <w:i w:val="0"/>
                <w:color w:val="212121"/>
                <w:sz w:val="19"/>
              </w:rPr>
              <w:t>The C9orf72 hexanucleotide repeat expansion is comparatively less frequent in Indian ALS patients, who show a distinct founder haplotype and mutation spectrum relative to Western populations.</w:t>
            </w:r>
          </w:p>
          <w:p>
            <w:pPr>
              <w:spacing w:after="40" w:line="252" w:lineRule="auto"/>
            </w:pPr>
            <w:hyperlink r:id="rId16">
              <w:r>
                <w:rPr>
                  <w:rFonts w:ascii="Calibri" w:hAnsi="Calibri" w:cs="Calibri"/>
                  <w:sz w:val="18"/>
                  <w:color w:val="1155CC"/>
                  <w:u w:val="single"/>
                </w:rPr>
                <w:t xml:space="preserve">sciencedirect.com — C9orf72 founder effect in Indian ALS</w:t>
              </w:r>
            </w:hyperlink>
          </w:p>
          <w:p>
            <w:pPr>
              <w:spacing w:before="60" w:after="40"/>
            </w:pPr>
            <w:r>
              <w:rPr>
                <w:rFonts w:ascii="Calibri" w:hAnsi="Calibri"/>
                <w:b w:val="0"/>
                <w:i w:val="0"/>
                <w:color w:val="5A5A5A"/>
                <w:sz w:val="18"/>
              </w:rPr>
              <w:t>#c9orf72  #sod1  #tardbp  #fus  #foundermutation</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Frontotemporal dementia</w:t>
            </w:r>
          </w:p>
        </w:tc>
        <w:tc>
          <w:tcPr>
            <w:tcW w:type="dxa" w:w="2160"/>
            <w:vAlign w:val="top"/>
          </w:tcPr>
          <w:p>
            <w:pPr>
              <w:spacing w:after="40" w:before="0" w:line="259" w:lineRule="auto"/>
            </w:pPr>
            <w:r>
              <w:rPr>
                <w:rFonts w:ascii="Calibri" w:hAnsi="Calibri"/>
                <w:b w:val="0"/>
                <w:i w:val="0"/>
                <w:color w:val="212121"/>
                <w:sz w:val="19"/>
              </w:rPr>
              <w:t>Patients on the ALS–FTD spectrum</w:t>
            </w:r>
          </w:p>
        </w:tc>
        <w:tc>
          <w:tcPr>
            <w:tcW w:type="dxa" w:w="4276"/>
            <w:vAlign w:val="top"/>
          </w:tcPr>
          <w:p>
            <w:pPr>
              <w:spacing w:after="60" w:line="259" w:lineRule="auto"/>
            </w:pPr>
            <w:r>
              <w:rPr>
                <w:rFonts w:ascii="Calibri" w:hAnsi="Calibri"/>
                <w:b w:val="0"/>
                <w:i w:val="0"/>
                <w:color w:val="212121"/>
                <w:sz w:val="19"/>
              </w:rPr>
              <w:t>ALS and FTD share TDP-43 pathology and C9orf72 genetics; a substantial minority of ALS patients develop behavioural or cognitive change, and a subset meet full FTD criteria, worsening prognosis and complicating care decisions.</w:t>
            </w:r>
          </w:p>
          <w:p>
            <w:pPr>
              <w:spacing w:after="40" w:before="60" w:line="259" w:lineRule="auto"/>
            </w:pPr>
            <w:r>
              <w:rPr>
                <w:rFonts w:ascii="Calibri" w:hAnsi="Calibri"/>
                <w:b w:val="0"/>
                <w:i w:val="0"/>
                <w:color w:val="212121"/>
                <w:sz w:val="19"/>
              </w:rPr>
              <w:t>Cognitive involvement occurs in 20–50% of ALS patients, and 5–15% develop frank frontotemporal dementia.</w:t>
            </w:r>
          </w:p>
          <w:p>
            <w:pPr>
              <w:spacing w:after="40" w:line="252" w:lineRule="auto"/>
            </w:pPr>
            <w:hyperlink r:id="rId15">
              <w:r>
                <w:rPr>
                  <w:rFonts w:ascii="Calibri" w:hAnsi="Calibri" w:cs="Calibri"/>
                  <w:sz w:val="18"/>
                  <w:color w:val="1155CC"/>
                  <w:u w:val="single"/>
                </w:rPr>
                <w:t xml:space="preserve">mims.com/india — cognitive involvement &amp; FTD in ALS</w:t>
              </w:r>
            </w:hyperlink>
          </w:p>
          <w:p>
            <w:pPr>
              <w:spacing w:before="60" w:after="40"/>
            </w:pPr>
            <w:r>
              <w:rPr>
                <w:rFonts w:ascii="Calibri" w:hAnsi="Calibri"/>
                <w:b w:val="0"/>
                <w:i w:val="0"/>
                <w:color w:val="5A5A5A"/>
                <w:sz w:val="18"/>
              </w:rPr>
              <w:t>#alsftd  #tdp43  #cognitivechange  #behavioural  #c9orf72</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Traumatic brain injury</w:t>
            </w:r>
          </w:p>
        </w:tc>
        <w:tc>
          <w:tcPr>
            <w:tcW w:type="dxa" w:w="2160"/>
            <w:vAlign w:val="top"/>
          </w:tcPr>
          <w:p>
            <w:pPr>
              <w:spacing w:after="40" w:before="0" w:line="259" w:lineRule="auto"/>
            </w:pPr>
            <w:r>
              <w:rPr>
                <w:rFonts w:ascii="Calibri" w:hAnsi="Calibri"/>
                <w:b w:val="0"/>
                <w:i w:val="0"/>
                <w:color w:val="212121"/>
                <w:sz w:val="19"/>
              </w:rPr>
              <w:t>History of repetitive head/CNS trauma</w:t>
            </w:r>
          </w:p>
        </w:tc>
        <w:tc>
          <w:tcPr>
            <w:tcW w:type="dxa" w:w="4276"/>
            <w:vAlign w:val="top"/>
          </w:tcPr>
          <w:p>
            <w:pPr>
              <w:spacing w:after="60" w:line="259" w:lineRule="auto"/>
            </w:pPr>
            <w:r>
              <w:rPr>
                <w:rFonts w:ascii="Calibri" w:hAnsi="Calibri"/>
                <w:b w:val="0"/>
                <w:i w:val="0"/>
                <w:color w:val="212121"/>
                <w:sz w:val="19"/>
              </w:rPr>
              <w:t>A history of significant or repetitive head/CNS trauma (contact sport, occupational injury) is an inconsistent but recurrently reported risk factor, possibly acting through neuroinflammation and TDP-43 aggregation.</w:t>
            </w:r>
          </w:p>
          <w:p>
            <w:pPr>
              <w:spacing w:after="40" w:before="60" w:line="259" w:lineRule="auto"/>
            </w:pPr>
            <w:r>
              <w:rPr>
                <w:rFonts w:ascii="Calibri" w:hAnsi="Calibri"/>
                <w:b w:val="0"/>
                <w:i w:val="0"/>
                <w:color w:val="212121"/>
                <w:sz w:val="19"/>
              </w:rPr>
              <w:t>Repetitive head injury is a proposed, though not firmly established, contributor to ALS risk.</w:t>
            </w:r>
          </w:p>
          <w:p>
            <w:pPr>
              <w:spacing w:after="40" w:line="252" w:lineRule="auto"/>
            </w:pPr>
            <w:hyperlink r:id="rId12">
              <w:r>
                <w:rPr>
                  <w:rFonts w:ascii="Calibri" w:hAnsi="Calibri" w:cs="Calibri"/>
                  <w:sz w:val="18"/>
                  <w:color w:val="1155CC"/>
                  <w:u w:val="single"/>
                </w:rPr>
                <w:t xml:space="preserve">pmc.ncbi.nlm.nih.gov/PMC4334292 — head injury and ALS</w:t>
              </w:r>
            </w:hyperlink>
          </w:p>
          <w:p>
            <w:pPr>
              <w:spacing w:before="60" w:after="40"/>
            </w:pPr>
            <w:r>
              <w:rPr>
                <w:rFonts w:ascii="Calibri" w:hAnsi="Calibri"/>
                <w:b w:val="0"/>
                <w:i w:val="0"/>
                <w:color w:val="5A5A5A"/>
                <w:sz w:val="18"/>
              </w:rPr>
              <w:t>#headinjury  #tbi  #contactsport  #neuroinflammation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Type 2 diabetes mellitus</w:t>
            </w:r>
          </w:p>
        </w:tc>
        <w:tc>
          <w:tcPr>
            <w:tcW w:type="dxa" w:w="2160"/>
            <w:vAlign w:val="top"/>
          </w:tcPr>
          <w:p>
            <w:pPr>
              <w:spacing w:after="40" w:before="0" w:line="259" w:lineRule="auto"/>
            </w:pPr>
            <w:r>
              <w:rPr>
                <w:rFonts w:ascii="Calibri" w:hAnsi="Calibri"/>
                <w:b w:val="0"/>
                <w:i w:val="0"/>
                <w:color w:val="212121"/>
                <w:sz w:val="19"/>
              </w:rPr>
              <w:t>Patients with pre-existing type 2 diabetes</w:t>
            </w:r>
          </w:p>
        </w:tc>
        <w:tc>
          <w:tcPr>
            <w:tcW w:type="dxa" w:w="4276"/>
            <w:vAlign w:val="top"/>
          </w:tcPr>
          <w:p>
            <w:pPr>
              <w:spacing w:after="60" w:line="259" w:lineRule="auto"/>
            </w:pPr>
            <w:r>
              <w:rPr>
                <w:rFonts w:ascii="Calibri" w:hAnsi="Calibri"/>
                <w:b w:val="0"/>
                <w:i w:val="0"/>
                <w:color w:val="212121"/>
                <w:sz w:val="19"/>
              </w:rPr>
              <w:t>Unusually, pre-existing type 2 diabetes shows an inverse association with ALS risk in several populations, possibly reflecting the disease's lean, hypermetabolic phenotype; the relationship is complex and not fully understood.</w:t>
            </w:r>
          </w:p>
          <w:p>
            <w:pPr>
              <w:spacing w:after="40" w:before="60" w:line="259" w:lineRule="auto"/>
            </w:pPr>
            <w:r>
              <w:rPr>
                <w:rFonts w:ascii="Calibri" w:hAnsi="Calibri"/>
                <w:b w:val="0"/>
                <w:i w:val="0"/>
                <w:color w:val="212121"/>
                <w:sz w:val="19"/>
              </w:rPr>
              <w:t>Type 2 diabetes has been paradoxically associated with a lower risk of ALS in several Western cohorts.</w:t>
            </w:r>
          </w:p>
          <w:p>
            <w:pPr>
              <w:spacing w:before="60" w:after="40"/>
            </w:pPr>
            <w:r>
              <w:rPr>
                <w:rFonts w:ascii="Calibri" w:hAnsi="Calibri"/>
                <w:b w:val="0"/>
                <w:i w:val="0"/>
                <w:color w:val="5A5A5A"/>
                <w:sz w:val="18"/>
              </w:rPr>
              <w:t>#diabetes  #inverseassociation  #metabolism  #paradox</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Elite and professional sport and repeated strenuous exercise are associated with higher ALS risk and earlier onset (e.g., professional footballers), whereas moderate everyday activity is not clearly harmful; once disease is established, guided exercise and physiotherapy help preserve function and prevent contractures.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Diet plays a modest role: higher antioxidant (vitamin E), carotenoid and omega-3 intake is weakly protective, and a lean premorbid habitus with low BMI raises risk, but no diet prevents ALS. After onset, high-calorie nutrition counters weight loss and slows decline.</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Sleep is disrupted secondarily by respiratory-muscle weakness and nocturnal hypoventilation rather than being a cause; untreated sleep-disordered breathing worsens quality of life and survival and is an indication for non-invasive ventilation.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Cigarette smoking is the most consistently replicated modifiable risk factor for ALS, especially in women (current-smoker adjusted OR about 1.28); smoking cessation is advised.</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is inconsistent; some studies suggest a weak inverse association, but alcohol is not an established risk or protective factor and should be avoided where dysphagia raises aspiration risk.</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Depression, anxiety and pseudobulbar affect are common consequences of ALS that impair adherence and quality of life, but they are not causal; early psychological and palliative support is valuable.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hydration supports secretion clearance, bowel and bladder function in advanced disease, but there is no direct causal link between water intake and ALS onset.</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Associations between coffee or caffeine intake and ALS risk are inconsistent and show no reliable protective or harmful effect.</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Oral and pulmonary hygiene reduce aspiration and respiratory infection in patients with bulbar and respiratory weakness, but hygiene has no role in disease causation.</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Intercurrent chest infection, aspiration events and general anaesthesia can precipitate acute respiratory decompensation and crisis in established ALS; prompt infection treatment and anaesthetic caution are important.</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Neck-extensor weakness causes head drop; optimal seating, cervical/head support and semi-upright positioning aid breathing, swallowing and secretion control, and reduce aspiration.</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ALSFRS-R total score</w:t>
            </w:r>
          </w:p>
        </w:tc>
        <w:tc>
          <w:tcPr>
            <w:tcW w:type="dxa" w:w="1655"/>
            <w:vAlign w:val="top"/>
          </w:tcPr>
          <w:p>
            <w:pPr>
              <w:spacing w:after="40" w:before="0" w:line="259" w:lineRule="auto"/>
            </w:pPr>
            <w:r>
              <w:rPr>
                <w:rFonts w:ascii="Calibri" w:hAnsi="Calibri"/>
                <w:b w:val="0"/>
                <w:i w:val="0"/>
                <w:color w:val="212121"/>
                <w:sz w:val="19"/>
              </w:rPr>
              <w:t>Patients with ALS/MND</w:t>
            </w:r>
          </w:p>
        </w:tc>
        <w:tc>
          <w:tcPr>
            <w:tcW w:type="dxa" w:w="1512"/>
            <w:vAlign w:val="top"/>
          </w:tcPr>
          <w:p>
            <w:pPr>
              <w:spacing w:after="40" w:before="0" w:line="259" w:lineRule="auto"/>
            </w:pPr>
            <w:r>
              <w:rPr>
                <w:rFonts w:ascii="Calibri" w:hAnsi="Calibri"/>
                <w:b w:val="0"/>
                <w:i w:val="0"/>
                <w:color w:val="212121"/>
                <w:sz w:val="19"/>
              </w:rPr>
              <w:t>48 (normal function)</w:t>
            </w:r>
          </w:p>
        </w:tc>
        <w:tc>
          <w:tcPr>
            <w:tcW w:type="dxa" w:w="1512"/>
            <w:vAlign w:val="top"/>
          </w:tcPr>
          <w:p>
            <w:pPr>
              <w:spacing w:after="40" w:before="0" w:line="259" w:lineRule="auto"/>
            </w:pPr>
            <w:r>
              <w:rPr>
                <w:rFonts w:ascii="Calibri" w:hAnsi="Calibri"/>
                <w:b w:val="0"/>
                <w:i w:val="0"/>
                <w:color w:val="212121"/>
                <w:sz w:val="19"/>
              </w:rPr>
              <w:t>Declining score; rapid drop (&gt;1 point/month)</w:t>
            </w:r>
          </w:p>
        </w:tc>
        <w:tc>
          <w:tcPr>
            <w:tcW w:type="dxa" w:w="1468"/>
            <w:vAlign w:val="top"/>
          </w:tcPr>
          <w:p>
            <w:pPr>
              <w:spacing w:after="40" w:before="0" w:line="259" w:lineRule="auto"/>
            </w:pPr>
            <w:r>
              <w:rPr>
                <w:rFonts w:ascii="Calibri" w:hAnsi="Calibri"/>
                <w:b w:val="0"/>
                <w:i w:val="0"/>
                <w:color w:val="212121"/>
                <w:sz w:val="19"/>
              </w:rPr>
              <w:t>Standard functional staging scale; slope predicts progression and survival</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Forced Vital Capacity (FVC, % predicted)</w:t>
            </w:r>
          </w:p>
        </w:tc>
        <w:tc>
          <w:tcPr>
            <w:tcW w:type="dxa" w:w="1655"/>
            <w:vAlign w:val="top"/>
          </w:tcPr>
          <w:p>
            <w:pPr>
              <w:spacing w:after="40" w:before="0" w:line="259" w:lineRule="auto"/>
            </w:pPr>
            <w:r>
              <w:rPr>
                <w:rFonts w:ascii="Calibri" w:hAnsi="Calibri"/>
                <w:b w:val="0"/>
                <w:i w:val="0"/>
                <w:color w:val="212121"/>
                <w:sz w:val="19"/>
              </w:rPr>
              <w:t>All patients, especially bulbar/advanced</w:t>
            </w:r>
          </w:p>
        </w:tc>
        <w:tc>
          <w:tcPr>
            <w:tcW w:type="dxa" w:w="1512"/>
            <w:vAlign w:val="top"/>
          </w:tcPr>
          <w:p>
            <w:pPr>
              <w:spacing w:after="40" w:before="0" w:line="259" w:lineRule="auto"/>
            </w:pPr>
            <w:r>
              <w:rPr>
                <w:rFonts w:ascii="Calibri" w:hAnsi="Calibri"/>
                <w:b w:val="0"/>
                <w:i w:val="0"/>
                <w:color w:val="212121"/>
                <w:sz w:val="19"/>
              </w:rPr>
              <w:t>≥ 80% predicted</w:t>
            </w:r>
          </w:p>
        </w:tc>
        <w:tc>
          <w:tcPr>
            <w:tcW w:type="dxa" w:w="1512"/>
            <w:vAlign w:val="top"/>
          </w:tcPr>
          <w:p>
            <w:pPr>
              <w:spacing w:after="40" w:before="0" w:line="259" w:lineRule="auto"/>
            </w:pPr>
            <w:r>
              <w:rPr>
                <w:rFonts w:ascii="Calibri" w:hAnsi="Calibri"/>
                <w:b w:val="0"/>
                <w:i w:val="0"/>
                <w:color w:val="212121"/>
                <w:sz w:val="19"/>
              </w:rPr>
              <w:t>&lt; 50% predicted or symptomatic → offer NIV</w:t>
            </w:r>
          </w:p>
        </w:tc>
        <w:tc>
          <w:tcPr>
            <w:tcW w:type="dxa" w:w="1468"/>
            <w:vAlign w:val="top"/>
          </w:tcPr>
          <w:p>
            <w:pPr>
              <w:spacing w:after="60" w:line="259" w:lineRule="auto"/>
            </w:pPr>
            <w:r>
              <w:rPr>
                <w:rFonts w:ascii="Calibri" w:hAnsi="Calibri"/>
                <w:b w:val="0"/>
                <w:i w:val="0"/>
                <w:color w:val="212121"/>
                <w:sz w:val="19"/>
              </w:rPr>
              <w:t>Key respiratory monitoring parameter; guides non-invasive ventilation and prognosis</w:t>
            </w:r>
          </w:p>
          <w:p>
            <w:pPr>
              <w:spacing w:after="40" w:line="252" w:lineRule="auto"/>
            </w:pPr>
            <w:hyperlink r:id="rId17">
              <w:r>
                <w:rPr>
                  <w:rFonts w:ascii="Calibri" w:hAnsi="Calibri" w:cs="Calibri"/>
                  <w:sz w:val="18"/>
                  <w:color w:val="1155CC"/>
                  <w:u w:val="single"/>
                </w:rPr>
                <w:t xml:space="preserve">https://pmc.ncbi.nlm.nih.gov/articles/PMC10357175/</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Sniff Nasal Inspiratory Pressure (SNIP)</w:t>
            </w:r>
          </w:p>
        </w:tc>
        <w:tc>
          <w:tcPr>
            <w:tcW w:type="dxa" w:w="1655"/>
            <w:vAlign w:val="top"/>
          </w:tcPr>
          <w:p>
            <w:pPr>
              <w:spacing w:after="40" w:before="0" w:line="259" w:lineRule="auto"/>
            </w:pPr>
            <w:r>
              <w:rPr>
                <w:rFonts w:ascii="Calibri" w:hAnsi="Calibri"/>
                <w:b w:val="0"/>
                <w:i w:val="0"/>
                <w:color w:val="212121"/>
                <w:sz w:val="19"/>
              </w:rPr>
              <w:t>Patients with suspected respiratory weakness</w:t>
            </w:r>
          </w:p>
        </w:tc>
        <w:tc>
          <w:tcPr>
            <w:tcW w:type="dxa" w:w="1512"/>
            <w:vAlign w:val="top"/>
          </w:tcPr>
          <w:p>
            <w:pPr>
              <w:spacing w:after="40" w:before="0" w:line="259" w:lineRule="auto"/>
            </w:pPr>
            <w:r>
              <w:rPr>
                <w:rFonts w:ascii="Calibri" w:hAnsi="Calibri"/>
                <w:b w:val="0"/>
                <w:i w:val="0"/>
                <w:color w:val="212121"/>
                <w:sz w:val="19"/>
              </w:rPr>
              <w:t>&gt; 70 cmH₂O (M); &gt; 60 cmH₂O (F)</w:t>
            </w:r>
          </w:p>
        </w:tc>
        <w:tc>
          <w:tcPr>
            <w:tcW w:type="dxa" w:w="1512"/>
            <w:vAlign w:val="top"/>
          </w:tcPr>
          <w:p>
            <w:pPr>
              <w:spacing w:after="40" w:before="0" w:line="259" w:lineRule="auto"/>
            </w:pPr>
            <w:r>
              <w:rPr>
                <w:rFonts w:ascii="Calibri" w:hAnsi="Calibri"/>
                <w:b w:val="0"/>
                <w:i w:val="0"/>
                <w:color w:val="212121"/>
                <w:sz w:val="19"/>
              </w:rPr>
              <w:t>&lt; 40 cmH₂O</w:t>
            </w:r>
          </w:p>
        </w:tc>
        <w:tc>
          <w:tcPr>
            <w:tcW w:type="dxa" w:w="1468"/>
            <w:vAlign w:val="top"/>
          </w:tcPr>
          <w:p>
            <w:pPr>
              <w:spacing w:after="40" w:before="0" w:line="259" w:lineRule="auto"/>
            </w:pPr>
            <w:r>
              <w:rPr>
                <w:rFonts w:ascii="Calibri" w:hAnsi="Calibri"/>
                <w:b w:val="0"/>
                <w:i w:val="0"/>
                <w:color w:val="212121"/>
                <w:sz w:val="19"/>
              </w:rPr>
              <w:t>Sensitive early marker of diaphragm weakness, useful when bulbar weakness limits FVC</w:t>
            </w:r>
          </w:p>
        </w:tc>
      </w:tr>
      <w:tr>
        <w:trPr>
          <w:cantSplit/>
        </w:trPr>
        <w:tc>
          <w:tcPr>
            <w:tcW w:type="dxa" w:w="1512"/>
            <w:vMerge w:val="restart"/>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 with ALS</w:t>
            </w:r>
          </w:p>
        </w:tc>
        <w:tc>
          <w:tcPr>
            <w:tcW w:type="dxa" w:w="1512"/>
            <w:vAlign w:val="top"/>
          </w:tcPr>
          <w:p>
            <w:pPr>
              <w:spacing w:after="40" w:before="0" w:line="259" w:lineRule="auto"/>
            </w:pPr>
            <w:r>
              <w:rPr>
                <w:rFonts w:ascii="Calibri" w:hAnsi="Calibri"/>
                <w:b w:val="0"/>
                <w:i w:val="0"/>
                <w:color w:val="212121"/>
                <w:sz w:val="19"/>
              </w:rPr>
              <w:t>18.5–24.9 (upper end relatively protective)</w:t>
            </w:r>
          </w:p>
        </w:tc>
        <w:tc>
          <w:tcPr>
            <w:tcW w:type="dxa" w:w="1512"/>
            <w:vAlign w:val="top"/>
          </w:tcPr>
          <w:p>
            <w:pPr>
              <w:spacing w:after="40" w:before="0" w:line="259" w:lineRule="auto"/>
            </w:pPr>
            <w:r>
              <w:rPr>
                <w:rFonts w:ascii="Calibri" w:hAnsi="Calibri"/>
                <w:b w:val="0"/>
                <w:i w:val="0"/>
                <w:color w:val="212121"/>
                <w:sz w:val="19"/>
              </w:rPr>
              <w:t>&lt; 18.5 or ongoing loss</w:t>
            </w:r>
          </w:p>
        </w:tc>
        <w:tc>
          <w:tcPr>
            <w:tcW w:type="dxa" w:w="1468"/>
            <w:vAlign w:val="top"/>
          </w:tcPr>
          <w:p>
            <w:pPr>
              <w:spacing w:after="40" w:before="0" w:line="259" w:lineRule="auto"/>
            </w:pPr>
            <w:r>
              <w:rPr>
                <w:rFonts w:ascii="Calibri" w:hAnsi="Calibri"/>
                <w:b w:val="0"/>
                <w:i w:val="0"/>
                <w:color w:val="212121"/>
                <w:sz w:val="19"/>
              </w:rPr>
              <w:t>Low BMI and weight loss predict faster progression and shorter survival</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Weight loss from baseline (%)</w:t>
            </w:r>
          </w:p>
        </w:tc>
        <w:tc>
          <w:tcPr>
            <w:tcW w:type="dxa" w:w="1655"/>
            <w:vAlign w:val="top"/>
          </w:tcPr>
          <w:p>
            <w:pPr>
              <w:spacing w:after="40" w:before="0" w:line="259" w:lineRule="auto"/>
            </w:pPr>
            <w:r>
              <w:rPr>
                <w:rFonts w:ascii="Calibri" w:hAnsi="Calibri"/>
                <w:b w:val="0"/>
                <w:i w:val="0"/>
                <w:color w:val="212121"/>
                <w:sz w:val="19"/>
              </w:rPr>
              <w:t>Patients with dysphagia/hypermetabolism</w:t>
            </w:r>
          </w:p>
        </w:tc>
        <w:tc>
          <w:tcPr>
            <w:tcW w:type="dxa" w:w="1512"/>
            <w:vAlign w:val="top"/>
          </w:tcPr>
          <w:p>
            <w:pPr>
              <w:spacing w:after="40" w:before="0" w:line="259" w:lineRule="auto"/>
            </w:pPr>
            <w:r>
              <w:rPr>
                <w:rFonts w:ascii="Calibri" w:hAnsi="Calibri"/>
                <w:b w:val="0"/>
                <w:i w:val="0"/>
                <w:color w:val="212121"/>
                <w:sz w:val="19"/>
              </w:rPr>
              <w:t>&lt; 5%</w:t>
            </w:r>
          </w:p>
        </w:tc>
        <w:tc>
          <w:tcPr>
            <w:tcW w:type="dxa" w:w="1512"/>
            <w:vAlign w:val="top"/>
          </w:tcPr>
          <w:p>
            <w:pPr>
              <w:spacing w:after="40" w:before="0" w:line="259" w:lineRule="auto"/>
            </w:pPr>
            <w:r>
              <w:rPr>
                <w:rFonts w:ascii="Calibri" w:hAnsi="Calibri"/>
                <w:b w:val="0"/>
                <w:i w:val="0"/>
                <w:color w:val="212121"/>
                <w:sz w:val="19"/>
              </w:rPr>
              <w:t>≥ 10%</w:t>
            </w:r>
          </w:p>
        </w:tc>
        <w:tc>
          <w:tcPr>
            <w:tcW w:type="dxa" w:w="1468"/>
            <w:vAlign w:val="top"/>
          </w:tcPr>
          <w:p>
            <w:pPr>
              <w:spacing w:after="40" w:before="0" w:line="259" w:lineRule="auto"/>
            </w:pPr>
            <w:r>
              <w:rPr>
                <w:rFonts w:ascii="Calibri" w:hAnsi="Calibri"/>
                <w:b w:val="0"/>
                <w:i w:val="0"/>
                <w:color w:val="212121"/>
                <w:sz w:val="19"/>
              </w:rPr>
              <w:t>Reflects dysphagia and hypermetabolism; a trigger for gastrostomy (PEG)</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Serum albumin</w:t>
            </w:r>
          </w:p>
        </w:tc>
        <w:tc>
          <w:tcPr>
            <w:tcW w:type="dxa" w:w="1655"/>
            <w:vAlign w:val="top"/>
          </w:tcPr>
          <w:p>
            <w:pPr>
              <w:spacing w:after="40" w:before="0" w:line="259" w:lineRule="auto"/>
            </w:pPr>
            <w:r>
              <w:rPr>
                <w:rFonts w:ascii="Calibri" w:hAnsi="Calibri"/>
                <w:b w:val="0"/>
                <w:i w:val="0"/>
                <w:color w:val="212121"/>
                <w:sz w:val="19"/>
              </w:rPr>
              <w:t>Patients with poor intake</w:t>
            </w:r>
          </w:p>
        </w:tc>
        <w:tc>
          <w:tcPr>
            <w:tcW w:type="dxa" w:w="1512"/>
            <w:vAlign w:val="top"/>
          </w:tcPr>
          <w:p>
            <w:pPr>
              <w:spacing w:after="40" w:before="0" w:line="259" w:lineRule="auto"/>
            </w:pPr>
            <w:r>
              <w:rPr>
                <w:rFonts w:ascii="Calibri" w:hAnsi="Calibri"/>
                <w:b w:val="0"/>
                <w:i w:val="0"/>
                <w:color w:val="212121"/>
                <w:sz w:val="19"/>
              </w:rPr>
              <w:t>3.5–5.0 g/dL</w:t>
            </w:r>
          </w:p>
        </w:tc>
        <w:tc>
          <w:tcPr>
            <w:tcW w:type="dxa" w:w="1512"/>
            <w:vAlign w:val="top"/>
          </w:tcPr>
          <w:p>
            <w:pPr>
              <w:spacing w:after="40" w:before="0" w:line="259" w:lineRule="auto"/>
            </w:pPr>
            <w:r>
              <w:rPr>
                <w:rFonts w:ascii="Calibri" w:hAnsi="Calibri"/>
                <w:b w:val="0"/>
                <w:i w:val="0"/>
                <w:color w:val="212121"/>
                <w:sz w:val="19"/>
              </w:rPr>
              <w:t>&lt; 3.5 g/dL</w:t>
            </w:r>
          </w:p>
        </w:tc>
        <w:tc>
          <w:tcPr>
            <w:tcW w:type="dxa" w:w="1468"/>
            <w:vAlign w:val="top"/>
          </w:tcPr>
          <w:p>
            <w:pPr>
              <w:spacing w:after="40" w:before="0" w:line="259" w:lineRule="auto"/>
            </w:pPr>
            <w:r>
              <w:rPr>
                <w:rFonts w:ascii="Calibri" w:hAnsi="Calibri"/>
                <w:b w:val="0"/>
                <w:i w:val="0"/>
                <w:color w:val="212121"/>
                <w:sz w:val="19"/>
              </w:rPr>
              <w:t>Nutritional and prognostic marker in advanced disease</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Nocturnal oxygen saturation (SpO₂)</w:t>
            </w:r>
          </w:p>
        </w:tc>
        <w:tc>
          <w:tcPr>
            <w:tcW w:type="dxa" w:w="1655"/>
            <w:vAlign w:val="top"/>
          </w:tcPr>
          <w:p>
            <w:pPr>
              <w:spacing w:after="40" w:before="0" w:line="259" w:lineRule="auto"/>
            </w:pPr>
            <w:r>
              <w:rPr>
                <w:rFonts w:ascii="Calibri" w:hAnsi="Calibri"/>
                <w:b w:val="0"/>
                <w:i w:val="0"/>
                <w:color w:val="212121"/>
                <w:sz w:val="19"/>
              </w:rPr>
              <w:t>Patients with respiratory involvement</w:t>
            </w:r>
          </w:p>
        </w:tc>
        <w:tc>
          <w:tcPr>
            <w:tcW w:type="dxa" w:w="1512"/>
            <w:vAlign w:val="top"/>
          </w:tcPr>
          <w:p>
            <w:pPr>
              <w:spacing w:after="40" w:before="0" w:line="259" w:lineRule="auto"/>
            </w:pPr>
            <w:r>
              <w:rPr>
                <w:rFonts w:ascii="Calibri" w:hAnsi="Calibri"/>
                <w:b w:val="0"/>
                <w:i w:val="0"/>
                <w:color w:val="212121"/>
                <w:sz w:val="19"/>
              </w:rPr>
              <w:t>No sustained desaturation</w:t>
            </w:r>
          </w:p>
        </w:tc>
        <w:tc>
          <w:tcPr>
            <w:tcW w:type="dxa" w:w="1512"/>
            <w:vAlign w:val="top"/>
          </w:tcPr>
          <w:p>
            <w:pPr>
              <w:spacing w:after="40" w:before="0" w:line="259" w:lineRule="auto"/>
            </w:pPr>
            <w:r>
              <w:rPr>
                <w:rFonts w:ascii="Calibri" w:hAnsi="Calibri"/>
                <w:b w:val="0"/>
                <w:i w:val="0"/>
                <w:color w:val="212121"/>
                <w:sz w:val="19"/>
              </w:rPr>
              <w:t>Sustained nocturnal SpO₂ &lt; 90%</w:t>
            </w:r>
          </w:p>
        </w:tc>
        <w:tc>
          <w:tcPr>
            <w:tcW w:type="dxa" w:w="1468"/>
            <w:vAlign w:val="top"/>
          </w:tcPr>
          <w:p>
            <w:pPr>
              <w:spacing w:after="40" w:before="0" w:line="259" w:lineRule="auto"/>
            </w:pPr>
            <w:r>
              <w:rPr>
                <w:rFonts w:ascii="Calibri" w:hAnsi="Calibri"/>
                <w:b w:val="0"/>
                <w:i w:val="0"/>
                <w:color w:val="212121"/>
                <w:sz w:val="19"/>
              </w:rPr>
              <w:t>Signals nocturnal hypoventilation and the need for NIV</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All patients and at-risk individuals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The only clearly modifiable ALS risk factor; also worsens respiratory reserve</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Drinks per 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 7–14 units/week</w:t>
            </w:r>
          </w:p>
        </w:tc>
        <w:tc>
          <w:tcPr>
            <w:tcW w:type="dxa" w:w="1512"/>
            <w:vAlign w:val="top"/>
          </w:tcPr>
          <w:p>
            <w:pPr>
              <w:spacing w:after="40" w:before="0" w:line="259" w:lineRule="auto"/>
            </w:pPr>
            <w:r>
              <w:rPr>
                <w:rFonts w:ascii="Calibri" w:hAnsi="Calibri"/>
                <w:b w:val="0"/>
                <w:i w:val="0"/>
                <w:color w:val="212121"/>
                <w:sz w:val="19"/>
              </w:rPr>
              <w:t>Heavy/regular use, or any use with dysphagia</w:t>
            </w:r>
          </w:p>
        </w:tc>
        <w:tc>
          <w:tcPr>
            <w:tcW w:type="dxa" w:w="1468"/>
            <w:vAlign w:val="top"/>
          </w:tcPr>
          <w:p>
            <w:pPr>
              <w:spacing w:after="40" w:before="0" w:line="259" w:lineRule="auto"/>
            </w:pPr>
            <w:r>
              <w:rPr>
                <w:rFonts w:ascii="Calibri" w:hAnsi="Calibri"/>
                <w:b w:val="0"/>
                <w:i w:val="0"/>
                <w:color w:val="212121"/>
                <w:sz w:val="19"/>
              </w:rPr>
              <w:t>No protective role; avoid where aspiration risk is present</w:t>
            </w:r>
          </w:p>
        </w:tc>
      </w:tr>
      <w:tr>
        <w:trPr>
          <w:cantSplit/>
        </w:trPr>
        <w:tc>
          <w:tcPr>
            <w:tcW w:type="dxa" w:w="1512"/>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PHQ-9 depression score</w:t>
            </w:r>
          </w:p>
        </w:tc>
        <w:tc>
          <w:tcPr>
            <w:tcW w:type="dxa" w:w="1655"/>
            <w:vAlign w:val="top"/>
          </w:tcPr>
          <w:p>
            <w:pPr>
              <w:spacing w:after="40" w:before="0" w:line="259" w:lineRule="auto"/>
            </w:pPr>
            <w:r>
              <w:rPr>
                <w:rFonts w:ascii="Calibri" w:hAnsi="Calibri"/>
                <w:b w:val="0"/>
                <w:i w:val="0"/>
                <w:color w:val="212121"/>
                <w:sz w:val="19"/>
              </w:rPr>
              <w:t>Patients with ALS/MND</w:t>
            </w:r>
          </w:p>
        </w:tc>
        <w:tc>
          <w:tcPr>
            <w:tcW w:type="dxa" w:w="1512"/>
            <w:vAlign w:val="top"/>
          </w:tcPr>
          <w:p>
            <w:pPr>
              <w:spacing w:after="40" w:before="0" w:line="259" w:lineRule="auto"/>
            </w:pPr>
            <w:r>
              <w:rPr>
                <w:rFonts w:ascii="Calibri" w:hAnsi="Calibri"/>
                <w:b w:val="0"/>
                <w:i w:val="0"/>
                <w:color w:val="212121"/>
                <w:sz w:val="19"/>
              </w:rPr>
              <w:t>&lt; 5</w:t>
            </w:r>
          </w:p>
        </w:tc>
        <w:tc>
          <w:tcPr>
            <w:tcW w:type="dxa" w:w="1512"/>
            <w:vAlign w:val="top"/>
          </w:tcPr>
          <w:p>
            <w:pPr>
              <w:spacing w:after="40" w:before="0" w:line="259" w:lineRule="auto"/>
            </w:pPr>
            <w:r>
              <w:rPr>
                <w:rFonts w:ascii="Calibri" w:hAnsi="Calibri"/>
                <w:b w:val="0"/>
                <w:i w:val="0"/>
                <w:color w:val="212121"/>
                <w:sz w:val="19"/>
              </w:rPr>
              <w:t>≥ 10</w:t>
            </w:r>
          </w:p>
        </w:tc>
        <w:tc>
          <w:tcPr>
            <w:tcW w:type="dxa" w:w="1468"/>
            <w:vAlign w:val="top"/>
          </w:tcPr>
          <w:p>
            <w:pPr>
              <w:spacing w:after="40" w:before="0" w:line="259" w:lineRule="auto"/>
            </w:pPr>
            <w:r>
              <w:rPr>
                <w:rFonts w:ascii="Calibri" w:hAnsi="Calibri"/>
                <w:b w:val="0"/>
                <w:i w:val="0"/>
                <w:color w:val="212121"/>
                <w:sz w:val="19"/>
              </w:rPr>
              <w:t>Depression is common and treatable; screening aids adherence and quality of life</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Electrodiagnostic</w:t>
            </w:r>
          </w:p>
        </w:tc>
        <w:tc>
          <w:tcPr>
            <w:tcW w:type="dxa" w:w="1036"/>
            <w:vAlign w:val="top"/>
          </w:tcPr>
          <w:p>
            <w:pPr>
              <w:spacing w:after="40" w:before="0" w:line="259" w:lineRule="auto"/>
            </w:pPr>
            <w:r>
              <w:rPr>
                <w:rFonts w:ascii="Calibri" w:hAnsi="Calibri"/>
                <w:b w:val="0"/>
                <w:i w:val="0"/>
                <w:color w:val="212121"/>
                <w:sz w:val="16"/>
              </w:rPr>
              <w:t>Needle EMG &amp; nerve conduction studies</w:t>
            </w:r>
          </w:p>
        </w:tc>
        <w:tc>
          <w:tcPr>
            <w:tcW w:type="dxa" w:w="892"/>
            <w:vAlign w:val="top"/>
          </w:tcPr>
          <w:p>
            <w:pPr>
              <w:spacing w:after="40" w:before="0" w:line="259" w:lineRule="auto"/>
            </w:pPr>
            <w:r>
              <w:rPr>
                <w:rFonts w:ascii="Calibri" w:hAnsi="Calibri"/>
                <w:b w:val="0"/>
                <w:i w:val="0"/>
                <w:color w:val="212121"/>
                <w:sz w:val="16"/>
              </w:rPr>
              <w:t>Electromyography–NCS</w:t>
            </w:r>
          </w:p>
        </w:tc>
        <w:tc>
          <w:tcPr>
            <w:tcW w:type="dxa" w:w="950"/>
            <w:vAlign w:val="top"/>
          </w:tcPr>
          <w:p>
            <w:pPr>
              <w:spacing w:after="40" w:before="0" w:line="259" w:lineRule="auto"/>
            </w:pPr>
            <w:r>
              <w:rPr>
                <w:rFonts w:ascii="Calibri" w:hAnsi="Calibri"/>
                <w:b w:val="0"/>
                <w:i w:val="0"/>
                <w:color w:val="212121"/>
                <w:sz w:val="16"/>
              </w:rPr>
              <w:t>No denervation; normal motor &amp; sensory conduction</w:t>
            </w:r>
          </w:p>
        </w:tc>
        <w:tc>
          <w:tcPr>
            <w:tcW w:type="dxa" w:w="950"/>
            <w:vAlign w:val="top"/>
          </w:tcPr>
          <w:p>
            <w:pPr>
              <w:spacing w:after="40" w:before="0" w:line="259" w:lineRule="auto"/>
            </w:pPr>
            <w:r>
              <w:rPr>
                <w:rFonts w:ascii="Calibri" w:hAnsi="Calibri"/>
                <w:b w:val="0"/>
                <w:i w:val="0"/>
                <w:color w:val="212121"/>
                <w:sz w:val="16"/>
              </w:rPr>
              <w:t>Acute (fibrillations, positive sharp waves) plus chronic reinnervation and fasciculation potentials across regions; sensory conduction normal</w:t>
            </w:r>
          </w:p>
        </w:tc>
        <w:tc>
          <w:tcPr>
            <w:tcW w:type="dxa" w:w="1036"/>
            <w:vAlign w:val="top"/>
          </w:tcPr>
          <w:p>
            <w:pPr>
              <w:spacing w:after="40" w:before="0" w:line="259" w:lineRule="auto"/>
            </w:pPr>
            <w:r>
              <w:rPr>
                <w:rFonts w:ascii="Calibri" w:hAnsi="Calibri"/>
                <w:b w:val="0"/>
                <w:i w:val="0"/>
                <w:color w:val="212121"/>
                <w:sz w:val="16"/>
              </w:rPr>
              <w:t>Demonstrates widespread lower motor neuron degeneration — the electrophysiological cornerstone of diagnosis</w:t>
            </w:r>
          </w:p>
        </w:tc>
        <w:tc>
          <w:tcPr>
            <w:tcW w:type="dxa" w:w="1036"/>
            <w:vAlign w:val="top"/>
          </w:tcPr>
          <w:p>
            <w:pPr>
              <w:spacing w:after="40" w:before="0" w:line="259" w:lineRule="auto"/>
            </w:pPr>
            <w:r>
              <w:rPr>
                <w:rFonts w:ascii="Calibri" w:hAnsi="Calibri"/>
                <w:b w:val="0"/>
                <w:i w:val="0"/>
                <w:color w:val="212121"/>
                <w:sz w:val="16"/>
              </w:rPr>
              <w:t>All suspected MND/ALS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Required to satisfy Gold Coast / Awaji electrodiagnostic criteria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Neuroimaging</w:t>
            </w:r>
          </w:p>
        </w:tc>
        <w:tc>
          <w:tcPr>
            <w:tcW w:type="dxa" w:w="1036"/>
            <w:vAlign w:val="top"/>
          </w:tcPr>
          <w:p>
            <w:pPr>
              <w:spacing w:after="40" w:before="0" w:line="259" w:lineRule="auto"/>
            </w:pPr>
            <w:r>
              <w:rPr>
                <w:rFonts w:ascii="Calibri" w:hAnsi="Calibri"/>
                <w:b w:val="0"/>
                <w:i w:val="0"/>
                <w:color w:val="212121"/>
                <w:sz w:val="16"/>
              </w:rPr>
              <w:t>MRI brain &amp; spinal cord</w:t>
            </w:r>
          </w:p>
        </w:tc>
        <w:tc>
          <w:tcPr>
            <w:tcW w:type="dxa" w:w="892"/>
            <w:vAlign w:val="top"/>
          </w:tcPr>
          <w:p>
            <w:pPr>
              <w:spacing w:after="40" w:before="0" w:line="259" w:lineRule="auto"/>
            </w:pPr>
            <w:r>
              <w:rPr>
                <w:rFonts w:ascii="Calibri" w:hAnsi="Calibri"/>
                <w:b w:val="0"/>
                <w:i w:val="0"/>
                <w:color w:val="212121"/>
                <w:sz w:val="16"/>
              </w:rPr>
              <w:t>Magnetic resonance imaging</w:t>
            </w:r>
          </w:p>
        </w:tc>
        <w:tc>
          <w:tcPr>
            <w:tcW w:type="dxa" w:w="950"/>
            <w:vAlign w:val="top"/>
          </w:tcPr>
          <w:p>
            <w:pPr>
              <w:spacing w:after="40" w:before="0" w:line="259" w:lineRule="auto"/>
            </w:pPr>
            <w:r>
              <w:rPr>
                <w:rFonts w:ascii="Calibri" w:hAnsi="Calibri"/>
                <w:b w:val="0"/>
                <w:i w:val="0"/>
                <w:color w:val="212121"/>
                <w:sz w:val="16"/>
              </w:rPr>
              <w:t>No compressive or inflammatory lesion; may show corticospinal-tract T2 hyperintensity</w:t>
            </w:r>
          </w:p>
        </w:tc>
        <w:tc>
          <w:tcPr>
            <w:tcW w:type="dxa" w:w="950"/>
            <w:vAlign w:val="top"/>
          </w:tcPr>
          <w:p>
            <w:pPr>
              <w:spacing w:after="40" w:before="0" w:line="259" w:lineRule="auto"/>
            </w:pPr>
            <w:r>
              <w:rPr>
                <w:rFonts w:ascii="Calibri" w:hAnsi="Calibri"/>
                <w:b w:val="0"/>
                <w:i w:val="0"/>
                <w:color w:val="212121"/>
                <w:sz w:val="16"/>
              </w:rPr>
              <w:t>Excludes structural mimics; corticospinal-tract signal supports UMN involvement</w:t>
            </w:r>
          </w:p>
        </w:tc>
        <w:tc>
          <w:tcPr>
            <w:tcW w:type="dxa" w:w="1036"/>
            <w:vAlign w:val="top"/>
          </w:tcPr>
          <w:p>
            <w:pPr>
              <w:spacing w:after="40" w:before="0" w:line="259" w:lineRule="auto"/>
            </w:pPr>
            <w:r>
              <w:rPr>
                <w:rFonts w:ascii="Calibri" w:hAnsi="Calibri"/>
                <w:b w:val="0"/>
                <w:i w:val="0"/>
                <w:color w:val="212121"/>
                <w:sz w:val="16"/>
              </w:rPr>
              <w:t>Primarily excludes cervical myelopathy, tumour and inflammatory mimics</w:t>
            </w:r>
          </w:p>
        </w:tc>
        <w:tc>
          <w:tcPr>
            <w:tcW w:type="dxa" w:w="1036"/>
            <w:vAlign w:val="top"/>
          </w:tcPr>
          <w:p>
            <w:pPr>
              <w:spacing w:after="40" w:before="0" w:line="259" w:lineRule="auto"/>
            </w:pPr>
            <w:r>
              <w:rPr>
                <w:rFonts w:ascii="Calibri" w:hAnsi="Calibri"/>
                <w:b w:val="0"/>
                <w:i w:val="0"/>
                <w:color w:val="212121"/>
                <w:sz w:val="16"/>
              </w:rPr>
              <w:t>All suspected MND/ALS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Essential (exclusion)</w:t>
            </w:r>
          </w:p>
        </w:tc>
        <w:tc>
          <w:tcPr>
            <w:tcW w:type="dxa" w:w="720"/>
            <w:vAlign w:val="top"/>
          </w:tcPr>
          <w:p>
            <w:pPr>
              <w:spacing w:after="40" w:before="0" w:line="259" w:lineRule="auto"/>
            </w:pPr>
            <w:r>
              <w:rPr>
                <w:rFonts w:ascii="Calibri" w:hAnsi="Calibri"/>
                <w:b w:val="0"/>
                <w:i w:val="0"/>
                <w:color w:val="212121"/>
                <w:sz w:val="16"/>
              </w:rPr>
              <w:t>MND is largely a diagnosis of exclusion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creatine kinase (CK)</w:t>
            </w:r>
          </w:p>
        </w:tc>
        <w:tc>
          <w:tcPr>
            <w:tcW w:type="dxa" w:w="892"/>
            <w:vAlign w:val="top"/>
          </w:tcPr>
          <w:p>
            <w:pPr>
              <w:spacing w:after="40" w:before="0" w:line="259" w:lineRule="auto"/>
            </w:pPr>
            <w:r>
              <w:rPr>
                <w:rFonts w:ascii="Calibri" w:hAnsi="Calibri"/>
                <w:b w:val="0"/>
                <w:i w:val="0"/>
                <w:color w:val="212121"/>
                <w:sz w:val="16"/>
              </w:rPr>
              <w:t>Creatine kinase assay</w:t>
            </w:r>
          </w:p>
        </w:tc>
        <w:tc>
          <w:tcPr>
            <w:tcW w:type="dxa" w:w="950"/>
            <w:vAlign w:val="top"/>
          </w:tcPr>
          <w:p>
            <w:pPr>
              <w:spacing w:after="40" w:before="0" w:line="259" w:lineRule="auto"/>
            </w:pPr>
            <w:r>
              <w:rPr>
                <w:rFonts w:ascii="Calibri" w:hAnsi="Calibri"/>
                <w:b w:val="0"/>
                <w:i w:val="0"/>
                <w:color w:val="212121"/>
                <w:sz w:val="16"/>
              </w:rPr>
              <w:t>30–200 U/L</w:t>
            </w:r>
          </w:p>
        </w:tc>
        <w:tc>
          <w:tcPr>
            <w:tcW w:type="dxa" w:w="950"/>
            <w:vAlign w:val="top"/>
          </w:tcPr>
          <w:p>
            <w:pPr>
              <w:spacing w:after="40" w:before="0" w:line="259" w:lineRule="auto"/>
            </w:pPr>
            <w:r>
              <w:rPr>
                <w:rFonts w:ascii="Calibri" w:hAnsi="Calibri"/>
                <w:b w:val="0"/>
                <w:i w:val="0"/>
                <w:color w:val="212121"/>
                <w:sz w:val="16"/>
              </w:rPr>
              <w:t>Mildly to moderately elevated (usually &lt; 1000 U/L)</w:t>
            </w:r>
          </w:p>
        </w:tc>
        <w:tc>
          <w:tcPr>
            <w:tcW w:type="dxa" w:w="1036"/>
            <w:vAlign w:val="top"/>
          </w:tcPr>
          <w:p>
            <w:pPr>
              <w:spacing w:after="40" w:before="0" w:line="259" w:lineRule="auto"/>
            </w:pPr>
            <w:r>
              <w:rPr>
                <w:rFonts w:ascii="Calibri" w:hAnsi="Calibri"/>
                <w:b w:val="0"/>
                <w:i w:val="0"/>
                <w:color w:val="212121"/>
                <w:sz w:val="16"/>
              </w:rPr>
              <w:t>Reflects denervation and muscle turnover; markedly high values suggest a primary myopathy instead</w:t>
            </w:r>
          </w:p>
        </w:tc>
        <w:tc>
          <w:tcPr>
            <w:tcW w:type="dxa" w:w="1036"/>
            <w:vAlign w:val="top"/>
          </w:tcPr>
          <w:p>
            <w:pPr>
              <w:spacing w:after="40" w:before="0" w:line="259" w:lineRule="auto"/>
            </w:pPr>
            <w:r>
              <w:rPr>
                <w:rFonts w:ascii="Calibri" w:hAnsi="Calibri"/>
                <w:b w:val="0"/>
                <w:i w:val="0"/>
                <w:color w:val="212121"/>
                <w:sz w:val="16"/>
              </w:rPr>
              <w:t>Limb-onset patients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Non-specific; helps distinguish from myopathy</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Respiratory</w:t>
            </w:r>
          </w:p>
        </w:tc>
        <w:tc>
          <w:tcPr>
            <w:tcW w:type="dxa" w:w="1036"/>
            <w:vAlign w:val="top"/>
          </w:tcPr>
          <w:p>
            <w:pPr>
              <w:spacing w:after="40" w:before="0" w:line="259" w:lineRule="auto"/>
            </w:pPr>
            <w:r>
              <w:rPr>
                <w:rFonts w:ascii="Calibri" w:hAnsi="Calibri"/>
                <w:b w:val="0"/>
                <w:i w:val="0"/>
                <w:color w:val="212121"/>
                <w:sz w:val="16"/>
              </w:rPr>
              <w:t>Spirometry — erect &amp; supine FVC</w:t>
            </w:r>
          </w:p>
        </w:tc>
        <w:tc>
          <w:tcPr>
            <w:tcW w:type="dxa" w:w="892"/>
            <w:vAlign w:val="top"/>
          </w:tcPr>
          <w:p>
            <w:pPr>
              <w:spacing w:after="40" w:before="0" w:line="259" w:lineRule="auto"/>
            </w:pPr>
            <w:r>
              <w:rPr>
                <w:rFonts w:ascii="Calibri" w:hAnsi="Calibri"/>
                <w:b w:val="0"/>
                <w:i w:val="0"/>
                <w:color w:val="212121"/>
                <w:sz w:val="16"/>
              </w:rPr>
              <w:t>Pulmonary function test</w:t>
            </w:r>
          </w:p>
        </w:tc>
        <w:tc>
          <w:tcPr>
            <w:tcW w:type="dxa" w:w="950"/>
            <w:vAlign w:val="top"/>
          </w:tcPr>
          <w:p>
            <w:pPr>
              <w:spacing w:after="40" w:before="0" w:line="259" w:lineRule="auto"/>
            </w:pPr>
            <w:r>
              <w:rPr>
                <w:rFonts w:ascii="Calibri" w:hAnsi="Calibri"/>
                <w:b w:val="0"/>
                <w:i w:val="0"/>
                <w:color w:val="212121"/>
                <w:sz w:val="16"/>
              </w:rPr>
              <w:t>≥ 80% predicted</w:t>
            </w:r>
          </w:p>
        </w:tc>
        <w:tc>
          <w:tcPr>
            <w:tcW w:type="dxa" w:w="950"/>
            <w:vAlign w:val="top"/>
          </w:tcPr>
          <w:p>
            <w:pPr>
              <w:spacing w:after="40" w:before="0" w:line="259" w:lineRule="auto"/>
            </w:pPr>
            <w:r>
              <w:rPr>
                <w:rFonts w:ascii="Calibri" w:hAnsi="Calibri"/>
                <w:b w:val="0"/>
                <w:i w:val="0"/>
                <w:color w:val="212121"/>
                <w:sz w:val="16"/>
              </w:rPr>
              <w:t>&lt; 80% predicted; NIV considered &lt; 50% or if symptomatic</w:t>
            </w:r>
          </w:p>
        </w:tc>
        <w:tc>
          <w:tcPr>
            <w:tcW w:type="dxa" w:w="1036"/>
            <w:vAlign w:val="top"/>
          </w:tcPr>
          <w:p>
            <w:pPr>
              <w:spacing w:after="40" w:before="0" w:line="259" w:lineRule="auto"/>
            </w:pPr>
            <w:r>
              <w:rPr>
                <w:rFonts w:ascii="Calibri" w:hAnsi="Calibri"/>
                <w:b w:val="0"/>
                <w:i w:val="0"/>
                <w:color w:val="212121"/>
                <w:sz w:val="16"/>
              </w:rPr>
              <w:t>Quantifies respiratory-muscle weakness; a supine fall indicates diaphragm weakness</w:t>
            </w:r>
          </w:p>
        </w:tc>
        <w:tc>
          <w:tcPr>
            <w:tcW w:type="dxa" w:w="1036"/>
            <w:vAlign w:val="top"/>
          </w:tcPr>
          <w:p>
            <w:pPr>
              <w:spacing w:after="40" w:before="0" w:line="259" w:lineRule="auto"/>
            </w:pPr>
            <w:r>
              <w:rPr>
                <w:rFonts w:ascii="Calibri" w:hAnsi="Calibri"/>
                <w:b w:val="0"/>
                <w:i w:val="0"/>
                <w:color w:val="212121"/>
                <w:sz w:val="16"/>
              </w:rPr>
              <w:t>All, especially bulbar/advanced</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Essential (monitoring)</w:t>
            </w:r>
          </w:p>
        </w:tc>
        <w:tc>
          <w:tcPr>
            <w:tcW w:type="dxa" w:w="720"/>
            <w:vAlign w:val="top"/>
          </w:tcPr>
          <w:p>
            <w:pPr>
              <w:spacing w:after="40" w:before="0" w:line="259" w:lineRule="auto"/>
            </w:pPr>
            <w:r>
              <w:rPr>
                <w:rFonts w:ascii="Calibri" w:hAnsi="Calibri"/>
                <w:b w:val="0"/>
                <w:i w:val="0"/>
                <w:color w:val="212121"/>
                <w:sz w:val="16"/>
              </w:rPr>
              <w:t>Guides timing of non-invasive ventilation and prognosis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Cerebrospinal fluid</w:t>
            </w:r>
          </w:p>
        </w:tc>
        <w:tc>
          <w:tcPr>
            <w:tcW w:type="dxa" w:w="1036"/>
            <w:vAlign w:val="top"/>
          </w:tcPr>
          <w:p>
            <w:pPr>
              <w:spacing w:after="40" w:before="0" w:line="259" w:lineRule="auto"/>
            </w:pPr>
            <w:r>
              <w:rPr>
                <w:rFonts w:ascii="Calibri" w:hAnsi="Calibri"/>
                <w:b w:val="0"/>
                <w:i w:val="0"/>
                <w:color w:val="212121"/>
                <w:sz w:val="16"/>
              </w:rPr>
              <w:t>CSF cell count &amp; protein</w:t>
            </w:r>
          </w:p>
        </w:tc>
        <w:tc>
          <w:tcPr>
            <w:tcW w:type="dxa" w:w="892"/>
            <w:vAlign w:val="top"/>
          </w:tcPr>
          <w:p>
            <w:pPr>
              <w:spacing w:after="40" w:before="0" w:line="259" w:lineRule="auto"/>
            </w:pPr>
            <w:r>
              <w:rPr>
                <w:rFonts w:ascii="Calibri" w:hAnsi="Calibri"/>
                <w:b w:val="0"/>
                <w:i w:val="0"/>
                <w:color w:val="212121"/>
                <w:sz w:val="16"/>
              </w:rPr>
              <w:t>Lumbar puncture</w:t>
            </w:r>
          </w:p>
        </w:tc>
        <w:tc>
          <w:tcPr>
            <w:tcW w:type="dxa" w:w="950"/>
            <w:vAlign w:val="top"/>
          </w:tcPr>
          <w:p>
            <w:pPr>
              <w:spacing w:after="40" w:before="0" w:line="259" w:lineRule="auto"/>
            </w:pPr>
            <w:r>
              <w:rPr>
                <w:rFonts w:ascii="Calibri" w:hAnsi="Calibri"/>
                <w:b w:val="0"/>
                <w:i w:val="0"/>
                <w:color w:val="212121"/>
                <w:sz w:val="16"/>
              </w:rPr>
              <w:t>Acellular; normal/mildly raised protein</w:t>
            </w:r>
          </w:p>
        </w:tc>
        <w:tc>
          <w:tcPr>
            <w:tcW w:type="dxa" w:w="950"/>
            <w:vAlign w:val="top"/>
          </w:tcPr>
          <w:p>
            <w:pPr>
              <w:spacing w:after="40" w:before="0" w:line="259" w:lineRule="auto"/>
            </w:pPr>
            <w:r>
              <w:rPr>
                <w:rFonts w:ascii="Calibri" w:hAnsi="Calibri"/>
                <w:b w:val="0"/>
                <w:i w:val="0"/>
                <w:color w:val="212121"/>
                <w:sz w:val="16"/>
              </w:rPr>
              <w:t>Used to exclude inflammatory, infective or malignant mimics</w:t>
            </w:r>
          </w:p>
        </w:tc>
        <w:tc>
          <w:tcPr>
            <w:tcW w:type="dxa" w:w="1036"/>
            <w:vAlign w:val="top"/>
          </w:tcPr>
          <w:p>
            <w:pPr>
              <w:spacing w:after="40" w:before="0" w:line="259" w:lineRule="auto"/>
            </w:pPr>
            <w:r>
              <w:rPr>
                <w:rFonts w:ascii="Calibri" w:hAnsi="Calibri"/>
                <w:b w:val="0"/>
                <w:i w:val="0"/>
                <w:color w:val="212121"/>
                <w:sz w:val="16"/>
              </w:rPr>
              <w:t>Helps exclude CIDP, infection and malignancy in atypical or rapidly progressive cases</w:t>
            </w:r>
          </w:p>
        </w:tc>
        <w:tc>
          <w:tcPr>
            <w:tcW w:type="dxa" w:w="1036"/>
            <w:vAlign w:val="top"/>
          </w:tcPr>
          <w:p>
            <w:pPr>
              <w:spacing w:after="40" w:before="0" w:line="259" w:lineRule="auto"/>
            </w:pPr>
            <w:r>
              <w:rPr>
                <w:rFonts w:ascii="Calibri" w:hAnsi="Calibri"/>
                <w:b w:val="0"/>
                <w:i w:val="0"/>
                <w:color w:val="212121"/>
                <w:sz w:val="16"/>
              </w:rPr>
              <w:t>Atypical/rapidly progressive presentations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Selective</w:t>
            </w:r>
          </w:p>
        </w:tc>
        <w:tc>
          <w:tcPr>
            <w:tcW w:type="dxa" w:w="720"/>
            <w:vAlign w:val="top"/>
          </w:tcPr>
          <w:p>
            <w:pPr>
              <w:spacing w:after="40" w:before="0" w:line="259" w:lineRule="auto"/>
            </w:pPr>
            <w:r>
              <w:rPr>
                <w:rFonts w:ascii="Calibri" w:hAnsi="Calibri"/>
                <w:b w:val="0"/>
                <w:i w:val="0"/>
                <w:color w:val="212121"/>
                <w:sz w:val="16"/>
              </w:rPr>
              <w:t>Not routinely diagnostic for ALS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Biomarker</w:t>
            </w:r>
          </w:p>
        </w:tc>
        <w:tc>
          <w:tcPr>
            <w:tcW w:type="dxa" w:w="1036"/>
            <w:vAlign w:val="top"/>
          </w:tcPr>
          <w:p>
            <w:pPr>
              <w:spacing w:after="40" w:before="0" w:line="259" w:lineRule="auto"/>
            </w:pPr>
            <w:r>
              <w:rPr>
                <w:rFonts w:ascii="Calibri" w:hAnsi="Calibri"/>
                <w:b w:val="0"/>
                <w:i w:val="0"/>
                <w:color w:val="212121"/>
                <w:sz w:val="16"/>
              </w:rPr>
              <w:t>Neurofilament light chain (NfL)</w:t>
            </w:r>
          </w:p>
        </w:tc>
        <w:tc>
          <w:tcPr>
            <w:tcW w:type="dxa" w:w="892"/>
            <w:vAlign w:val="top"/>
          </w:tcPr>
          <w:p>
            <w:pPr>
              <w:spacing w:after="40" w:before="0" w:line="259" w:lineRule="auto"/>
            </w:pPr>
            <w:r>
              <w:rPr>
                <w:rFonts w:ascii="Calibri" w:hAnsi="Calibri"/>
                <w:b w:val="0"/>
                <w:i w:val="0"/>
                <w:color w:val="212121"/>
                <w:sz w:val="16"/>
              </w:rPr>
              <w:t>Serum/CSF NfL assay</w:t>
            </w:r>
          </w:p>
        </w:tc>
        <w:tc>
          <w:tcPr>
            <w:tcW w:type="dxa" w:w="950"/>
            <w:vAlign w:val="top"/>
          </w:tcPr>
          <w:p>
            <w:pPr>
              <w:spacing w:after="40" w:before="0" w:line="259" w:lineRule="auto"/>
            </w:pPr>
            <w:r>
              <w:rPr>
                <w:rFonts w:ascii="Calibri" w:hAnsi="Calibri"/>
                <w:b w:val="0"/>
                <w:i w:val="0"/>
                <w:color w:val="212121"/>
                <w:sz w:val="16"/>
              </w:rPr>
              <w:t>Low</w:t>
            </w:r>
          </w:p>
        </w:tc>
        <w:tc>
          <w:tcPr>
            <w:tcW w:type="dxa" w:w="950"/>
            <w:vAlign w:val="top"/>
          </w:tcPr>
          <w:p>
            <w:pPr>
              <w:spacing w:after="40" w:before="0" w:line="259" w:lineRule="auto"/>
            </w:pPr>
            <w:r>
              <w:rPr>
                <w:rFonts w:ascii="Calibri" w:hAnsi="Calibri"/>
                <w:b w:val="0"/>
                <w:i w:val="0"/>
                <w:color w:val="212121"/>
                <w:sz w:val="16"/>
              </w:rPr>
              <w:t>Elevated</w:t>
            </w:r>
          </w:p>
        </w:tc>
        <w:tc>
          <w:tcPr>
            <w:tcW w:type="dxa" w:w="1036"/>
            <w:vAlign w:val="top"/>
          </w:tcPr>
          <w:p>
            <w:pPr>
              <w:spacing w:after="40" w:before="0" w:line="259" w:lineRule="auto"/>
            </w:pPr>
            <w:r>
              <w:rPr>
                <w:rFonts w:ascii="Calibri" w:hAnsi="Calibri"/>
                <w:b w:val="0"/>
                <w:i w:val="0"/>
                <w:color w:val="212121"/>
                <w:sz w:val="16"/>
              </w:rPr>
              <w:t>Marker of axonal degeneration supporting diagnosis and prognostication</w:t>
            </w:r>
          </w:p>
        </w:tc>
        <w:tc>
          <w:tcPr>
            <w:tcW w:type="dxa" w:w="1036"/>
            <w:vAlign w:val="top"/>
          </w:tcPr>
          <w:p>
            <w:pPr>
              <w:spacing w:after="40" w:before="0" w:line="259" w:lineRule="auto"/>
            </w:pPr>
            <w:r>
              <w:rPr>
                <w:rFonts w:ascii="Calibri" w:hAnsi="Calibri"/>
                <w:b w:val="0"/>
                <w:i w:val="0"/>
                <w:color w:val="212121"/>
                <w:sz w:val="16"/>
              </w:rPr>
              <w:t>Cases of diagnostic uncertainty</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Emerging</w:t>
            </w:r>
          </w:p>
        </w:tc>
        <w:tc>
          <w:tcPr>
            <w:tcW w:type="dxa" w:w="720"/>
            <w:vAlign w:val="top"/>
          </w:tcPr>
          <w:p>
            <w:pPr>
              <w:spacing w:after="40" w:before="0" w:line="259" w:lineRule="auto"/>
            </w:pPr>
            <w:r>
              <w:rPr>
                <w:rFonts w:ascii="Calibri" w:hAnsi="Calibri"/>
                <w:b w:val="0"/>
                <w:i w:val="0"/>
                <w:color w:val="212121"/>
                <w:sz w:val="16"/>
              </w:rPr>
              <w:t>Not yet routinely available across Indian centres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Genetic</w:t>
            </w:r>
          </w:p>
        </w:tc>
        <w:tc>
          <w:tcPr>
            <w:tcW w:type="dxa" w:w="1036"/>
            <w:vAlign w:val="top"/>
          </w:tcPr>
          <w:p>
            <w:pPr>
              <w:spacing w:after="40" w:before="0" w:line="259" w:lineRule="auto"/>
            </w:pPr>
            <w:r>
              <w:rPr>
                <w:rFonts w:ascii="Calibri" w:hAnsi="Calibri"/>
                <w:b w:val="0"/>
                <w:i w:val="0"/>
                <w:color w:val="212121"/>
                <w:sz w:val="16"/>
              </w:rPr>
              <w:t>C9orf72, SOD1, TARDBP, FUS panel</w:t>
            </w:r>
          </w:p>
        </w:tc>
        <w:tc>
          <w:tcPr>
            <w:tcW w:type="dxa" w:w="892"/>
            <w:vAlign w:val="top"/>
          </w:tcPr>
          <w:p>
            <w:pPr>
              <w:spacing w:after="40" w:before="0" w:line="259" w:lineRule="auto"/>
            </w:pPr>
            <w:r>
              <w:rPr>
                <w:rFonts w:ascii="Calibri" w:hAnsi="Calibri"/>
                <w:b w:val="0"/>
                <w:i w:val="0"/>
                <w:color w:val="212121"/>
                <w:sz w:val="16"/>
              </w:rPr>
              <w:t>Molecular genetic testing</w:t>
            </w:r>
          </w:p>
        </w:tc>
        <w:tc>
          <w:tcPr>
            <w:tcW w:type="dxa" w:w="950"/>
            <w:vAlign w:val="top"/>
          </w:tcPr>
          <w:p>
            <w:pPr>
              <w:spacing w:after="40" w:before="0" w:line="259" w:lineRule="auto"/>
            </w:pPr>
            <w:r>
              <w:rPr>
                <w:rFonts w:ascii="Calibri" w:hAnsi="Calibri"/>
                <w:b w:val="0"/>
                <w:i w:val="0"/>
                <w:color w:val="212121"/>
                <w:sz w:val="16"/>
              </w:rPr>
              <w:t>No pathogenic variant</w:t>
            </w:r>
          </w:p>
        </w:tc>
        <w:tc>
          <w:tcPr>
            <w:tcW w:type="dxa" w:w="950"/>
            <w:vAlign w:val="top"/>
          </w:tcPr>
          <w:p>
            <w:pPr>
              <w:spacing w:after="40" w:before="0" w:line="259" w:lineRule="auto"/>
            </w:pPr>
            <w:r>
              <w:rPr>
                <w:rFonts w:ascii="Calibri" w:hAnsi="Calibri"/>
                <w:b w:val="0"/>
                <w:i w:val="0"/>
                <w:color w:val="212121"/>
                <w:sz w:val="16"/>
              </w:rPr>
              <w:t>Pathogenic repeat expansion or mutation</w:t>
            </w:r>
          </w:p>
        </w:tc>
        <w:tc>
          <w:tcPr>
            <w:tcW w:type="dxa" w:w="1036"/>
            <w:vAlign w:val="top"/>
          </w:tcPr>
          <w:p>
            <w:pPr>
              <w:spacing w:after="40" w:before="0" w:line="259" w:lineRule="auto"/>
            </w:pPr>
            <w:r>
              <w:rPr>
                <w:rFonts w:ascii="Calibri" w:hAnsi="Calibri"/>
                <w:b w:val="0"/>
                <w:i w:val="0"/>
                <w:color w:val="212121"/>
                <w:sz w:val="16"/>
              </w:rPr>
              <w:t>Confirms familial ALS, informs counselling and enables gene-specific therapy (e.g., tofersen for SOD1)</w:t>
            </w:r>
          </w:p>
        </w:tc>
        <w:tc>
          <w:tcPr>
            <w:tcW w:type="dxa" w:w="1036"/>
            <w:vAlign w:val="top"/>
          </w:tcPr>
          <w:p>
            <w:pPr>
              <w:spacing w:after="40" w:before="0" w:line="259" w:lineRule="auto"/>
            </w:pPr>
            <w:r>
              <w:rPr>
                <w:rFonts w:ascii="Calibri" w:hAnsi="Calibri"/>
                <w:b w:val="0"/>
                <w:i w:val="0"/>
                <w:color w:val="212121"/>
                <w:sz w:val="16"/>
              </w:rPr>
              <w:t>Familial, young-onset or ALS-FTD patients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Confirmatory (familial)</w:t>
            </w:r>
          </w:p>
        </w:tc>
        <w:tc>
          <w:tcPr>
            <w:tcW w:type="dxa" w:w="720"/>
            <w:vAlign w:val="top"/>
          </w:tcPr>
          <w:p>
            <w:pPr>
              <w:spacing w:after="40" w:before="0" w:line="259" w:lineRule="auto"/>
            </w:pPr>
            <w:r>
              <w:rPr>
                <w:rFonts w:ascii="Calibri" w:hAnsi="Calibri"/>
                <w:b w:val="0"/>
                <w:i w:val="0"/>
                <w:color w:val="212121"/>
                <w:sz w:val="16"/>
              </w:rPr>
              <w:t>Mutation spectrum differs in Indian patients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Blood — mimic exclusion</w:t>
            </w:r>
          </w:p>
        </w:tc>
        <w:tc>
          <w:tcPr>
            <w:tcW w:type="dxa" w:w="1036"/>
            <w:vAlign w:val="top"/>
          </w:tcPr>
          <w:p>
            <w:pPr>
              <w:spacing w:after="40" w:before="0" w:line="259" w:lineRule="auto"/>
            </w:pPr>
            <w:r>
              <w:rPr>
                <w:rFonts w:ascii="Calibri" w:hAnsi="Calibri"/>
                <w:b w:val="0"/>
                <w:i w:val="0"/>
                <w:color w:val="212121"/>
                <w:sz w:val="16"/>
              </w:rPr>
              <w:t>B12, TSH, HIV, SPEP, anti-GM1, heavy metals</w:t>
            </w:r>
          </w:p>
        </w:tc>
        <w:tc>
          <w:tcPr>
            <w:tcW w:type="dxa" w:w="892"/>
            <w:vAlign w:val="top"/>
          </w:tcPr>
          <w:p>
            <w:pPr>
              <w:spacing w:after="40" w:before="0" w:line="259" w:lineRule="auto"/>
            </w:pPr>
            <w:r>
              <w:rPr>
                <w:rFonts w:ascii="Calibri" w:hAnsi="Calibri"/>
                <w:b w:val="0"/>
                <w:i w:val="0"/>
                <w:color w:val="212121"/>
                <w:sz w:val="16"/>
              </w:rPr>
              <w:t>Screening blood panel</w:t>
            </w:r>
          </w:p>
        </w:tc>
        <w:tc>
          <w:tcPr>
            <w:tcW w:type="dxa" w:w="950"/>
            <w:vAlign w:val="top"/>
          </w:tcPr>
          <w:p>
            <w:pPr>
              <w:spacing w:after="40" w:before="0" w:line="259" w:lineRule="auto"/>
            </w:pPr>
            <w:r>
              <w:rPr>
                <w:rFonts w:ascii="Calibri" w:hAnsi="Calibri"/>
                <w:b w:val="0"/>
                <w:i w:val="0"/>
                <w:color w:val="212121"/>
                <w:sz w:val="16"/>
              </w:rPr>
              <w:t>Within reference ranges</w:t>
            </w:r>
          </w:p>
        </w:tc>
        <w:tc>
          <w:tcPr>
            <w:tcW w:type="dxa" w:w="950"/>
            <w:vAlign w:val="top"/>
          </w:tcPr>
          <w:p>
            <w:pPr>
              <w:spacing w:after="40" w:before="0" w:line="259" w:lineRule="auto"/>
            </w:pPr>
            <w:r>
              <w:rPr>
                <w:rFonts w:ascii="Calibri" w:hAnsi="Calibri"/>
                <w:b w:val="0"/>
                <w:i w:val="0"/>
                <w:color w:val="212121"/>
                <w:sz w:val="16"/>
              </w:rPr>
              <w:t>Identifies a treatable mimic</w:t>
            </w:r>
          </w:p>
        </w:tc>
        <w:tc>
          <w:tcPr>
            <w:tcW w:type="dxa" w:w="1036"/>
            <w:vAlign w:val="top"/>
          </w:tcPr>
          <w:p>
            <w:pPr>
              <w:spacing w:after="40" w:before="0" w:line="259" w:lineRule="auto"/>
            </w:pPr>
            <w:r>
              <w:rPr>
                <w:rFonts w:ascii="Calibri" w:hAnsi="Calibri"/>
                <w:b w:val="0"/>
                <w:i w:val="0"/>
                <w:color w:val="212121"/>
                <w:sz w:val="16"/>
              </w:rPr>
              <w:t>Excludes B12 deficiency, thyroid disease, multifocal motor neuropathy, paraproteinaemia and lead toxicity</w:t>
            </w:r>
          </w:p>
        </w:tc>
        <w:tc>
          <w:tcPr>
            <w:tcW w:type="dxa" w:w="1036"/>
            <w:vAlign w:val="top"/>
          </w:tcPr>
          <w:p>
            <w:pPr>
              <w:spacing w:after="40" w:before="0" w:line="259" w:lineRule="auto"/>
            </w:pPr>
            <w:r>
              <w:rPr>
                <w:rFonts w:ascii="Calibri" w:hAnsi="Calibri"/>
                <w:b w:val="0"/>
                <w:i w:val="0"/>
                <w:color w:val="212121"/>
                <w:sz w:val="16"/>
              </w:rPr>
              <w:t>All patients at diagnosis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Essential (exclusion)</w:t>
            </w:r>
          </w:p>
        </w:tc>
        <w:tc>
          <w:tcPr>
            <w:tcW w:type="dxa" w:w="720"/>
            <w:vAlign w:val="top"/>
          </w:tcPr>
          <w:p>
            <w:pPr>
              <w:spacing w:after="40" w:before="0" w:line="259" w:lineRule="auto"/>
            </w:pPr>
            <w:r>
              <w:rPr>
                <w:rFonts w:ascii="Calibri" w:hAnsi="Calibri"/>
                <w:b w:val="0"/>
                <w:i w:val="0"/>
                <w:color w:val="212121"/>
                <w:sz w:val="16"/>
              </w:rPr>
              <w:t>Ensures reversible causes are not missed</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Progressive painless asymmetric weakness, wasting, twitching, cramps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Focal-onset asymmetric limb weakness with wasting, fasciculations and cramps</w:t>
            </w:r>
          </w:p>
        </w:tc>
        <w:tc>
          <w:tcPr>
            <w:tcW w:type="dxa" w:w="1036"/>
            <w:vAlign w:val="top"/>
          </w:tcPr>
          <w:p>
            <w:pPr>
              <w:spacing w:after="40" w:before="0" w:line="259" w:lineRule="auto"/>
            </w:pPr>
            <w:r>
              <w:rPr>
                <w:rFonts w:ascii="Calibri" w:hAnsi="Calibri"/>
                <w:b w:val="0"/>
                <w:i w:val="0"/>
                <w:color w:val="212121"/>
                <w:sz w:val="16"/>
              </w:rPr>
              <w:t>Lower motor neuron symptom onset, typically in one limb and spreading to contiguous regions</w:t>
            </w:r>
          </w:p>
        </w:tc>
        <w:tc>
          <w:tcPr>
            <w:tcW w:type="dxa" w:w="1036"/>
            <w:vAlign w:val="top"/>
          </w:tcPr>
          <w:p>
            <w:pPr>
              <w:spacing w:after="40" w:before="0" w:line="259" w:lineRule="auto"/>
            </w:pPr>
            <w:r>
              <w:rPr>
                <w:rFonts w:ascii="Calibri" w:hAnsi="Calibri"/>
                <w:b w:val="0"/>
                <w:i w:val="0"/>
                <w:color w:val="212121"/>
                <w:sz w:val="16"/>
              </w:rPr>
              <w:t>Limb-onset ALS</w:t>
            </w:r>
          </w:p>
        </w:tc>
        <w:tc>
          <w:tcPr>
            <w:tcW w:type="dxa" w:w="720"/>
            <w:vAlign w:val="top"/>
          </w:tcPr>
          <w:p>
            <w:pPr>
              <w:spacing w:after="40" w:before="0" w:line="259" w:lineRule="auto"/>
            </w:pPr>
            <w:r>
              <w:rPr>
                <w:rFonts w:ascii="Calibri" w:hAnsi="Calibri"/>
                <w:b w:val="0"/>
                <w:i w:val="0"/>
                <w:color w:val="212121"/>
                <w:sz w:val="16"/>
              </w:rPr>
              <w:t>Physical activity</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Painless, asymmetric, spreading weakness is characteristic</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Bulbar symptoms</w:t>
            </w:r>
          </w:p>
        </w:tc>
        <w:tc>
          <w:tcPr>
            <w:tcW w:type="dxa" w:w="979"/>
            <w:vAlign w:val="top"/>
          </w:tcPr>
          <w:p>
            <w:pPr>
              <w:spacing w:after="40" w:before="0" w:line="259" w:lineRule="auto"/>
            </w:pPr>
            <w:r>
              <w:rPr>
                <w:rFonts w:ascii="Calibri" w:hAnsi="Calibri"/>
                <w:b w:val="0"/>
                <w:i w:val="0"/>
                <w:color w:val="212121"/>
                <w:sz w:val="16"/>
              </w:rPr>
              <w:t>Dysarthria, dysphagia, sialorrhoea</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Slurred/nasal speech, choking, drooling</w:t>
            </w:r>
          </w:p>
        </w:tc>
        <w:tc>
          <w:tcPr>
            <w:tcW w:type="dxa" w:w="1036"/>
            <w:vAlign w:val="top"/>
          </w:tcPr>
          <w:p>
            <w:pPr>
              <w:spacing w:after="40" w:before="0" w:line="259" w:lineRule="auto"/>
            </w:pPr>
            <w:r>
              <w:rPr>
                <w:rFonts w:ascii="Calibri" w:hAnsi="Calibri"/>
                <w:b w:val="0"/>
                <w:i w:val="0"/>
                <w:color w:val="212121"/>
                <w:sz w:val="16"/>
              </w:rPr>
              <w:t>Indicates bulbar-onset disease, which carries a worse prognosis</w:t>
            </w:r>
          </w:p>
        </w:tc>
        <w:tc>
          <w:tcPr>
            <w:tcW w:type="dxa" w:w="1036"/>
            <w:vAlign w:val="top"/>
          </w:tcPr>
          <w:p>
            <w:pPr>
              <w:spacing w:after="40" w:before="0" w:line="259" w:lineRule="auto"/>
            </w:pPr>
            <w:r>
              <w:rPr>
                <w:rFonts w:ascii="Calibri" w:hAnsi="Calibri"/>
                <w:b w:val="0"/>
                <w:i w:val="0"/>
                <w:color w:val="212121"/>
                <w:sz w:val="16"/>
              </w:rPr>
              <w:t>Bulbar-onset, elderly, women</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About 30% of an Indian cohort presented with bulbar onset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Upper motor neuron signs</w:t>
            </w:r>
          </w:p>
        </w:tc>
        <w:tc>
          <w:tcPr>
            <w:tcW w:type="dxa" w:w="979"/>
            <w:vAlign w:val="top"/>
          </w:tcPr>
          <w:p>
            <w:pPr>
              <w:spacing w:after="40" w:before="0" w:line="259" w:lineRule="auto"/>
            </w:pPr>
            <w:r>
              <w:rPr>
                <w:rFonts w:ascii="Calibri" w:hAnsi="Calibri"/>
                <w:b w:val="0"/>
                <w:i w:val="0"/>
                <w:color w:val="212121"/>
                <w:sz w:val="16"/>
              </w:rPr>
              <w:t>Spasticity, hyperreflexia, extensor plantar, brisk jaw jerk</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Corticospinal/corticobulbar tract involvement</w:t>
            </w:r>
          </w:p>
        </w:tc>
        <w:tc>
          <w:tcPr>
            <w:tcW w:type="dxa" w:w="1036"/>
            <w:vAlign w:val="top"/>
          </w:tcPr>
          <w:p>
            <w:pPr>
              <w:spacing w:after="40" w:before="0" w:line="259" w:lineRule="auto"/>
            </w:pPr>
            <w:r>
              <w:rPr>
                <w:rFonts w:ascii="Calibri" w:hAnsi="Calibri"/>
                <w:b w:val="0"/>
                <w:i w:val="0"/>
                <w:color w:val="212121"/>
                <w:sz w:val="16"/>
              </w:rPr>
              <w:t>Classic ALS, primary lateral sclerosis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UMN and LMN signs in the same region are the diagnostic key</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Lower motor neuron signs</w:t>
            </w:r>
          </w:p>
        </w:tc>
        <w:tc>
          <w:tcPr>
            <w:tcW w:type="dxa" w:w="979"/>
            <w:vAlign w:val="top"/>
          </w:tcPr>
          <w:p>
            <w:pPr>
              <w:spacing w:after="40" w:before="0" w:line="259" w:lineRule="auto"/>
            </w:pPr>
            <w:r>
              <w:rPr>
                <w:rFonts w:ascii="Calibri" w:hAnsi="Calibri"/>
                <w:b w:val="0"/>
                <w:i w:val="0"/>
                <w:color w:val="212121"/>
                <w:sz w:val="16"/>
              </w:rPr>
              <w:t>Wasting, fasciculations, hypotonia, weakness</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 including split-hand pattern and tongue fasciculations</w:t>
            </w:r>
          </w:p>
        </w:tc>
        <w:tc>
          <w:tcPr>
            <w:tcW w:type="dxa" w:w="1036"/>
            <w:vAlign w:val="top"/>
          </w:tcPr>
          <w:p>
            <w:pPr>
              <w:spacing w:after="40" w:before="0" w:line="259" w:lineRule="auto"/>
            </w:pPr>
            <w:r>
              <w:rPr>
                <w:rFonts w:ascii="Calibri" w:hAnsi="Calibri"/>
                <w:b w:val="0"/>
                <w:i w:val="0"/>
                <w:color w:val="212121"/>
                <w:sz w:val="16"/>
              </w:rPr>
              <w:t>Anterior horn cell degeneration</w:t>
            </w:r>
          </w:p>
        </w:tc>
        <w:tc>
          <w:tcPr>
            <w:tcW w:type="dxa" w:w="1036"/>
            <w:vAlign w:val="top"/>
          </w:tcPr>
          <w:p>
            <w:pPr>
              <w:spacing w:after="40" w:before="0" w:line="259" w:lineRule="auto"/>
            </w:pPr>
            <w:r>
              <w:rPr>
                <w:rFonts w:ascii="Calibri" w:hAnsi="Calibri"/>
                <w:b w:val="0"/>
                <w:i w:val="0"/>
                <w:color w:val="212121"/>
                <w:sz w:val="16"/>
              </w:rPr>
              <w:t>Classic ALS, progressive muscular atrophy</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 wasted, fasciculating tongue is highly suggestive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Cognitive-behavioural screen</w:t>
            </w:r>
          </w:p>
        </w:tc>
        <w:tc>
          <w:tcPr>
            <w:tcW w:type="dxa" w:w="979"/>
            <w:vAlign w:val="top"/>
          </w:tcPr>
          <w:p>
            <w:pPr>
              <w:spacing w:after="40" w:before="0" w:line="259" w:lineRule="auto"/>
            </w:pPr>
            <w:r>
              <w:rPr>
                <w:rFonts w:ascii="Calibri" w:hAnsi="Calibri"/>
                <w:b w:val="0"/>
                <w:i w:val="0"/>
                <w:color w:val="212121"/>
                <w:sz w:val="16"/>
              </w:rPr>
              <w:t>ECAS/FAB frontal &amp; behavioural assessment</w:t>
            </w:r>
          </w:p>
        </w:tc>
        <w:tc>
          <w:tcPr>
            <w:tcW w:type="dxa" w:w="950"/>
            <w:vAlign w:val="top"/>
          </w:tcPr>
          <w:p>
            <w:pPr>
              <w:spacing w:after="40" w:before="0" w:line="259" w:lineRule="auto"/>
            </w:pPr>
            <w:r>
              <w:rPr>
                <w:rFonts w:ascii="Calibri" w:hAnsi="Calibri"/>
                <w:b w:val="0"/>
                <w:i w:val="0"/>
                <w:color w:val="212121"/>
                <w:sz w:val="16"/>
              </w:rPr>
              <w:t>Normal cognition/behaviour</w:t>
            </w:r>
          </w:p>
        </w:tc>
        <w:tc>
          <w:tcPr>
            <w:tcW w:type="dxa" w:w="950"/>
            <w:vAlign w:val="top"/>
          </w:tcPr>
          <w:p>
            <w:pPr>
              <w:spacing w:after="40" w:before="0" w:line="259" w:lineRule="auto"/>
            </w:pPr>
            <w:r>
              <w:rPr>
                <w:rFonts w:ascii="Calibri" w:hAnsi="Calibri"/>
                <w:b w:val="0"/>
                <w:i w:val="0"/>
                <w:color w:val="212121"/>
                <w:sz w:val="16"/>
              </w:rPr>
              <w:t>Executive dysfunction or behavioural change</w:t>
            </w:r>
          </w:p>
        </w:tc>
        <w:tc>
          <w:tcPr>
            <w:tcW w:type="dxa" w:w="1036"/>
            <w:vAlign w:val="top"/>
          </w:tcPr>
          <w:p>
            <w:pPr>
              <w:spacing w:after="40" w:before="0" w:line="259" w:lineRule="auto"/>
            </w:pPr>
            <w:r>
              <w:rPr>
                <w:rFonts w:ascii="Calibri" w:hAnsi="Calibri"/>
                <w:b w:val="0"/>
                <w:i w:val="0"/>
                <w:color w:val="212121"/>
                <w:sz w:val="16"/>
              </w:rPr>
              <w:t>Detects the ALS-FTD spectrum</w:t>
            </w:r>
          </w:p>
        </w:tc>
        <w:tc>
          <w:tcPr>
            <w:tcW w:type="dxa" w:w="1036"/>
            <w:vAlign w:val="top"/>
          </w:tcPr>
          <w:p>
            <w:pPr>
              <w:spacing w:after="40" w:before="0" w:line="259" w:lineRule="auto"/>
            </w:pPr>
            <w:r>
              <w:rPr>
                <w:rFonts w:ascii="Calibri" w:hAnsi="Calibri"/>
                <w:b w:val="0"/>
                <w:i w:val="0"/>
                <w:color w:val="212121"/>
                <w:sz w:val="16"/>
              </w:rPr>
              <w:t>C9orf72 carriers, family history of FTD</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Cognitive status affects capacity, decision-making and prognosis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Family history</w:t>
            </w:r>
          </w:p>
        </w:tc>
        <w:tc>
          <w:tcPr>
            <w:tcW w:type="dxa" w:w="979"/>
            <w:vAlign w:val="top"/>
          </w:tcPr>
          <w:p>
            <w:pPr>
              <w:spacing w:after="40" w:before="0" w:line="259" w:lineRule="auto"/>
            </w:pPr>
            <w:r>
              <w:rPr>
                <w:rFonts w:ascii="Calibri" w:hAnsi="Calibri"/>
                <w:b w:val="0"/>
                <w:i w:val="0"/>
                <w:color w:val="212121"/>
                <w:sz w:val="16"/>
              </w:rPr>
              <w:t>First-degree relatives with MND or FTD</w:t>
            </w:r>
          </w:p>
        </w:tc>
        <w:tc>
          <w:tcPr>
            <w:tcW w:type="dxa" w:w="950"/>
            <w:vAlign w:val="top"/>
          </w:tcPr>
          <w:p>
            <w:pPr>
              <w:spacing w:after="40" w:before="0" w:line="259" w:lineRule="auto"/>
            </w:pPr>
            <w:r>
              <w:rPr>
                <w:rFonts w:ascii="Calibri" w:hAnsi="Calibri"/>
                <w:b w:val="0"/>
                <w:i w:val="0"/>
                <w:color w:val="212121"/>
                <w:sz w:val="16"/>
              </w:rPr>
              <w:t>No family history</w:t>
            </w:r>
          </w:p>
        </w:tc>
        <w:tc>
          <w:tcPr>
            <w:tcW w:type="dxa" w:w="950"/>
            <w:vAlign w:val="top"/>
          </w:tcPr>
          <w:p>
            <w:pPr>
              <w:spacing w:after="40" w:before="0" w:line="259" w:lineRule="auto"/>
            </w:pPr>
            <w:r>
              <w:rPr>
                <w:rFonts w:ascii="Calibri" w:hAnsi="Calibri"/>
                <w:b w:val="0"/>
                <w:i w:val="0"/>
                <w:color w:val="212121"/>
                <w:sz w:val="16"/>
              </w:rPr>
              <w:t>≥ 1 affected relative</w:t>
            </w:r>
          </w:p>
        </w:tc>
        <w:tc>
          <w:tcPr>
            <w:tcW w:type="dxa" w:w="1036"/>
            <w:vAlign w:val="top"/>
          </w:tcPr>
          <w:p>
            <w:pPr>
              <w:spacing w:after="40" w:before="0" w:line="259" w:lineRule="auto"/>
            </w:pPr>
            <w:r>
              <w:rPr>
                <w:rFonts w:ascii="Calibri" w:hAnsi="Calibri"/>
                <w:b w:val="0"/>
                <w:i w:val="0"/>
                <w:color w:val="212121"/>
                <w:sz w:val="16"/>
              </w:rPr>
              <w:t>Suggests familial ALS with typically earlier onset</w:t>
            </w:r>
          </w:p>
        </w:tc>
        <w:tc>
          <w:tcPr>
            <w:tcW w:type="dxa" w:w="1036"/>
            <w:vAlign w:val="top"/>
          </w:tcPr>
          <w:p>
            <w:pPr>
              <w:spacing w:after="40" w:before="0" w:line="259" w:lineRule="auto"/>
            </w:pPr>
            <w:r>
              <w:rPr>
                <w:rFonts w:ascii="Calibri" w:hAnsi="Calibri"/>
                <w:b w:val="0"/>
                <w:i w:val="0"/>
                <w:color w:val="212121"/>
                <w:sz w:val="16"/>
              </w:rPr>
              <w:t>Familial ALS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Prompts genetic testing and counselling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Examination</w:t>
            </w:r>
          </w:p>
        </w:tc>
        <w:tc>
          <w:tcPr>
            <w:tcW w:type="dxa" w:w="950"/>
            <w:vAlign w:val="top"/>
          </w:tcPr>
          <w:p>
            <w:pPr>
              <w:spacing w:after="40" w:before="0" w:line="259" w:lineRule="auto"/>
            </w:pPr>
            <w:r>
              <w:rPr>
                <w:rFonts w:ascii="Calibri" w:hAnsi="Calibri"/>
                <w:b w:val="0"/>
                <w:i w:val="0"/>
                <w:color w:val="212121"/>
                <w:sz w:val="16"/>
              </w:rPr>
              <w:t>Respiratory assessment</w:t>
            </w:r>
          </w:p>
        </w:tc>
        <w:tc>
          <w:tcPr>
            <w:tcW w:type="dxa" w:w="979"/>
            <w:vAlign w:val="top"/>
          </w:tcPr>
          <w:p>
            <w:pPr>
              <w:spacing w:after="40" w:before="0" w:line="259" w:lineRule="auto"/>
            </w:pPr>
            <w:r>
              <w:rPr>
                <w:rFonts w:ascii="Calibri" w:hAnsi="Calibri"/>
                <w:b w:val="0"/>
                <w:i w:val="0"/>
                <w:color w:val="212121"/>
                <w:sz w:val="16"/>
              </w:rPr>
              <w:t>Orthopnoea, weak cough, accessory-muscle use, paradoxical breathing</w:t>
            </w:r>
          </w:p>
        </w:tc>
        <w:tc>
          <w:tcPr>
            <w:tcW w:type="dxa" w:w="950"/>
            <w:vAlign w:val="top"/>
          </w:tcPr>
          <w:p>
            <w:pPr>
              <w:spacing w:after="40" w:before="0" w:line="259" w:lineRule="auto"/>
            </w:pPr>
            <w:r>
              <w:rPr>
                <w:rFonts w:ascii="Calibri" w:hAnsi="Calibri"/>
                <w:b w:val="0"/>
                <w:i w:val="0"/>
                <w:color w:val="212121"/>
                <w:sz w:val="16"/>
              </w:rPr>
              <w:t>Normal effort</w:t>
            </w:r>
          </w:p>
        </w:tc>
        <w:tc>
          <w:tcPr>
            <w:tcW w:type="dxa" w:w="950"/>
            <w:vAlign w:val="top"/>
          </w:tcPr>
          <w:p>
            <w:pPr>
              <w:spacing w:after="40" w:before="0" w:line="259" w:lineRule="auto"/>
            </w:pPr>
            <w:r>
              <w:rPr>
                <w:rFonts w:ascii="Calibri" w:hAnsi="Calibri"/>
                <w:b w:val="0"/>
                <w:i w:val="0"/>
                <w:color w:val="212121"/>
                <w:sz w:val="16"/>
              </w:rPr>
              <w:t>Signs of hypoventilation</w:t>
            </w:r>
          </w:p>
        </w:tc>
        <w:tc>
          <w:tcPr>
            <w:tcW w:type="dxa" w:w="1036"/>
            <w:vAlign w:val="top"/>
          </w:tcPr>
          <w:p>
            <w:pPr>
              <w:spacing w:after="40" w:before="0" w:line="259" w:lineRule="auto"/>
            </w:pPr>
            <w:r>
              <w:rPr>
                <w:rFonts w:ascii="Calibri" w:hAnsi="Calibri"/>
                <w:b w:val="0"/>
                <w:i w:val="0"/>
                <w:color w:val="212121"/>
                <w:sz w:val="16"/>
              </w:rPr>
              <w:t>Respiratory-muscle weakness — the leading cause of death in ALS</w:t>
            </w:r>
          </w:p>
        </w:tc>
        <w:tc>
          <w:tcPr>
            <w:tcW w:type="dxa" w:w="1036"/>
            <w:vAlign w:val="top"/>
          </w:tcPr>
          <w:p>
            <w:pPr>
              <w:spacing w:after="40" w:before="0" w:line="259" w:lineRule="auto"/>
            </w:pPr>
            <w:r>
              <w:rPr>
                <w:rFonts w:ascii="Calibri" w:hAnsi="Calibri"/>
                <w:b w:val="0"/>
                <w:i w:val="0"/>
                <w:color w:val="212121"/>
                <w:sz w:val="16"/>
              </w:rPr>
              <w:t>All, especially bulbar/advanced</w:t>
            </w:r>
          </w:p>
        </w:tc>
        <w:tc>
          <w:tcPr>
            <w:tcW w:type="dxa" w:w="720"/>
            <w:vAlign w:val="top"/>
          </w:tcPr>
          <w:p>
            <w:pPr>
              <w:spacing w:after="40" w:before="0" w:line="259" w:lineRule="auto"/>
            </w:pPr>
            <w:r>
              <w:rPr>
                <w:rFonts w:ascii="Calibri" w:hAnsi="Calibri"/>
                <w:b w:val="0"/>
                <w:i w:val="0"/>
                <w:color w:val="212121"/>
                <w:sz w:val="16"/>
              </w:rPr>
              <w:t>Sleep</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Triggers timely discussion of non-invasive ventilation</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Progressive asymmetric limb weakness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Foot drop, tripping, hand clumsiness or difficulty gripping; begins focally and spreads to contiguous regions.</w:t>
            </w:r>
          </w:p>
        </w:tc>
      </w:tr>
      <w:tr>
        <w:trPr>
          <w:cantSplit/>
        </w:trPr>
        <w:tc>
          <w:tcPr>
            <w:tcW w:type="dxa" w:w="2304"/>
            <w:vAlign w:val="top"/>
          </w:tcPr>
          <w:p>
            <w:pPr>
              <w:spacing w:after="40" w:before="0" w:line="259" w:lineRule="auto"/>
            </w:pPr>
            <w:r>
              <w:rPr>
                <w:rFonts w:ascii="Calibri" w:hAnsi="Calibri"/>
                <w:b/>
                <w:i w:val="0"/>
                <w:color w:val="212121"/>
                <w:sz w:val="19"/>
              </w:rPr>
              <w:t>Muscle wasting (atrophy)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Visible thinning of muscles, classically the “split-hand” pattern (thenar wasting greater than hypothenar).</w:t>
            </w:r>
          </w:p>
        </w:tc>
      </w:tr>
      <w:tr>
        <w:trPr>
          <w:cantSplit/>
        </w:trPr>
        <w:tc>
          <w:tcPr>
            <w:tcW w:type="dxa" w:w="2304"/>
            <w:vAlign w:val="top"/>
          </w:tcPr>
          <w:p>
            <w:pPr>
              <w:spacing w:after="40" w:before="0" w:line="259" w:lineRule="auto"/>
            </w:pPr>
            <w:r>
              <w:rPr>
                <w:rFonts w:ascii="Calibri" w:hAnsi="Calibri"/>
                <w:b/>
                <w:i w:val="0"/>
                <w:color w:val="212121"/>
                <w:sz w:val="19"/>
              </w:rPr>
              <w:t>Fasciculations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Visible spontaneous muscle twitching, often widespread and noticed by the patient.</w:t>
            </w:r>
          </w:p>
        </w:tc>
      </w:tr>
      <w:tr>
        <w:trPr>
          <w:cantSplit/>
        </w:trPr>
        <w:tc>
          <w:tcPr>
            <w:tcW w:type="dxa" w:w="2304"/>
            <w:vAlign w:val="top"/>
          </w:tcPr>
          <w:p>
            <w:pPr>
              <w:spacing w:after="40" w:before="0" w:line="259" w:lineRule="auto"/>
            </w:pPr>
            <w:r>
              <w:rPr>
                <w:rFonts w:ascii="Calibri" w:hAnsi="Calibri"/>
                <w:b/>
                <w:i w:val="0"/>
                <w:color w:val="212121"/>
                <w:sz w:val="19"/>
              </w:rPr>
              <w:t>Muscle cramps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Frequent, sometimes an early and prominent symptom.</w:t>
            </w:r>
          </w:p>
        </w:tc>
      </w:tr>
      <w:tr>
        <w:trPr>
          <w:cantSplit/>
        </w:trPr>
        <w:tc>
          <w:tcPr>
            <w:tcW w:type="dxa" w:w="2304"/>
            <w:vAlign w:val="top"/>
          </w:tcPr>
          <w:p>
            <w:pPr>
              <w:spacing w:after="40" w:before="0" w:line="259" w:lineRule="auto"/>
            </w:pPr>
            <w:r>
              <w:rPr>
                <w:rFonts w:ascii="Calibri" w:hAnsi="Calibri"/>
                <w:b/>
                <w:i w:val="0"/>
                <w:color w:val="212121"/>
                <w:sz w:val="19"/>
              </w:rPr>
              <w:t>Dysarthria (slurred speech)</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Slow, slurred or nasal speech from bulbar (corticobulbar and lower cranial nerve) involvement.</w:t>
            </w:r>
          </w:p>
        </w:tc>
      </w:tr>
      <w:tr>
        <w:trPr>
          <w:cantSplit/>
        </w:trPr>
        <w:tc>
          <w:tcPr>
            <w:tcW w:type="dxa" w:w="2304"/>
            <w:vAlign w:val="top"/>
          </w:tcPr>
          <w:p>
            <w:pPr>
              <w:spacing w:after="40" w:before="0" w:line="259" w:lineRule="auto"/>
            </w:pPr>
            <w:r>
              <w:rPr>
                <w:rFonts w:ascii="Calibri" w:hAnsi="Calibri"/>
                <w:b/>
                <w:i w:val="0"/>
                <w:color w:val="212121"/>
                <w:sz w:val="19"/>
              </w:rPr>
              <w:t>Dysphagia (difficulty swallowing)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Choking on liquids or solids; raises aspiration and malnutrition risk.</w:t>
            </w:r>
          </w:p>
        </w:tc>
      </w:tr>
      <w:tr>
        <w:trPr>
          <w:cantSplit/>
        </w:trPr>
        <w:tc>
          <w:tcPr>
            <w:tcW w:type="dxa" w:w="2304"/>
            <w:vAlign w:val="top"/>
          </w:tcPr>
          <w:p>
            <w:pPr>
              <w:spacing w:after="40" w:before="0" w:line="259" w:lineRule="auto"/>
            </w:pPr>
            <w:r>
              <w:rPr>
                <w:rFonts w:ascii="Calibri" w:hAnsi="Calibri"/>
                <w:b/>
                <w:i w:val="0"/>
                <w:color w:val="212121"/>
                <w:sz w:val="19"/>
              </w:rPr>
              <w:t>Muscle stiffness / spasticity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Tightness and slowness of movement from upper motor neuron involvement.</w:t>
            </w:r>
          </w:p>
        </w:tc>
      </w:tr>
      <w:tr>
        <w:trPr>
          <w:cantSplit/>
        </w:trPr>
        <w:tc>
          <w:tcPr>
            <w:tcW w:type="dxa" w:w="2304"/>
            <w:vAlign w:val="top"/>
          </w:tcPr>
          <w:p>
            <w:pPr>
              <w:spacing w:after="40" w:before="0" w:line="259" w:lineRule="auto"/>
            </w:pPr>
            <w:r>
              <w:rPr>
                <w:rFonts w:ascii="Calibri" w:hAnsi="Calibri"/>
                <w:b/>
                <w:i w:val="0"/>
                <w:color w:val="212121"/>
                <w:sz w:val="19"/>
              </w:rPr>
              <w:t>Fatigue and reduced exercise tolerance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Related to weakness, increased work of breathing and hypermetabolism.</w:t>
            </w:r>
          </w:p>
        </w:tc>
      </w:tr>
      <w:tr>
        <w:trPr>
          <w:cantSplit/>
        </w:trPr>
        <w:tc>
          <w:tcPr>
            <w:tcW w:type="dxa" w:w="2304"/>
            <w:vAlign w:val="top"/>
          </w:tcPr>
          <w:p>
            <w:pPr>
              <w:spacing w:after="40" w:before="0" w:line="259" w:lineRule="auto"/>
            </w:pPr>
            <w:r>
              <w:rPr>
                <w:rFonts w:ascii="Calibri" w:hAnsi="Calibri"/>
                <w:b/>
                <w:i w:val="0"/>
                <w:color w:val="212121"/>
                <w:sz w:val="19"/>
              </w:rPr>
              <w:t>Weight loss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Driven by dysphagia and a hypermetabolic state; predicts faster progression.</w:t>
            </w:r>
          </w:p>
        </w:tc>
      </w:tr>
      <w:tr>
        <w:trPr>
          <w:cantSplit/>
        </w:trPr>
        <w:tc>
          <w:tcPr>
            <w:tcW w:type="dxa" w:w="2304"/>
            <w:vAlign w:val="top"/>
          </w:tcPr>
          <w:p>
            <w:pPr>
              <w:spacing w:after="40" w:before="0" w:line="259" w:lineRule="auto"/>
            </w:pPr>
            <w:r>
              <w:rPr>
                <w:rFonts w:ascii="Calibri" w:hAnsi="Calibri"/>
                <w:b/>
                <w:i w:val="0"/>
                <w:color w:val="212121"/>
                <w:sz w:val="19"/>
              </w:rPr>
              <w:t>Breathlessness / orthopnoea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From respiratory-muscle weakness; may present as breathlessness lying flat or on exertion, or as morning headache.</w:t>
            </w:r>
          </w:p>
        </w:tc>
      </w:tr>
      <w:tr>
        <w:trPr>
          <w:cantSplit/>
        </w:trPr>
        <w:tc>
          <w:tcPr>
            <w:tcW w:type="dxa" w:w="2304"/>
            <w:vAlign w:val="top"/>
          </w:tcPr>
          <w:p>
            <w:pPr>
              <w:spacing w:after="40" w:before="0" w:line="259" w:lineRule="auto"/>
            </w:pPr>
            <w:r>
              <w:rPr>
                <w:rFonts w:ascii="Calibri" w:hAnsi="Calibri"/>
                <w:b/>
                <w:i w:val="0"/>
                <w:color w:val="212121"/>
                <w:sz w:val="19"/>
              </w:rPr>
              <w:t>Sialorrhoea (drooling)</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Pooling of saliva due to impaired swallowing rather than overproduction.</w:t>
            </w:r>
          </w:p>
        </w:tc>
      </w:tr>
      <w:tr>
        <w:trPr>
          <w:cantSplit/>
        </w:trPr>
        <w:tc>
          <w:tcPr>
            <w:tcW w:type="dxa" w:w="2304"/>
            <w:vAlign w:val="top"/>
          </w:tcPr>
          <w:p>
            <w:pPr>
              <w:spacing w:after="40" w:before="0" w:line="259" w:lineRule="auto"/>
            </w:pPr>
            <w:r>
              <w:rPr>
                <w:rFonts w:ascii="Calibri" w:hAnsi="Calibri"/>
                <w:b/>
                <w:i w:val="0"/>
                <w:color w:val="212121"/>
                <w:sz w:val="19"/>
              </w:rPr>
              <w:t>Emotional lability / pseudobulbar affect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Involuntary laughing or crying incongruent with mood, from corticobulbar involvement.</w:t>
            </w:r>
          </w:p>
        </w:tc>
      </w:tr>
      <w:tr>
        <w:trPr>
          <w:cantSplit/>
        </w:trPr>
        <w:tc>
          <w:tcPr>
            <w:tcW w:type="dxa" w:w="2304"/>
            <w:vAlign w:val="top"/>
          </w:tcPr>
          <w:p>
            <w:pPr>
              <w:spacing w:after="40" w:before="0" w:line="259" w:lineRule="auto"/>
            </w:pPr>
            <w:r>
              <w:rPr>
                <w:rFonts w:ascii="Calibri" w:hAnsi="Calibri"/>
                <w:b/>
                <w:i w:val="0"/>
                <w:color w:val="212121"/>
                <w:sz w:val="19"/>
              </w:rPr>
              <w:t>Cognitive or behavioural change</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Apathy, disinhibition or executive dysfunction reflecting the ALS-FTD spectrum.</w:t>
            </w:r>
          </w:p>
        </w:tc>
      </w:tr>
      <w:tr>
        <w:trPr>
          <w:cantSplit/>
        </w:trPr>
        <w:tc>
          <w:tcPr>
            <w:tcW w:type="dxa" w:w="2304"/>
            <w:vAlign w:val="top"/>
          </w:tcPr>
          <w:p>
            <w:pPr>
              <w:spacing w:after="40" w:before="0" w:line="259" w:lineRule="auto"/>
            </w:pPr>
            <w:r>
              <w:rPr>
                <w:rFonts w:ascii="Calibri" w:hAnsi="Calibri"/>
                <w:b/>
                <w:i w:val="0"/>
                <w:color w:val="212121"/>
                <w:sz w:val="19"/>
              </w:rPr>
              <w:t>Sensory symptoms or pain</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Sensation is characteristically preserved; prominent sensory loss argues against ALS, though musculoskeletal pain may occur late.</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Focal muscle atrophy (“split hand”)</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Wasting favouring the thenar eminence and first dorsal interosseous over the hypothenar — an ALS-typical pattern.</w:t>
            </w:r>
          </w:p>
        </w:tc>
      </w:tr>
      <w:tr>
        <w:trPr>
          <w:cantSplit/>
        </w:trPr>
        <w:tc>
          <w:tcPr>
            <w:tcW w:type="dxa" w:w="3456"/>
            <w:vAlign w:val="top"/>
          </w:tcPr>
          <w:p>
            <w:pPr>
              <w:spacing w:after="40" w:before="0" w:line="259" w:lineRule="auto"/>
            </w:pPr>
            <w:r>
              <w:rPr>
                <w:rFonts w:ascii="Calibri" w:hAnsi="Calibri"/>
                <w:b/>
                <w:i w:val="0"/>
                <w:color w:val="212121"/>
                <w:sz w:val="19"/>
              </w:rPr>
              <w:t>Fasciculations (limbs and tongue)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Spontaneous visible twitching; a wasted, fasciculating tongue is highly suggestive.</w:t>
            </w:r>
          </w:p>
        </w:tc>
      </w:tr>
      <w:tr>
        <w:trPr>
          <w:cantSplit/>
        </w:trPr>
        <w:tc>
          <w:tcPr>
            <w:tcW w:type="dxa" w:w="3456"/>
            <w:vAlign w:val="top"/>
          </w:tcPr>
          <w:p>
            <w:pPr>
              <w:spacing w:after="40" w:before="0" w:line="259" w:lineRule="auto"/>
            </w:pPr>
            <w:r>
              <w:rPr>
                <w:rFonts w:ascii="Calibri" w:hAnsi="Calibri"/>
                <w:b/>
                <w:i w:val="0"/>
                <w:color w:val="212121"/>
                <w:sz w:val="19"/>
              </w:rPr>
              <w:t>Hyperreflexia in wasted limbs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Brisk reflexes in a weak, wasted limb — the hallmark combination of coexisting UMN and LMN signs.</w:t>
            </w:r>
          </w:p>
        </w:tc>
      </w:tr>
      <w:tr>
        <w:trPr>
          <w:cantSplit/>
        </w:trPr>
        <w:tc>
          <w:tcPr>
            <w:tcW w:type="dxa" w:w="3456"/>
            <w:vAlign w:val="top"/>
          </w:tcPr>
          <w:p>
            <w:pPr>
              <w:spacing w:after="40" w:before="0" w:line="259" w:lineRule="auto"/>
            </w:pPr>
            <w:r>
              <w:rPr>
                <w:rFonts w:ascii="Calibri" w:hAnsi="Calibri"/>
                <w:b/>
                <w:i w:val="0"/>
                <w:color w:val="212121"/>
                <w:sz w:val="19"/>
              </w:rPr>
              <w:t>Spasticity / increased tone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Velocity-dependent resistance from corticospinal-tract involvement.</w:t>
            </w:r>
          </w:p>
        </w:tc>
      </w:tr>
      <w:tr>
        <w:trPr>
          <w:cantSplit/>
        </w:trPr>
        <w:tc>
          <w:tcPr>
            <w:tcW w:type="dxa" w:w="3456"/>
            <w:vAlign w:val="top"/>
          </w:tcPr>
          <w:p>
            <w:pPr>
              <w:spacing w:after="40" w:before="0" w:line="259" w:lineRule="auto"/>
            </w:pPr>
            <w:r>
              <w:rPr>
                <w:rFonts w:ascii="Calibri" w:hAnsi="Calibri"/>
                <w:b/>
                <w:i w:val="0"/>
                <w:color w:val="212121"/>
                <w:sz w:val="19"/>
              </w:rPr>
              <w:t>Extensor plantar response (Babinski sign)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Upgoing toe indicating upper motor neuron dysfunction.</w:t>
            </w:r>
          </w:p>
        </w:tc>
      </w:tr>
      <w:tr>
        <w:trPr>
          <w:cantSplit/>
        </w:trPr>
        <w:tc>
          <w:tcPr>
            <w:tcW w:type="dxa" w:w="3456"/>
            <w:vAlign w:val="top"/>
          </w:tcPr>
          <w:p>
            <w:pPr>
              <w:spacing w:after="40" w:before="0" w:line="259" w:lineRule="auto"/>
            </w:pPr>
            <w:r>
              <w:rPr>
                <w:rFonts w:ascii="Calibri" w:hAnsi="Calibri"/>
                <w:b/>
                <w:i w:val="0"/>
                <w:color w:val="212121"/>
                <w:sz w:val="19"/>
              </w:rPr>
              <w:t>Tongue wasting and fasciculation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Bulbar lower motor neuron sign; associated with dysarthria and dysphagia.</w:t>
            </w:r>
          </w:p>
        </w:tc>
      </w:tr>
      <w:tr>
        <w:trPr>
          <w:cantSplit/>
        </w:trPr>
        <w:tc>
          <w:tcPr>
            <w:tcW w:type="dxa" w:w="3456"/>
            <w:vAlign w:val="top"/>
          </w:tcPr>
          <w:p>
            <w:pPr>
              <w:spacing w:after="40" w:before="0" w:line="259" w:lineRule="auto"/>
            </w:pPr>
            <w:r>
              <w:rPr>
                <w:rFonts w:ascii="Calibri" w:hAnsi="Calibri"/>
                <w:b/>
                <w:i w:val="0"/>
                <w:color w:val="212121"/>
                <w:sz w:val="19"/>
              </w:rPr>
              <w:t>Weak cough / reduced FVC / paradoxical breathing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Respiratory-muscle weakness; paradoxical abdominal movement signals diaphragm involvement.</w:t>
            </w:r>
          </w:p>
        </w:tc>
      </w:tr>
      <w:tr>
        <w:trPr>
          <w:cantSplit/>
        </w:trPr>
        <w:tc>
          <w:tcPr>
            <w:tcW w:type="dxa" w:w="3456"/>
            <w:vAlign w:val="top"/>
          </w:tcPr>
          <w:p>
            <w:pPr>
              <w:spacing w:after="40" w:before="0" w:line="259" w:lineRule="auto"/>
            </w:pPr>
            <w:r>
              <w:rPr>
                <w:rFonts w:ascii="Calibri" w:hAnsi="Calibri"/>
                <w:b/>
                <w:i w:val="0"/>
                <w:color w:val="212121"/>
                <w:sz w:val="19"/>
              </w:rPr>
              <w:t>Foot drop / high-stepping gait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Distal lower-limb weakness causing tripping and a steppage gait.</w:t>
            </w:r>
          </w:p>
        </w:tc>
      </w:tr>
      <w:tr>
        <w:trPr>
          <w:cantSplit/>
        </w:trPr>
        <w:tc>
          <w:tcPr>
            <w:tcW w:type="dxa" w:w="3456"/>
            <w:vAlign w:val="top"/>
          </w:tcPr>
          <w:p>
            <w:pPr>
              <w:spacing w:after="40" w:before="0" w:line="259" w:lineRule="auto"/>
            </w:pPr>
            <w:r>
              <w:rPr>
                <w:rFonts w:ascii="Calibri" w:hAnsi="Calibri"/>
                <w:b/>
                <w:i w:val="0"/>
                <w:color w:val="212121"/>
                <w:sz w:val="19"/>
              </w:rPr>
              <w:t>Brisk jaw jerk</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Exaggerated jaw reflex indicating a pseudobulbar (UMN) component.</w:t>
            </w:r>
          </w:p>
        </w:tc>
      </w:tr>
      <w:tr>
        <w:trPr>
          <w:cantSplit/>
        </w:trPr>
        <w:tc>
          <w:tcPr>
            <w:tcW w:type="dxa" w:w="3456"/>
            <w:vAlign w:val="top"/>
          </w:tcPr>
          <w:p>
            <w:pPr>
              <w:spacing w:after="40" w:before="0" w:line="259" w:lineRule="auto"/>
            </w:pPr>
            <w:r>
              <w:rPr>
                <w:rFonts w:ascii="Calibri" w:hAnsi="Calibri"/>
                <w:b/>
                <w:i w:val="0"/>
                <w:color w:val="212121"/>
                <w:sz w:val="19"/>
              </w:rPr>
              <w:t>Head drop (neck-extensor weakness)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Inability to hold the head up from weak neck extensors; affects breathing and swallowing posture.</w:t>
            </w:r>
          </w:p>
        </w:tc>
      </w:tr>
      <w:tr>
        <w:trPr>
          <w:cantSplit/>
        </w:trPr>
        <w:tc>
          <w:tcPr>
            <w:tcW w:type="dxa" w:w="3456"/>
            <w:vAlign w:val="top"/>
          </w:tcPr>
          <w:p>
            <w:pPr>
              <w:spacing w:after="40" w:before="0" w:line="259" w:lineRule="auto"/>
            </w:pPr>
            <w:r>
              <w:rPr>
                <w:rFonts w:ascii="Calibri" w:hAnsi="Calibri"/>
                <w:b/>
                <w:i w:val="0"/>
                <w:color w:val="212121"/>
                <w:sz w:val="19"/>
              </w:rPr>
              <w:t>Pseudobulbar affect</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Labile, involuntary emotional expression on examination.</w:t>
            </w:r>
          </w:p>
        </w:tc>
      </w:tr>
      <w:tr>
        <w:trPr>
          <w:cantSplit/>
        </w:trPr>
        <w:tc>
          <w:tcPr>
            <w:tcW w:type="dxa" w:w="3456"/>
            <w:vAlign w:val="top"/>
          </w:tcPr>
          <w:p>
            <w:pPr>
              <w:spacing w:after="40" w:before="0" w:line="259" w:lineRule="auto"/>
            </w:pPr>
            <w:r>
              <w:rPr>
                <w:rFonts w:ascii="Calibri" w:hAnsi="Calibri"/>
                <w:b/>
                <w:i w:val="0"/>
                <w:color w:val="212121"/>
                <w:sz w:val="19"/>
              </w:rPr>
              <w:t>Preserved sensory examination</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Intact sensation despite marked motor loss is a supportive diagnostic clue; sphincters and eye movements are also spared until late.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Progressive limb paralysis and loss of independent mobility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Bulbar failure with severe dysphagia and anarthria (loss of speech)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Respiratory-muscle weakness with hypoventilation</w:t>
            </w:r>
          </w:p>
        </w:tc>
        <w:tc>
          <w:tcPr>
            <w:tcW w:type="dxa" w:w="2980"/>
            <w:vAlign w:val="top"/>
          </w:tcPr>
          <w:p>
            <w:pPr>
              <w:spacing w:after="40" w:before="0" w:line="259" w:lineRule="auto"/>
            </w:pPr>
            <w:r>
              <w:rPr>
                <w:rFonts w:ascii="Calibri" w:hAnsi="Calibri"/>
                <w:b w:val="0"/>
                <w:i w:val="0"/>
                <w:color w:val="212121"/>
                <w:sz w:val="19"/>
              </w:rPr>
              <w:t>Direct consequences of progressive upper and lower motor neuron degeneration.</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Aspiration pneumonia and recurrent chest infections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Malnutrition, dehydration and cachexia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Type 2 (hypercapnic) respiratory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Venous thromboembolism and pressure injuries from immobility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Loss of functional communication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Depression, anxiety and pseudobulbar affect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Cognitive decline / frontotemporal dementia</w:t>
            </w:r>
          </w:p>
        </w:tc>
        <w:tc>
          <w:tcPr>
            <w:tcW w:type="dxa" w:w="2980"/>
            <w:vAlign w:val="top"/>
          </w:tcPr>
          <w:p>
            <w:pPr>
              <w:spacing w:after="40" w:before="0" w:line="259" w:lineRule="auto"/>
            </w:pPr>
            <w:r>
              <w:rPr>
                <w:rFonts w:ascii="Calibri" w:hAnsi="Calibri"/>
                <w:b w:val="0"/>
                <w:i w:val="0"/>
                <w:color w:val="212121"/>
                <w:sz w:val="19"/>
              </w:rPr>
              <w:t>Arise from bulbar, respiratory and mobility impairment combined with ongoing neurodegeneration.</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Ventilator dependence (tracheostomy) or a complete locked-in state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 from respiratory failure — the leading cause — or from aspiration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Total functional dependence for activities of daily living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caregiver burden and burnout</w:t>
            </w:r>
          </w:p>
        </w:tc>
        <w:tc>
          <w:tcPr>
            <w:tcW w:type="dxa" w:w="2980"/>
            <w:vAlign w:val="top"/>
          </w:tcPr>
          <w:p>
            <w:pPr>
              <w:spacing w:after="40" w:before="0" w:line="259" w:lineRule="auto"/>
            </w:pPr>
            <w:r>
              <w:rPr>
                <w:rFonts w:ascii="Calibri" w:hAnsi="Calibri"/>
                <w:b w:val="0"/>
                <w:i w:val="0"/>
                <w:color w:val="212121"/>
                <w:sz w:val="19"/>
              </w:rPr>
              <w:t>End-stage, irreversible outcomes of relentless motor neuron loss.</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Frontotemporal dementia (ALS-FTD spectrum)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Shares TDP-43 pathology and C9orf72 genetics with ALS; alters decision-making capacity, prognosis and care planning.</w:t>
            </w:r>
          </w:p>
          <w:p>
            <w:pPr>
              <w:spacing w:after="40" w:before="0" w:line="259" w:lineRule="auto"/>
            </w:pPr>
            <w:r>
              <w:rPr>
                <w:rFonts w:ascii="Calibri" w:hAnsi="Calibri"/>
                <w:b/>
                <w:i w:val="0"/>
                <w:color w:val="212121"/>
                <w:sz w:val="19"/>
              </w:rPr>
              <w:t>5–15% (up to ~50% with milder cognitive change)</w:t>
            </w:r>
          </w:p>
        </w:tc>
      </w:tr>
      <w:tr>
        <w:trPr>
          <w:cantSplit/>
        </w:trPr>
        <w:tc>
          <w:tcPr>
            <w:tcW w:type="dxa" w:w="2232"/>
            <w:vAlign w:val="top"/>
          </w:tcPr>
          <w:p>
            <w:pPr>
              <w:spacing w:after="40" w:before="0" w:line="259" w:lineRule="auto"/>
            </w:pPr>
            <w:r>
              <w:rPr>
                <w:rFonts w:ascii="Calibri" w:hAnsi="Calibri"/>
                <w:b/>
                <w:i w:val="0"/>
                <w:color w:val="212121"/>
                <w:sz w:val="19"/>
              </w:rPr>
              <w:t>Respiratory failure / nocturnal hypoventilation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Diaphragm and intercostal weakness cause hypercapnic failure; drives non-invasive ventilation and end-of-life planning.</w:t>
            </w:r>
          </w:p>
          <w:p>
            <w:pPr>
              <w:spacing w:after="40" w:before="0" w:line="259" w:lineRule="auto"/>
            </w:pPr>
            <w:r>
              <w:rPr>
                <w:rFonts w:ascii="Calibri" w:hAnsi="Calibri"/>
                <w:b/>
                <w:i w:val="0"/>
                <w:color w:val="212121"/>
                <w:sz w:val="19"/>
              </w:rPr>
              <w:t>Leading cause of death</w:t>
            </w:r>
          </w:p>
        </w:tc>
      </w:tr>
      <w:tr>
        <w:trPr>
          <w:cantSplit/>
        </w:trPr>
        <w:tc>
          <w:tcPr>
            <w:tcW w:type="dxa" w:w="2232"/>
            <w:vAlign w:val="top"/>
          </w:tcPr>
          <w:p>
            <w:pPr>
              <w:spacing w:after="40" w:before="0" w:line="259" w:lineRule="auto"/>
            </w:pPr>
            <w:r>
              <w:rPr>
                <w:rFonts w:ascii="Calibri" w:hAnsi="Calibri"/>
                <w:b/>
                <w:i w:val="0"/>
                <w:color w:val="212121"/>
                <w:sz w:val="19"/>
              </w:rPr>
              <w:t>Aspiration pneumonia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Bulbar dysphagia allows aspiration; the commonest infective complication and a frequent terminal event.</w:t>
            </w:r>
          </w:p>
        </w:tc>
      </w:tr>
      <w:tr>
        <w:trPr>
          <w:cantSplit/>
        </w:trPr>
        <w:tc>
          <w:tcPr>
            <w:tcW w:type="dxa" w:w="2232"/>
            <w:vAlign w:val="top"/>
          </w:tcPr>
          <w:p>
            <w:pPr>
              <w:spacing w:after="40" w:before="0" w:line="259" w:lineRule="auto"/>
            </w:pPr>
            <w:r>
              <w:rPr>
                <w:rFonts w:ascii="Calibri" w:hAnsi="Calibri"/>
                <w:b/>
                <w:i w:val="0"/>
                <w:color w:val="212121"/>
                <w:sz w:val="19"/>
              </w:rPr>
              <w:t>Malnutrition and weight loss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Dysphagia plus a hypermetabolic state; weight loss predicts faster decline and is a key indication for gastrostomy (PEG).</w:t>
            </w:r>
          </w:p>
        </w:tc>
      </w:tr>
      <w:tr>
        <w:trPr>
          <w:cantSplit/>
        </w:trPr>
        <w:tc>
          <w:tcPr>
            <w:tcW w:type="dxa" w:w="2232"/>
            <w:vAlign w:val="top"/>
          </w:tcPr>
          <w:p>
            <w:pPr>
              <w:spacing w:after="40" w:before="0" w:line="259" w:lineRule="auto"/>
            </w:pPr>
            <w:r>
              <w:rPr>
                <w:rFonts w:ascii="Calibri" w:hAnsi="Calibri"/>
                <w:b/>
                <w:i w:val="0"/>
                <w:color w:val="212121"/>
                <w:sz w:val="19"/>
              </w:rPr>
              <w:t>Depression and anxiety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Both reactive and organic; common and treatable, and they influence adherence and quality of life.</w:t>
            </w:r>
          </w:p>
        </w:tc>
      </w:tr>
      <w:tr>
        <w:trPr>
          <w:cantSplit/>
        </w:trPr>
        <w:tc>
          <w:tcPr>
            <w:tcW w:type="dxa" w:w="2232"/>
            <w:vAlign w:val="top"/>
          </w:tcPr>
          <w:p>
            <w:pPr>
              <w:spacing w:after="40" w:before="0" w:line="259" w:lineRule="auto"/>
            </w:pPr>
            <w:r>
              <w:rPr>
                <w:rFonts w:ascii="Calibri" w:hAnsi="Calibri"/>
                <w:b/>
                <w:i w:val="0"/>
                <w:color w:val="212121"/>
                <w:sz w:val="19"/>
              </w:rPr>
              <w:t>Pseudobulbar affect</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Corticobulbar involvement causes involuntary laughing/crying; responds to SSRIs or dextromethorphan-quinidine.</w:t>
            </w:r>
          </w:p>
          <w:p>
            <w:pPr>
              <w:spacing w:after="40" w:before="0" w:line="259" w:lineRule="auto"/>
            </w:pPr>
            <w:r>
              <w:rPr>
                <w:rFonts w:ascii="Calibri" w:hAnsi="Calibri"/>
                <w:b/>
                <w:i w:val="0"/>
                <w:color w:val="212121"/>
                <w:sz w:val="19"/>
              </w:rPr>
              <w:t>~20–50%</w:t>
            </w:r>
          </w:p>
        </w:tc>
      </w:tr>
      <w:tr>
        <w:trPr>
          <w:cantSplit/>
        </w:trPr>
        <w:tc>
          <w:tcPr>
            <w:tcW w:type="dxa" w:w="2232"/>
            <w:vAlign w:val="top"/>
          </w:tcPr>
          <w:p>
            <w:pPr>
              <w:spacing w:after="40" w:before="0" w:line="259" w:lineRule="auto"/>
            </w:pPr>
            <w:r>
              <w:rPr>
                <w:rFonts w:ascii="Calibri" w:hAnsi="Calibri"/>
                <w:b/>
                <w:i w:val="0"/>
                <w:color w:val="212121"/>
                <w:sz w:val="19"/>
              </w:rPr>
              <w:t>Sleep-disordered breathing</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Nocturnal hypoventilation from respiratory-muscle weakness; timely non-invasive ventilation improves survival and quality of life.</w:t>
            </w:r>
          </w:p>
        </w:tc>
      </w:tr>
      <w:tr>
        <w:trPr>
          <w:cantSplit/>
        </w:trPr>
        <w:tc>
          <w:tcPr>
            <w:tcW w:type="dxa" w:w="2232"/>
            <w:vAlign w:val="top"/>
          </w:tcPr>
          <w:p>
            <w:pPr>
              <w:spacing w:after="40" w:before="0" w:line="259" w:lineRule="auto"/>
            </w:pPr>
            <w:r>
              <w:rPr>
                <w:rFonts w:ascii="Calibri" w:hAnsi="Calibri"/>
                <w:b/>
                <w:i w:val="0"/>
                <w:color w:val="212121"/>
                <w:sz w:val="19"/>
              </w:rPr>
              <w:t>Venous thromboembolism (DVT/PE)</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Limb paresis and immobility raise the risk of deep vein thrombosis and pulmonary embolism.</w:t>
            </w:r>
          </w:p>
        </w:tc>
      </w:tr>
      <w:tr>
        <w:trPr>
          <w:cantSplit/>
        </w:trPr>
        <w:tc>
          <w:tcPr>
            <w:tcW w:type="dxa" w:w="2232"/>
            <w:vAlign w:val="top"/>
          </w:tcPr>
          <w:p>
            <w:pPr>
              <w:spacing w:after="40" w:before="0" w:line="259" w:lineRule="auto"/>
            </w:pPr>
            <w:r>
              <w:rPr>
                <w:rFonts w:ascii="Calibri" w:hAnsi="Calibri"/>
                <w:b/>
                <w:i w:val="0"/>
                <w:color w:val="212121"/>
                <w:sz w:val="19"/>
              </w:rPr>
              <w:t>Sarcopenia / cachexia</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Complication Of</w:t>
            </w:r>
          </w:p>
        </w:tc>
        <w:tc>
          <w:tcPr>
            <w:tcW w:type="dxa" w:w="4852"/>
            <w:vAlign w:val="top"/>
          </w:tcPr>
          <w:p>
            <w:pPr>
              <w:spacing w:after="40" w:before="0" w:line="259" w:lineRule="auto"/>
            </w:pPr>
            <w:r>
              <w:rPr>
                <w:rFonts w:ascii="Calibri" w:hAnsi="Calibri"/>
                <w:b w:val="0"/>
                <w:i w:val="0"/>
                <w:color w:val="212121"/>
                <w:sz w:val="19"/>
              </w:rPr>
              <w:t>Combined denervation and hypermetabolism accelerate muscle and weight loss.</w:t>
            </w:r>
          </w:p>
        </w:tc>
      </w:tr>
      <w:tr>
        <w:trPr>
          <w:cantSplit/>
        </w:trPr>
        <w:tc>
          <w:tcPr>
            <w:tcW w:type="dxa" w:w="2232"/>
            <w:vAlign w:val="top"/>
          </w:tcPr>
          <w:p>
            <w:pPr>
              <w:spacing w:after="40" w:before="0" w:line="259" w:lineRule="auto"/>
            </w:pPr>
            <w:r>
              <w:rPr>
                <w:rFonts w:ascii="Calibri" w:hAnsi="Calibri"/>
                <w:b/>
                <w:i w:val="0"/>
                <w:color w:val="212121"/>
                <w:sz w:val="19"/>
              </w:rPr>
              <w:t>Sialorrhoea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Impaired clearance of saliva from bulbar weakness; managed with anticholinergics or botulinum toxin.</w:t>
            </w:r>
          </w:p>
        </w:tc>
      </w:tr>
      <w:tr>
        <w:trPr>
          <w:cantSplit/>
        </w:trPr>
        <w:tc>
          <w:tcPr>
            <w:tcW w:type="dxa" w:w="2232"/>
            <w:vAlign w:val="top"/>
          </w:tcPr>
          <w:p>
            <w:pPr>
              <w:spacing w:after="40" w:before="0" w:line="259" w:lineRule="auto"/>
            </w:pPr>
            <w:r>
              <w:rPr>
                <w:rFonts w:ascii="Calibri" w:hAnsi="Calibri"/>
                <w:b/>
                <w:i w:val="0"/>
                <w:color w:val="212121"/>
                <w:sz w:val="19"/>
              </w:rPr>
              <w:t>Osteoporosis and fragility fractures</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Immobility, falls from weakness and reduced weight-bearing predispose to low bone density and fractures.</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ALS/MND is a progressive disorder of the motor nerves causing weakness and wasting, while sensation, eye movements and continence are usually preserved until late — and that early neurology referral prevents diagnostic delay.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prompt evaluation for persistent painless weakness, muscle wasting, twitching, cramps, slurred speech or difficulty swallowing.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For families with inherited ALS or frontotemporal dementia, access genetic counselling and, where appropriate, testing (C9orf72, SOD1 and others) before making decisions about predictive testing.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the value of multidisciplinary ALS-clinic care (neurology, respiratory, nutrition, physiotherapy, speech and language therapy, palliative care), which improves both survival and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Discuss advance care planning, communication aids and goals of care early, while speech and cognition are still intact.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the warning signs of respiratory decompensation (breathlessness lying flat, morning headache, unrefreshing sleep, weak cough) and seek timely review.</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and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First-degree relatives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Newly diagnosed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Undertake regular moderate, non-fatiguing exercise with range-of-motion and stretching to preserve mobility and prevent contractures, avoiding exhausting high-intensity exertion.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physiotherapist-guided programme using aids such as an ankle-foot orthosis for foot drop, splints and walking aids to maintain safe function.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respiratory physiotherapy with assisted-cough and air-stacking techniques to help clear secretions.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Reposition regularly and use pressure-relieving supports to prevent pressure injuries and deep vein thrombosis.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Balance activity with adequate rest to avoid overwork weakness and excessive fatigue.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MND/ALS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Limb-onset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Ambulant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respiratory weakness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 high-calorie, high-protein diet to counter hypermetabolism and prevent weight loss, which predicts faster decline.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Modify food and fluid texture (soft, thickened) for dysphagia and adopt safe-swallow techniques under speech-therapy guidance.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Consider early percutaneous gastrostomy (PEG) when weight loss reaches about 10%, swallowing becomes unsafe, or FVC is falling — before respiratory function is too low for safe insertion.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hydration and dietary fibre to prevent constipation from immobility and reduced intake.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a dietitian to individualise energy targets and monitor weight and nutritional markers.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dysphagia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Bulbar-onset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Underweight or losing-weight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Advanced disease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nocturnal hypoventilation (morning headache, unrefreshing sleep, orthopnoea) with non-invasive ventilation (NIV/BiPAP), which improves survival and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Optimise sleep position with head and neck support and a semi-upright posture to ease breathing and secretion control.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secretions, cramps and anxiety that fragment sleep.</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Monitor nocturnal oxygen saturation and respiratory function to time ventilatory support appropriately.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respiratory involvement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Bulbar-onset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Advanced disease</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Stop smoking — it is the most consistently identified modifiable risk factor for ALS and further erodes respiratory reserve.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second-hand smoke, particularly where respiratory-muscle weakness already exists.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Seek cessation support through counselling and, where appropriate, pharmacotherapy.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Current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At-risk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respiratory weakness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there is no proven protective effect and it adds aspiration and drug-interaction risks.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when dysphagia is present or when taking sedating symptom-control medications.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dysphagia</w:t>
            </w:r>
          </w:p>
        </w:tc>
        <w:tc>
          <w:tcPr>
            <w:tcW w:type="dxa" w:w="1036"/>
            <w:vAlign w:val="top"/>
          </w:tcPr>
          <w:p>
            <w:pPr>
              <w:spacing w:after="40" w:before="0" w:line="259" w:lineRule="auto"/>
            </w:pPr>
            <w:r>
              <w:rPr>
                <w:rFonts w:ascii="Calibri" w:hAnsi="Calibri"/>
                <w:b w:val="0"/>
                <w:i w:val="0"/>
                <w:color w:val="212121"/>
                <w:sz w:val="19"/>
              </w:rPr>
              <w:t>Low</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psychological support and screen for and treat depression and anxiety, which are common and affect adherence and quality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pseudobulbar affect (involuntary laughing or crying) with appropriate medication such as SSRIs or dextromethorphan-quinidine.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palliative care early for symptom control and advance care planning, not only at the end of life.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Support carers to reduce burden and burnout, and use communication aids and peer/patient support groups to reduce isolation.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MND/ALS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pseudobulbar affect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Advanced disease</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pubmed.ncbi.nlm.nih.gov/18550082/" TargetMode="External"/><Relationship Id="rId10" Type="http://schemas.openxmlformats.org/officeDocument/2006/relationships/hyperlink" Target="https://www.nature.com/articles/ncomms12408" TargetMode="External"/><Relationship Id="rId11" Type="http://schemas.openxmlformats.org/officeDocument/2006/relationships/hyperlink" Target="https://pubmed.ncbi.nlm.nih.gov/18261745/" TargetMode="External"/><Relationship Id="rId12" Type="http://schemas.openxmlformats.org/officeDocument/2006/relationships/hyperlink" Target="https://pmc.ncbi.nlm.nih.gov/articles/PMC4334292/" TargetMode="External"/><Relationship Id="rId13" Type="http://schemas.openxmlformats.org/officeDocument/2006/relationships/hyperlink" Target="https://pubmed.ncbi.nlm.nih.gov/32321311/" TargetMode="External"/><Relationship Id="rId14" Type="http://schemas.openxmlformats.org/officeDocument/2006/relationships/hyperlink" Target="https://www.tobaccoinduceddiseases.org/Association-of-smoking-with-amyotrophic-lateral-sclerosis-A-systematic-review-and,175731,0,2.html" TargetMode="External"/><Relationship Id="rId15" Type="http://schemas.openxmlformats.org/officeDocument/2006/relationships/hyperlink" Target="https://www.mims.com/india/disease/amyotrophic-lateral-sclerosis/disease-background" TargetMode="External"/><Relationship Id="rId16" Type="http://schemas.openxmlformats.org/officeDocument/2006/relationships/hyperlink" Target="https://www.sciencedirect.com/science/article/abs/pii/S0197458019304531" TargetMode="External"/><Relationship Id="rId17" Type="http://schemas.openxmlformats.org/officeDocument/2006/relationships/hyperlink" Target="https://pmc.ncbi.nlm.nih.gov/articles/PMC103571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