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Cerebral Palsy</w:t>
      </w:r>
    </w:p>
    <w:p>
      <w:pPr>
        <w:spacing w:before="0" w:after="160"/>
      </w:pPr>
      <w:r>
        <w:rPr>
          <w:rFonts w:ascii="Calibri" w:hAnsi="Calibri"/>
          <w:b/>
          <w:i w:val="0"/>
          <w:color w:val="212121"/>
          <w:sz w:val="22"/>
        </w:rPr>
        <w:t xml:space="preserve">AKA </w:t>
      </w:r>
      <w:r>
        <w:rPr>
          <w:rFonts w:ascii="Calibri" w:hAnsi="Calibri"/>
          <w:b w:val="0"/>
          <w:i w:val="0"/>
          <w:color w:val="212121"/>
          <w:sz w:val="22"/>
        </w:rPr>
        <w:t>i.e., CP, Spastic Diplegia / Diplegic CP, Little's Disease (historical), Spastic / Dyskinetic / Ataxic Cerebral Palsy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Cerebral palsy (CP) is a group of permanent disorders of the development of movement and posture, causing activity limitation, that are attributed to non-progressive disturbances occurring in the developing fetal or infant brain. The motor disorder is frequently accompanied by disturbances of sensation, perception, cognition, communication and behaviour, by epilepsy, and by secondary musculoskeletal problems such as contractures, hip displacement and scoliosis. Although the underlying brain lesion is static and non-progressive, its clinical expression evolves as the child grows, and CP is the single most common cause of physical (motor) disability in childhood.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 systematic review and meta-analysis of Indian studies estimated the pooled prevalence of cerebral palsy at about 2.95 per 1,000 children (95% CI 2.03–3.88), close to the global figure of 1.5–2.5 per 1,000 live births. Within India the rate was highest in mixed rural–urban populations (4.37 per 1,000), followed by urban (2.29) and rural (1.83) settings, reflecting differences in perinatal care and case-ascertainment. Critically, birth asphyxia is the leading identifiable cause in India — intrapartum hypoxia accounts for only 8–10% of CP in high-income countries but 35–58% in low- and middle-income settings — making a large share of Indian CP potentially preventable.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Cerebral palsy is a clinical diagnosis based on a non-progressive motor impairment attributable to an early brain lesion, supported by neuroimaging and by exclusion of progressive or metabolic disorders. The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persistent, NON-progressive disorder of movement and posture with abnormal tone (spasticity, dystonia, or hypotonia) arising from an insult to the developing (fetal/infant) brain;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delayed or abnormal motor milestones, abnormal posture/movement patterns, and persistence of primitive reflexes (e.g., Moro, ATNR) beyond the expected 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upper-motor-neuron signs — increased tone, hyperreflexia, clonus, extensor plantar response — and/or involuntary (dyskinetic) or ataxic features on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brain (abnormal in ~86–89% of cases) to identify the lesion, help time the insult and exclude structural mimics; cranial ultrasound is used in the neonatal/preterm period;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early predictive tools where available — the General Movements Assessment (~98% sensitivity before 5 months) and the Hammersmith Infant Neurological Examination (~90% sensitivity) — enabling diagnosis before age 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developmental regression or progressive neurological deterioration; red flags (regression, no risk factor, family history, oculomotor or sensory loss) prompt metabolic/genetic testing to exclude mimics.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Cerebral palsy is classified by the predominant motor abnormality (physiological type), by the topographic distribution of limbs involved, and by functional severity using standardised classification systems:</w:t>
      </w:r>
    </w:p>
    <w:p>
      <w:pPr>
        <w:spacing w:before="0" w:after="80"/>
      </w:pPr>
      <w:r>
        <w:rPr>
          <w:rFonts w:ascii="Calibri" w:hAnsi="Calibri"/>
          <w:b w:val="0"/>
          <w:i w:val="0"/>
          <w:color w:val="212121"/>
          <w:sz w:val="21"/>
        </w:rPr>
        <w:t>(1) Spastic CP — by far the commonest form (~68–77% of Indian cases), due to upper-motor-neuron injury and sub-typed topographically into spastic DIPLEGIA (legs &gt; arms, classically after prematurity/periventricular leukomalacia), HEMIPLEGIA (one side), and QUADRIPLEGIA/tetraplegia (all four limbs, most severe, often with the most comorbidities);</w:t>
      </w:r>
    </w:p>
    <w:p>
      <w:pPr>
        <w:spacing w:before="0" w:after="80"/>
      </w:pPr>
      <w:r>
        <w:rPr>
          <w:rFonts w:ascii="Calibri" w:hAnsi="Calibri"/>
          <w:b w:val="0"/>
          <w:i w:val="0"/>
          <w:color w:val="212121"/>
          <w:sz w:val="21"/>
        </w:rPr>
        <w:t>(2) Dyskinetic CP (~9%) — involuntary, uncontrolled movements, further divided into DYSTONIC (sustained twisting postures) and CHOREOATHETOID (writhing) forms; classically caused by kernicterus (bilirubin encephalopathy) or severe perinatal asphyxia affecting the basal ganglia;</w:t>
      </w:r>
    </w:p>
    <w:p>
      <w:pPr>
        <w:spacing w:before="0" w:after="80"/>
      </w:pPr>
      <w:r>
        <w:rPr>
          <w:rFonts w:ascii="Calibri" w:hAnsi="Calibri"/>
          <w:b w:val="0"/>
          <w:i w:val="0"/>
          <w:color w:val="212121"/>
          <w:sz w:val="21"/>
        </w:rPr>
        <w:t>(3) Ataxic CP (~6–8%) — cerebellar dysfunction with poor coordination, balance and intention tremor; and (4) Mixed CP (~7–17%) — a combination of types, most often spastic-dyskinetic;</w:t>
      </w:r>
    </w:p>
    <w:p>
      <w:pPr>
        <w:spacing w:before="0" w:after="80"/>
      </w:pPr>
      <w:r>
        <w:rPr>
          <w:rFonts w:ascii="Calibri" w:hAnsi="Calibri"/>
          <w:b w:val="0"/>
          <w:i w:val="0"/>
          <w:color w:val="212121"/>
          <w:sz w:val="21"/>
        </w:rPr>
        <w:t>(5) Functional classification — the Gross Motor Function Classification System (GMFCS) grades gross-motor ability from Level I (walks without limitation) through Level III (walks with hand-held mobility devices) to Level V (transported in a wheelchair, no independent mobility); the MACS (manual ability) and CFCS (communication) systems similarly grade hand use and communication and guide management and prognosis.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Prenatal factors (~80% of cases): Congenital brain malformations, intrauterine infections (TORCH, chorioamnionitis), fetal stroke, intrauterine growth restriction, multiple gestation and chromosomal/genetic disorders account for the majority of CP.</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Perinatal hypoxic-ischaemic injury (birth asphyxia): Intrapartum hypoxia causing hypoxic-ischaemic encephalopathy is the leading IDENTIFIABLE cause in India, classically producing spastic quadriplegia or dyskinetic CP.</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Prematurity and low birth weight: Immature cerebral vasculature predisposes to periventricular leukomalacia and intraventricular haemorrhage; risk rises steeply as gestation and birth weight fall (5–15% in infants &lt;1,500 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Kernicterus (severe neonatal hyperbilirubinaemia): Untreated severe neonatal jaundice causes bilirubin encephalopathy of the basal ganglia, a major PREVENTABLE cause of dyskinetic CP with hearing loss in India.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Neonatal and CNS infections: Neonatal sepsis, meningitis and encephalitis injure the developing brain and are important, often preventable, antecedents.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Postnatal causes (~10%): Head trauma, CNS infection, stroke, near-drowning and other anoxic events in early infancy.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Consanguinity and genetic susceptibility: Consanguineous unions, common in parts of India, increase the risk of autosomal-recessive metabolic and genetic disorders that cause CP or CP-like syndromes.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young children (0–3 years)</w:t>
            </w:r>
          </w:p>
        </w:tc>
        <w:tc>
          <w:tcPr>
            <w:tcW w:type="dxa" w:w="4276"/>
            <w:vAlign w:val="top"/>
          </w:tcPr>
          <w:p>
            <w:pPr>
              <w:spacing w:after="60" w:line="259" w:lineRule="auto"/>
            </w:pPr>
            <w:r>
              <w:rPr>
                <w:rFonts w:ascii="Calibri" w:hAnsi="Calibri"/>
                <w:b w:val="0"/>
                <w:i w:val="0"/>
                <w:color w:val="212121"/>
                <w:sz w:val="19"/>
              </w:rPr>
              <w:t>CP originates from a brain injury before, during or shortly after birth; it typically declares itself as delayed motor milestones, abnormal tone and retained primitive reflexes in the first one to three years. Diagnosis in this window allows early intervention during the period of peak brain plasticity.</w:t>
            </w:r>
          </w:p>
          <w:p>
            <w:pPr>
              <w:spacing w:after="40" w:before="60" w:line="259" w:lineRule="auto"/>
            </w:pPr>
            <w:r>
              <w:rPr>
                <w:rFonts w:ascii="Calibri" w:hAnsi="Calibri"/>
                <w:b w:val="0"/>
                <w:i w:val="0"/>
                <w:color w:val="212121"/>
                <w:sz w:val="19"/>
              </w:rPr>
              <w:t>The General Movements Assessment has ~98% sensitivity before 5 months and the Hammersmith Infant Neurological Examination ~90%, allowing reliable diagnosis and intervention well before age 2.</w:t>
            </w:r>
          </w:p>
          <w:p>
            <w:pPr>
              <w:spacing w:after="40" w:line="252" w:lineRule="auto"/>
            </w:pPr>
            <w:hyperlink r:id="rId9">
              <w:r>
                <w:rPr>
                  <w:rFonts w:ascii="Calibri" w:hAnsi="Calibri" w:cs="Calibri"/>
                  <w:sz w:val="18"/>
                  <w:color w:val="1155CC"/>
                  <w:u w:val="single"/>
                </w:rPr>
                <w:t xml:space="preserve">ncbi.nlm.nih.gov — Cerebral Palsy (StatPearls)</w:t>
              </w:r>
            </w:hyperlink>
          </w:p>
          <w:p>
            <w:pPr>
              <w:spacing w:before="60" w:after="40"/>
            </w:pPr>
            <w:r>
              <w:rPr>
                <w:rFonts w:ascii="Calibri" w:hAnsi="Calibri"/>
                <w:b w:val="0"/>
                <w:i w:val="0"/>
                <w:color w:val="5A5A5A"/>
                <w:sz w:val="18"/>
              </w:rPr>
              <w:t>#earlydiagnosis  #motormilestones  #neuroplasticity  #generalmovements  #infancy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adults ageing with CP</w:t>
            </w:r>
          </w:p>
        </w:tc>
        <w:tc>
          <w:tcPr>
            <w:tcW w:type="dxa" w:w="4276"/>
            <w:vAlign w:val="top"/>
          </w:tcPr>
          <w:p>
            <w:pPr>
              <w:spacing w:after="60" w:line="259" w:lineRule="auto"/>
            </w:pPr>
            <w:r>
              <w:rPr>
                <w:rFonts w:ascii="Calibri" w:hAnsi="Calibri"/>
                <w:b w:val="0"/>
                <w:i w:val="0"/>
                <w:color w:val="212121"/>
                <w:sz w:val="19"/>
              </w:rPr>
              <w:t>CP is a lifelong condition; as patients grow, they face premature musculoskeletal decline, worsening contractures, chronic pain, loss of ambulation and secondary medical problems. In India, transition and adult-disability services for CP remain scarce.</w:t>
            </w:r>
          </w:p>
          <w:p>
            <w:pPr>
              <w:spacing w:after="40" w:before="60" w:line="259" w:lineRule="auto"/>
            </w:pPr>
            <w:r>
              <w:rPr>
                <w:rFonts w:ascii="Calibri" w:hAnsi="Calibri"/>
                <w:b w:val="0"/>
                <w:i w:val="0"/>
                <w:color w:val="212121"/>
                <w:sz w:val="19"/>
              </w:rPr>
              <w:t>Most children with CP now survive into adulthood; chronic pain affects an estimated 50–75%, and loss of mobility and premature ageing are common in longstanding disease.</w:t>
            </w:r>
          </w:p>
          <w:p>
            <w:pPr>
              <w:spacing w:after="40" w:line="252" w:lineRule="auto"/>
            </w:pPr>
            <w:hyperlink r:id="rId9">
              <w:r>
                <w:rPr>
                  <w:rFonts w:ascii="Calibri" w:hAnsi="Calibri" w:cs="Calibri"/>
                  <w:sz w:val="18"/>
                  <w:color w:val="1155CC"/>
                  <w:u w:val="single"/>
                </w:rPr>
                <w:t xml:space="preserve">ncbi.nlm.nih.gov — Cerebral Palsy (StatPearls)</w:t>
              </w:r>
            </w:hyperlink>
          </w:p>
          <w:p>
            <w:pPr>
              <w:spacing w:before="60" w:after="40"/>
            </w:pPr>
            <w:r>
              <w:rPr>
                <w:rFonts w:ascii="Calibri" w:hAnsi="Calibri"/>
                <w:b w:val="0"/>
                <w:i w:val="0"/>
                <w:color w:val="5A5A5A"/>
                <w:sz w:val="18"/>
              </w:rPr>
              <w:t>#lifelong  #adultCP  #prematureageing  #chronicpain  #transitioncare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CP is consistently more common in boys, reflecting greater male vulnerability to preterm birth and perinatal brain injury.</w:t>
            </w:r>
          </w:p>
          <w:p>
            <w:pPr>
              <w:spacing w:after="40" w:before="60" w:line="259" w:lineRule="auto"/>
            </w:pPr>
            <w:r>
              <w:rPr>
                <w:rFonts w:ascii="Calibri" w:hAnsi="Calibri"/>
                <w:b w:val="0"/>
                <w:i w:val="0"/>
                <w:color w:val="212121"/>
                <w:sz w:val="19"/>
              </w:rPr>
              <w:t>Indian cohorts show a clear male preponderance — about 74% male in an Eastern-India cohort and 60–68% in Gujarat and Assam series (M:F roughly 1.5–2.8:1).</w:t>
            </w:r>
          </w:p>
          <w:p>
            <w:pPr>
              <w:spacing w:after="40" w:line="252" w:lineRule="auto"/>
            </w:pPr>
            <w:hyperlink r:id="rId10">
              <w:r>
                <w:rPr>
                  <w:rFonts w:ascii="Calibri" w:hAnsi="Calibri" w:cs="Calibri"/>
                  <w:sz w:val="18"/>
                  <w:color w:val="1155CC"/>
                  <w:u w:val="single"/>
                </w:rPr>
                <w:t xml:space="preserve">nature.com — CP in Eastern India (Sci Rep 2025)</w:t>
              </w:r>
            </w:hyperlink>
          </w:p>
          <w:p>
            <w:pPr>
              <w:spacing w:before="60" w:after="40"/>
            </w:pPr>
            <w:r>
              <w:rPr>
                <w:rFonts w:ascii="Calibri" w:hAnsi="Calibri"/>
                <w:b w:val="0"/>
                <w:i w:val="0"/>
                <w:color w:val="5A5A5A"/>
                <w:sz w:val="18"/>
              </w:rPr>
              <w:t>#malepredominance  #perinatalinjury  #sexdifference  #preterm  #vulnerability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families</w:t>
            </w:r>
          </w:p>
        </w:tc>
        <w:tc>
          <w:tcPr>
            <w:tcW w:type="dxa" w:w="4276"/>
            <w:vAlign w:val="top"/>
          </w:tcPr>
          <w:p>
            <w:pPr>
              <w:spacing w:after="60" w:line="259" w:lineRule="auto"/>
            </w:pPr>
            <w:r>
              <w:rPr>
                <w:rFonts w:ascii="Calibri" w:hAnsi="Calibri"/>
                <w:b w:val="0"/>
                <w:i w:val="0"/>
                <w:color w:val="212121"/>
                <w:sz w:val="19"/>
              </w:rPr>
              <w:t>Poverty is linked to poorer antenatal care, home or unskilled deliveries, higher rates of perinatal asphyxia and infection, delayed treatment of neonatal jaundice, and late diagnosis — all of which raise CP risk and worsen outcomes.</w:t>
            </w:r>
          </w:p>
          <w:p>
            <w:pPr>
              <w:spacing w:after="40" w:before="60" w:line="259" w:lineRule="auto"/>
            </w:pPr>
            <w:r>
              <w:rPr>
                <w:rFonts w:ascii="Calibri" w:hAnsi="Calibri"/>
                <w:b w:val="0"/>
                <w:i w:val="0"/>
                <w:color w:val="212121"/>
                <w:sz w:val="19"/>
              </w:rPr>
              <w:t>In an Assam survey of 1,986 CP children, about 30% were born at home and birth asphyxia was recorded in 43.9%, underscoring the socioeconomic and obstetric-access dimension.</w:t>
            </w:r>
          </w:p>
          <w:p>
            <w:pPr>
              <w:spacing w:after="40" w:line="252" w:lineRule="auto"/>
            </w:pPr>
            <w:hyperlink r:id="rId11">
              <w:r>
                <w:rPr>
                  <w:rFonts w:ascii="Calibri" w:hAnsi="Calibri" w:cs="Calibri"/>
                  <w:sz w:val="18"/>
                  <w:color w:val="1155CC"/>
                  <w:u w:val="single"/>
                </w:rPr>
                <w:t xml:space="preserve">jcdronline.org — epidemiological survey of CP in Assam</w:t>
              </w:r>
            </w:hyperlink>
          </w:p>
          <w:p>
            <w:pPr>
              <w:spacing w:before="60" w:after="40"/>
            </w:pPr>
            <w:r>
              <w:rPr>
                <w:rFonts w:ascii="Calibri" w:hAnsi="Calibri"/>
                <w:b w:val="0"/>
                <w:i w:val="0"/>
                <w:color w:val="5A5A5A"/>
                <w:sz w:val="18"/>
              </w:rPr>
              <w:t>#poverty  #antenatalcare  #healthaccess  #homedelivery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Mixed rural–urban populations</w:t>
            </w:r>
          </w:p>
        </w:tc>
        <w:tc>
          <w:tcPr>
            <w:tcW w:type="dxa" w:w="4276"/>
            <w:vAlign w:val="top"/>
          </w:tcPr>
          <w:p>
            <w:pPr>
              <w:spacing w:after="60" w:line="259" w:lineRule="auto"/>
            </w:pPr>
            <w:r>
              <w:rPr>
                <w:rFonts w:ascii="Calibri" w:hAnsi="Calibri"/>
                <w:b w:val="0"/>
                <w:i w:val="0"/>
                <w:color w:val="212121"/>
                <w:sz w:val="19"/>
              </w:rPr>
              <w:t>Prevalence is highest where perinatal care is uneven and case-ascertainment mixed; the Indian meta-analysis found the greatest CP rates in mixed rural–urban populations.</w:t>
            </w:r>
          </w:p>
          <w:p>
            <w:pPr>
              <w:spacing w:after="40" w:before="60" w:line="259" w:lineRule="auto"/>
            </w:pPr>
            <w:r>
              <w:rPr>
                <w:rFonts w:ascii="Calibri" w:hAnsi="Calibri"/>
                <w:b w:val="0"/>
                <w:i w:val="0"/>
                <w:color w:val="212121"/>
                <w:sz w:val="19"/>
              </w:rPr>
              <w:t>Pooled Indian prevalence was 2.95/1,000 (95% CI 2.03–3.88): 4.37 per 1,000 in mixed rural–urban areas, 2.29 urban and 1.83 rural.</w:t>
            </w:r>
          </w:p>
          <w:p>
            <w:pPr>
              <w:spacing w:after="40" w:line="252" w:lineRule="auto"/>
            </w:pPr>
            <w:hyperlink r:id="rId12">
              <w:r>
                <w:rPr>
                  <w:rFonts w:ascii="Calibri" w:hAnsi="Calibri" w:cs="Calibri"/>
                  <w:sz w:val="18"/>
                  <w:color w:val="1155CC"/>
                  <w:u w:val="single"/>
                </w:rPr>
                <w:t xml:space="preserve">link.springer.com — Prevalence of CP in Indian children (meta-analysis)</w:t>
              </w:r>
            </w:hyperlink>
          </w:p>
          <w:p>
            <w:pPr>
              <w:spacing w:before="60" w:after="40"/>
            </w:pPr>
            <w:r>
              <w:rPr>
                <w:rFonts w:ascii="Calibri" w:hAnsi="Calibri"/>
                <w:b w:val="0"/>
                <w:i w:val="0"/>
                <w:color w:val="5A5A5A"/>
                <w:sz w:val="18"/>
              </w:rPr>
              <w:t>#ruralurban  #prevalence  #perinatalcare  #accessgap  #indiandata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North-East / high-burden states (Assam)</w:t>
            </w:r>
          </w:p>
        </w:tc>
        <w:tc>
          <w:tcPr>
            <w:tcW w:type="dxa" w:w="4276"/>
            <w:vAlign w:val="top"/>
          </w:tcPr>
          <w:p>
            <w:pPr>
              <w:spacing w:after="60" w:line="259" w:lineRule="auto"/>
            </w:pPr>
            <w:r>
              <w:rPr>
                <w:rFonts w:ascii="Calibri" w:hAnsi="Calibri"/>
                <w:b w:val="0"/>
                <w:i w:val="0"/>
                <w:color w:val="212121"/>
                <w:sz w:val="19"/>
              </w:rPr>
              <w:t>States with high rates of home delivery, birth asphyxia and untreated neonatal jaundice carry a particularly heavy CP burden, generating large hospital and community cohorts.</w:t>
            </w:r>
          </w:p>
          <w:p>
            <w:pPr>
              <w:spacing w:after="40" w:before="60" w:line="259" w:lineRule="auto"/>
            </w:pPr>
            <w:r>
              <w:rPr>
                <w:rFonts w:ascii="Calibri" w:hAnsi="Calibri"/>
                <w:b w:val="0"/>
                <w:i w:val="0"/>
                <w:color w:val="212121"/>
                <w:sz w:val="19"/>
              </w:rPr>
              <w:t>In an Assam cohort of 1,986 children, birth asphyxia (43.9%), neonatal jaundice (23.4%) and home delivery (30%) were leading antecedents, with spastic CP in 68%.</w:t>
            </w:r>
          </w:p>
          <w:p>
            <w:pPr>
              <w:spacing w:after="40" w:line="252" w:lineRule="auto"/>
            </w:pPr>
            <w:hyperlink r:id="rId11">
              <w:r>
                <w:rPr>
                  <w:rFonts w:ascii="Calibri" w:hAnsi="Calibri" w:cs="Calibri"/>
                  <w:sz w:val="18"/>
                  <w:color w:val="1155CC"/>
                  <w:u w:val="single"/>
                </w:rPr>
                <w:t xml:space="preserve">jcdronline.org — epidemiological survey of CP in Assam</w:t>
              </w:r>
            </w:hyperlink>
          </w:p>
          <w:p>
            <w:pPr>
              <w:spacing w:before="60" w:after="40"/>
            </w:pPr>
            <w:r>
              <w:rPr>
                <w:rFonts w:ascii="Calibri" w:hAnsi="Calibri"/>
                <w:b w:val="0"/>
                <w:i w:val="0"/>
                <w:color w:val="5A5A5A"/>
                <w:sz w:val="18"/>
              </w:rPr>
              <w:t>#assam  #northeastindia  #birthasphyxia  #homedelivery  #highburden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Perinatal care / delivery</w:t>
            </w:r>
          </w:p>
        </w:tc>
        <w:tc>
          <w:tcPr>
            <w:tcW w:type="dxa" w:w="2160"/>
            <w:vAlign w:val="top"/>
          </w:tcPr>
          <w:p>
            <w:pPr>
              <w:spacing w:after="40" w:before="0" w:line="259" w:lineRule="auto"/>
            </w:pPr>
            <w:r>
              <w:rPr>
                <w:rFonts w:ascii="Calibri" w:hAnsi="Calibri"/>
                <w:b w:val="0"/>
                <w:i w:val="0"/>
                <w:color w:val="212121"/>
                <w:sz w:val="19"/>
              </w:rPr>
              <w:t>Home or unskilled deliveries</w:t>
            </w:r>
          </w:p>
        </w:tc>
        <w:tc>
          <w:tcPr>
            <w:tcW w:type="dxa" w:w="4276"/>
            <w:vAlign w:val="top"/>
          </w:tcPr>
          <w:p>
            <w:pPr>
              <w:spacing w:after="60" w:line="259" w:lineRule="auto"/>
            </w:pPr>
            <w:r>
              <w:rPr>
                <w:rFonts w:ascii="Calibri" w:hAnsi="Calibri"/>
                <w:b w:val="0"/>
                <w:i w:val="0"/>
                <w:color w:val="212121"/>
                <w:sz w:val="19"/>
              </w:rPr>
              <w:t>Deliveries without a skilled birth attendant increase intrapartum asphyxia, birth trauma and untreated neonatal jaundice — the leading preventable causes of CP in India.</w:t>
            </w:r>
          </w:p>
          <w:p>
            <w:pPr>
              <w:spacing w:after="40" w:before="60" w:line="259" w:lineRule="auto"/>
            </w:pPr>
            <w:r>
              <w:rPr>
                <w:rFonts w:ascii="Calibri" w:hAnsi="Calibri"/>
                <w:b w:val="0"/>
                <w:i w:val="0"/>
                <w:color w:val="212121"/>
                <w:sz w:val="19"/>
              </w:rPr>
              <w:t>Intrapartum hypoxia accounts for only 8–10% of CP in high-income countries but 35–58% in low- and middle-income settings, highlighting the impact of delivery care.</w:t>
            </w:r>
          </w:p>
          <w:p>
            <w:pPr>
              <w:spacing w:after="40" w:line="252" w:lineRule="auto"/>
            </w:pPr>
            <w:hyperlink r:id="rId11">
              <w:r>
                <w:rPr>
                  <w:rFonts w:ascii="Calibri" w:hAnsi="Calibri" w:cs="Calibri"/>
                  <w:sz w:val="18"/>
                  <w:color w:val="1155CC"/>
                  <w:u w:val="single"/>
                </w:rPr>
                <w:t xml:space="preserve">jcdronline.org — epidemiological survey of CP in Assam</w:t>
              </w:r>
            </w:hyperlink>
          </w:p>
          <w:p>
            <w:pPr>
              <w:spacing w:before="60" w:after="40"/>
            </w:pPr>
            <w:r>
              <w:rPr>
                <w:rFonts w:ascii="Calibri" w:hAnsi="Calibri"/>
                <w:b w:val="0"/>
                <w:i w:val="0"/>
                <w:color w:val="5A5A5A"/>
                <w:sz w:val="18"/>
              </w:rPr>
              <w:t>#skilledbirth  #intrapartumasphyxia  #preventable  #obstetriccare  #LMIC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exposures in pregnancy</w:t>
            </w:r>
          </w:p>
        </w:tc>
        <w:tc>
          <w:tcPr>
            <w:tcW w:type="dxa" w:w="2160"/>
            <w:vAlign w:val="top"/>
          </w:tcPr>
          <w:p>
            <w:pPr>
              <w:spacing w:after="40" w:before="0" w:line="259" w:lineRule="auto"/>
            </w:pPr>
            <w:r>
              <w:rPr>
                <w:rFonts w:ascii="Calibri" w:hAnsi="Calibri"/>
                <w:b w:val="0"/>
                <w:i w:val="0"/>
                <w:color w:val="212121"/>
                <w:sz w:val="19"/>
              </w:rPr>
              <w:t>Maternal smoking, alcohol, substance use &amp; infection</w:t>
            </w:r>
          </w:p>
        </w:tc>
        <w:tc>
          <w:tcPr>
            <w:tcW w:type="dxa" w:w="4276"/>
            <w:vAlign w:val="top"/>
          </w:tcPr>
          <w:p>
            <w:pPr>
              <w:spacing w:after="60" w:line="259" w:lineRule="auto"/>
            </w:pPr>
            <w:r>
              <w:rPr>
                <w:rFonts w:ascii="Calibri" w:hAnsi="Calibri"/>
                <w:b w:val="0"/>
                <w:i w:val="0"/>
                <w:color w:val="212121"/>
                <w:sz w:val="19"/>
              </w:rPr>
              <w:t>Maternal smoking, alcohol and substance use, and intrauterine infections such as chorioamnionitis and TORCH, increase the risk of preterm birth, fetal growth restriction and fetal brain injury.</w:t>
            </w:r>
          </w:p>
          <w:p>
            <w:pPr>
              <w:spacing w:after="40" w:before="60" w:line="259" w:lineRule="auto"/>
            </w:pPr>
            <w:r>
              <w:rPr>
                <w:rFonts w:ascii="Calibri" w:hAnsi="Calibri"/>
                <w:b w:val="0"/>
                <w:i w:val="0"/>
                <w:color w:val="212121"/>
                <w:sz w:val="19"/>
              </w:rPr>
              <w:t>Antenatal complications were documented in about 48% of a 481-child Gujarat CP cohort, reflecting the contribution of the intrauterine environment.</w:t>
            </w:r>
          </w:p>
          <w:p>
            <w:pPr>
              <w:spacing w:after="40" w:line="252" w:lineRule="auto"/>
            </w:pPr>
            <w:hyperlink r:id="rId13">
              <w:r>
                <w:rPr>
                  <w:rFonts w:ascii="Calibri" w:hAnsi="Calibri" w:cs="Calibri"/>
                  <w:sz w:val="18"/>
                  <w:color w:val="1155CC"/>
                  <w:u w:val="single"/>
                </w:rPr>
                <w:t xml:space="preserve">bfpt.springeropen.com — CP profile in Gujarat</w:t>
              </w:r>
            </w:hyperlink>
          </w:p>
          <w:p>
            <w:pPr>
              <w:spacing w:before="60" w:after="40"/>
            </w:pPr>
            <w:r>
              <w:rPr>
                <w:rFonts w:ascii="Calibri" w:hAnsi="Calibri"/>
                <w:b w:val="0"/>
                <w:i w:val="0"/>
                <w:color w:val="5A5A5A"/>
                <w:sz w:val="18"/>
              </w:rPr>
              <w:t>#maternalhealth  #chorioamnionitis  #TORCH  #pretermbirth  #antenatal</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Maternal nutrition</w:t>
            </w:r>
          </w:p>
        </w:tc>
        <w:tc>
          <w:tcPr>
            <w:tcW w:type="dxa" w:w="2160"/>
            <w:vAlign w:val="top"/>
          </w:tcPr>
          <w:p>
            <w:pPr>
              <w:spacing w:after="40" w:before="0" w:line="259" w:lineRule="auto"/>
            </w:pPr>
            <w:r>
              <w:rPr>
                <w:rFonts w:ascii="Calibri" w:hAnsi="Calibri"/>
                <w:b w:val="0"/>
                <w:i w:val="0"/>
                <w:color w:val="212121"/>
                <w:sz w:val="19"/>
              </w:rPr>
              <w:t>Undernourished mothers / micronutrient deficiency</w:t>
            </w:r>
          </w:p>
        </w:tc>
        <w:tc>
          <w:tcPr>
            <w:tcW w:type="dxa" w:w="4276"/>
            <w:vAlign w:val="top"/>
          </w:tcPr>
          <w:p>
            <w:pPr>
              <w:spacing w:after="60" w:line="259" w:lineRule="auto"/>
            </w:pPr>
            <w:r>
              <w:rPr>
                <w:rFonts w:ascii="Calibri" w:hAnsi="Calibri"/>
                <w:b w:val="0"/>
                <w:i w:val="0"/>
                <w:color w:val="212121"/>
                <w:sz w:val="19"/>
              </w:rPr>
              <w:t>Maternal undernutrition, anaemia and micronutrient deficiency (iron, folate, iodine) contribute to intrauterine growth restriction, prematurity and low birth weight, which are among the strongest antecedents of cerebral palsy. Optimising maternal nutrition is a modifiable, upstream preventive lever.</w:t>
            </w:r>
          </w:p>
          <w:p>
            <w:pPr>
              <w:spacing w:before="60" w:after="40"/>
            </w:pPr>
            <w:r>
              <w:rPr>
                <w:rFonts w:ascii="Calibri" w:hAnsi="Calibri"/>
                <w:b w:val="0"/>
                <w:i w:val="0"/>
                <w:color w:val="5A5A5A"/>
                <w:sz w:val="18"/>
              </w:rPr>
              <w:t>#maternalnutrition  #anaemia  #IUGR  #micronutrients  #lowbirthweight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Child nutrition / feeding</w:t>
            </w:r>
          </w:p>
        </w:tc>
        <w:tc>
          <w:tcPr>
            <w:tcW w:type="dxa" w:w="2160"/>
            <w:vAlign w:val="top"/>
          </w:tcPr>
          <w:p>
            <w:pPr>
              <w:spacing w:after="40" w:before="0" w:line="259" w:lineRule="auto"/>
            </w:pPr>
            <w:r>
              <w:rPr>
                <w:rFonts w:ascii="Calibri" w:hAnsi="Calibri"/>
                <w:b w:val="0"/>
                <w:i w:val="0"/>
                <w:color w:val="212121"/>
                <w:sz w:val="19"/>
              </w:rPr>
              <w:t>Children with feeding difficulty &amp; malnutrition</w:t>
            </w:r>
          </w:p>
        </w:tc>
        <w:tc>
          <w:tcPr>
            <w:tcW w:type="dxa" w:w="4276"/>
            <w:vAlign w:val="top"/>
          </w:tcPr>
          <w:p>
            <w:pPr>
              <w:spacing w:after="60" w:line="259" w:lineRule="auto"/>
            </w:pPr>
            <w:r>
              <w:rPr>
                <w:rFonts w:ascii="Calibri" w:hAnsi="Calibri"/>
                <w:b w:val="0"/>
                <w:i w:val="0"/>
                <w:color w:val="212121"/>
                <w:sz w:val="19"/>
              </w:rPr>
              <w:t>Oromotor dysfunction causes poor suck, choking, prolonged mealtimes and drooling; the resulting malnutrition is highly prevalent in Indian children with CP, has a bidirectional relationship with disease severity, and worsens growth, immunity and quality of life.</w:t>
            </w:r>
          </w:p>
          <w:p>
            <w:pPr>
              <w:spacing w:after="40" w:before="60" w:line="259" w:lineRule="auto"/>
            </w:pPr>
            <w:r>
              <w:rPr>
                <w:rFonts w:ascii="Calibri" w:hAnsi="Calibri"/>
                <w:b w:val="0"/>
                <w:i w:val="0"/>
                <w:color w:val="212121"/>
                <w:sz w:val="19"/>
              </w:rPr>
              <w:t>Studies of Indian children with CP report a high burden of malnutrition that independently predicts poorer health-related quality of life.</w:t>
            </w:r>
          </w:p>
          <w:p>
            <w:pPr>
              <w:spacing w:after="40" w:line="252" w:lineRule="auto"/>
            </w:pPr>
            <w:hyperlink r:id="rId14">
              <w:r>
                <w:rPr>
                  <w:rFonts w:ascii="Calibri" w:hAnsi="Calibri" w:cs="Calibri"/>
                  <w:sz w:val="18"/>
                  <w:color w:val="1155CC"/>
                  <w:u w:val="single"/>
                </w:rPr>
                <w:t xml:space="preserve">pubmed.ncbi.nlm.nih.gov/36917290 — malnutrition in Indian children with CP</w:t>
              </w:r>
            </w:hyperlink>
          </w:p>
          <w:p>
            <w:pPr>
              <w:spacing w:before="60" w:after="40"/>
            </w:pPr>
            <w:r>
              <w:rPr>
                <w:rFonts w:ascii="Calibri" w:hAnsi="Calibri"/>
                <w:b w:val="0"/>
                <w:i w:val="0"/>
                <w:color w:val="5A5A5A"/>
                <w:sz w:val="18"/>
              </w:rPr>
              <w:t>#malnutrition  #feedingdifficulty  #oromotor  #undernutrition  #qualityoflife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Children of consanguineous marriages</w:t>
            </w:r>
          </w:p>
        </w:tc>
        <w:tc>
          <w:tcPr>
            <w:tcW w:type="dxa" w:w="4276"/>
            <w:vAlign w:val="top"/>
          </w:tcPr>
          <w:p>
            <w:pPr>
              <w:spacing w:after="60" w:line="259" w:lineRule="auto"/>
            </w:pPr>
            <w:r>
              <w:rPr>
                <w:rFonts w:ascii="Calibri" w:hAnsi="Calibri"/>
                <w:b w:val="0"/>
                <w:i w:val="0"/>
                <w:color w:val="212121"/>
                <w:sz w:val="19"/>
              </w:rPr>
              <w:t>Consanguinity, common in parts of India, increases the likelihood of autosomal-recessive metabolic and genetic disorders and of congenital malformations that cause or mimic cerebral palsy, and warrants a lower threshold for metabolic/genetic work-up.</w:t>
            </w:r>
          </w:p>
          <w:p>
            <w:pPr>
              <w:spacing w:before="60" w:after="40"/>
            </w:pPr>
            <w:r>
              <w:rPr>
                <w:rFonts w:ascii="Calibri" w:hAnsi="Calibri"/>
                <w:b w:val="0"/>
                <w:i w:val="0"/>
                <w:color w:val="5A5A5A"/>
                <w:sz w:val="18"/>
              </w:rPr>
              <w:t>#consanguinity  #recessive  #geneticrisk  #congenital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malformation / family history</w:t>
            </w:r>
          </w:p>
        </w:tc>
        <w:tc>
          <w:tcPr>
            <w:tcW w:type="dxa" w:w="2160"/>
            <w:vAlign w:val="top"/>
          </w:tcPr>
          <w:p>
            <w:pPr>
              <w:spacing w:after="40" w:before="0" w:line="259" w:lineRule="auto"/>
            </w:pPr>
            <w:r>
              <w:rPr>
                <w:rFonts w:ascii="Calibri" w:hAnsi="Calibri"/>
                <w:b w:val="0"/>
                <w:i w:val="0"/>
                <w:color w:val="212121"/>
                <w:sz w:val="19"/>
              </w:rPr>
              <w:t>Cerebral dysgenesis &amp; genetic syndromes</w:t>
            </w:r>
          </w:p>
        </w:tc>
        <w:tc>
          <w:tcPr>
            <w:tcW w:type="dxa" w:w="4276"/>
            <w:vAlign w:val="top"/>
          </w:tcPr>
          <w:p>
            <w:pPr>
              <w:spacing w:after="60" w:line="259" w:lineRule="auto"/>
            </w:pPr>
            <w:r>
              <w:rPr>
                <w:rFonts w:ascii="Calibri" w:hAnsi="Calibri"/>
                <w:b w:val="0"/>
                <w:i w:val="0"/>
                <w:color w:val="212121"/>
                <w:sz w:val="19"/>
              </w:rPr>
              <w:t>Congenital brain malformations, single-gene disorders and genetic syndromes account for a growing share of CP, particularly when no perinatal insult is identified; a family history of neurological disease is a red flag prompting genetic and metabolic testing to exclude progressive mimics.</w:t>
            </w:r>
          </w:p>
          <w:p>
            <w:pPr>
              <w:spacing w:after="40" w:before="60" w:line="259" w:lineRule="auto"/>
            </w:pPr>
            <w:r>
              <w:rPr>
                <w:rFonts w:ascii="Calibri" w:hAnsi="Calibri"/>
                <w:b w:val="0"/>
                <w:i w:val="0"/>
                <w:color w:val="212121"/>
                <w:sz w:val="19"/>
              </w:rPr>
              <w:t>Prenatal factors, including brain malformations, underlie roughly 80% of CP overall, and recognised genetic contributions are increasing.</w:t>
            </w:r>
          </w:p>
          <w:p>
            <w:pPr>
              <w:spacing w:after="40" w:line="252" w:lineRule="auto"/>
            </w:pPr>
            <w:hyperlink r:id="rId9">
              <w:r>
                <w:rPr>
                  <w:rFonts w:ascii="Calibri" w:hAnsi="Calibri" w:cs="Calibri"/>
                  <w:sz w:val="18"/>
                  <w:color w:val="1155CC"/>
                  <w:u w:val="single"/>
                </w:rPr>
                <w:t xml:space="preserve">ncbi.nlm.nih.gov — Cerebral Palsy (StatPearls)</w:t>
              </w:r>
            </w:hyperlink>
          </w:p>
          <w:p>
            <w:pPr>
              <w:spacing w:before="60" w:after="40"/>
            </w:pPr>
            <w:r>
              <w:rPr>
                <w:rFonts w:ascii="Calibri" w:hAnsi="Calibri"/>
                <w:b w:val="0"/>
                <w:i w:val="0"/>
                <w:color w:val="5A5A5A"/>
                <w:sz w:val="18"/>
              </w:rPr>
              <w:t>#congenitalmalformation  #genetics  #cerebraldysgenesis  #familyhistory  #prenatal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Prematurity</w:t>
            </w:r>
          </w:p>
        </w:tc>
        <w:tc>
          <w:tcPr>
            <w:tcW w:type="dxa" w:w="2160"/>
            <w:vAlign w:val="top"/>
          </w:tcPr>
          <w:p>
            <w:pPr>
              <w:spacing w:after="40" w:before="0" w:line="259" w:lineRule="auto"/>
            </w:pPr>
            <w:r>
              <w:rPr>
                <w:rFonts w:ascii="Calibri" w:hAnsi="Calibri"/>
                <w:b w:val="0"/>
                <w:i w:val="0"/>
                <w:color w:val="212121"/>
                <w:sz w:val="19"/>
              </w:rPr>
              <w:t>Preterm infants (&lt;37, especially &lt;32 weeks)</w:t>
            </w:r>
          </w:p>
        </w:tc>
        <w:tc>
          <w:tcPr>
            <w:tcW w:type="dxa" w:w="4276"/>
            <w:vAlign w:val="top"/>
          </w:tcPr>
          <w:p>
            <w:pPr>
              <w:spacing w:after="60" w:line="259" w:lineRule="auto"/>
            </w:pPr>
            <w:r>
              <w:rPr>
                <w:rFonts w:ascii="Calibri" w:hAnsi="Calibri"/>
                <w:b w:val="0"/>
                <w:i w:val="0"/>
                <w:color w:val="212121"/>
                <w:sz w:val="19"/>
              </w:rPr>
              <w:t>Prematurity is one of the strongest risk factors for CP; the immature brain is vulnerable to periventricular leukomalacia and intraventricular haemorrhage, classically producing spastic diplegia.</w:t>
            </w:r>
          </w:p>
          <w:p>
            <w:pPr>
              <w:spacing w:after="40" w:before="60" w:line="259" w:lineRule="auto"/>
            </w:pPr>
            <w:r>
              <w:rPr>
                <w:rFonts w:ascii="Calibri" w:hAnsi="Calibri"/>
                <w:b w:val="0"/>
                <w:i w:val="0"/>
                <w:color w:val="212121"/>
                <w:sz w:val="19"/>
              </w:rPr>
              <w:t>CP risk rises steeply as gestation falls, with infants born before 28 weeks at highest risk.</w:t>
            </w:r>
          </w:p>
          <w:p>
            <w:pPr>
              <w:spacing w:after="40" w:line="252" w:lineRule="auto"/>
            </w:pPr>
            <w:hyperlink r:id="rId9">
              <w:r>
                <w:rPr>
                  <w:rFonts w:ascii="Calibri" w:hAnsi="Calibri" w:cs="Calibri"/>
                  <w:sz w:val="18"/>
                  <w:color w:val="1155CC"/>
                  <w:u w:val="single"/>
                </w:rPr>
                <w:t xml:space="preserve">ncbi.nlm.nih.gov — Cerebral Palsy (StatPearls)</w:t>
              </w:r>
            </w:hyperlink>
          </w:p>
          <w:p>
            <w:pPr>
              <w:spacing w:before="60" w:after="40"/>
            </w:pPr>
            <w:r>
              <w:rPr>
                <w:rFonts w:ascii="Calibri" w:hAnsi="Calibri"/>
                <w:b w:val="0"/>
                <w:i w:val="0"/>
                <w:color w:val="5A5A5A"/>
                <w:sz w:val="18"/>
              </w:rPr>
              <w:t>#prematurity  #PVL  #IVH  #spasticdiplegia  #preterm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birth weight</w:t>
            </w:r>
          </w:p>
        </w:tc>
        <w:tc>
          <w:tcPr>
            <w:tcW w:type="dxa" w:w="2160"/>
            <w:vAlign w:val="top"/>
          </w:tcPr>
          <w:p>
            <w:pPr>
              <w:spacing w:after="40" w:before="0" w:line="259" w:lineRule="auto"/>
            </w:pPr>
            <w:r>
              <w:rPr>
                <w:rFonts w:ascii="Calibri" w:hAnsi="Calibri"/>
                <w:b w:val="0"/>
                <w:i w:val="0"/>
                <w:color w:val="212121"/>
                <w:sz w:val="19"/>
              </w:rPr>
              <w:t>LBW / VLBW infants</w:t>
            </w:r>
          </w:p>
        </w:tc>
        <w:tc>
          <w:tcPr>
            <w:tcW w:type="dxa" w:w="4276"/>
            <w:vAlign w:val="top"/>
          </w:tcPr>
          <w:p>
            <w:pPr>
              <w:spacing w:after="60" w:line="259" w:lineRule="auto"/>
            </w:pPr>
            <w:r>
              <w:rPr>
                <w:rFonts w:ascii="Calibri" w:hAnsi="Calibri"/>
                <w:b w:val="0"/>
                <w:i w:val="0"/>
                <w:color w:val="212121"/>
                <w:sz w:val="19"/>
              </w:rPr>
              <w:t>Low and very low birth weight strongly predict CP; the risk of brain injury increases as birth weight falls, and such infants often require NICU care.</w:t>
            </w:r>
          </w:p>
          <w:p>
            <w:pPr>
              <w:spacing w:after="40" w:before="60" w:line="259" w:lineRule="auto"/>
            </w:pPr>
            <w:r>
              <w:rPr>
                <w:rFonts w:ascii="Calibri" w:hAnsi="Calibri"/>
                <w:b w:val="0"/>
                <w:i w:val="0"/>
                <w:color w:val="212121"/>
                <w:sz w:val="19"/>
              </w:rPr>
              <w:t>Infants under 1,500 g have a 5–15% CP prevalence; in a Gujarat CP cohort 38% were low birth weight (1.5–2.49 kg) and 16% very low birth weight (&lt;1.5 kg).</w:t>
            </w:r>
          </w:p>
          <w:p>
            <w:pPr>
              <w:spacing w:after="40" w:line="252" w:lineRule="auto"/>
            </w:pPr>
            <w:hyperlink r:id="rId13">
              <w:r>
                <w:rPr>
                  <w:rFonts w:ascii="Calibri" w:hAnsi="Calibri" w:cs="Calibri"/>
                  <w:sz w:val="18"/>
                  <w:color w:val="1155CC"/>
                  <w:u w:val="single"/>
                </w:rPr>
                <w:t xml:space="preserve">bfpt.springeropen.com — CP profile in Gujarat</w:t>
              </w:r>
            </w:hyperlink>
          </w:p>
          <w:p>
            <w:pPr>
              <w:spacing w:before="60" w:after="40"/>
            </w:pPr>
            <w:r>
              <w:rPr>
                <w:rFonts w:ascii="Calibri" w:hAnsi="Calibri"/>
                <w:b w:val="0"/>
                <w:i w:val="0"/>
                <w:color w:val="5A5A5A"/>
                <w:sz w:val="18"/>
              </w:rPr>
              <w:t>#lowbirthweight  #VLBW  #NICU  #pretermgrowth  #risk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Birth asphyxia / HIE</w:t>
            </w:r>
          </w:p>
        </w:tc>
        <w:tc>
          <w:tcPr>
            <w:tcW w:type="dxa" w:w="2160"/>
            <w:vAlign w:val="top"/>
          </w:tcPr>
          <w:p>
            <w:pPr>
              <w:spacing w:after="40" w:before="0" w:line="259" w:lineRule="auto"/>
            </w:pPr>
            <w:r>
              <w:rPr>
                <w:rFonts w:ascii="Calibri" w:hAnsi="Calibri"/>
                <w:b w:val="0"/>
                <w:i w:val="0"/>
                <w:color w:val="212121"/>
                <w:sz w:val="19"/>
              </w:rPr>
              <w:t>Perinatal hypoxic-ischaemic encephalopathy</w:t>
            </w:r>
          </w:p>
        </w:tc>
        <w:tc>
          <w:tcPr>
            <w:tcW w:type="dxa" w:w="4276"/>
            <w:vAlign w:val="top"/>
          </w:tcPr>
          <w:p>
            <w:pPr>
              <w:spacing w:after="60" w:line="259" w:lineRule="auto"/>
            </w:pPr>
            <w:r>
              <w:rPr>
                <w:rFonts w:ascii="Calibri" w:hAnsi="Calibri"/>
                <w:b w:val="0"/>
                <w:i w:val="0"/>
                <w:color w:val="212121"/>
                <w:sz w:val="19"/>
              </w:rPr>
              <w:t>Perinatal asphyxia causing hypoxic-ischaemic encephalopathy is the single leading identifiable cause of CP in India, typically resulting in spastic quadriplegia or dyskinetic CP.</w:t>
            </w:r>
          </w:p>
          <w:p>
            <w:pPr>
              <w:spacing w:after="40" w:before="60" w:line="259" w:lineRule="auto"/>
            </w:pPr>
            <w:r>
              <w:rPr>
                <w:rFonts w:ascii="Calibri" w:hAnsi="Calibri"/>
                <w:b w:val="0"/>
                <w:i w:val="0"/>
                <w:color w:val="212121"/>
                <w:sz w:val="19"/>
              </w:rPr>
              <w:t>Birth asphyxia was recorded in 43.9% of an Assam cohort, and HIE in 71.7% of NICU-admitted CP children in an Eastern-India series (with 77% having no cry at birth).</w:t>
            </w:r>
          </w:p>
          <w:p>
            <w:pPr>
              <w:spacing w:after="40" w:line="252" w:lineRule="auto"/>
            </w:pPr>
            <w:hyperlink r:id="rId10">
              <w:r>
                <w:rPr>
                  <w:rFonts w:ascii="Calibri" w:hAnsi="Calibri" w:cs="Calibri"/>
                  <w:sz w:val="18"/>
                  <w:color w:val="1155CC"/>
                  <w:u w:val="single"/>
                </w:rPr>
                <w:t xml:space="preserve">nature.com — CP in Eastern India (Sci Rep 2025)</w:t>
              </w:r>
            </w:hyperlink>
          </w:p>
          <w:p>
            <w:pPr>
              <w:spacing w:before="60" w:after="40"/>
            </w:pPr>
            <w:r>
              <w:rPr>
                <w:rFonts w:ascii="Calibri" w:hAnsi="Calibri"/>
                <w:b w:val="0"/>
                <w:i w:val="0"/>
                <w:color w:val="5A5A5A"/>
                <w:sz w:val="18"/>
              </w:rPr>
              <w:t>#birthasphyxia  #HIE  #spasticquadriplegia  #perinatal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Neonatal jaundice / kernicterus</w:t>
            </w:r>
          </w:p>
        </w:tc>
        <w:tc>
          <w:tcPr>
            <w:tcW w:type="dxa" w:w="2160"/>
            <w:vAlign w:val="top"/>
          </w:tcPr>
          <w:p>
            <w:pPr>
              <w:spacing w:after="40" w:before="0" w:line="259" w:lineRule="auto"/>
            </w:pPr>
            <w:r>
              <w:rPr>
                <w:rFonts w:ascii="Calibri" w:hAnsi="Calibri"/>
                <w:b w:val="0"/>
                <w:i w:val="0"/>
                <w:color w:val="212121"/>
                <w:sz w:val="19"/>
              </w:rPr>
              <w:t>Severe neonatal hyperbilirubinaemia</w:t>
            </w:r>
          </w:p>
        </w:tc>
        <w:tc>
          <w:tcPr>
            <w:tcW w:type="dxa" w:w="4276"/>
            <w:vAlign w:val="top"/>
          </w:tcPr>
          <w:p>
            <w:pPr>
              <w:spacing w:after="60" w:line="259" w:lineRule="auto"/>
            </w:pPr>
            <w:r>
              <w:rPr>
                <w:rFonts w:ascii="Calibri" w:hAnsi="Calibri"/>
                <w:b w:val="0"/>
                <w:i w:val="0"/>
                <w:color w:val="212121"/>
                <w:sz w:val="19"/>
              </w:rPr>
              <w:t>Untreated severe neonatal jaundice causes bilirubin encephalopathy (kernicterus) of the basal ganglia, classically producing dyskinetic (athetoid) CP with sensorineural hearing loss — largely preventable with timely phototherapy or exchange transfusion.</w:t>
            </w:r>
          </w:p>
          <w:p>
            <w:pPr>
              <w:spacing w:after="40" w:before="60" w:line="259" w:lineRule="auto"/>
            </w:pPr>
            <w:r>
              <w:rPr>
                <w:rFonts w:ascii="Calibri" w:hAnsi="Calibri"/>
                <w:b w:val="0"/>
                <w:i w:val="0"/>
                <w:color w:val="212121"/>
                <w:sz w:val="19"/>
              </w:rPr>
              <w:t>Neonatal jaundice was present in about 23% of CP children in the Assam survey; kernicterus remains a major preventable cause of dyskinetic CP in India.</w:t>
            </w:r>
          </w:p>
          <w:p>
            <w:pPr>
              <w:spacing w:after="40" w:line="252" w:lineRule="auto"/>
            </w:pPr>
            <w:hyperlink r:id="rId11">
              <w:r>
                <w:rPr>
                  <w:rFonts w:ascii="Calibri" w:hAnsi="Calibri" w:cs="Calibri"/>
                  <w:sz w:val="18"/>
                  <w:color w:val="1155CC"/>
                  <w:u w:val="single"/>
                </w:rPr>
                <w:t xml:space="preserve">jcdronline.org — epidemiological survey of CP in Assam</w:t>
              </w:r>
            </w:hyperlink>
          </w:p>
          <w:p>
            <w:pPr>
              <w:spacing w:before="60" w:after="40"/>
            </w:pPr>
            <w:r>
              <w:rPr>
                <w:rFonts w:ascii="Calibri" w:hAnsi="Calibri"/>
                <w:b w:val="0"/>
                <w:i w:val="0"/>
                <w:color w:val="5A5A5A"/>
                <w:sz w:val="18"/>
              </w:rPr>
              <w:t>#kernicterus  #neonataljaundice  #dyskineticCP  #bilirubin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Neonatal &amp; CNS infection</w:t>
            </w:r>
          </w:p>
        </w:tc>
        <w:tc>
          <w:tcPr>
            <w:tcW w:type="dxa" w:w="2160"/>
            <w:vAlign w:val="top"/>
          </w:tcPr>
          <w:p>
            <w:pPr>
              <w:spacing w:after="40" w:before="0" w:line="259" w:lineRule="auto"/>
            </w:pPr>
            <w:r>
              <w:rPr>
                <w:rFonts w:ascii="Calibri" w:hAnsi="Calibri"/>
                <w:b w:val="0"/>
                <w:i w:val="0"/>
                <w:color w:val="212121"/>
                <w:sz w:val="19"/>
              </w:rPr>
              <w:t>Neonatal sepsis, meningitis &amp; encephalitis</w:t>
            </w:r>
          </w:p>
        </w:tc>
        <w:tc>
          <w:tcPr>
            <w:tcW w:type="dxa" w:w="4276"/>
            <w:vAlign w:val="top"/>
          </w:tcPr>
          <w:p>
            <w:pPr>
              <w:spacing w:after="60" w:line="259" w:lineRule="auto"/>
            </w:pPr>
            <w:r>
              <w:rPr>
                <w:rFonts w:ascii="Calibri" w:hAnsi="Calibri"/>
                <w:b w:val="0"/>
                <w:i w:val="0"/>
                <w:color w:val="212121"/>
                <w:sz w:val="19"/>
              </w:rPr>
              <w:t>Neonatal sepsis, meningitis and encephalitis, and postnatal CNS infections, injure the developing brain and are important, often preventable, causes of CP in India.</w:t>
            </w:r>
          </w:p>
          <w:p>
            <w:pPr>
              <w:spacing w:after="40" w:before="60" w:line="259" w:lineRule="auto"/>
            </w:pPr>
            <w:r>
              <w:rPr>
                <w:rFonts w:ascii="Calibri" w:hAnsi="Calibri"/>
                <w:b w:val="0"/>
                <w:i w:val="0"/>
                <w:color w:val="212121"/>
                <w:sz w:val="19"/>
              </w:rPr>
              <w:t>Neonatal septicaemia was recorded in 16.8% and neonatal convulsions in 23.6% of the Assam CP cohort.</w:t>
            </w:r>
          </w:p>
          <w:p>
            <w:pPr>
              <w:spacing w:after="40" w:line="252" w:lineRule="auto"/>
            </w:pPr>
            <w:hyperlink r:id="rId11">
              <w:r>
                <w:rPr>
                  <w:rFonts w:ascii="Calibri" w:hAnsi="Calibri" w:cs="Calibri"/>
                  <w:sz w:val="18"/>
                  <w:color w:val="1155CC"/>
                  <w:u w:val="single"/>
                </w:rPr>
                <w:t xml:space="preserve">jcdronline.org — epidemiological survey of CP in Assam</w:t>
              </w:r>
            </w:hyperlink>
          </w:p>
          <w:p>
            <w:pPr>
              <w:spacing w:before="60" w:after="40"/>
            </w:pPr>
            <w:r>
              <w:rPr>
                <w:rFonts w:ascii="Calibri" w:hAnsi="Calibri"/>
                <w:b w:val="0"/>
                <w:i w:val="0"/>
                <w:color w:val="5A5A5A"/>
                <w:sz w:val="18"/>
              </w:rPr>
              <w:t>#neonatalsepsis  #meningitis  #CNSinfection  #encephalitis  #postnatal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Multiple gestation</w:t>
            </w:r>
          </w:p>
        </w:tc>
        <w:tc>
          <w:tcPr>
            <w:tcW w:type="dxa" w:w="2160"/>
            <w:vAlign w:val="top"/>
          </w:tcPr>
          <w:p>
            <w:pPr>
              <w:spacing w:after="40" w:before="0" w:line="259" w:lineRule="auto"/>
            </w:pPr>
            <w:r>
              <w:rPr>
                <w:rFonts w:ascii="Calibri" w:hAnsi="Calibri"/>
                <w:b w:val="0"/>
                <w:i w:val="0"/>
                <w:color w:val="212121"/>
                <w:sz w:val="19"/>
              </w:rPr>
              <w:t>Twins &amp; higher-order multiples</w:t>
            </w:r>
          </w:p>
        </w:tc>
        <w:tc>
          <w:tcPr>
            <w:tcW w:type="dxa" w:w="4276"/>
            <w:vAlign w:val="top"/>
          </w:tcPr>
          <w:p>
            <w:pPr>
              <w:spacing w:after="60" w:line="259" w:lineRule="auto"/>
            </w:pPr>
            <w:r>
              <w:rPr>
                <w:rFonts w:ascii="Calibri" w:hAnsi="Calibri"/>
                <w:b w:val="0"/>
                <w:i w:val="0"/>
                <w:color w:val="212121"/>
                <w:sz w:val="19"/>
              </w:rPr>
              <w:t>Multiple pregnancies carry a higher CP risk through prematurity, low birth weight and specific complications such as twin-to-twin transfusion and co-twin demise.</w:t>
            </w:r>
          </w:p>
          <w:p>
            <w:pPr>
              <w:spacing w:after="40" w:before="60" w:line="259" w:lineRule="auto"/>
            </w:pPr>
            <w:r>
              <w:rPr>
                <w:rFonts w:ascii="Calibri" w:hAnsi="Calibri"/>
                <w:b w:val="0"/>
                <w:i w:val="0"/>
                <w:color w:val="212121"/>
                <w:sz w:val="19"/>
              </w:rPr>
              <w:t>Twin deliveries accounted for about 2.3% of the Assam CP cohort; multiple gestation is an established, independent risk factor.</w:t>
            </w:r>
          </w:p>
          <w:p>
            <w:pPr>
              <w:spacing w:after="40" w:line="252" w:lineRule="auto"/>
            </w:pPr>
            <w:hyperlink r:id="rId11">
              <w:r>
                <w:rPr>
                  <w:rFonts w:ascii="Calibri" w:hAnsi="Calibri" w:cs="Calibri"/>
                  <w:sz w:val="18"/>
                  <w:color w:val="1155CC"/>
                  <w:u w:val="single"/>
                </w:rPr>
                <w:t xml:space="preserve">jcdronline.org — epidemiological survey of CP in Assam</w:t>
              </w:r>
            </w:hyperlink>
          </w:p>
          <w:p>
            <w:pPr>
              <w:spacing w:before="60" w:after="40"/>
            </w:pPr>
            <w:r>
              <w:rPr>
                <w:rFonts w:ascii="Calibri" w:hAnsi="Calibri"/>
                <w:b w:val="0"/>
                <w:i w:val="0"/>
                <w:color w:val="5A5A5A"/>
                <w:sz w:val="18"/>
              </w:rPr>
              <w:t>#twins  #multiplegestation  #prematurity  #TTTS  #risk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activity neither causes nor cures the underlying brain lesion, but physiotherapy, task-specific motor training, positioning and active movement are the cornerstone of CP management; inactivity accelerates contractures, hip displacement, deconditioning and loss of function.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Nutrition is central: maternal undernutrition contributes to prematurity and low birth weight, while oromotor dysfunction causes feeding difficulty and malnutrition in the child, which is highly prevalent in Indian CP and worsens growth, immunity and quality of life.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disturbance affects roughly a quarter of children with CP, driven by spasticity, pain, reflux, seizures and immobility, and it worsens daytime function, behaviour and caregiver stress.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smoking and second-hand smoke in pregnancy increase preterm birth and fetal growth restriction (an antenatal CP risk); in established CP, smoke exposure aggravates recurrent chest infections.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in pregnancy is neurotoxic to the developing brain and, with heavy exposure, contributes to fetal brain injury; it is a modifiable antenatal risk factor and overlaps with fetal alcohol spectrum disorder.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Behavioural and emotional problems affect 20–30% of children with CP, and caregivers show high rates of depression, anxiety and stress; mental health strongly influences engagement with therapy and overall outcome.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together with fibre helps manage the chronic constipation that affects around 60% of children with CP; water has no direct role in causation of the condition.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causal role in CP; it is relevant only within general maternal antenatal advice, and separately as neonatal caffeine therapy used to prevent apnoea of prematurity.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Careful oral, skin and perineal hygiene prevents aspiration from drooling, dental disease, pressure ulcers and urinary infections in immobile, incontinent or tube-fed children.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Perinatal insults — asphyxia, kernicterus, infection and prematurity — are the provoking events that cause CP; in established disease, intercurrent illness, fever, pain, constipation and missed medication provoke seizures and worsen spasticity and dystonia.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Posture and positioning are central to CP: abnormal tone drives contractures, hip subluxation/dislocation and neuromuscular scoliosis, so 24-hour postural management, supportive seating and orthoses are essential to preserve function and comfort.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GMFCS level (gross motor function)</w:t>
            </w:r>
          </w:p>
        </w:tc>
        <w:tc>
          <w:tcPr>
            <w:tcW w:type="dxa" w:w="1655"/>
            <w:vAlign w:val="top"/>
          </w:tcPr>
          <w:p>
            <w:pPr>
              <w:spacing w:after="40" w:before="0" w:line="259" w:lineRule="auto"/>
            </w:pPr>
            <w:r>
              <w:rPr>
                <w:rFonts w:ascii="Calibri" w:hAnsi="Calibri"/>
                <w:b w:val="0"/>
                <w:i w:val="0"/>
                <w:color w:val="212121"/>
                <w:sz w:val="19"/>
              </w:rPr>
              <w:t>All children with CP</w:t>
            </w:r>
          </w:p>
        </w:tc>
        <w:tc>
          <w:tcPr>
            <w:tcW w:type="dxa" w:w="1512"/>
            <w:vAlign w:val="top"/>
          </w:tcPr>
          <w:p>
            <w:pPr>
              <w:spacing w:after="40" w:before="0" w:line="259" w:lineRule="auto"/>
            </w:pPr>
            <w:r>
              <w:rPr>
                <w:rFonts w:ascii="Calibri" w:hAnsi="Calibri"/>
                <w:b w:val="0"/>
                <w:i w:val="0"/>
                <w:color w:val="212121"/>
                <w:sz w:val="19"/>
              </w:rPr>
              <w:t>Level I–II (independent walking)</w:t>
            </w:r>
          </w:p>
        </w:tc>
        <w:tc>
          <w:tcPr>
            <w:tcW w:type="dxa" w:w="1512"/>
            <w:vAlign w:val="top"/>
          </w:tcPr>
          <w:p>
            <w:pPr>
              <w:spacing w:after="40" w:before="0" w:line="259" w:lineRule="auto"/>
            </w:pPr>
            <w:r>
              <w:rPr>
                <w:rFonts w:ascii="Calibri" w:hAnsi="Calibri"/>
                <w:b w:val="0"/>
                <w:i w:val="0"/>
                <w:color w:val="212121"/>
                <w:sz w:val="19"/>
              </w:rPr>
              <w:t>Level IV–V (dependent mobility)</w:t>
            </w:r>
          </w:p>
        </w:tc>
        <w:tc>
          <w:tcPr>
            <w:tcW w:type="dxa" w:w="1468"/>
            <w:vAlign w:val="top"/>
          </w:tcPr>
          <w:p>
            <w:pPr>
              <w:spacing w:after="60" w:line="259" w:lineRule="auto"/>
            </w:pPr>
            <w:r>
              <w:rPr>
                <w:rFonts w:ascii="Calibri" w:hAnsi="Calibri"/>
                <w:b w:val="0"/>
                <w:i w:val="0"/>
                <w:color w:val="212121"/>
                <w:sz w:val="19"/>
              </w:rPr>
              <w:t>Standard severity classification guiding therapy, equipment and surveillance</w:t>
            </w:r>
          </w:p>
          <w:p>
            <w:pPr>
              <w:spacing w:after="40" w:line="252" w:lineRule="auto"/>
            </w:pPr>
            <w:hyperlink r:id="rId10">
              <w:r>
                <w:rPr>
                  <w:rFonts w:ascii="Calibri" w:hAnsi="Calibri" w:cs="Calibri"/>
                  <w:sz w:val="18"/>
                  <w:color w:val="1155CC"/>
                  <w:u w:val="single"/>
                </w:rPr>
                <w:t xml:space="preserve">https://www.nature.com/articles/s41598-025-28245-6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Structured therapy (physio/OT sessions per week)</w:t>
            </w:r>
          </w:p>
        </w:tc>
        <w:tc>
          <w:tcPr>
            <w:tcW w:type="dxa" w:w="1655"/>
            <w:vAlign w:val="top"/>
          </w:tcPr>
          <w:p>
            <w:pPr>
              <w:spacing w:after="40" w:before="0" w:line="259" w:lineRule="auto"/>
            </w:pPr>
            <w:r>
              <w:rPr>
                <w:rFonts w:ascii="Calibri" w:hAnsi="Calibri"/>
                <w:b w:val="0"/>
                <w:i w:val="0"/>
                <w:color w:val="212121"/>
                <w:sz w:val="19"/>
              </w:rPr>
              <w:t>Children with CP in the community</w:t>
            </w:r>
          </w:p>
        </w:tc>
        <w:tc>
          <w:tcPr>
            <w:tcW w:type="dxa" w:w="1512"/>
            <w:vAlign w:val="top"/>
          </w:tcPr>
          <w:p>
            <w:pPr>
              <w:spacing w:after="40" w:before="0" w:line="259" w:lineRule="auto"/>
            </w:pPr>
            <w:r>
              <w:rPr>
                <w:rFonts w:ascii="Calibri" w:hAnsi="Calibri"/>
                <w:b w:val="0"/>
                <w:i w:val="0"/>
                <w:color w:val="212121"/>
                <w:sz w:val="19"/>
              </w:rPr>
              <w:t>Regular, consistent therapy</w:t>
            </w:r>
          </w:p>
        </w:tc>
        <w:tc>
          <w:tcPr>
            <w:tcW w:type="dxa" w:w="1512"/>
            <w:vAlign w:val="top"/>
          </w:tcPr>
          <w:p>
            <w:pPr>
              <w:spacing w:after="40" w:before="0" w:line="259" w:lineRule="auto"/>
            </w:pPr>
            <w:r>
              <w:rPr>
                <w:rFonts w:ascii="Calibri" w:hAnsi="Calibri"/>
                <w:b w:val="0"/>
                <w:i w:val="0"/>
                <w:color w:val="212121"/>
                <w:sz w:val="19"/>
              </w:rPr>
              <w:t>No access / irregular therapy</w:t>
            </w:r>
          </w:p>
        </w:tc>
        <w:tc>
          <w:tcPr>
            <w:tcW w:type="dxa" w:w="1468"/>
            <w:vAlign w:val="top"/>
          </w:tcPr>
          <w:p>
            <w:pPr>
              <w:spacing w:after="40" w:before="0" w:line="259" w:lineRule="auto"/>
            </w:pPr>
            <w:r>
              <w:rPr>
                <w:rFonts w:ascii="Calibri" w:hAnsi="Calibri"/>
                <w:b w:val="0"/>
                <w:i w:val="0"/>
                <w:color w:val="212121"/>
                <w:sz w:val="19"/>
              </w:rPr>
              <w:t>Consistency preserves range of movement and function; gaps accelerate contractures</w:t>
            </w:r>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Hip migration percentage (Reimers)</w:t>
            </w:r>
          </w:p>
        </w:tc>
        <w:tc>
          <w:tcPr>
            <w:tcW w:type="dxa" w:w="1655"/>
            <w:vAlign w:val="top"/>
          </w:tcPr>
          <w:p>
            <w:pPr>
              <w:spacing w:after="40" w:before="0" w:line="259" w:lineRule="auto"/>
            </w:pPr>
            <w:r>
              <w:rPr>
                <w:rFonts w:ascii="Calibri" w:hAnsi="Calibri"/>
                <w:b w:val="0"/>
                <w:i w:val="0"/>
                <w:color w:val="212121"/>
                <w:sz w:val="19"/>
              </w:rPr>
              <w:t>Non-ambulant CP (GMFCS III–V)</w:t>
            </w:r>
          </w:p>
        </w:tc>
        <w:tc>
          <w:tcPr>
            <w:tcW w:type="dxa" w:w="1512"/>
            <w:vAlign w:val="top"/>
          </w:tcPr>
          <w:p>
            <w:pPr>
              <w:spacing w:after="40" w:before="0" w:line="259" w:lineRule="auto"/>
            </w:pPr>
            <w:r>
              <w:rPr>
                <w:rFonts w:ascii="Calibri" w:hAnsi="Calibri"/>
                <w:b w:val="0"/>
                <w:i w:val="0"/>
                <w:color w:val="212121"/>
                <w:sz w:val="19"/>
              </w:rPr>
              <w:t>&lt; 30%</w:t>
            </w:r>
          </w:p>
        </w:tc>
        <w:tc>
          <w:tcPr>
            <w:tcW w:type="dxa" w:w="1512"/>
            <w:vAlign w:val="top"/>
          </w:tcPr>
          <w:p>
            <w:pPr>
              <w:spacing w:after="40" w:before="0" w:line="259" w:lineRule="auto"/>
            </w:pPr>
            <w:r>
              <w:rPr>
                <w:rFonts w:ascii="Calibri" w:hAnsi="Calibri"/>
                <w:b w:val="0"/>
                <w:i w:val="0"/>
                <w:color w:val="212121"/>
                <w:sz w:val="19"/>
              </w:rPr>
              <w:t>&gt; 30% (subluxation); &gt; 50% (dislocation)</w:t>
            </w:r>
          </w:p>
        </w:tc>
        <w:tc>
          <w:tcPr>
            <w:tcW w:type="dxa" w:w="1468"/>
            <w:vAlign w:val="top"/>
          </w:tcPr>
          <w:p>
            <w:pPr>
              <w:spacing w:after="40" w:before="0" w:line="259" w:lineRule="auto"/>
            </w:pPr>
            <w:r>
              <w:rPr>
                <w:rFonts w:ascii="Calibri" w:hAnsi="Calibri"/>
                <w:b w:val="0"/>
                <w:i w:val="0"/>
                <w:color w:val="212121"/>
                <w:sz w:val="19"/>
              </w:rPr>
              <w:t>Radiographic hip surveillance detects silent displacement before painful dislocation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Cobb angle (spinal curvature)</w:t>
            </w:r>
          </w:p>
        </w:tc>
        <w:tc>
          <w:tcPr>
            <w:tcW w:type="dxa" w:w="1655"/>
            <w:vAlign w:val="top"/>
          </w:tcPr>
          <w:p>
            <w:pPr>
              <w:spacing w:after="40" w:before="0" w:line="259" w:lineRule="auto"/>
            </w:pPr>
            <w:r>
              <w:rPr>
                <w:rFonts w:ascii="Calibri" w:hAnsi="Calibri"/>
                <w:b w:val="0"/>
                <w:i w:val="0"/>
                <w:color w:val="212121"/>
                <w:sz w:val="19"/>
              </w:rPr>
              <w:t>Severe CP (GMFCS IV–V)</w:t>
            </w:r>
          </w:p>
        </w:tc>
        <w:tc>
          <w:tcPr>
            <w:tcW w:type="dxa" w:w="1512"/>
            <w:vAlign w:val="top"/>
          </w:tcPr>
          <w:p>
            <w:pPr>
              <w:spacing w:after="40" w:before="0" w:line="259" w:lineRule="auto"/>
            </w:pPr>
            <w:r>
              <w:rPr>
                <w:rFonts w:ascii="Calibri" w:hAnsi="Calibri"/>
                <w:b w:val="0"/>
                <w:i w:val="0"/>
                <w:color w:val="212121"/>
                <w:sz w:val="19"/>
              </w:rPr>
              <w:t>&lt; 10°</w:t>
            </w:r>
          </w:p>
        </w:tc>
        <w:tc>
          <w:tcPr>
            <w:tcW w:type="dxa" w:w="1512"/>
            <w:vAlign w:val="top"/>
          </w:tcPr>
          <w:p>
            <w:pPr>
              <w:spacing w:after="40" w:before="0" w:line="259" w:lineRule="auto"/>
            </w:pPr>
            <w:r>
              <w:rPr>
                <w:rFonts w:ascii="Calibri" w:hAnsi="Calibri"/>
                <w:b w:val="0"/>
                <w:i w:val="0"/>
                <w:color w:val="212121"/>
                <w:sz w:val="19"/>
              </w:rPr>
              <w:t>&gt; 40–50° (surgical range)</w:t>
            </w:r>
          </w:p>
        </w:tc>
        <w:tc>
          <w:tcPr>
            <w:tcW w:type="dxa" w:w="1468"/>
            <w:vAlign w:val="top"/>
          </w:tcPr>
          <w:p>
            <w:pPr>
              <w:spacing w:after="40" w:before="0" w:line="259" w:lineRule="auto"/>
            </w:pPr>
            <w:r>
              <w:rPr>
                <w:rFonts w:ascii="Calibri" w:hAnsi="Calibri"/>
                <w:b w:val="0"/>
                <w:i w:val="0"/>
                <w:color w:val="212121"/>
                <w:sz w:val="19"/>
              </w:rPr>
              <w:t>Spinal surveillance for progressive neuromuscular scoliosis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Modified Ashworth Scale (spasticity)</w:t>
            </w:r>
          </w:p>
        </w:tc>
        <w:tc>
          <w:tcPr>
            <w:tcW w:type="dxa" w:w="1655"/>
            <w:vAlign w:val="top"/>
          </w:tcPr>
          <w:p>
            <w:pPr>
              <w:spacing w:after="40" w:before="0" w:line="259" w:lineRule="auto"/>
            </w:pPr>
            <w:r>
              <w:rPr>
                <w:rFonts w:ascii="Calibri" w:hAnsi="Calibri"/>
                <w:b w:val="0"/>
                <w:i w:val="0"/>
                <w:color w:val="212121"/>
                <w:sz w:val="19"/>
              </w:rPr>
              <w:t>Spastic CP</w:t>
            </w:r>
          </w:p>
        </w:tc>
        <w:tc>
          <w:tcPr>
            <w:tcW w:type="dxa" w:w="1512"/>
            <w:vAlign w:val="top"/>
          </w:tcPr>
          <w:p>
            <w:pPr>
              <w:spacing w:after="40" w:before="0" w:line="259" w:lineRule="auto"/>
            </w:pPr>
            <w:r>
              <w:rPr>
                <w:rFonts w:ascii="Calibri" w:hAnsi="Calibri"/>
                <w:b w:val="0"/>
                <w:i w:val="0"/>
                <w:color w:val="212121"/>
                <w:sz w:val="19"/>
              </w:rPr>
              <w:t>0–1</w:t>
            </w:r>
          </w:p>
        </w:tc>
        <w:tc>
          <w:tcPr>
            <w:tcW w:type="dxa" w:w="1512"/>
            <w:vAlign w:val="top"/>
          </w:tcPr>
          <w:p>
            <w:pPr>
              <w:spacing w:after="40" w:before="0" w:line="259" w:lineRule="auto"/>
            </w:pPr>
            <w:r>
              <w:rPr>
                <w:rFonts w:ascii="Calibri" w:hAnsi="Calibri"/>
                <w:b w:val="0"/>
                <w:i w:val="0"/>
                <w:color w:val="212121"/>
                <w:sz w:val="19"/>
              </w:rPr>
              <w:t>≥ 2–3</w:t>
            </w:r>
          </w:p>
        </w:tc>
        <w:tc>
          <w:tcPr>
            <w:tcW w:type="dxa" w:w="1468"/>
            <w:vAlign w:val="top"/>
          </w:tcPr>
          <w:p>
            <w:pPr>
              <w:spacing w:after="40" w:before="0" w:line="259" w:lineRule="auto"/>
            </w:pPr>
            <w:r>
              <w:rPr>
                <w:rFonts w:ascii="Calibri" w:hAnsi="Calibri"/>
                <w:b w:val="0"/>
                <w:i w:val="0"/>
                <w:color w:val="212121"/>
                <w:sz w:val="19"/>
              </w:rPr>
              <w:t>Grades tone; guides stretching, orthoses, botulinum toxin and baclofen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Weight-for-age / BMI Z-score</w:t>
            </w:r>
          </w:p>
        </w:tc>
        <w:tc>
          <w:tcPr>
            <w:tcW w:type="dxa" w:w="1655"/>
            <w:vAlign w:val="top"/>
          </w:tcPr>
          <w:p>
            <w:pPr>
              <w:spacing w:after="40" w:before="0" w:line="259" w:lineRule="auto"/>
            </w:pPr>
            <w:r>
              <w:rPr>
                <w:rFonts w:ascii="Calibri" w:hAnsi="Calibri"/>
                <w:b w:val="0"/>
                <w:i w:val="0"/>
                <w:color w:val="212121"/>
                <w:sz w:val="19"/>
              </w:rPr>
              <w:t>Children with CP, feeding difficulty</w:t>
            </w:r>
          </w:p>
        </w:tc>
        <w:tc>
          <w:tcPr>
            <w:tcW w:type="dxa" w:w="1512"/>
            <w:vAlign w:val="top"/>
          </w:tcPr>
          <w:p>
            <w:pPr>
              <w:spacing w:after="40" w:before="0" w:line="259" w:lineRule="auto"/>
            </w:pPr>
            <w:r>
              <w:rPr>
                <w:rFonts w:ascii="Calibri" w:hAnsi="Calibri"/>
                <w:b w:val="0"/>
                <w:i w:val="0"/>
                <w:color w:val="212121"/>
                <w:sz w:val="19"/>
              </w:rPr>
              <w:t>−2 to +2 SD</w:t>
            </w:r>
          </w:p>
        </w:tc>
        <w:tc>
          <w:tcPr>
            <w:tcW w:type="dxa" w:w="1512"/>
            <w:vAlign w:val="top"/>
          </w:tcPr>
          <w:p>
            <w:pPr>
              <w:spacing w:after="40" w:before="0" w:line="259" w:lineRule="auto"/>
            </w:pPr>
            <w:r>
              <w:rPr>
                <w:rFonts w:ascii="Calibri" w:hAnsi="Calibri"/>
                <w:b w:val="0"/>
                <w:i w:val="0"/>
                <w:color w:val="212121"/>
                <w:sz w:val="19"/>
              </w:rPr>
              <w:t>&lt; −2 SD (undernutrition)</w:t>
            </w:r>
          </w:p>
        </w:tc>
        <w:tc>
          <w:tcPr>
            <w:tcW w:type="dxa" w:w="1468"/>
            <w:vAlign w:val="top"/>
          </w:tcPr>
          <w:p>
            <w:pPr>
              <w:spacing w:after="40" w:before="0" w:line="259" w:lineRule="auto"/>
            </w:pPr>
            <w:r>
              <w:rPr>
                <w:rFonts w:ascii="Calibri" w:hAnsi="Calibri"/>
                <w:b w:val="0"/>
                <w:i w:val="0"/>
                <w:color w:val="212121"/>
                <w:sz w:val="19"/>
              </w:rPr>
              <w:t>Malnutrition is common in Indian CP and triggers nutritional support / feeding therapy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Seizure frequency</w:t>
            </w:r>
          </w:p>
        </w:tc>
        <w:tc>
          <w:tcPr>
            <w:tcW w:type="dxa" w:w="1655"/>
            <w:vAlign w:val="top"/>
          </w:tcPr>
          <w:p>
            <w:pPr>
              <w:spacing w:after="40" w:before="0" w:line="259" w:lineRule="auto"/>
            </w:pPr>
            <w:r>
              <w:rPr>
                <w:rFonts w:ascii="Calibri" w:hAnsi="Calibri"/>
                <w:b w:val="0"/>
                <w:i w:val="0"/>
                <w:color w:val="212121"/>
                <w:sz w:val="19"/>
              </w:rPr>
              <w:t>CP with epilepsy</w:t>
            </w:r>
          </w:p>
        </w:tc>
        <w:tc>
          <w:tcPr>
            <w:tcW w:type="dxa" w:w="1512"/>
            <w:vAlign w:val="top"/>
          </w:tcPr>
          <w:p>
            <w:pPr>
              <w:spacing w:after="40" w:before="0" w:line="259" w:lineRule="auto"/>
            </w:pPr>
            <w:r>
              <w:rPr>
                <w:rFonts w:ascii="Calibri" w:hAnsi="Calibri"/>
                <w:b w:val="0"/>
                <w:i w:val="0"/>
                <w:color w:val="212121"/>
                <w:sz w:val="19"/>
              </w:rPr>
              <w:t>Seizure-free</w:t>
            </w:r>
          </w:p>
        </w:tc>
        <w:tc>
          <w:tcPr>
            <w:tcW w:type="dxa" w:w="1512"/>
            <w:vAlign w:val="top"/>
          </w:tcPr>
          <w:p>
            <w:pPr>
              <w:spacing w:after="40" w:before="0" w:line="259" w:lineRule="auto"/>
            </w:pPr>
            <w:r>
              <w:rPr>
                <w:rFonts w:ascii="Calibri" w:hAnsi="Calibri"/>
                <w:b w:val="0"/>
                <w:i w:val="0"/>
                <w:color w:val="212121"/>
                <w:sz w:val="19"/>
              </w:rPr>
              <w:t>Recurrent seizures</w:t>
            </w:r>
          </w:p>
        </w:tc>
        <w:tc>
          <w:tcPr>
            <w:tcW w:type="dxa" w:w="1468"/>
            <w:vAlign w:val="top"/>
          </w:tcPr>
          <w:p>
            <w:pPr>
              <w:spacing w:after="60" w:line="259" w:lineRule="auto"/>
            </w:pPr>
            <w:r>
              <w:rPr>
                <w:rFonts w:ascii="Calibri" w:hAnsi="Calibri"/>
                <w:b w:val="0"/>
                <w:i w:val="0"/>
                <w:color w:val="212121"/>
                <w:sz w:val="19"/>
              </w:rPr>
              <w:t>Epilepsy affects ~38% of children with CP; monitor control and drug levels</w:t>
            </w:r>
          </w:p>
          <w:p>
            <w:pPr>
              <w:spacing w:after="40" w:line="252" w:lineRule="auto"/>
            </w:pPr>
            <w:hyperlink r:id="rId15">
              <w:r>
                <w:rPr>
                  <w:rFonts w:ascii="Calibri" w:hAnsi="Calibri" w:cs="Calibri"/>
                  <w:sz w:val="18"/>
                  <w:color w:val="1155CC"/>
                  <w:u w:val="single"/>
                </w:rPr>
                <w:t xml:space="preserve">https://www.frontiersin.org/journals/pediatrics/articles/10.3389/fped.2023.1189648/full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Children with CP</w:t>
            </w:r>
          </w:p>
        </w:tc>
        <w:tc>
          <w:tcPr>
            <w:tcW w:type="dxa" w:w="1512"/>
            <w:vAlign w:val="top"/>
          </w:tcPr>
          <w:p>
            <w:pPr>
              <w:spacing w:after="40" w:before="0" w:line="259" w:lineRule="auto"/>
            </w:pPr>
            <w:r>
              <w:rPr>
                <w:rFonts w:ascii="Calibri" w:hAnsi="Calibri"/>
                <w:b w:val="0"/>
                <w:i w:val="0"/>
                <w:color w:val="212121"/>
                <w:sz w:val="19"/>
              </w:rPr>
              <w:t>Age-appropriate, unbroken sleep</w:t>
            </w:r>
          </w:p>
        </w:tc>
        <w:tc>
          <w:tcPr>
            <w:tcW w:type="dxa" w:w="1512"/>
            <w:vAlign w:val="top"/>
          </w:tcPr>
          <w:p>
            <w:pPr>
              <w:spacing w:after="40" w:before="0" w:line="259" w:lineRule="auto"/>
            </w:pPr>
            <w:r>
              <w:rPr>
                <w:rFonts w:ascii="Calibri" w:hAnsi="Calibri"/>
                <w:b w:val="0"/>
                <w:i w:val="0"/>
                <w:color w:val="212121"/>
                <w:sz w:val="19"/>
              </w:rPr>
              <w:t>Frequent waking / &lt; recommended hours</w:t>
            </w:r>
          </w:p>
        </w:tc>
        <w:tc>
          <w:tcPr>
            <w:tcW w:type="dxa" w:w="1468"/>
            <w:vAlign w:val="top"/>
          </w:tcPr>
          <w:p>
            <w:pPr>
              <w:spacing w:after="40" w:before="0" w:line="259" w:lineRule="auto"/>
            </w:pPr>
            <w:r>
              <w:rPr>
                <w:rFonts w:ascii="Calibri" w:hAnsi="Calibri"/>
                <w:b w:val="0"/>
                <w:i w:val="0"/>
                <w:color w:val="212121"/>
                <w:sz w:val="19"/>
              </w:rPr>
              <w:t>Treat pain, spasticity, reflux and night-time seizures that fragment sleep</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Behavioural/emotional screen (e.g., SDQ)</w:t>
            </w:r>
          </w:p>
        </w:tc>
        <w:tc>
          <w:tcPr>
            <w:tcW w:type="dxa" w:w="1655"/>
            <w:vAlign w:val="top"/>
          </w:tcPr>
          <w:p>
            <w:pPr>
              <w:spacing w:after="40" w:before="0" w:line="259" w:lineRule="auto"/>
            </w:pPr>
            <w:r>
              <w:rPr>
                <w:rFonts w:ascii="Calibri" w:hAnsi="Calibri"/>
                <w:b w:val="0"/>
                <w:i w:val="0"/>
                <w:color w:val="212121"/>
                <w:sz w:val="19"/>
              </w:rPr>
              <w:t>Children with CP and caregivers</w:t>
            </w:r>
          </w:p>
        </w:tc>
        <w:tc>
          <w:tcPr>
            <w:tcW w:type="dxa" w:w="1512"/>
            <w:vAlign w:val="top"/>
          </w:tcPr>
          <w:p>
            <w:pPr>
              <w:spacing w:after="40" w:before="0" w:line="259" w:lineRule="auto"/>
            </w:pPr>
            <w:r>
              <w:rPr>
                <w:rFonts w:ascii="Calibri" w:hAnsi="Calibri"/>
                <w:b w:val="0"/>
                <w:i w:val="0"/>
                <w:color w:val="212121"/>
                <w:sz w:val="19"/>
              </w:rPr>
              <w:t>Normal range</w:t>
            </w:r>
          </w:p>
        </w:tc>
        <w:tc>
          <w:tcPr>
            <w:tcW w:type="dxa" w:w="1512"/>
            <w:vAlign w:val="top"/>
          </w:tcPr>
          <w:p>
            <w:pPr>
              <w:spacing w:after="40" w:before="0" w:line="259" w:lineRule="auto"/>
            </w:pPr>
            <w:r>
              <w:rPr>
                <w:rFonts w:ascii="Calibri" w:hAnsi="Calibri"/>
                <w:b w:val="0"/>
                <w:i w:val="0"/>
                <w:color w:val="212121"/>
                <w:sz w:val="19"/>
              </w:rPr>
              <w:t>Elevated score</w:t>
            </w:r>
          </w:p>
        </w:tc>
        <w:tc>
          <w:tcPr>
            <w:tcW w:type="dxa" w:w="1468"/>
            <w:vAlign w:val="top"/>
          </w:tcPr>
          <w:p>
            <w:pPr>
              <w:spacing w:after="40" w:before="0" w:line="259" w:lineRule="auto"/>
            </w:pPr>
            <w:r>
              <w:rPr>
                <w:rFonts w:ascii="Calibri" w:hAnsi="Calibri"/>
                <w:b w:val="0"/>
                <w:i w:val="0"/>
                <w:color w:val="212121"/>
                <w:sz w:val="19"/>
              </w:rPr>
              <w:t>Behavioural problems in 20–30%; screen the child and the caregiver for distress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Swallow safety (aspiration signs, meal duration)</w:t>
            </w:r>
          </w:p>
        </w:tc>
        <w:tc>
          <w:tcPr>
            <w:tcW w:type="dxa" w:w="1655"/>
            <w:vAlign w:val="top"/>
          </w:tcPr>
          <w:p>
            <w:pPr>
              <w:spacing w:after="40" w:before="0" w:line="259" w:lineRule="auto"/>
            </w:pPr>
            <w:r>
              <w:rPr>
                <w:rFonts w:ascii="Calibri" w:hAnsi="Calibri"/>
                <w:b w:val="0"/>
                <w:i w:val="0"/>
                <w:color w:val="212121"/>
                <w:sz w:val="19"/>
              </w:rPr>
              <w:t>Children with oromotor dysfunction</w:t>
            </w:r>
          </w:p>
        </w:tc>
        <w:tc>
          <w:tcPr>
            <w:tcW w:type="dxa" w:w="1512"/>
            <w:vAlign w:val="top"/>
          </w:tcPr>
          <w:p>
            <w:pPr>
              <w:spacing w:after="40" w:before="0" w:line="259" w:lineRule="auto"/>
            </w:pPr>
            <w:r>
              <w:rPr>
                <w:rFonts w:ascii="Calibri" w:hAnsi="Calibri"/>
                <w:b w:val="0"/>
                <w:i w:val="0"/>
                <w:color w:val="212121"/>
                <w:sz w:val="19"/>
              </w:rPr>
              <w:t>Safe oral feeding</w:t>
            </w:r>
          </w:p>
        </w:tc>
        <w:tc>
          <w:tcPr>
            <w:tcW w:type="dxa" w:w="1512"/>
            <w:vAlign w:val="top"/>
          </w:tcPr>
          <w:p>
            <w:pPr>
              <w:spacing w:after="40" w:before="0" w:line="259" w:lineRule="auto"/>
            </w:pPr>
            <w:r>
              <w:rPr>
                <w:rFonts w:ascii="Calibri" w:hAnsi="Calibri"/>
                <w:b w:val="0"/>
                <w:i w:val="0"/>
                <w:color w:val="212121"/>
                <w:sz w:val="19"/>
              </w:rPr>
              <w:t>Choking/aspiration; meals &gt; 30 min</w:t>
            </w:r>
          </w:p>
        </w:tc>
        <w:tc>
          <w:tcPr>
            <w:tcW w:type="dxa" w:w="1468"/>
            <w:vAlign w:val="top"/>
          </w:tcPr>
          <w:p>
            <w:pPr>
              <w:spacing w:after="40" w:before="0" w:line="259" w:lineRule="auto"/>
            </w:pPr>
            <w:r>
              <w:rPr>
                <w:rFonts w:ascii="Calibri" w:hAnsi="Calibri"/>
                <w:b w:val="0"/>
                <w:i w:val="0"/>
                <w:color w:val="212121"/>
                <w:sz w:val="19"/>
              </w:rPr>
              <w:t>Unsafe swallow prompts texture modification, feeding therapy or gastrostomy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w:t>
            </w:r>
          </w:p>
        </w:tc>
        <w:tc>
          <w:tcPr>
            <w:tcW w:type="dxa" w:w="892"/>
            <w:vAlign w:val="top"/>
          </w:tcPr>
          <w:p>
            <w:pPr>
              <w:spacing w:after="40" w:before="0" w:line="259" w:lineRule="auto"/>
            </w:pPr>
            <w:r>
              <w:rPr>
                <w:rFonts w:ascii="Calibri" w:hAnsi="Calibri"/>
                <w:b w:val="0"/>
                <w:i w:val="0"/>
                <w:color w:val="212121"/>
                <w:sz w:val="16"/>
              </w:rPr>
              <w:t>Structural Imaging</w:t>
            </w:r>
          </w:p>
        </w:tc>
        <w:tc>
          <w:tcPr>
            <w:tcW w:type="dxa" w:w="950"/>
            <w:vAlign w:val="top"/>
          </w:tcPr>
          <w:p>
            <w:pPr>
              <w:spacing w:after="40" w:before="0" w:line="259" w:lineRule="auto"/>
            </w:pPr>
            <w:r>
              <w:rPr>
                <w:rFonts w:ascii="Calibri" w:hAnsi="Calibri"/>
                <w:b w:val="0"/>
                <w:i w:val="0"/>
                <w:color w:val="212121"/>
                <w:sz w:val="16"/>
              </w:rPr>
              <w:t>Age-appropriate, no relevant lesion</w:t>
            </w:r>
          </w:p>
        </w:tc>
        <w:tc>
          <w:tcPr>
            <w:tcW w:type="dxa" w:w="950"/>
            <w:vAlign w:val="top"/>
          </w:tcPr>
          <w:p>
            <w:pPr>
              <w:spacing w:after="40" w:before="0" w:line="259" w:lineRule="auto"/>
            </w:pPr>
            <w:r>
              <w:rPr>
                <w:rFonts w:ascii="Calibri" w:hAnsi="Calibri"/>
                <w:b w:val="0"/>
                <w:i w:val="0"/>
                <w:color w:val="212121"/>
                <w:sz w:val="16"/>
              </w:rPr>
              <w:t>Periventricular leukomalacia, malformation, infarct, gliosis, basal-ganglia injury</w:t>
            </w:r>
          </w:p>
        </w:tc>
        <w:tc>
          <w:tcPr>
            <w:tcW w:type="dxa" w:w="1036"/>
            <w:vAlign w:val="top"/>
          </w:tcPr>
          <w:p>
            <w:pPr>
              <w:spacing w:after="40" w:before="0" w:line="259" w:lineRule="auto"/>
            </w:pPr>
            <w:r>
              <w:rPr>
                <w:rFonts w:ascii="Calibri" w:hAnsi="Calibri"/>
                <w:b w:val="0"/>
                <w:i w:val="0"/>
                <w:color w:val="212121"/>
                <w:sz w:val="16"/>
              </w:rPr>
              <w:t>Identifies the lesion, helps time the insult, supports diagnosis and excludes structural mimics</w:t>
            </w:r>
          </w:p>
        </w:tc>
        <w:tc>
          <w:tcPr>
            <w:tcW w:type="dxa" w:w="1036"/>
            <w:vAlign w:val="top"/>
          </w:tcPr>
          <w:p>
            <w:pPr>
              <w:spacing w:after="40" w:before="0" w:line="259" w:lineRule="auto"/>
            </w:pPr>
            <w:r>
              <w:rPr>
                <w:rFonts w:ascii="Calibri" w:hAnsi="Calibri"/>
                <w:b w:val="0"/>
                <w:i w:val="0"/>
                <w:color w:val="212121"/>
                <w:sz w:val="16"/>
              </w:rPr>
              <w:t>All children with suspected CP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Recommended (first-line imaging)</w:t>
            </w:r>
          </w:p>
        </w:tc>
        <w:tc>
          <w:tcPr>
            <w:tcW w:type="dxa" w:w="720"/>
            <w:vAlign w:val="top"/>
          </w:tcPr>
          <w:p>
            <w:pPr>
              <w:spacing w:after="40" w:before="0" w:line="259" w:lineRule="auto"/>
            </w:pPr>
            <w:r>
              <w:rPr>
                <w:rFonts w:ascii="Calibri" w:hAnsi="Calibri"/>
                <w:b w:val="0"/>
                <w:i w:val="0"/>
                <w:color w:val="212121"/>
                <w:sz w:val="16"/>
              </w:rPr>
              <w:t>Abnormal in ~86–89% of cases; pattern suggests aetiology and timing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Cranial ultrasound</w:t>
            </w:r>
          </w:p>
        </w:tc>
        <w:tc>
          <w:tcPr>
            <w:tcW w:type="dxa" w:w="892"/>
            <w:vAlign w:val="top"/>
          </w:tcPr>
          <w:p>
            <w:pPr>
              <w:spacing w:after="40" w:before="0" w:line="259" w:lineRule="auto"/>
            </w:pPr>
            <w:r>
              <w:rPr>
                <w:rFonts w:ascii="Calibri" w:hAnsi="Calibri"/>
                <w:b w:val="0"/>
                <w:i w:val="0"/>
                <w:color w:val="212121"/>
                <w:sz w:val="16"/>
              </w:rPr>
              <w:t>Neonatal Imaging</w:t>
            </w:r>
          </w:p>
        </w:tc>
        <w:tc>
          <w:tcPr>
            <w:tcW w:type="dxa" w:w="950"/>
            <w:vAlign w:val="top"/>
          </w:tcPr>
          <w:p>
            <w:pPr>
              <w:spacing w:after="40" w:before="0" w:line="259" w:lineRule="auto"/>
            </w:pPr>
            <w:r>
              <w:rPr>
                <w:rFonts w:ascii="Calibri" w:hAnsi="Calibri"/>
                <w:b w:val="0"/>
                <w:i w:val="0"/>
                <w:color w:val="212121"/>
                <w:sz w:val="16"/>
              </w:rPr>
              <w:t>No haemorrhage/leukomalacia</w:t>
            </w:r>
          </w:p>
        </w:tc>
        <w:tc>
          <w:tcPr>
            <w:tcW w:type="dxa" w:w="950"/>
            <w:vAlign w:val="top"/>
          </w:tcPr>
          <w:p>
            <w:pPr>
              <w:spacing w:after="40" w:before="0" w:line="259" w:lineRule="auto"/>
            </w:pPr>
            <w:r>
              <w:rPr>
                <w:rFonts w:ascii="Calibri" w:hAnsi="Calibri"/>
                <w:b w:val="0"/>
                <w:i w:val="0"/>
                <w:color w:val="212121"/>
                <w:sz w:val="16"/>
              </w:rPr>
              <w:t>IVH, periventricular leukomalacia</w:t>
            </w:r>
          </w:p>
        </w:tc>
        <w:tc>
          <w:tcPr>
            <w:tcW w:type="dxa" w:w="1036"/>
            <w:vAlign w:val="top"/>
          </w:tcPr>
          <w:p>
            <w:pPr>
              <w:spacing w:after="40" w:before="0" w:line="259" w:lineRule="auto"/>
            </w:pPr>
            <w:r>
              <w:rPr>
                <w:rFonts w:ascii="Calibri" w:hAnsi="Calibri"/>
                <w:b w:val="0"/>
                <w:i w:val="0"/>
                <w:color w:val="212121"/>
                <w:sz w:val="16"/>
              </w:rPr>
              <w:t>Bedside neonatal screen for brain injury in preterm/NICU infants</w:t>
            </w:r>
          </w:p>
        </w:tc>
        <w:tc>
          <w:tcPr>
            <w:tcW w:type="dxa" w:w="1036"/>
            <w:vAlign w:val="top"/>
          </w:tcPr>
          <w:p>
            <w:pPr>
              <w:spacing w:after="40" w:before="0" w:line="259" w:lineRule="auto"/>
            </w:pPr>
            <w:r>
              <w:rPr>
                <w:rFonts w:ascii="Calibri" w:hAnsi="Calibri"/>
                <w:b w:val="0"/>
                <w:i w:val="0"/>
                <w:color w:val="212121"/>
                <w:sz w:val="16"/>
              </w:rPr>
              <w:t>Preterm and NICU neonates at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(neonatal)</w:t>
            </w:r>
          </w:p>
        </w:tc>
        <w:tc>
          <w:tcPr>
            <w:tcW w:type="dxa" w:w="720"/>
            <w:vAlign w:val="top"/>
          </w:tcPr>
          <w:p>
            <w:pPr>
              <w:spacing w:after="40" w:before="0" w:line="259" w:lineRule="auto"/>
            </w:pPr>
            <w:r>
              <w:rPr>
                <w:rFonts w:ascii="Calibri" w:hAnsi="Calibri"/>
                <w:b w:val="0"/>
                <w:i w:val="0"/>
                <w:color w:val="212121"/>
                <w:sz w:val="16"/>
              </w:rPr>
              <w:t>Detects IVH/PVL early before MRI is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Electroencephalogram (EEG)</w:t>
            </w:r>
          </w:p>
        </w:tc>
        <w:tc>
          <w:tcPr>
            <w:tcW w:type="dxa" w:w="892"/>
            <w:vAlign w:val="top"/>
          </w:tcPr>
          <w:p>
            <w:pPr>
              <w:spacing w:after="40" w:before="0" w:line="259" w:lineRule="auto"/>
            </w:pPr>
            <w:r>
              <w:rPr>
                <w:rFonts w:ascii="Calibri" w:hAnsi="Calibri"/>
                <w:b w:val="0"/>
                <w:i w:val="0"/>
                <w:color w:val="212121"/>
                <w:sz w:val="16"/>
              </w:rPr>
              <w:t>Electroencephalography</w:t>
            </w:r>
          </w:p>
        </w:tc>
        <w:tc>
          <w:tcPr>
            <w:tcW w:type="dxa" w:w="950"/>
            <w:vAlign w:val="top"/>
          </w:tcPr>
          <w:p>
            <w:pPr>
              <w:spacing w:after="40" w:before="0" w:line="259" w:lineRule="auto"/>
            </w:pPr>
            <w:r>
              <w:rPr>
                <w:rFonts w:ascii="Calibri" w:hAnsi="Calibri"/>
                <w:b w:val="0"/>
                <w:i w:val="0"/>
                <w:color w:val="212121"/>
                <w:sz w:val="16"/>
              </w:rPr>
              <w:t>No epileptiform activity</w:t>
            </w:r>
          </w:p>
        </w:tc>
        <w:tc>
          <w:tcPr>
            <w:tcW w:type="dxa" w:w="950"/>
            <w:vAlign w:val="top"/>
          </w:tcPr>
          <w:p>
            <w:pPr>
              <w:spacing w:after="40" w:before="0" w:line="259" w:lineRule="auto"/>
            </w:pPr>
            <w:r>
              <w:rPr>
                <w:rFonts w:ascii="Calibri" w:hAnsi="Calibri"/>
                <w:b w:val="0"/>
                <w:i w:val="0"/>
                <w:color w:val="212121"/>
                <w:sz w:val="16"/>
              </w:rPr>
              <w:t>Epileptiform discharges / seizure pattern</w:t>
            </w:r>
          </w:p>
        </w:tc>
        <w:tc>
          <w:tcPr>
            <w:tcW w:type="dxa" w:w="1036"/>
            <w:vAlign w:val="top"/>
          </w:tcPr>
          <w:p>
            <w:pPr>
              <w:spacing w:after="40" w:before="0" w:line="259" w:lineRule="auto"/>
            </w:pPr>
            <w:r>
              <w:rPr>
                <w:rFonts w:ascii="Calibri" w:hAnsi="Calibri"/>
                <w:b w:val="0"/>
                <w:i w:val="0"/>
                <w:color w:val="212121"/>
                <w:sz w:val="16"/>
              </w:rPr>
              <w:t>Evaluates seizures, a common comorbidity, and classifies epilepsy type</w:t>
            </w:r>
          </w:p>
        </w:tc>
        <w:tc>
          <w:tcPr>
            <w:tcW w:type="dxa" w:w="1036"/>
            <w:vAlign w:val="top"/>
          </w:tcPr>
          <w:p>
            <w:pPr>
              <w:spacing w:after="40" w:before="0" w:line="259" w:lineRule="auto"/>
            </w:pPr>
            <w:r>
              <w:rPr>
                <w:rFonts w:ascii="Calibri" w:hAnsi="Calibri"/>
                <w:b w:val="0"/>
                <w:i w:val="0"/>
                <w:color w:val="212121"/>
                <w:sz w:val="16"/>
              </w:rPr>
              <w:t>CP with seizures or neonatal seizures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When seizures suspected</w:t>
            </w:r>
          </w:p>
        </w:tc>
        <w:tc>
          <w:tcPr>
            <w:tcW w:type="dxa" w:w="720"/>
            <w:vAlign w:val="top"/>
          </w:tcPr>
          <w:p>
            <w:pPr>
              <w:spacing w:after="40" w:before="0" w:line="259" w:lineRule="auto"/>
            </w:pPr>
            <w:r>
              <w:rPr>
                <w:rFonts w:ascii="Calibri" w:hAnsi="Calibri"/>
                <w:b w:val="0"/>
                <w:i w:val="0"/>
                <w:color w:val="212121"/>
                <w:sz w:val="16"/>
              </w:rPr>
              <w:t>Epilepsy occurs in ~38% of children with CP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AP pelvis radiograph (hip surveillance)</w:t>
            </w:r>
          </w:p>
        </w:tc>
        <w:tc>
          <w:tcPr>
            <w:tcW w:type="dxa" w:w="892"/>
            <w:vAlign w:val="top"/>
          </w:tcPr>
          <w:p>
            <w:pPr>
              <w:spacing w:after="40" w:before="0" w:line="259" w:lineRule="auto"/>
            </w:pPr>
            <w:r>
              <w:rPr>
                <w:rFonts w:ascii="Calibri" w:hAnsi="Calibri"/>
                <w:b w:val="0"/>
                <w:i w:val="0"/>
                <w:color w:val="212121"/>
                <w:sz w:val="16"/>
              </w:rPr>
              <w:t>Hip Surveillance</w:t>
            </w:r>
          </w:p>
        </w:tc>
        <w:tc>
          <w:tcPr>
            <w:tcW w:type="dxa" w:w="950"/>
            <w:vAlign w:val="top"/>
          </w:tcPr>
          <w:p>
            <w:pPr>
              <w:spacing w:after="40" w:before="0" w:line="259" w:lineRule="auto"/>
            </w:pPr>
            <w:r>
              <w:rPr>
                <w:rFonts w:ascii="Calibri" w:hAnsi="Calibri"/>
                <w:b w:val="0"/>
                <w:i w:val="0"/>
                <w:color w:val="212121"/>
                <w:sz w:val="16"/>
              </w:rPr>
              <w:t>Migration percentage &lt; 30%</w:t>
            </w:r>
          </w:p>
        </w:tc>
        <w:tc>
          <w:tcPr>
            <w:tcW w:type="dxa" w:w="950"/>
            <w:vAlign w:val="top"/>
          </w:tcPr>
          <w:p>
            <w:pPr>
              <w:spacing w:after="40" w:before="0" w:line="259" w:lineRule="auto"/>
            </w:pPr>
            <w:r>
              <w:rPr>
                <w:rFonts w:ascii="Calibri" w:hAnsi="Calibri"/>
                <w:b w:val="0"/>
                <w:i w:val="0"/>
                <w:color w:val="212121"/>
                <w:sz w:val="16"/>
              </w:rPr>
              <w:t>Migration percentage &gt; 30% (displacement)</w:t>
            </w:r>
          </w:p>
        </w:tc>
        <w:tc>
          <w:tcPr>
            <w:tcW w:type="dxa" w:w="1036"/>
            <w:vAlign w:val="top"/>
          </w:tcPr>
          <w:p>
            <w:pPr>
              <w:spacing w:after="40" w:before="0" w:line="259" w:lineRule="auto"/>
            </w:pPr>
            <w:r>
              <w:rPr>
                <w:rFonts w:ascii="Calibri" w:hAnsi="Calibri"/>
                <w:b w:val="0"/>
                <w:i w:val="0"/>
                <w:color w:val="212121"/>
                <w:sz w:val="16"/>
              </w:rPr>
              <w:t>Detects silent, progressive hip displacement in non-ambulant children</w:t>
            </w:r>
          </w:p>
        </w:tc>
        <w:tc>
          <w:tcPr>
            <w:tcW w:type="dxa" w:w="1036"/>
            <w:vAlign w:val="top"/>
          </w:tcPr>
          <w:p>
            <w:pPr>
              <w:spacing w:after="40" w:before="0" w:line="259" w:lineRule="auto"/>
            </w:pPr>
            <w:r>
              <w:rPr>
                <w:rFonts w:ascii="Calibri" w:hAnsi="Calibri"/>
                <w:b w:val="0"/>
                <w:i w:val="0"/>
                <w:color w:val="212121"/>
                <w:sz w:val="16"/>
              </w:rPr>
              <w:t>GMFCS III–V, non-ambulant CP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Surveillance (prevents dislocation)</w:t>
            </w:r>
          </w:p>
        </w:tc>
        <w:tc>
          <w:tcPr>
            <w:tcW w:type="dxa" w:w="720"/>
            <w:vAlign w:val="top"/>
          </w:tcPr>
          <w:p>
            <w:pPr>
              <w:spacing w:after="40" w:before="0" w:line="259" w:lineRule="auto"/>
            </w:pPr>
            <w:r>
              <w:rPr>
                <w:rFonts w:ascii="Calibri" w:hAnsi="Calibri"/>
                <w:b w:val="0"/>
                <w:i w:val="0"/>
                <w:color w:val="212121"/>
                <w:sz w:val="16"/>
              </w:rPr>
              <w:t>Frequency of screening is set by GMFCS level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Spine radiograph</w:t>
            </w:r>
          </w:p>
        </w:tc>
        <w:tc>
          <w:tcPr>
            <w:tcW w:type="dxa" w:w="892"/>
            <w:vAlign w:val="top"/>
          </w:tcPr>
          <w:p>
            <w:pPr>
              <w:spacing w:after="40" w:before="0" w:line="259" w:lineRule="auto"/>
            </w:pPr>
            <w:r>
              <w:rPr>
                <w:rFonts w:ascii="Calibri" w:hAnsi="Calibri"/>
                <w:b w:val="0"/>
                <w:i w:val="0"/>
                <w:color w:val="212121"/>
                <w:sz w:val="16"/>
              </w:rPr>
              <w:t>Scoliosis Assessment</w:t>
            </w:r>
          </w:p>
        </w:tc>
        <w:tc>
          <w:tcPr>
            <w:tcW w:type="dxa" w:w="950"/>
            <w:vAlign w:val="top"/>
          </w:tcPr>
          <w:p>
            <w:pPr>
              <w:spacing w:after="40" w:before="0" w:line="259" w:lineRule="auto"/>
            </w:pPr>
            <w:r>
              <w:rPr>
                <w:rFonts w:ascii="Calibri" w:hAnsi="Calibri"/>
                <w:b w:val="0"/>
                <w:i w:val="0"/>
                <w:color w:val="212121"/>
                <w:sz w:val="16"/>
              </w:rPr>
              <w:t>Cobb angle &lt; 10°</w:t>
            </w:r>
          </w:p>
        </w:tc>
        <w:tc>
          <w:tcPr>
            <w:tcW w:type="dxa" w:w="950"/>
            <w:vAlign w:val="top"/>
          </w:tcPr>
          <w:p>
            <w:pPr>
              <w:spacing w:after="40" w:before="0" w:line="259" w:lineRule="auto"/>
            </w:pPr>
            <w:r>
              <w:rPr>
                <w:rFonts w:ascii="Calibri" w:hAnsi="Calibri"/>
                <w:b w:val="0"/>
                <w:i w:val="0"/>
                <w:color w:val="212121"/>
                <w:sz w:val="16"/>
              </w:rPr>
              <w:t>Progressive curve / Cobb &gt; 40–50°</w:t>
            </w:r>
          </w:p>
        </w:tc>
        <w:tc>
          <w:tcPr>
            <w:tcW w:type="dxa" w:w="1036"/>
            <w:vAlign w:val="top"/>
          </w:tcPr>
          <w:p>
            <w:pPr>
              <w:spacing w:after="40" w:before="0" w:line="259" w:lineRule="auto"/>
            </w:pPr>
            <w:r>
              <w:rPr>
                <w:rFonts w:ascii="Calibri" w:hAnsi="Calibri"/>
                <w:b w:val="0"/>
                <w:i w:val="0"/>
                <w:color w:val="212121"/>
                <w:sz w:val="16"/>
              </w:rPr>
              <w:t>Monitors neuromuscular scoliosis, which progresses with growth in severe CP</w:t>
            </w:r>
          </w:p>
        </w:tc>
        <w:tc>
          <w:tcPr>
            <w:tcW w:type="dxa" w:w="1036"/>
            <w:vAlign w:val="top"/>
          </w:tcPr>
          <w:p>
            <w:pPr>
              <w:spacing w:after="40" w:before="0" w:line="259" w:lineRule="auto"/>
            </w:pPr>
            <w:r>
              <w:rPr>
                <w:rFonts w:ascii="Calibri" w:hAnsi="Calibri"/>
                <w:b w:val="0"/>
                <w:i w:val="0"/>
                <w:color w:val="212121"/>
                <w:sz w:val="16"/>
              </w:rPr>
              <w:t>GMFCS IV–V, severe CP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Surveillance</w:t>
            </w:r>
          </w:p>
        </w:tc>
        <w:tc>
          <w:tcPr>
            <w:tcW w:type="dxa" w:w="720"/>
            <w:vAlign w:val="top"/>
          </w:tcPr>
          <w:p>
            <w:pPr>
              <w:spacing w:after="40" w:before="0" w:line="259" w:lineRule="auto"/>
            </w:pPr>
            <w:r>
              <w:rPr>
                <w:rFonts w:ascii="Calibri" w:hAnsi="Calibri"/>
                <w:b w:val="0"/>
                <w:i w:val="0"/>
                <w:color w:val="212121"/>
                <w:sz w:val="16"/>
              </w:rPr>
              <w:t>Higher risk in non-ambulant, spastic quadriplegic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Genetic</w:t>
            </w:r>
          </w:p>
        </w:tc>
        <w:tc>
          <w:tcPr>
            <w:tcW w:type="dxa" w:w="1036"/>
            <w:vAlign w:val="top"/>
          </w:tcPr>
          <w:p>
            <w:pPr>
              <w:spacing w:after="40" w:before="0" w:line="259" w:lineRule="auto"/>
            </w:pPr>
            <w:r>
              <w:rPr>
                <w:rFonts w:ascii="Calibri" w:hAnsi="Calibri"/>
                <w:b w:val="0"/>
                <w:i w:val="0"/>
                <w:color w:val="212121"/>
                <w:sz w:val="16"/>
              </w:rPr>
              <w:t>Metabolic &amp; genetic testing</w:t>
            </w:r>
          </w:p>
        </w:tc>
        <w:tc>
          <w:tcPr>
            <w:tcW w:type="dxa" w:w="892"/>
            <w:vAlign w:val="top"/>
          </w:tcPr>
          <w:p>
            <w:pPr>
              <w:spacing w:after="40" w:before="0" w:line="259" w:lineRule="auto"/>
            </w:pPr>
            <w:r>
              <w:rPr>
                <w:rFonts w:ascii="Calibri" w:hAnsi="Calibri"/>
                <w:b w:val="0"/>
                <w:i w:val="0"/>
                <w:color w:val="212121"/>
                <w:sz w:val="16"/>
              </w:rPr>
              <w:t>Aetiological Work-up</w:t>
            </w:r>
          </w:p>
        </w:tc>
        <w:tc>
          <w:tcPr>
            <w:tcW w:type="dxa" w:w="950"/>
            <w:vAlign w:val="top"/>
          </w:tcPr>
          <w:p>
            <w:pPr>
              <w:spacing w:after="40" w:before="0" w:line="259" w:lineRule="auto"/>
            </w:pPr>
            <w:r>
              <w:rPr>
                <w:rFonts w:ascii="Calibri" w:hAnsi="Calibri"/>
                <w:b w:val="0"/>
                <w:i w:val="0"/>
                <w:color w:val="212121"/>
                <w:sz w:val="16"/>
              </w:rPr>
              <w:t>No metabolic/genetic disorder</w:t>
            </w:r>
          </w:p>
        </w:tc>
        <w:tc>
          <w:tcPr>
            <w:tcW w:type="dxa" w:w="950"/>
            <w:vAlign w:val="top"/>
          </w:tcPr>
          <w:p>
            <w:pPr>
              <w:spacing w:after="40" w:before="0" w:line="259" w:lineRule="auto"/>
            </w:pPr>
            <w:r>
              <w:rPr>
                <w:rFonts w:ascii="Calibri" w:hAnsi="Calibri"/>
                <w:b w:val="0"/>
                <w:i w:val="0"/>
                <w:color w:val="212121"/>
                <w:sz w:val="16"/>
              </w:rPr>
              <w:t>Inborn error of metabolism or genetic disorder identified</w:t>
            </w:r>
          </w:p>
        </w:tc>
        <w:tc>
          <w:tcPr>
            <w:tcW w:type="dxa" w:w="1036"/>
            <w:vAlign w:val="top"/>
          </w:tcPr>
          <w:p>
            <w:pPr>
              <w:spacing w:after="40" w:before="0" w:line="259" w:lineRule="auto"/>
            </w:pPr>
            <w:r>
              <w:rPr>
                <w:rFonts w:ascii="Calibri" w:hAnsi="Calibri"/>
                <w:b w:val="0"/>
                <w:i w:val="0"/>
                <w:color w:val="212121"/>
                <w:sz w:val="16"/>
              </w:rPr>
              <w:t>Excludes progressive or treatable mimics when there is no perinatal cause or when red flags are present</w:t>
            </w:r>
          </w:p>
        </w:tc>
        <w:tc>
          <w:tcPr>
            <w:tcW w:type="dxa" w:w="1036"/>
            <w:vAlign w:val="top"/>
          </w:tcPr>
          <w:p>
            <w:pPr>
              <w:spacing w:after="40" w:before="0" w:line="259" w:lineRule="auto"/>
            </w:pPr>
            <w:r>
              <w:rPr>
                <w:rFonts w:ascii="Calibri" w:hAnsi="Calibri"/>
                <w:b w:val="0"/>
                <w:i w:val="0"/>
                <w:color w:val="212121"/>
                <w:sz w:val="16"/>
              </w:rPr>
              <w:t>Atypical course, regression, consanguinity, normal MRI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(exclude mimics)</w:t>
            </w:r>
          </w:p>
        </w:tc>
        <w:tc>
          <w:tcPr>
            <w:tcW w:type="dxa" w:w="720"/>
            <w:vAlign w:val="top"/>
          </w:tcPr>
          <w:p>
            <w:pPr>
              <w:spacing w:after="40" w:before="0" w:line="259" w:lineRule="auto"/>
            </w:pPr>
            <w:r>
              <w:rPr>
                <w:rFonts w:ascii="Calibri" w:hAnsi="Calibri"/>
                <w:b w:val="0"/>
                <w:i w:val="0"/>
                <w:color w:val="212121"/>
                <w:sz w:val="16"/>
              </w:rPr>
              <w:t>Pursue if developmental regression, family history or unexplained CP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Audiology</w:t>
            </w:r>
          </w:p>
        </w:tc>
        <w:tc>
          <w:tcPr>
            <w:tcW w:type="dxa" w:w="1036"/>
            <w:vAlign w:val="top"/>
          </w:tcPr>
          <w:p>
            <w:pPr>
              <w:spacing w:after="40" w:before="0" w:line="259" w:lineRule="auto"/>
            </w:pPr>
            <w:r>
              <w:rPr>
                <w:rFonts w:ascii="Calibri" w:hAnsi="Calibri"/>
                <w:b w:val="0"/>
                <w:i w:val="0"/>
                <w:color w:val="212121"/>
                <w:sz w:val="16"/>
              </w:rPr>
              <w:t>Brainstem evoked response audiometry (BERA)</w:t>
            </w:r>
          </w:p>
        </w:tc>
        <w:tc>
          <w:tcPr>
            <w:tcW w:type="dxa" w:w="892"/>
            <w:vAlign w:val="top"/>
          </w:tcPr>
          <w:p>
            <w:pPr>
              <w:spacing w:after="40" w:before="0" w:line="259" w:lineRule="auto"/>
            </w:pPr>
            <w:r>
              <w:rPr>
                <w:rFonts w:ascii="Calibri" w:hAnsi="Calibri"/>
                <w:b w:val="0"/>
                <w:i w:val="0"/>
                <w:color w:val="212121"/>
                <w:sz w:val="16"/>
              </w:rPr>
              <w:t>Hearing Assessment</w:t>
            </w:r>
          </w:p>
        </w:tc>
        <w:tc>
          <w:tcPr>
            <w:tcW w:type="dxa" w:w="950"/>
            <w:vAlign w:val="top"/>
          </w:tcPr>
          <w:p>
            <w:pPr>
              <w:spacing w:after="40" w:before="0" w:line="259" w:lineRule="auto"/>
            </w:pPr>
            <w:r>
              <w:rPr>
                <w:rFonts w:ascii="Calibri" w:hAnsi="Calibri"/>
                <w:b w:val="0"/>
                <w:i w:val="0"/>
                <w:color w:val="212121"/>
                <w:sz w:val="16"/>
              </w:rPr>
              <w:t>Normal auditory thresholds</w:t>
            </w:r>
          </w:p>
        </w:tc>
        <w:tc>
          <w:tcPr>
            <w:tcW w:type="dxa" w:w="950"/>
            <w:vAlign w:val="top"/>
          </w:tcPr>
          <w:p>
            <w:pPr>
              <w:spacing w:after="40" w:before="0" w:line="259" w:lineRule="auto"/>
            </w:pPr>
            <w:r>
              <w:rPr>
                <w:rFonts w:ascii="Calibri" w:hAnsi="Calibri"/>
                <w:b w:val="0"/>
                <w:i w:val="0"/>
                <w:color w:val="212121"/>
                <w:sz w:val="16"/>
              </w:rPr>
              <w:t>Sensorineural hearing loss</w:t>
            </w:r>
          </w:p>
        </w:tc>
        <w:tc>
          <w:tcPr>
            <w:tcW w:type="dxa" w:w="1036"/>
            <w:vAlign w:val="top"/>
          </w:tcPr>
          <w:p>
            <w:pPr>
              <w:spacing w:after="40" w:before="0" w:line="259" w:lineRule="auto"/>
            </w:pPr>
            <w:r>
              <w:rPr>
                <w:rFonts w:ascii="Calibri" w:hAnsi="Calibri"/>
                <w:b w:val="0"/>
                <w:i w:val="0"/>
                <w:color w:val="212121"/>
                <w:sz w:val="16"/>
              </w:rPr>
              <w:t>Detects hearing loss, especially after kernicterus, that compounds communication difficulty</w:t>
            </w:r>
          </w:p>
        </w:tc>
        <w:tc>
          <w:tcPr>
            <w:tcW w:type="dxa" w:w="1036"/>
            <w:vAlign w:val="top"/>
          </w:tcPr>
          <w:p>
            <w:pPr>
              <w:spacing w:after="40" w:before="0" w:line="259" w:lineRule="auto"/>
            </w:pPr>
            <w:r>
              <w:rPr>
                <w:rFonts w:ascii="Calibri" w:hAnsi="Calibri"/>
                <w:b w:val="0"/>
                <w:i w:val="0"/>
                <w:color w:val="212121"/>
                <w:sz w:val="16"/>
              </w:rPr>
              <w:t>Dyskinetic CP, kernicterus, all new CP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Routine screening</w:t>
            </w:r>
          </w:p>
        </w:tc>
        <w:tc>
          <w:tcPr>
            <w:tcW w:type="dxa" w:w="720"/>
            <w:vAlign w:val="top"/>
          </w:tcPr>
          <w:p>
            <w:pPr>
              <w:spacing w:after="40" w:before="0" w:line="259" w:lineRule="auto"/>
            </w:pPr>
            <w:r>
              <w:rPr>
                <w:rFonts w:ascii="Calibri" w:hAnsi="Calibri"/>
                <w:b w:val="0"/>
                <w:i w:val="0"/>
                <w:color w:val="212121"/>
                <w:sz w:val="16"/>
              </w:rPr>
              <w:t>Hearing impairment affects 10–20% of children with CP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total/unconjugated bilirubin (neonatal)</w:t>
            </w:r>
          </w:p>
        </w:tc>
        <w:tc>
          <w:tcPr>
            <w:tcW w:type="dxa" w:w="892"/>
            <w:vAlign w:val="top"/>
          </w:tcPr>
          <w:p>
            <w:pPr>
              <w:spacing w:after="40" w:before="0" w:line="259" w:lineRule="auto"/>
            </w:pPr>
            <w:r>
              <w:rPr>
                <w:rFonts w:ascii="Calibri" w:hAnsi="Calibri"/>
                <w:b w:val="0"/>
                <w:i w:val="0"/>
                <w:color w:val="212121"/>
                <w:sz w:val="16"/>
              </w:rPr>
              <w:t>Bilirubin</w:t>
            </w:r>
          </w:p>
        </w:tc>
        <w:tc>
          <w:tcPr>
            <w:tcW w:type="dxa" w:w="950"/>
            <w:vAlign w:val="top"/>
          </w:tcPr>
          <w:p>
            <w:pPr>
              <w:spacing w:after="40" w:before="0" w:line="259" w:lineRule="auto"/>
            </w:pPr>
            <w:r>
              <w:rPr>
                <w:rFonts w:ascii="Calibri" w:hAnsi="Calibri"/>
                <w:b w:val="0"/>
                <w:i w:val="0"/>
                <w:color w:val="212121"/>
                <w:sz w:val="16"/>
              </w:rPr>
              <w:t>Below phototherapy threshold for age/weight</w:t>
            </w:r>
          </w:p>
        </w:tc>
        <w:tc>
          <w:tcPr>
            <w:tcW w:type="dxa" w:w="950"/>
            <w:vAlign w:val="top"/>
          </w:tcPr>
          <w:p>
            <w:pPr>
              <w:spacing w:after="40" w:before="0" w:line="259" w:lineRule="auto"/>
            </w:pPr>
            <w:r>
              <w:rPr>
                <w:rFonts w:ascii="Calibri" w:hAnsi="Calibri"/>
                <w:b w:val="0"/>
                <w:i w:val="0"/>
                <w:color w:val="212121"/>
                <w:sz w:val="16"/>
              </w:rPr>
              <w:t>Above exchange-transfusion threshold</w:t>
            </w:r>
          </w:p>
        </w:tc>
        <w:tc>
          <w:tcPr>
            <w:tcW w:type="dxa" w:w="1036"/>
            <w:vAlign w:val="top"/>
          </w:tcPr>
          <w:p>
            <w:pPr>
              <w:spacing w:after="40" w:before="0" w:line="259" w:lineRule="auto"/>
            </w:pPr>
            <w:r>
              <w:rPr>
                <w:rFonts w:ascii="Calibri" w:hAnsi="Calibri"/>
                <w:b w:val="0"/>
                <w:i w:val="0"/>
                <w:color w:val="212121"/>
                <w:sz w:val="16"/>
              </w:rPr>
              <w:t>Identifies severe hyperbilirubinaemia risking kernicterus so it can be treated in time</w:t>
            </w:r>
          </w:p>
        </w:tc>
        <w:tc>
          <w:tcPr>
            <w:tcW w:type="dxa" w:w="1036"/>
            <w:vAlign w:val="top"/>
          </w:tcPr>
          <w:p>
            <w:pPr>
              <w:spacing w:after="40" w:before="0" w:line="259" w:lineRule="auto"/>
            </w:pPr>
            <w:r>
              <w:rPr>
                <w:rFonts w:ascii="Calibri" w:hAnsi="Calibri"/>
                <w:b w:val="0"/>
                <w:i w:val="0"/>
                <w:color w:val="212121"/>
                <w:sz w:val="16"/>
              </w:rPr>
              <w:t>Jaundiced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Preventive (neonatal)</w:t>
            </w:r>
          </w:p>
        </w:tc>
        <w:tc>
          <w:tcPr>
            <w:tcW w:type="dxa" w:w="720"/>
            <w:vAlign w:val="top"/>
          </w:tcPr>
          <w:p>
            <w:pPr>
              <w:spacing w:after="40" w:before="0" w:line="259" w:lineRule="auto"/>
            </w:pPr>
            <w:r>
              <w:rPr>
                <w:rFonts w:ascii="Calibri" w:hAnsi="Calibri"/>
                <w:b w:val="0"/>
                <w:i w:val="0"/>
                <w:color w:val="212121"/>
                <w:sz w:val="16"/>
              </w:rPr>
              <w:t>Timely phototherapy/exchange transfusion prevents dyskinetic CP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Perinatal &amp; birth history</w:t>
            </w:r>
          </w:p>
        </w:tc>
        <w:tc>
          <w:tcPr>
            <w:tcW w:type="dxa" w:w="979"/>
            <w:vAlign w:val="top"/>
          </w:tcPr>
          <w:p>
            <w:pPr>
              <w:spacing w:after="40" w:before="0" w:line="259" w:lineRule="auto"/>
            </w:pPr>
            <w:r>
              <w:rPr>
                <w:rFonts w:ascii="Calibri" w:hAnsi="Calibri"/>
                <w:b w:val="0"/>
                <w:i w:val="0"/>
                <w:color w:val="212121"/>
                <w:sz w:val="16"/>
              </w:rPr>
              <w:t>Asphyxia, prematurity, LBW, jaundice, NICU stay</w:t>
            </w:r>
          </w:p>
        </w:tc>
        <w:tc>
          <w:tcPr>
            <w:tcW w:type="dxa" w:w="950"/>
            <w:vAlign w:val="top"/>
          </w:tcPr>
          <w:p>
            <w:pPr>
              <w:spacing w:after="40" w:before="0" w:line="259" w:lineRule="auto"/>
            </w:pPr>
            <w:r>
              <w:rPr>
                <w:rFonts w:ascii="Calibri" w:hAnsi="Calibri"/>
                <w:b w:val="0"/>
                <w:i w:val="0"/>
                <w:color w:val="212121"/>
                <w:sz w:val="16"/>
              </w:rPr>
              <w:t>Uneventful pregnancy and delivery</w:t>
            </w:r>
          </w:p>
        </w:tc>
        <w:tc>
          <w:tcPr>
            <w:tcW w:type="dxa" w:w="950"/>
            <w:vAlign w:val="top"/>
          </w:tcPr>
          <w:p>
            <w:pPr>
              <w:spacing w:after="40" w:before="0" w:line="259" w:lineRule="auto"/>
            </w:pPr>
            <w:r>
              <w:rPr>
                <w:rFonts w:ascii="Calibri" w:hAnsi="Calibri"/>
                <w:b w:val="0"/>
                <w:i w:val="0"/>
                <w:color w:val="212121"/>
                <w:sz w:val="16"/>
              </w:rPr>
              <w:t>Birth asphyxia, prematurity, low birth weight, severe jaundice, neonatal sepsis</w:t>
            </w:r>
          </w:p>
        </w:tc>
        <w:tc>
          <w:tcPr>
            <w:tcW w:type="dxa" w:w="1036"/>
            <w:vAlign w:val="top"/>
          </w:tcPr>
          <w:p>
            <w:pPr>
              <w:spacing w:after="40" w:before="0" w:line="259" w:lineRule="auto"/>
            </w:pPr>
            <w:r>
              <w:rPr>
                <w:rFonts w:ascii="Calibri" w:hAnsi="Calibri"/>
                <w:b w:val="0"/>
                <w:i w:val="0"/>
                <w:color w:val="212121"/>
                <w:sz w:val="16"/>
              </w:rPr>
              <w:t>Identifies the causal insult and its timing (pre-, peri- or postnatal)</w:t>
            </w:r>
          </w:p>
        </w:tc>
        <w:tc>
          <w:tcPr>
            <w:tcW w:type="dxa" w:w="1036"/>
            <w:vAlign w:val="top"/>
          </w:tcPr>
          <w:p>
            <w:pPr>
              <w:spacing w:after="40" w:before="0" w:line="259" w:lineRule="auto"/>
            </w:pPr>
            <w:r>
              <w:rPr>
                <w:rFonts w:ascii="Calibri" w:hAnsi="Calibri"/>
                <w:b w:val="0"/>
                <w:i w:val="0"/>
                <w:color w:val="212121"/>
                <w:sz w:val="16"/>
              </w:rPr>
              <w:t>All suspected CP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Birth asphyxia is the leading identifiable cause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milestones</w:t>
            </w:r>
          </w:p>
        </w:tc>
        <w:tc>
          <w:tcPr>
            <w:tcW w:type="dxa" w:w="979"/>
            <w:vAlign w:val="top"/>
          </w:tcPr>
          <w:p>
            <w:pPr>
              <w:spacing w:after="40" w:before="0" w:line="259" w:lineRule="auto"/>
            </w:pPr>
            <w:r>
              <w:rPr>
                <w:rFonts w:ascii="Calibri" w:hAnsi="Calibri"/>
                <w:b w:val="0"/>
                <w:i w:val="0"/>
                <w:color w:val="212121"/>
                <w:sz w:val="16"/>
              </w:rPr>
              <w:t>Attainment of motor &amp; global milestones</w:t>
            </w:r>
          </w:p>
        </w:tc>
        <w:tc>
          <w:tcPr>
            <w:tcW w:type="dxa" w:w="950"/>
            <w:vAlign w:val="top"/>
          </w:tcPr>
          <w:p>
            <w:pPr>
              <w:spacing w:after="40" w:before="0" w:line="259" w:lineRule="auto"/>
            </w:pPr>
            <w:r>
              <w:rPr>
                <w:rFonts w:ascii="Calibri" w:hAnsi="Calibri"/>
                <w:b w:val="0"/>
                <w:i w:val="0"/>
                <w:color w:val="212121"/>
                <w:sz w:val="16"/>
              </w:rPr>
              <w:t>Age-appropriate milestones</w:t>
            </w:r>
          </w:p>
        </w:tc>
        <w:tc>
          <w:tcPr>
            <w:tcW w:type="dxa" w:w="950"/>
            <w:vAlign w:val="top"/>
          </w:tcPr>
          <w:p>
            <w:pPr>
              <w:spacing w:after="40" w:before="0" w:line="259" w:lineRule="auto"/>
            </w:pPr>
            <w:r>
              <w:rPr>
                <w:rFonts w:ascii="Calibri" w:hAnsi="Calibri"/>
                <w:b w:val="0"/>
                <w:i w:val="0"/>
                <w:color w:val="212121"/>
                <w:sz w:val="16"/>
              </w:rPr>
              <w:t>Delayed/absent milestones, asymmetry, early hand preference</w:t>
            </w:r>
          </w:p>
        </w:tc>
        <w:tc>
          <w:tcPr>
            <w:tcW w:type="dxa" w:w="1036"/>
            <w:vAlign w:val="top"/>
          </w:tcPr>
          <w:p>
            <w:pPr>
              <w:spacing w:after="40" w:before="0" w:line="259" w:lineRule="auto"/>
            </w:pPr>
            <w:r>
              <w:rPr>
                <w:rFonts w:ascii="Calibri" w:hAnsi="Calibri"/>
                <w:b w:val="0"/>
                <w:i w:val="0"/>
                <w:color w:val="212121"/>
                <w:sz w:val="16"/>
              </w:rPr>
              <w:t>Delayed motor milestones are usually the first sign that brings the child to attention</w:t>
            </w:r>
          </w:p>
        </w:tc>
        <w:tc>
          <w:tcPr>
            <w:tcW w:type="dxa" w:w="1036"/>
            <w:vAlign w:val="top"/>
          </w:tcPr>
          <w:p>
            <w:pPr>
              <w:spacing w:after="40" w:before="0" w:line="259" w:lineRule="auto"/>
            </w:pPr>
            <w:r>
              <w:rPr>
                <w:rFonts w:ascii="Calibri" w:hAnsi="Calibri"/>
                <w:b w:val="0"/>
                <w:i w:val="0"/>
                <w:color w:val="212121"/>
                <w:sz w:val="16"/>
              </w:rPr>
              <w:t>Infants and young children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Delayed motor milestones seen in over 90% of Indian CP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Tone &amp; reflex assessment</w:t>
            </w:r>
          </w:p>
        </w:tc>
        <w:tc>
          <w:tcPr>
            <w:tcW w:type="dxa" w:w="979"/>
            <w:vAlign w:val="top"/>
          </w:tcPr>
          <w:p>
            <w:pPr>
              <w:spacing w:after="40" w:before="0" w:line="259" w:lineRule="auto"/>
            </w:pPr>
            <w:r>
              <w:rPr>
                <w:rFonts w:ascii="Calibri" w:hAnsi="Calibri"/>
                <w:b w:val="0"/>
                <w:i w:val="0"/>
                <w:color w:val="212121"/>
                <w:sz w:val="16"/>
              </w:rPr>
              <w:t>Muscle tone, deep-tendon reflexes, plantar response</w:t>
            </w:r>
          </w:p>
        </w:tc>
        <w:tc>
          <w:tcPr>
            <w:tcW w:type="dxa" w:w="950"/>
            <w:vAlign w:val="top"/>
          </w:tcPr>
          <w:p>
            <w:pPr>
              <w:spacing w:after="40" w:before="0" w:line="259" w:lineRule="auto"/>
            </w:pPr>
            <w:r>
              <w:rPr>
                <w:rFonts w:ascii="Calibri" w:hAnsi="Calibri"/>
                <w:b w:val="0"/>
                <w:i w:val="0"/>
                <w:color w:val="212121"/>
                <w:sz w:val="16"/>
              </w:rPr>
              <w:t>Normal tone and reflexes</w:t>
            </w:r>
          </w:p>
        </w:tc>
        <w:tc>
          <w:tcPr>
            <w:tcW w:type="dxa" w:w="950"/>
            <w:vAlign w:val="top"/>
          </w:tcPr>
          <w:p>
            <w:pPr>
              <w:spacing w:after="40" w:before="0" w:line="259" w:lineRule="auto"/>
            </w:pPr>
            <w:r>
              <w:rPr>
                <w:rFonts w:ascii="Calibri" w:hAnsi="Calibri"/>
                <w:b w:val="0"/>
                <w:i w:val="0"/>
                <w:color w:val="212121"/>
                <w:sz w:val="16"/>
              </w:rPr>
              <w:t>Spasticity/dystonia/hypotonia, hyperreflexia, clonus, extensor plantar</w:t>
            </w:r>
          </w:p>
        </w:tc>
        <w:tc>
          <w:tcPr>
            <w:tcW w:type="dxa" w:w="1036"/>
            <w:vAlign w:val="top"/>
          </w:tcPr>
          <w:p>
            <w:pPr>
              <w:spacing w:after="40" w:before="0" w:line="259" w:lineRule="auto"/>
            </w:pPr>
            <w:r>
              <w:rPr>
                <w:rFonts w:ascii="Calibri" w:hAnsi="Calibri"/>
                <w:b w:val="0"/>
                <w:i w:val="0"/>
                <w:color w:val="212121"/>
                <w:sz w:val="16"/>
              </w:rPr>
              <w:t>Defines the physiological motor type (spastic, dyskinetic, ataxic, mixed)</w:t>
            </w:r>
          </w:p>
        </w:tc>
        <w:tc>
          <w:tcPr>
            <w:tcW w:type="dxa" w:w="1036"/>
            <w:vAlign w:val="top"/>
          </w:tcPr>
          <w:p>
            <w:pPr>
              <w:spacing w:after="40" w:before="0" w:line="259" w:lineRule="auto"/>
            </w:pPr>
            <w:r>
              <w:rPr>
                <w:rFonts w:ascii="Calibri" w:hAnsi="Calibri"/>
                <w:b w:val="0"/>
                <w:i w:val="0"/>
                <w:color w:val="212121"/>
                <w:sz w:val="16"/>
              </w:rPr>
              <w:t>All CP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Pattern of tone abnormality drives classification and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Persistence of primitive reflexes</w:t>
            </w:r>
          </w:p>
        </w:tc>
        <w:tc>
          <w:tcPr>
            <w:tcW w:type="dxa" w:w="979"/>
            <w:vAlign w:val="top"/>
          </w:tcPr>
          <w:p>
            <w:pPr>
              <w:spacing w:after="40" w:before="0" w:line="259" w:lineRule="auto"/>
            </w:pPr>
            <w:r>
              <w:rPr>
                <w:rFonts w:ascii="Calibri" w:hAnsi="Calibri"/>
                <w:b w:val="0"/>
                <w:i w:val="0"/>
                <w:color w:val="212121"/>
                <w:sz w:val="16"/>
              </w:rPr>
              <w:t>Moro, ATNR, grasp beyond expected age</w:t>
            </w:r>
          </w:p>
        </w:tc>
        <w:tc>
          <w:tcPr>
            <w:tcW w:type="dxa" w:w="950"/>
            <w:vAlign w:val="top"/>
          </w:tcPr>
          <w:p>
            <w:pPr>
              <w:spacing w:after="40" w:before="0" w:line="259" w:lineRule="auto"/>
            </w:pPr>
            <w:r>
              <w:rPr>
                <w:rFonts w:ascii="Calibri" w:hAnsi="Calibri"/>
                <w:b w:val="0"/>
                <w:i w:val="0"/>
                <w:color w:val="212121"/>
                <w:sz w:val="16"/>
              </w:rPr>
              <w:t>Age-appropriate disappearance</w:t>
            </w:r>
          </w:p>
        </w:tc>
        <w:tc>
          <w:tcPr>
            <w:tcW w:type="dxa" w:w="950"/>
            <w:vAlign w:val="top"/>
          </w:tcPr>
          <w:p>
            <w:pPr>
              <w:spacing w:after="40" w:before="0" w:line="259" w:lineRule="auto"/>
            </w:pPr>
            <w:r>
              <w:rPr>
                <w:rFonts w:ascii="Calibri" w:hAnsi="Calibri"/>
                <w:b w:val="0"/>
                <w:i w:val="0"/>
                <w:color w:val="212121"/>
                <w:sz w:val="16"/>
              </w:rPr>
              <w:t>Retained primitive reflexes beyond ~6 months</w:t>
            </w:r>
          </w:p>
        </w:tc>
        <w:tc>
          <w:tcPr>
            <w:tcW w:type="dxa" w:w="1036"/>
            <w:vAlign w:val="top"/>
          </w:tcPr>
          <w:p>
            <w:pPr>
              <w:spacing w:after="40" w:before="0" w:line="259" w:lineRule="auto"/>
            </w:pPr>
            <w:r>
              <w:rPr>
                <w:rFonts w:ascii="Calibri" w:hAnsi="Calibri"/>
                <w:b w:val="0"/>
                <w:i w:val="0"/>
                <w:color w:val="212121"/>
                <w:sz w:val="16"/>
              </w:rPr>
              <w:t>Retained reflexes support an upper-motor-neuron / CP diagnosis</w:t>
            </w:r>
          </w:p>
        </w:tc>
        <w:tc>
          <w:tcPr>
            <w:tcW w:type="dxa" w:w="1036"/>
            <w:vAlign w:val="top"/>
          </w:tcPr>
          <w:p>
            <w:pPr>
              <w:spacing w:after="40" w:before="0" w:line="259" w:lineRule="auto"/>
            </w:pPr>
            <w:r>
              <w:rPr>
                <w:rFonts w:ascii="Calibri" w:hAnsi="Calibri"/>
                <w:b w:val="0"/>
                <w:i w:val="0"/>
                <w:color w:val="212121"/>
                <w:sz w:val="16"/>
              </w:rPr>
              <w:t>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useful, simple bedside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950"/>
            <w:vAlign w:val="top"/>
          </w:tcPr>
          <w:p>
            <w:pPr>
              <w:spacing w:after="40" w:before="0" w:line="259" w:lineRule="auto"/>
            </w:pPr>
            <w:r>
              <w:rPr>
                <w:rFonts w:ascii="Calibri" w:hAnsi="Calibri"/>
                <w:b w:val="0"/>
                <w:i w:val="0"/>
                <w:color w:val="212121"/>
                <w:sz w:val="16"/>
              </w:rPr>
              <w:t>GMFCS / MACS / CFCS classification</w:t>
            </w:r>
          </w:p>
        </w:tc>
        <w:tc>
          <w:tcPr>
            <w:tcW w:type="dxa" w:w="979"/>
            <w:vAlign w:val="top"/>
          </w:tcPr>
          <w:p>
            <w:pPr>
              <w:spacing w:after="40" w:before="0" w:line="259" w:lineRule="auto"/>
            </w:pPr>
            <w:r>
              <w:rPr>
                <w:rFonts w:ascii="Calibri" w:hAnsi="Calibri"/>
                <w:b w:val="0"/>
                <w:i w:val="0"/>
                <w:color w:val="212121"/>
                <w:sz w:val="16"/>
              </w:rPr>
              <w:t>Gross-motor, manual and communication function</w:t>
            </w:r>
          </w:p>
        </w:tc>
        <w:tc>
          <w:tcPr>
            <w:tcW w:type="dxa" w:w="950"/>
            <w:vAlign w:val="top"/>
          </w:tcPr>
          <w:p>
            <w:pPr>
              <w:spacing w:after="40" w:before="0" w:line="259" w:lineRule="auto"/>
            </w:pPr>
            <w:r>
              <w:rPr>
                <w:rFonts w:ascii="Calibri" w:hAnsi="Calibri"/>
                <w:b w:val="0"/>
                <w:i w:val="0"/>
                <w:color w:val="212121"/>
                <w:sz w:val="16"/>
              </w:rPr>
              <w:t>Not applicable (severity grading)</w:t>
            </w:r>
          </w:p>
        </w:tc>
        <w:tc>
          <w:tcPr>
            <w:tcW w:type="dxa" w:w="950"/>
            <w:vAlign w:val="top"/>
          </w:tcPr>
          <w:p>
            <w:pPr>
              <w:spacing w:after="40" w:before="0" w:line="259" w:lineRule="auto"/>
            </w:pPr>
            <w:r>
              <w:rPr>
                <w:rFonts w:ascii="Calibri" w:hAnsi="Calibri"/>
                <w:b w:val="0"/>
                <w:i w:val="0"/>
                <w:color w:val="212121"/>
                <w:sz w:val="16"/>
              </w:rPr>
              <w:t>Levels I–V of impairment</w:t>
            </w:r>
          </w:p>
        </w:tc>
        <w:tc>
          <w:tcPr>
            <w:tcW w:type="dxa" w:w="1036"/>
            <w:vAlign w:val="top"/>
          </w:tcPr>
          <w:p>
            <w:pPr>
              <w:spacing w:after="40" w:before="0" w:line="259" w:lineRule="auto"/>
            </w:pPr>
            <w:r>
              <w:rPr>
                <w:rFonts w:ascii="Calibri" w:hAnsi="Calibri"/>
                <w:b w:val="0"/>
                <w:i w:val="0"/>
                <w:color w:val="212121"/>
                <w:sz w:val="16"/>
              </w:rPr>
              <w:t>Grades functional severity, predicts prognosis and guides management</w:t>
            </w:r>
          </w:p>
        </w:tc>
        <w:tc>
          <w:tcPr>
            <w:tcW w:type="dxa" w:w="1036"/>
            <w:vAlign w:val="top"/>
          </w:tcPr>
          <w:p>
            <w:pPr>
              <w:spacing w:after="40" w:before="0" w:line="259" w:lineRule="auto"/>
            </w:pPr>
            <w:r>
              <w:rPr>
                <w:rFonts w:ascii="Calibri" w:hAnsi="Calibri"/>
                <w:b w:val="0"/>
                <w:i w:val="0"/>
                <w:color w:val="212121"/>
                <w:sz w:val="16"/>
              </w:rPr>
              <w:t>All CP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Classification / prognosis</w:t>
            </w:r>
          </w:p>
        </w:tc>
        <w:tc>
          <w:tcPr>
            <w:tcW w:type="dxa" w:w="720"/>
            <w:vAlign w:val="top"/>
          </w:tcPr>
          <w:p>
            <w:pPr>
              <w:spacing w:after="40" w:before="0" w:line="259" w:lineRule="auto"/>
            </w:pPr>
            <w:r>
              <w:rPr>
                <w:rFonts w:ascii="Calibri" w:hAnsi="Calibri"/>
                <w:b w:val="0"/>
                <w:i w:val="0"/>
                <w:color w:val="212121"/>
                <w:sz w:val="16"/>
              </w:rPr>
              <w:t>About 64% of an Eastern-India cohort were GMFCS IV–V</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Gait &amp; musculoskeletal assessment</w:t>
            </w:r>
          </w:p>
        </w:tc>
        <w:tc>
          <w:tcPr>
            <w:tcW w:type="dxa" w:w="979"/>
            <w:vAlign w:val="top"/>
          </w:tcPr>
          <w:p>
            <w:pPr>
              <w:spacing w:after="40" w:before="0" w:line="259" w:lineRule="auto"/>
            </w:pPr>
            <w:r>
              <w:rPr>
                <w:rFonts w:ascii="Calibri" w:hAnsi="Calibri"/>
                <w:b w:val="0"/>
                <w:i w:val="0"/>
                <w:color w:val="212121"/>
                <w:sz w:val="16"/>
              </w:rPr>
              <w:t>Gait pattern, contractures, hip and spine</w:t>
            </w:r>
          </w:p>
        </w:tc>
        <w:tc>
          <w:tcPr>
            <w:tcW w:type="dxa" w:w="950"/>
            <w:vAlign w:val="top"/>
          </w:tcPr>
          <w:p>
            <w:pPr>
              <w:spacing w:after="40" w:before="0" w:line="259" w:lineRule="auto"/>
            </w:pPr>
            <w:r>
              <w:rPr>
                <w:rFonts w:ascii="Calibri" w:hAnsi="Calibri"/>
                <w:b w:val="0"/>
                <w:i w:val="0"/>
                <w:color w:val="212121"/>
                <w:sz w:val="16"/>
              </w:rPr>
              <w:t>No deformity</w:t>
            </w:r>
          </w:p>
        </w:tc>
        <w:tc>
          <w:tcPr>
            <w:tcW w:type="dxa" w:w="950"/>
            <w:vAlign w:val="top"/>
          </w:tcPr>
          <w:p>
            <w:pPr>
              <w:spacing w:after="40" w:before="0" w:line="259" w:lineRule="auto"/>
            </w:pPr>
            <w:r>
              <w:rPr>
                <w:rFonts w:ascii="Calibri" w:hAnsi="Calibri"/>
                <w:b w:val="0"/>
                <w:i w:val="0"/>
                <w:color w:val="212121"/>
                <w:sz w:val="16"/>
              </w:rPr>
              <w:t>Toe-walking, scissoring, contractures, limited hip abduction, spinal curve</w:t>
            </w:r>
          </w:p>
        </w:tc>
        <w:tc>
          <w:tcPr>
            <w:tcW w:type="dxa" w:w="1036"/>
            <w:vAlign w:val="top"/>
          </w:tcPr>
          <w:p>
            <w:pPr>
              <w:spacing w:after="40" w:before="0" w:line="259" w:lineRule="auto"/>
            </w:pPr>
            <w:r>
              <w:rPr>
                <w:rFonts w:ascii="Calibri" w:hAnsi="Calibri"/>
                <w:b w:val="0"/>
                <w:i w:val="0"/>
                <w:color w:val="212121"/>
                <w:sz w:val="16"/>
              </w:rPr>
              <w:t>Detects secondary musculoskeletal complications and tracks progression</w:t>
            </w:r>
          </w:p>
        </w:tc>
        <w:tc>
          <w:tcPr>
            <w:tcW w:type="dxa" w:w="1036"/>
            <w:vAlign w:val="top"/>
          </w:tcPr>
          <w:p>
            <w:pPr>
              <w:spacing w:after="40" w:before="0" w:line="259" w:lineRule="auto"/>
            </w:pPr>
            <w:r>
              <w:rPr>
                <w:rFonts w:ascii="Calibri" w:hAnsi="Calibri"/>
                <w:b w:val="0"/>
                <w:i w:val="0"/>
                <w:color w:val="212121"/>
                <w:sz w:val="16"/>
              </w:rPr>
              <w:t>Ambulant and non-ambulant CP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Guides orthoses, botulinum toxin and orthopaedic surgery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Vision &amp; hearing screen</w:t>
            </w:r>
          </w:p>
        </w:tc>
        <w:tc>
          <w:tcPr>
            <w:tcW w:type="dxa" w:w="979"/>
            <w:vAlign w:val="top"/>
          </w:tcPr>
          <w:p>
            <w:pPr>
              <w:spacing w:after="40" w:before="0" w:line="259" w:lineRule="auto"/>
            </w:pPr>
            <w:r>
              <w:rPr>
                <w:rFonts w:ascii="Calibri" w:hAnsi="Calibri"/>
                <w:b w:val="0"/>
                <w:i w:val="0"/>
                <w:color w:val="212121"/>
                <w:sz w:val="16"/>
              </w:rPr>
              <w:t>Squint, cortical visual impairment, hearing</w:t>
            </w:r>
          </w:p>
        </w:tc>
        <w:tc>
          <w:tcPr>
            <w:tcW w:type="dxa" w:w="950"/>
            <w:vAlign w:val="top"/>
          </w:tcPr>
          <w:p>
            <w:pPr>
              <w:spacing w:after="40" w:before="0" w:line="259" w:lineRule="auto"/>
            </w:pPr>
            <w:r>
              <w:rPr>
                <w:rFonts w:ascii="Calibri" w:hAnsi="Calibri"/>
                <w:b w:val="0"/>
                <w:i w:val="0"/>
                <w:color w:val="212121"/>
                <w:sz w:val="16"/>
              </w:rPr>
              <w:t>Normal vision and hearing</w:t>
            </w:r>
          </w:p>
        </w:tc>
        <w:tc>
          <w:tcPr>
            <w:tcW w:type="dxa" w:w="950"/>
            <w:vAlign w:val="top"/>
          </w:tcPr>
          <w:p>
            <w:pPr>
              <w:spacing w:after="40" w:before="0" w:line="259" w:lineRule="auto"/>
            </w:pPr>
            <w:r>
              <w:rPr>
                <w:rFonts w:ascii="Calibri" w:hAnsi="Calibri"/>
                <w:b w:val="0"/>
                <w:i w:val="0"/>
                <w:color w:val="212121"/>
                <w:sz w:val="16"/>
              </w:rPr>
              <w:t>Strabismus, CVI, sensorineural hearing loss</w:t>
            </w:r>
          </w:p>
        </w:tc>
        <w:tc>
          <w:tcPr>
            <w:tcW w:type="dxa" w:w="1036"/>
            <w:vAlign w:val="top"/>
          </w:tcPr>
          <w:p>
            <w:pPr>
              <w:spacing w:after="40" w:before="0" w:line="259" w:lineRule="auto"/>
            </w:pPr>
            <w:r>
              <w:rPr>
                <w:rFonts w:ascii="Calibri" w:hAnsi="Calibri"/>
                <w:b w:val="0"/>
                <w:i w:val="0"/>
                <w:color w:val="212121"/>
                <w:sz w:val="16"/>
              </w:rPr>
              <w:t>Detects common sensory comorbidities early so they can be supported</w:t>
            </w:r>
          </w:p>
        </w:tc>
        <w:tc>
          <w:tcPr>
            <w:tcW w:type="dxa" w:w="1036"/>
            <w:vAlign w:val="top"/>
          </w:tcPr>
          <w:p>
            <w:pPr>
              <w:spacing w:after="40" w:before="0" w:line="259" w:lineRule="auto"/>
            </w:pPr>
            <w:r>
              <w:rPr>
                <w:rFonts w:ascii="Calibri" w:hAnsi="Calibri"/>
                <w:b w:val="0"/>
                <w:i w:val="0"/>
                <w:color w:val="212121"/>
                <w:sz w:val="16"/>
              </w:rPr>
              <w:t>All CP, especially kernicterus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Routine screening</w:t>
            </w:r>
          </w:p>
        </w:tc>
        <w:tc>
          <w:tcPr>
            <w:tcW w:type="dxa" w:w="720"/>
            <w:vAlign w:val="top"/>
          </w:tcPr>
          <w:p>
            <w:pPr>
              <w:spacing w:after="40" w:before="0" w:line="259" w:lineRule="auto"/>
            </w:pPr>
            <w:r>
              <w:rPr>
                <w:rFonts w:ascii="Calibri" w:hAnsi="Calibri"/>
                <w:b w:val="0"/>
                <w:i w:val="0"/>
                <w:color w:val="212121"/>
                <w:sz w:val="16"/>
              </w:rPr>
              <w:t>Visual impairment ~50%; hearing impairment 10–20%</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Feeding, growth &amp; nutrition assessment</w:t>
            </w:r>
          </w:p>
        </w:tc>
        <w:tc>
          <w:tcPr>
            <w:tcW w:type="dxa" w:w="979"/>
            <w:vAlign w:val="top"/>
          </w:tcPr>
          <w:p>
            <w:pPr>
              <w:spacing w:after="40" w:before="0" w:line="259" w:lineRule="auto"/>
            </w:pPr>
            <w:r>
              <w:rPr>
                <w:rFonts w:ascii="Calibri" w:hAnsi="Calibri"/>
                <w:b w:val="0"/>
                <w:i w:val="0"/>
                <w:color w:val="212121"/>
                <w:sz w:val="16"/>
              </w:rPr>
              <w:t>Growth, swallow safety, drooling</w:t>
            </w:r>
          </w:p>
        </w:tc>
        <w:tc>
          <w:tcPr>
            <w:tcW w:type="dxa" w:w="950"/>
            <w:vAlign w:val="top"/>
          </w:tcPr>
          <w:p>
            <w:pPr>
              <w:spacing w:after="40" w:before="0" w:line="259" w:lineRule="auto"/>
            </w:pPr>
            <w:r>
              <w:rPr>
                <w:rFonts w:ascii="Calibri" w:hAnsi="Calibri"/>
                <w:b w:val="0"/>
                <w:i w:val="0"/>
                <w:color w:val="212121"/>
                <w:sz w:val="16"/>
              </w:rPr>
              <w:t>Adequate growth, safe swallow</w:t>
            </w:r>
          </w:p>
        </w:tc>
        <w:tc>
          <w:tcPr>
            <w:tcW w:type="dxa" w:w="950"/>
            <w:vAlign w:val="top"/>
          </w:tcPr>
          <w:p>
            <w:pPr>
              <w:spacing w:after="40" w:before="0" w:line="259" w:lineRule="auto"/>
            </w:pPr>
            <w:r>
              <w:rPr>
                <w:rFonts w:ascii="Calibri" w:hAnsi="Calibri"/>
                <w:b w:val="0"/>
                <w:i w:val="0"/>
                <w:color w:val="212121"/>
                <w:sz w:val="16"/>
              </w:rPr>
              <w:t>Faltering growth, choking/aspiration, drooling, prolonged meals</w:t>
            </w:r>
          </w:p>
        </w:tc>
        <w:tc>
          <w:tcPr>
            <w:tcW w:type="dxa" w:w="1036"/>
            <w:vAlign w:val="top"/>
          </w:tcPr>
          <w:p>
            <w:pPr>
              <w:spacing w:after="40" w:before="0" w:line="259" w:lineRule="auto"/>
            </w:pPr>
            <w:r>
              <w:rPr>
                <w:rFonts w:ascii="Calibri" w:hAnsi="Calibri"/>
                <w:b w:val="0"/>
                <w:i w:val="0"/>
                <w:color w:val="212121"/>
                <w:sz w:val="16"/>
              </w:rPr>
              <w:t>Identifies malnutrition and aspiration risk that need nutritional and feeding support</w:t>
            </w:r>
          </w:p>
        </w:tc>
        <w:tc>
          <w:tcPr>
            <w:tcW w:type="dxa" w:w="1036"/>
            <w:vAlign w:val="top"/>
          </w:tcPr>
          <w:p>
            <w:pPr>
              <w:spacing w:after="40" w:before="0" w:line="259" w:lineRule="auto"/>
            </w:pPr>
            <w:r>
              <w:rPr>
                <w:rFonts w:ascii="Calibri" w:hAnsi="Calibri"/>
                <w:b w:val="0"/>
                <w:i w:val="0"/>
                <w:color w:val="212121"/>
                <w:sz w:val="16"/>
              </w:rPr>
              <w:t>Children with feeding difficulty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Routine</w:t>
            </w:r>
          </w:p>
        </w:tc>
        <w:tc>
          <w:tcPr>
            <w:tcW w:type="dxa" w:w="720"/>
            <w:vAlign w:val="top"/>
          </w:tcPr>
          <w:p>
            <w:pPr>
              <w:spacing w:after="40" w:before="0" w:line="259" w:lineRule="auto"/>
            </w:pPr>
            <w:r>
              <w:rPr>
                <w:rFonts w:ascii="Calibri" w:hAnsi="Calibri"/>
                <w:b w:val="0"/>
                <w:i w:val="0"/>
                <w:color w:val="212121"/>
                <w:sz w:val="16"/>
              </w:rPr>
              <w:t>Malnutrition is highly prevalent in Indian children with CP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Delayed motor milestones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Delayed head control, rolling, sitting, standing or walking — the usual presenting feature, seen in over 90% of Indian CP children.</w:t>
            </w:r>
          </w:p>
        </w:tc>
      </w:tr>
      <w:tr>
        <w:trPr>
          <w:cantSplit/>
        </w:trPr>
        <w:tc>
          <w:tcPr>
            <w:tcW w:type="dxa" w:w="2304"/>
            <w:vAlign w:val="top"/>
          </w:tcPr>
          <w:p>
            <w:pPr>
              <w:spacing w:after="40" w:before="0" w:line="259" w:lineRule="auto"/>
            </w:pPr>
            <w:r>
              <w:rPr>
                <w:rFonts w:ascii="Calibri" w:hAnsi="Calibri"/>
                <w:b/>
                <w:i w:val="0"/>
                <w:color w:val="212121"/>
                <w:sz w:val="19"/>
              </w:rPr>
              <w:t>Abnormal muscle tone (stiffness or floppiness)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Spasticity (tight, stiff limbs) or hypotonia (floppiness), often first noticed on handling, dressing or bathing.</w:t>
            </w:r>
          </w:p>
        </w:tc>
      </w:tr>
      <w:tr>
        <w:trPr>
          <w:cantSplit/>
        </w:trPr>
        <w:tc>
          <w:tcPr>
            <w:tcW w:type="dxa" w:w="2304"/>
            <w:vAlign w:val="top"/>
          </w:tcPr>
          <w:p>
            <w:pPr>
              <w:spacing w:after="40" w:before="0" w:line="259" w:lineRule="auto"/>
            </w:pPr>
            <w:r>
              <w:rPr>
                <w:rFonts w:ascii="Calibri" w:hAnsi="Calibri"/>
                <w:b/>
                <w:i w:val="0"/>
                <w:color w:val="212121"/>
                <w:sz w:val="19"/>
              </w:rPr>
              <w:t>Abnormal posture and movements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hand fisting, scissoring of the legs, arching, or involuntary writhing/twisting (dyskinetic) movements.</w:t>
            </w:r>
          </w:p>
        </w:tc>
      </w:tr>
      <w:tr>
        <w:trPr>
          <w:cantSplit/>
        </w:trPr>
        <w:tc>
          <w:tcPr>
            <w:tcW w:type="dxa" w:w="2304"/>
            <w:vAlign w:val="top"/>
          </w:tcPr>
          <w:p>
            <w:pPr>
              <w:spacing w:after="40" w:before="0" w:line="259" w:lineRule="auto"/>
            </w:pPr>
            <w:r>
              <w:rPr>
                <w:rFonts w:ascii="Calibri" w:hAnsi="Calibri"/>
                <w:b/>
                <w:i w:val="0"/>
                <w:color w:val="212121"/>
                <w:sz w:val="19"/>
              </w:rPr>
              <w:t>Early hand preference (before 1 year)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Favouring one hand in infancy suggests weakness of the other side (hemiplegia).</w:t>
            </w:r>
          </w:p>
        </w:tc>
      </w:tr>
      <w:tr>
        <w:trPr>
          <w:cantSplit/>
        </w:trPr>
        <w:tc>
          <w:tcPr>
            <w:tcW w:type="dxa" w:w="2304"/>
            <w:vAlign w:val="top"/>
          </w:tcPr>
          <w:p>
            <w:pPr>
              <w:spacing w:after="40" w:before="0" w:line="259" w:lineRule="auto"/>
            </w:pPr>
            <w:r>
              <w:rPr>
                <w:rFonts w:ascii="Calibri" w:hAnsi="Calibri"/>
                <w:b/>
                <w:i w:val="0"/>
                <w:color w:val="212121"/>
                <w:sz w:val="19"/>
              </w:rPr>
              <w:t>Feeding and swallowing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Poor suck, choking or coughing on feeds, prolonged mealtimes and drooling from oromotor dysfunction.</w:t>
            </w:r>
          </w:p>
        </w:tc>
      </w:tr>
      <w:tr>
        <w:trPr>
          <w:cantSplit/>
        </w:trPr>
        <w:tc>
          <w:tcPr>
            <w:tcW w:type="dxa" w:w="2304"/>
            <w:vAlign w:val="top"/>
          </w:tcPr>
          <w:p>
            <w:pPr>
              <w:spacing w:after="40" w:before="0" w:line="259" w:lineRule="auto"/>
            </w:pPr>
            <w:r>
              <w:rPr>
                <w:rFonts w:ascii="Calibri" w:hAnsi="Calibri"/>
                <w:b/>
                <w:i w:val="0"/>
                <w:color w:val="212121"/>
                <w:sz w:val="19"/>
              </w:rPr>
              <w:t>Delayed or unclear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Delayed language or difficulty producing clear speech; around half of children have communication difficulty.</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Epilepsy occurs in about 38% of children with CP, most often with spastic quadriplegia.</w:t>
            </w:r>
          </w:p>
        </w:tc>
      </w:tr>
      <w:tr>
        <w:trPr>
          <w:cantSplit/>
        </w:trPr>
        <w:tc>
          <w:tcPr>
            <w:tcW w:type="dxa" w:w="2304"/>
            <w:vAlign w:val="top"/>
          </w:tcPr>
          <w:p>
            <w:pPr>
              <w:spacing w:after="40" w:before="0" w:line="259" w:lineRule="auto"/>
            </w:pPr>
            <w:r>
              <w:rPr>
                <w:rFonts w:ascii="Calibri" w:hAnsi="Calibri"/>
                <w:b/>
                <w:i w:val="0"/>
                <w:color w:val="212121"/>
                <w:sz w:val="19"/>
              </w:rPr>
              <w:t>Stiff or awkward gait / toe-walking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Walking on toes, scissoring or a stiff, unsteady gait in ambulant children.</w:t>
            </w:r>
          </w:p>
        </w:tc>
      </w:tr>
      <w:tr>
        <w:trPr>
          <w:cantSplit/>
        </w:trPr>
        <w:tc>
          <w:tcPr>
            <w:tcW w:type="dxa" w:w="2304"/>
            <w:vAlign w:val="top"/>
          </w:tcPr>
          <w:p>
            <w:pPr>
              <w:spacing w:after="40" w:before="0" w:line="259" w:lineRule="auto"/>
            </w:pPr>
            <w:r>
              <w:rPr>
                <w:rFonts w:ascii="Calibri" w:hAnsi="Calibri"/>
                <w:b/>
                <w:i w:val="0"/>
                <w:color w:val="212121"/>
                <w:sz w:val="19"/>
              </w:rPr>
              <w:t>Excessive drooling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Poor oromotor control causes persistent drooling with skin irritation and social difficulty.</w:t>
            </w:r>
          </w:p>
        </w:tc>
      </w:tr>
      <w:tr>
        <w:trPr>
          <w:cantSplit/>
        </w:trPr>
        <w:tc>
          <w:tcPr>
            <w:tcW w:type="dxa" w:w="2304"/>
            <w:vAlign w:val="top"/>
          </w:tcPr>
          <w:p>
            <w:pPr>
              <w:spacing w:after="40" w:before="0" w:line="259" w:lineRule="auto"/>
            </w:pPr>
            <w:r>
              <w:rPr>
                <w:rFonts w:ascii="Calibri" w:hAnsi="Calibri"/>
                <w:b/>
                <w:i w:val="0"/>
                <w:color w:val="212121"/>
                <w:sz w:val="19"/>
              </w:rPr>
              <w:t>Learning and attention difficulties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Around half of children have intellectual disability; learning and attention problems are frequent.</w:t>
            </w:r>
          </w:p>
        </w:tc>
      </w:tr>
      <w:tr>
        <w:trPr>
          <w:cantSplit/>
        </w:trPr>
        <w:tc>
          <w:tcPr>
            <w:tcW w:type="dxa" w:w="2304"/>
            <w:vAlign w:val="top"/>
          </w:tcPr>
          <w:p>
            <w:pPr>
              <w:spacing w:after="40" w:before="0" w:line="259" w:lineRule="auto"/>
            </w:pPr>
            <w:r>
              <w:rPr>
                <w:rFonts w:ascii="Calibri" w:hAnsi="Calibri"/>
                <w:b/>
                <w:i w:val="0"/>
                <w:color w:val="212121"/>
                <w:sz w:val="19"/>
              </w:rPr>
              <w:t>Irritability or excessive crying in infancy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Difficult-to-console irritability with poor sleep and feeding in early infancy.</w:t>
            </w:r>
          </w:p>
        </w:tc>
      </w:tr>
      <w:tr>
        <w:trPr>
          <w:cantSplit/>
        </w:trPr>
        <w:tc>
          <w:tcPr>
            <w:tcW w:type="dxa" w:w="2304"/>
            <w:vAlign w:val="top"/>
          </w:tcPr>
          <w:p>
            <w:pPr>
              <w:spacing w:after="40" w:before="0" w:line="259" w:lineRule="auto"/>
            </w:pPr>
            <w:r>
              <w:rPr>
                <w:rFonts w:ascii="Calibri" w:hAnsi="Calibri"/>
                <w:b/>
                <w:i w:val="0"/>
                <w:color w:val="212121"/>
                <w:sz w:val="19"/>
              </w:rPr>
              <w:t>Involuntary / dystonic movements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Slow writhing (athetoid) or sustained twisting (dystonic) movements, classically after kernicterus.</w:t>
            </w:r>
          </w:p>
        </w:tc>
      </w:tr>
      <w:tr>
        <w:trPr>
          <w:cantSplit/>
        </w:trPr>
        <w:tc>
          <w:tcPr>
            <w:tcW w:type="dxa" w:w="2304"/>
            <w:vAlign w:val="top"/>
          </w:tcPr>
          <w:p>
            <w:pPr>
              <w:spacing w:after="40" w:before="0" w:line="259" w:lineRule="auto"/>
            </w:pPr>
            <w:r>
              <w:rPr>
                <w:rFonts w:ascii="Calibri" w:hAnsi="Calibri"/>
                <w:b/>
                <w:i w:val="0"/>
                <w:color w:val="212121"/>
                <w:sz w:val="19"/>
              </w:rPr>
              <w:t>Poor coordination and balance (ataxia)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Unsteadiness, intention tremor and clumsy movements in ataxic CP.</w:t>
            </w:r>
          </w:p>
        </w:tc>
      </w:tr>
      <w:tr>
        <w:trPr>
          <w:cantSplit/>
        </w:trPr>
        <w:tc>
          <w:tcPr>
            <w:tcW w:type="dxa" w:w="2304"/>
            <w:vAlign w:val="top"/>
          </w:tcPr>
          <w:p>
            <w:pPr>
              <w:spacing w:after="40" w:before="0" w:line="259" w:lineRule="auto"/>
            </w:pPr>
            <w:r>
              <w:rPr>
                <w:rFonts w:ascii="Calibri" w:hAnsi="Calibri"/>
                <w:b/>
                <w:i w:val="0"/>
                <w:color w:val="212121"/>
                <w:sz w:val="19"/>
              </w:rPr>
              <w:t>Recurrent chest infections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aspiration and a weak cough — a major cause of illness and death in severe CP.</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Spasticity / hypertonia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tone with a clasp-knife quality on passive stretch — the hallmark of spastic CP.</w:t>
            </w:r>
          </w:p>
        </w:tc>
      </w:tr>
      <w:tr>
        <w:trPr>
          <w:cantSplit/>
        </w:trPr>
        <w:tc>
          <w:tcPr>
            <w:tcW w:type="dxa" w:w="3456"/>
            <w:vAlign w:val="top"/>
          </w:tcPr>
          <w:p>
            <w:pPr>
              <w:spacing w:after="40" w:before="0" w:line="259" w:lineRule="auto"/>
            </w:pPr>
            <w:r>
              <w:rPr>
                <w:rFonts w:ascii="Calibri" w:hAnsi="Calibri"/>
                <w:b/>
                <w:i w:val="0"/>
                <w:color w:val="212121"/>
                <w:sz w:val="19"/>
              </w:rPr>
              <w:t>Hyperreflexia and clonus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Brisk deep-tendon reflexes, ankle clonus and extensor plantar (Babinski) — upper-motor-neuron signs.</w:t>
            </w:r>
          </w:p>
        </w:tc>
      </w:tr>
      <w:tr>
        <w:trPr>
          <w:cantSplit/>
        </w:trPr>
        <w:tc>
          <w:tcPr>
            <w:tcW w:type="dxa" w:w="3456"/>
            <w:vAlign w:val="top"/>
          </w:tcPr>
          <w:p>
            <w:pPr>
              <w:spacing w:after="40" w:before="0" w:line="259" w:lineRule="auto"/>
            </w:pPr>
            <w:r>
              <w:rPr>
                <w:rFonts w:ascii="Calibri" w:hAnsi="Calibri"/>
                <w:b/>
                <w:i w:val="0"/>
                <w:color w:val="212121"/>
                <w:sz w:val="19"/>
              </w:rPr>
              <w:t>Persistent primitive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Retention of Moro, ATNR or grasp reflexes beyond the age at which they should disappear.</w:t>
            </w:r>
          </w:p>
        </w:tc>
      </w:tr>
      <w:tr>
        <w:trPr>
          <w:cantSplit/>
        </w:trPr>
        <w:tc>
          <w:tcPr>
            <w:tcW w:type="dxa" w:w="3456"/>
            <w:vAlign w:val="top"/>
          </w:tcPr>
          <w:p>
            <w:pPr>
              <w:spacing w:after="40" w:before="0" w:line="259" w:lineRule="auto"/>
            </w:pPr>
            <w:r>
              <w:rPr>
                <w:rFonts w:ascii="Calibri" w:hAnsi="Calibri"/>
                <w:b/>
                <w:i w:val="0"/>
                <w:color w:val="212121"/>
                <w:sz w:val="19"/>
              </w:rPr>
              <w:t>Scissoring of the lower limbs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Adductor spasticity crosses the legs when the child is suspended vertically.</w:t>
            </w:r>
          </w:p>
        </w:tc>
      </w:tr>
      <w:tr>
        <w:trPr>
          <w:cantSplit/>
        </w:trPr>
        <w:tc>
          <w:tcPr>
            <w:tcW w:type="dxa" w:w="3456"/>
            <w:vAlign w:val="top"/>
          </w:tcPr>
          <w:p>
            <w:pPr>
              <w:spacing w:after="40" w:before="0" w:line="259" w:lineRule="auto"/>
            </w:pPr>
            <w:r>
              <w:rPr>
                <w:rFonts w:ascii="Calibri" w:hAnsi="Calibri"/>
                <w:b/>
                <w:i w:val="0"/>
                <w:color w:val="212121"/>
                <w:sz w:val="19"/>
              </w:rPr>
              <w:t>Equinus / toe-walking deformity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Fixed or dynamic ankle plantarflexion from calf-muscle spasticity.</w:t>
            </w:r>
          </w:p>
        </w:tc>
      </w:tr>
      <w:tr>
        <w:trPr>
          <w:cantSplit/>
        </w:trPr>
        <w:tc>
          <w:tcPr>
            <w:tcW w:type="dxa" w:w="3456"/>
            <w:vAlign w:val="top"/>
          </w:tcPr>
          <w:p>
            <w:pPr>
              <w:spacing w:after="40" w:before="0" w:line="259" w:lineRule="auto"/>
            </w:pPr>
            <w:r>
              <w:rPr>
                <w:rFonts w:ascii="Calibri" w:hAnsi="Calibri"/>
                <w:b/>
                <w:i w:val="0"/>
                <w:color w:val="212121"/>
                <w:sz w:val="19"/>
              </w:rPr>
              <w:t>Joint contractures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Fixed shortening of muscles and tendons (hips, knees, ankles, elbows) developing over time.</w:t>
            </w:r>
          </w:p>
        </w:tc>
      </w:tr>
      <w:tr>
        <w:trPr>
          <w:cantSplit/>
        </w:trPr>
        <w:tc>
          <w:tcPr>
            <w:tcW w:type="dxa" w:w="3456"/>
            <w:vAlign w:val="top"/>
          </w:tcPr>
          <w:p>
            <w:pPr>
              <w:spacing w:after="40" w:before="0" w:line="259" w:lineRule="auto"/>
            </w:pPr>
            <w:r>
              <w:rPr>
                <w:rFonts w:ascii="Calibri" w:hAnsi="Calibri"/>
                <w:b/>
                <w:i w:val="0"/>
                <w:color w:val="212121"/>
                <w:sz w:val="19"/>
              </w:rPr>
              <w:t>Hip subluxation / dislocation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Limited hip abduction, leg-length discrepancy and pain, especially in non-ambulant children.</w:t>
            </w:r>
          </w:p>
        </w:tc>
      </w:tr>
      <w:tr>
        <w:trPr>
          <w:cantSplit/>
        </w:trPr>
        <w:tc>
          <w:tcPr>
            <w:tcW w:type="dxa" w:w="3456"/>
            <w:vAlign w:val="top"/>
          </w:tcPr>
          <w:p>
            <w:pPr>
              <w:spacing w:after="40" w:before="0" w:line="259" w:lineRule="auto"/>
            </w:pPr>
            <w:r>
              <w:rPr>
                <w:rFonts w:ascii="Calibri" w:hAnsi="Calibri"/>
                <w:b/>
                <w:i w:val="0"/>
                <w:color w:val="212121"/>
                <w:sz w:val="19"/>
              </w:rPr>
              <w:t>Microcephaly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head circumference reflecting impaired brain growth.</w:t>
            </w:r>
          </w:p>
        </w:tc>
      </w:tr>
      <w:tr>
        <w:trPr>
          <w:cantSplit/>
        </w:trPr>
        <w:tc>
          <w:tcPr>
            <w:tcW w:type="dxa" w:w="3456"/>
            <w:vAlign w:val="top"/>
          </w:tcPr>
          <w:p>
            <w:pPr>
              <w:spacing w:after="40" w:before="0" w:line="259" w:lineRule="auto"/>
            </w:pPr>
            <w:r>
              <w:rPr>
                <w:rFonts w:ascii="Calibri" w:hAnsi="Calibri"/>
                <w:b/>
                <w:i w:val="0"/>
                <w:color w:val="212121"/>
                <w:sz w:val="19"/>
              </w:rPr>
              <w:t>Strabismus and visual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Squint and cortical visual impairment; some form of visual impairment affects about half of children.</w:t>
            </w:r>
          </w:p>
        </w:tc>
      </w:tr>
      <w:tr>
        <w:trPr>
          <w:cantSplit/>
        </w:trPr>
        <w:tc>
          <w:tcPr>
            <w:tcW w:type="dxa" w:w="3456"/>
            <w:vAlign w:val="top"/>
          </w:tcPr>
          <w:p>
            <w:pPr>
              <w:spacing w:after="40" w:before="0" w:line="259" w:lineRule="auto"/>
            </w:pPr>
            <w:r>
              <w:rPr>
                <w:rFonts w:ascii="Calibri" w:hAnsi="Calibri"/>
                <w:b/>
                <w:i w:val="0"/>
                <w:color w:val="212121"/>
                <w:sz w:val="19"/>
              </w:rPr>
              <w:t>Neuromuscular scoliosis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Progressive spinal curvature with pelvic obliquity, particularly in GMFCS IV–V.</w:t>
            </w:r>
          </w:p>
        </w:tc>
      </w:tr>
      <w:tr>
        <w:trPr>
          <w:cantSplit/>
        </w:trPr>
        <w:tc>
          <w:tcPr>
            <w:tcW w:type="dxa" w:w="3456"/>
            <w:vAlign w:val="top"/>
          </w:tcPr>
          <w:p>
            <w:pPr>
              <w:spacing w:after="40" w:before="0" w:line="259" w:lineRule="auto"/>
            </w:pPr>
            <w:r>
              <w:rPr>
                <w:rFonts w:ascii="Calibri" w:hAnsi="Calibri"/>
                <w:b/>
                <w:i w:val="0"/>
                <w:color w:val="212121"/>
                <w:sz w:val="19"/>
              </w:rPr>
              <w:t>Dyskinetic / dystonic posturing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Involuntary writhing or sustained abnormal postures, classic after kernicterus.</w:t>
            </w:r>
          </w:p>
        </w:tc>
      </w:tr>
      <w:tr>
        <w:trPr>
          <w:cantSplit/>
        </w:trPr>
        <w:tc>
          <w:tcPr>
            <w:tcW w:type="dxa" w:w="3456"/>
            <w:vAlign w:val="top"/>
          </w:tcPr>
          <w:p>
            <w:pPr>
              <w:spacing w:after="40" w:before="0" w:line="259" w:lineRule="auto"/>
            </w:pPr>
            <w:r>
              <w:rPr>
                <w:rFonts w:ascii="Calibri" w:hAnsi="Calibri"/>
                <w:b/>
                <w:i w:val="0"/>
                <w:color w:val="212121"/>
                <w:sz w:val="19"/>
              </w:rPr>
              <w:t>Ataxic signs (wide-based gait, intention tremor)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Cerebellar signs seen in ataxic CP.</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motor impairment and activity limitation (walking, hand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Spasticity, dystonia and abnormal tone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muscle and joint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 subluxation and dislocation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Neuromuscular scoliosis and pelvic obliquity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Communication and feeding (oromotor) impairment</w:t>
            </w:r>
          </w:p>
        </w:tc>
        <w:tc>
          <w:tcPr>
            <w:tcW w:type="dxa" w:w="2980"/>
            <w:vAlign w:val="top"/>
          </w:tcPr>
          <w:p>
            <w:pPr>
              <w:spacing w:after="40" w:before="0" w:line="259" w:lineRule="auto"/>
            </w:pPr>
            <w:r>
              <w:rPr>
                <w:rFonts w:ascii="Calibri" w:hAnsi="Calibri"/>
                <w:b w:val="0"/>
                <w:i w:val="0"/>
                <w:color w:val="212121"/>
                <w:sz w:val="19"/>
              </w:rPr>
              <w:t>Direct consequences of the static brain lesion and of the evolving musculoskeletal deformity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Epilepsy (~38% of children with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Intellectual disability and learning difficulty (~50%)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Visual impairment/strabismus (~50%) and hearing impairment (10–20%)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faltering growth and osteopenia with fragility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Gastro-oesophageal reflux, chronic constipation and drooling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and recurrent chest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 sleep disturbance and pressure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Behavioural, emotional and mental-health problems (20–30%)</w:t>
            </w:r>
          </w:p>
        </w:tc>
        <w:tc>
          <w:tcPr>
            <w:tcW w:type="dxa" w:w="2980"/>
            <w:vAlign w:val="top"/>
          </w:tcPr>
          <w:p>
            <w:pPr>
              <w:spacing w:after="40" w:before="0" w:line="259" w:lineRule="auto"/>
            </w:pPr>
            <w:r>
              <w:rPr>
                <w:rFonts w:ascii="Calibri" w:hAnsi="Calibri"/>
                <w:b w:val="0"/>
                <w:i w:val="0"/>
                <w:color w:val="212121"/>
                <w:sz w:val="19"/>
              </w:rPr>
              <w:t>Associated impairments and medical problems arising from the brain injury and from immobility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lifelong physical disability and dependence for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schooling and social exclusion (only ~13% attended school in one Indian cohort)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aspiration pneumonia and respiratory failure — a leading cause of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life expectancy in severe, GMFCS IV–V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caregiver burden, psychological stress and out-of-pocket cost</w:t>
            </w:r>
          </w:p>
        </w:tc>
        <w:tc>
          <w:tcPr>
            <w:tcW w:type="dxa" w:w="2980"/>
            <w:vAlign w:val="top"/>
          </w:tcPr>
          <w:p>
            <w:pPr>
              <w:spacing w:after="40" w:before="0" w:line="259" w:lineRule="auto"/>
            </w:pPr>
            <w:r>
              <w:rPr>
                <w:rFonts w:ascii="Calibri" w:hAnsi="Calibri"/>
                <w:b w:val="0"/>
                <w:i w:val="0"/>
                <w:color w:val="212121"/>
                <w:sz w:val="19"/>
              </w:rPr>
              <w:t>Irreversible, disabling end-stage outcomes of severe, multiply-affected cerebral palsy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Epilepsy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Occurs in about 38% of children with CP (up to ~62% in spastic quadriplegia), sharing the same underlying brain injury and strongly influencing drug choice and monitoring.</w:t>
            </w:r>
          </w:p>
          <w:p>
            <w:pPr>
              <w:spacing w:after="40" w:before="0" w:line="259" w:lineRule="auto"/>
            </w:pPr>
            <w:r>
              <w:rPr>
                <w:rFonts w:ascii="Calibri" w:hAnsi="Calibri"/>
                <w:b/>
                <w:i w:val="0"/>
                <w:color w:val="212121"/>
                <w:sz w:val="19"/>
              </w:rPr>
              <w:t>~38% (up to 62% in quadriplegia)</w:t>
            </w:r>
          </w:p>
        </w:tc>
      </w:tr>
      <w:tr>
        <w:trPr>
          <w:cantSplit/>
        </w:trPr>
        <w:tc>
          <w:tcPr>
            <w:tcW w:type="dxa" w:w="2232"/>
            <w:vAlign w:val="top"/>
          </w:tcPr>
          <w:p>
            <w:pPr>
              <w:spacing w:after="40" w:before="0" w:line="259" w:lineRule="auto"/>
            </w:pPr>
            <w:r>
              <w:rPr>
                <w:rFonts w:ascii="Calibri" w:hAnsi="Calibri"/>
                <w:b/>
                <w:i w:val="0"/>
                <w:color w:val="212121"/>
                <w:sz w:val="19"/>
              </w:rPr>
              <w:t>Intellectual disability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Learning disability (IQ &lt; 70) affects around half of children and severe disability (IQ &lt; 50) around a quarter; it reflects the same brain injury and shapes therapy, communication and schooling.</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Visual impairment / strabismus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Some form of visual impairment (squint, refractive error, cortical visual impairment) affects about half of children; early detection preserves function and learning.</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Hearing impairment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Sensorineural hearing loss, particularly after kernicterus, affects 10–20% and compounds communication difficulty.</w:t>
            </w:r>
          </w:p>
          <w:p>
            <w:pPr>
              <w:spacing w:after="40" w:before="0" w:line="259" w:lineRule="auto"/>
            </w:pPr>
            <w:r>
              <w:rPr>
                <w:rFonts w:ascii="Calibri" w:hAnsi="Calibri"/>
                <w:b/>
                <w:i w:val="0"/>
                <w:color w:val="212121"/>
                <w:sz w:val="19"/>
              </w:rPr>
              <w:t>10–20%</w:t>
            </w:r>
          </w:p>
        </w:tc>
      </w:tr>
      <w:tr>
        <w:trPr>
          <w:cantSplit/>
        </w:trPr>
        <w:tc>
          <w:tcPr>
            <w:tcW w:type="dxa" w:w="2232"/>
            <w:vAlign w:val="top"/>
          </w:tcPr>
          <w:p>
            <w:pPr>
              <w:spacing w:after="40" w:before="0" w:line="259" w:lineRule="auto"/>
            </w:pPr>
            <w:r>
              <w:rPr>
                <w:rFonts w:ascii="Calibri" w:hAnsi="Calibri"/>
                <w:b/>
                <w:i w:val="0"/>
                <w:color w:val="212121"/>
                <w:sz w:val="19"/>
              </w:rPr>
              <w:t>Speech &amp; communication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Around half of children have communication difficulty and at least 1 in 10 need augmentative/alternative communication, arising from combined oromotor and cognitive involvement.</w:t>
            </w:r>
          </w:p>
          <w:p>
            <w:pPr>
              <w:spacing w:after="40" w:before="0" w:line="259" w:lineRule="auto"/>
            </w:pPr>
            <w:r>
              <w:rPr>
                <w:rFonts w:ascii="Calibri" w:hAnsi="Calibri"/>
                <w:b/>
                <w:i w:val="0"/>
                <w:color w:val="212121"/>
                <w:sz w:val="19"/>
              </w:rPr>
              <w:t>~50%</w:t>
            </w:r>
          </w:p>
        </w:tc>
      </w:tr>
      <w:tr>
        <w:trPr>
          <w:cantSplit/>
        </w:trPr>
        <w:tc>
          <w:tcPr>
            <w:tcW w:type="dxa" w:w="2232"/>
            <w:vAlign w:val="top"/>
          </w:tcPr>
          <w:p>
            <w:pPr>
              <w:spacing w:after="40" w:before="0" w:line="259" w:lineRule="auto"/>
            </w:pPr>
            <w:r>
              <w:rPr>
                <w:rFonts w:ascii="Calibri" w:hAnsi="Calibri"/>
                <w:b/>
                <w:i w:val="0"/>
                <w:color w:val="212121"/>
                <w:sz w:val="19"/>
              </w:rPr>
              <w:t>Malnutrition / undernutrition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Indian children with CP due to feeding difficulty; it has a bidirectional relationship with disease severity and independently lowers health-related quality of life.</w:t>
            </w:r>
          </w:p>
        </w:tc>
      </w:tr>
      <w:tr>
        <w:trPr>
          <w:cantSplit/>
        </w:trPr>
        <w:tc>
          <w:tcPr>
            <w:tcW w:type="dxa" w:w="2232"/>
            <w:vAlign w:val="top"/>
          </w:tcPr>
          <w:p>
            <w:pPr>
              <w:spacing w:after="40" w:before="0" w:line="259" w:lineRule="auto"/>
            </w:pPr>
            <w:r>
              <w:rPr>
                <w:rFonts w:ascii="Calibri" w:hAnsi="Calibri"/>
                <w:b/>
                <w:i w:val="0"/>
                <w:color w:val="212121"/>
                <w:sz w:val="19"/>
              </w:rPr>
              <w:t>Neuromuscular hip displacement &amp; scoliosis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Hip displacement affects up to a third of children and scoliosis is common in severe CP; both are progressive and require surveillance and, often, surgery.</w:t>
            </w:r>
          </w:p>
          <w:p>
            <w:pPr>
              <w:spacing w:after="40" w:before="0" w:line="259" w:lineRule="auto"/>
            </w:pPr>
            <w:r>
              <w:rPr>
                <w:rFonts w:ascii="Calibri" w:hAnsi="Calibri"/>
                <w:b/>
                <w:i w:val="0"/>
                <w:color w:val="212121"/>
                <w:sz w:val="19"/>
              </w:rPr>
              <w:t>~30% (hip displacement)</w:t>
            </w:r>
          </w:p>
        </w:tc>
      </w:tr>
      <w:tr>
        <w:trPr>
          <w:cantSplit/>
        </w:trPr>
        <w:tc>
          <w:tcPr>
            <w:tcW w:type="dxa" w:w="2232"/>
            <w:vAlign w:val="top"/>
          </w:tcPr>
          <w:p>
            <w:pPr>
              <w:spacing w:after="40" w:before="0" w:line="259" w:lineRule="auto"/>
            </w:pPr>
            <w:r>
              <w:rPr>
                <w:rFonts w:ascii="Calibri" w:hAnsi="Calibri"/>
                <w:b/>
                <w:i w:val="0"/>
                <w:color w:val="212121"/>
                <w:sz w:val="19"/>
              </w:rPr>
              <w:t>Gastro-oesophageal reflux &amp; chronic constipation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Constipation affects around 60% of children and reflux is common; both worsen nutrition, pain and aspiration risk.</w:t>
            </w:r>
          </w:p>
          <w:p>
            <w:pPr>
              <w:spacing w:after="40" w:before="0" w:line="259" w:lineRule="auto"/>
            </w:pPr>
            <w:r>
              <w:rPr>
                <w:rFonts w:ascii="Calibri" w:hAnsi="Calibri"/>
                <w:b/>
                <w:i w:val="0"/>
                <w:color w:val="212121"/>
                <w:sz w:val="19"/>
              </w:rPr>
              <w:t>~60% (constipation)</w:t>
            </w:r>
          </w:p>
        </w:tc>
      </w:tr>
      <w:tr>
        <w:trPr>
          <w:cantSplit/>
        </w:trPr>
        <w:tc>
          <w:tcPr>
            <w:tcW w:type="dxa" w:w="2232"/>
            <w:vAlign w:val="top"/>
          </w:tcPr>
          <w:p>
            <w:pPr>
              <w:spacing w:after="40" w:before="0" w:line="259" w:lineRule="auto"/>
            </w:pPr>
            <w:r>
              <w:rPr>
                <w:rFonts w:ascii="Calibri" w:hAnsi="Calibri"/>
                <w:b/>
                <w:i w:val="0"/>
                <w:color w:val="212121"/>
                <w:sz w:val="19"/>
              </w:rPr>
              <w:t>Aspiration pneumonia / respiratory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aspiration from an unsafe swallow and weak cough is the leading cause of serious morbidity and death in severe CP.</w:t>
            </w:r>
          </w:p>
        </w:tc>
      </w:tr>
      <w:tr>
        <w:trPr>
          <w:cantSplit/>
        </w:trPr>
        <w:tc>
          <w:tcPr>
            <w:tcW w:type="dxa" w:w="2232"/>
            <w:vAlign w:val="top"/>
          </w:tcPr>
          <w:p>
            <w:pPr>
              <w:spacing w:after="40" w:before="0" w:line="259" w:lineRule="auto"/>
            </w:pPr>
            <w:r>
              <w:rPr>
                <w:rFonts w:ascii="Calibri" w:hAnsi="Calibri"/>
                <w:b/>
                <w:i w:val="0"/>
                <w:color w:val="212121"/>
                <w:sz w:val="19"/>
              </w:rPr>
              <w:t>Osteopenia &amp; fragility fractures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bone density affects up to 77% of moderate-to-severe CP from immobility, poor nutrition and anticonvulsant use, predisposing to low-trauma fractures.</w:t>
            </w:r>
          </w:p>
          <w:p>
            <w:pPr>
              <w:spacing w:after="40" w:before="0" w:line="259" w:lineRule="auto"/>
            </w:pPr>
            <w:r>
              <w:rPr>
                <w:rFonts w:ascii="Calibri" w:hAnsi="Calibri"/>
                <w:b/>
                <w:i w:val="0"/>
                <w:color w:val="212121"/>
                <w:sz w:val="19"/>
              </w:rPr>
              <w:t>Up to 77%</w:t>
            </w:r>
          </w:p>
        </w:tc>
      </w:tr>
      <w:tr>
        <w:trPr>
          <w:cantSplit/>
        </w:trPr>
        <w:tc>
          <w:tcPr>
            <w:tcW w:type="dxa" w:w="2232"/>
            <w:vAlign w:val="top"/>
          </w:tcPr>
          <w:p>
            <w:pPr>
              <w:spacing w:after="40" w:before="0" w:line="259" w:lineRule="auto"/>
            </w:pPr>
            <w:r>
              <w:rPr>
                <w:rFonts w:ascii="Calibri" w:hAnsi="Calibri"/>
                <w:b/>
                <w:i w:val="0"/>
                <w:color w:val="212121"/>
                <w:sz w:val="19"/>
              </w:rPr>
              <w:t>Behavioural &amp; mental-health problems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Behavioural/emotional problems affect 20–30% of children, and caregivers have high rates of depression and anxiety; mental health strongly shapes therapy engagement and outcomes.</w:t>
            </w:r>
          </w:p>
          <w:p>
            <w:pPr>
              <w:spacing w:after="40" w:before="0" w:line="259" w:lineRule="auto"/>
            </w:pPr>
            <w:r>
              <w:rPr>
                <w:rFonts w:ascii="Calibri" w:hAnsi="Calibri"/>
                <w:b/>
                <w:i w:val="0"/>
                <w:color w:val="212121"/>
                <w:sz w:val="19"/>
              </w:rPr>
              <w:t>20–30%</w:t>
            </w:r>
          </w:p>
        </w:tc>
      </w:tr>
      <w:tr>
        <w:trPr>
          <w:cantSplit/>
        </w:trPr>
        <w:tc>
          <w:tcPr>
            <w:tcW w:type="dxa" w:w="2232"/>
            <w:vAlign w:val="top"/>
          </w:tcPr>
          <w:p>
            <w:pPr>
              <w:spacing w:after="40" w:before="0" w:line="259" w:lineRule="auto"/>
            </w:pPr>
            <w:r>
              <w:rPr>
                <w:rFonts w:ascii="Calibri" w:hAnsi="Calibri"/>
                <w:b/>
                <w:i w:val="0"/>
                <w:color w:val="212121"/>
                <w:sz w:val="19"/>
              </w:rPr>
              <w:t>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Sleep disturbance affects about a quarter of children, driven by pain, spasticity, reflux and seizures, and it worsens daytime function and caregiver stress.</w:t>
            </w:r>
          </w:p>
          <w:p>
            <w:pPr>
              <w:spacing w:after="40" w:before="0" w:line="259" w:lineRule="auto"/>
            </w:pPr>
            <w:r>
              <w:rPr>
                <w:rFonts w:ascii="Calibri" w:hAnsi="Calibri"/>
                <w:b/>
                <w:i w:val="0"/>
                <w:color w:val="212121"/>
                <w:sz w:val="19"/>
              </w:rPr>
              <w:t>~23%</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all antenatal check-ups and deliver with a skilled birth attendant in a facility to reduce birth asphyxia and birth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promptly treat severe newborn jaundice (phototherapy or exchange transfusion) to prevent kernicterus.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timely newborn resuscitation and NICU support for premature, low-birth-weight or asphyxiated babies.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maternal and childhood immunisation and treat maternal and neonatal infections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early warning signs — delayed milestones, stiff or floppy limbs, early hand preference, poor feeding — and seek developmental assessment without delay.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low-income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preterm, LBW or jaundiced newborns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caregivers of infants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CP is permanent and non-progressive, but early, regular multidisciplinary therapy greatly improves function and prevents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early intervention in infancy to harness the period of peak brain plasticity.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orthoses, supportive seating, standing frames and communication aids consistently at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hip and spine surveillance, vision and hearing checks, immunisation and dental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care across physiotherapy, occupational therapy, speech therapy, paediatric neurology, orthopaedics and 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GMFCS III–V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managing CP at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physiotherapy and task-specific motor training to build strength, range of movement and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stretching and positioning to prevent contractures and hip displacement.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standing frames, gait trainers, ankle-foot orthoses and adaptive equipment as prescribed.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tone-reducing treatment (botulinum toxin, oral baclofen, and in selected cases intrathecal baclofen or selective dorsal rhizotomy) alongside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active play, aquatic therapy and participation to maintain fitness and prevent deconditioning.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 with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Spastic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Non-ambulant (GMFCS IV–V)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Ambulant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growth and swallowing regularly and treat malnutrition, which is common in Indian children with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Modify food textures and feeding position for a safe swallow to reduce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calories, protein and micronutrients, including vitamin D and calcium for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feeding therapy and, when oral feeding is unsafe or inadequate, consider gastrostomy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reflux and constipation with diet, fluids, fibre and medication as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feeding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 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Tube-fed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maternal nutrition in pregnancy (iron, folate, iodine) to reduce prematurity and fetal growth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breastfeeding and adequate infant nutrition to support brain 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maternal anaemia and micronutrient deficiency before and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at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a consistent bedtime routine and a comfortable, well-supported sleeping position.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spasticity, reflux and night-time seizures that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appropriate positioning aids to reduce discomfort and pressure areas overnight.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caregiver sleep and fatigue, which affect the whole family's wellbeing.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CP and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 spastic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second-hand smoke in pregnancy to reduce preterm birth and fetal growth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child's home and environment smoke-free to lower recurrent chest infections in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cessation support (counselling or pharmacotherapy)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children with CP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during pregnancy, as it is neurotoxic to the developing fetal brain.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before and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pregnancies with pre-conception counselling where alcohol use is a concern.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children for behavioural and emotional problems (which affect 20–30%) and provide timely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who have high rates of depression, anxiety and stress, with counselling and respite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families to parent support groups, special education and disability services and entitlements.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the child's participation, self-esteem and social inclusion at home and school.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transition support and mental-health care for adolescents and adults ageing with CP.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behavioural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CP</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8147/" TargetMode="External"/><Relationship Id="rId10" Type="http://schemas.openxmlformats.org/officeDocument/2006/relationships/hyperlink" Target="https://www.nature.com/articles/s41598-025-28245-6" TargetMode="External"/><Relationship Id="rId11" Type="http://schemas.openxmlformats.org/officeDocument/2006/relationships/hyperlink" Target="http://jcdronline.org/index.php/JCDR/article/download/7701/5461/10457" TargetMode="External"/><Relationship Id="rId12" Type="http://schemas.openxmlformats.org/officeDocument/2006/relationships/hyperlink" Target="https://link.springer.com/article/10.1007/s12098-019-03024-0" TargetMode="External"/><Relationship Id="rId13" Type="http://schemas.openxmlformats.org/officeDocument/2006/relationships/hyperlink" Target="https://bfpt.springeropen.com/articles/10.1186/s43161-022-00077-9" TargetMode="External"/><Relationship Id="rId14" Type="http://schemas.openxmlformats.org/officeDocument/2006/relationships/hyperlink" Target="https://pubmed.ncbi.nlm.nih.gov/36917290/" TargetMode="External"/><Relationship Id="rId15" Type="http://schemas.openxmlformats.org/officeDocument/2006/relationships/hyperlink" Target="https://www.frontiersin.org/journals/pediatrics/articles/10.3389/fped.2023.1189648/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