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80"/>
      </w:pPr>
      <w:r>
        <w:rPr>
          <w:rFonts w:ascii="Calibri" w:hAnsi="Calibri"/>
          <w:b/>
          <w:i w:val="0"/>
          <w:color w:val="2B2B33"/>
          <w:sz w:val="44"/>
        </w:rPr>
        <w:t>Viral Encephalitis (incl. HSV)</w:t>
      </w:r>
    </w:p>
    <w:p>
      <w:pPr>
        <w:spacing w:before="0" w:after="160"/>
      </w:pPr>
      <w:r>
        <w:rPr>
          <w:rFonts w:ascii="Calibri" w:hAnsi="Calibri"/>
          <w:b/>
          <w:i w:val="0"/>
          <w:color w:val="212121"/>
          <w:sz w:val="22"/>
        </w:rPr>
        <w:t xml:space="preserve">AKA </w:t>
      </w:r>
      <w:r>
        <w:rPr>
          <w:rFonts w:ascii="Calibri" w:hAnsi="Calibri"/>
          <w:b w:val="0"/>
          <w:i w:val="0"/>
          <w:color w:val="212121"/>
          <w:sz w:val="22"/>
        </w:rPr>
        <w:t>i.e., Herpes simplex encephalitis (HSE), Acute encephalitis syndrome (AES), Japanese encephalitis / “brain fever”, Infectious inflammation of the brain</w:t>
      </w:r>
    </w:p>
    <w:p>
      <w:pPr>
        <w:spacing w:before="280" w:after="120"/>
      </w:pPr>
      <w:r>
        <w:rPr>
          <w:rFonts w:ascii="Calibri" w:hAnsi="Calibri"/>
          <w:b/>
          <w:i w:val="0"/>
          <w:color w:val="212121"/>
          <w:sz w:val="31"/>
        </w:rPr>
        <w:t>Introduction to MCP</w:t>
      </w:r>
    </w:p>
    <w:p>
      <w:pPr>
        <w:spacing w:before="200" w:after="120"/>
      </w:pPr>
      <w:r>
        <w:rPr>
          <w:rFonts w:ascii="Calibri" w:hAnsi="Calibri"/>
          <w:b/>
          <w:i w:val="0"/>
          <w:color w:val="212121"/>
          <w:sz w:val="25"/>
        </w:rPr>
        <w:t>Definition</w:t>
      </w:r>
    </w:p>
    <w:p>
      <w:pPr>
        <w:spacing w:before="0" w:after="120"/>
      </w:pPr>
      <w:r>
        <w:rPr>
          <w:rFonts w:ascii="Calibri" w:hAnsi="Calibri"/>
          <w:b w:val="0"/>
          <w:i w:val="0"/>
          <w:color w:val="212121"/>
          <w:sz w:val="21"/>
        </w:rPr>
        <w:t>Viral encephalitis is acute inflammation of the brain parenchyma caused by direct viral invasion of neurons (or a post-infectious immune response), producing fever with altered consciousness, seizures, and focal neurological deficits. Herpes simplex virus type 1 (HSV-1) is the commonest sporadic and most lethal cause worldwide, whereas in India arboviruses—especially Japanese encephalitis virus (JEV)—dominate the seasonal “acute encephalitis syndrome” (AES) burden. Because untreated HSV encephalitis carries greater than 70% mortality, early empirical intravenous aciclovir is a neurological emergency.</w:t>
      </w:r>
    </w:p>
    <w:p>
      <w:pPr>
        <w:spacing w:before="200" w:after="120"/>
      </w:pPr>
      <w:r>
        <w:rPr>
          <w:rFonts w:ascii="Calibri" w:hAnsi="Calibri"/>
          <w:b/>
          <w:i w:val="0"/>
          <w:color w:val="212121"/>
          <w:sz w:val="25"/>
        </w:rPr>
        <w:t>Prevalence</w:t>
      </w:r>
    </w:p>
    <w:p>
      <w:pPr>
        <w:spacing w:before="0" w:after="120"/>
      </w:pPr>
      <w:r>
        <w:rPr>
          <w:rFonts w:ascii="Calibri" w:hAnsi="Calibri"/>
          <w:b w:val="0"/>
          <w:i w:val="0"/>
          <w:color w:val="212121"/>
          <w:sz w:val="21"/>
        </w:rPr>
        <w:t>Viral encephalitis in India is tracked mainly through the notifiable “Acute Encephalitis Syndrome” (AES). Japanese encephalitis is endemic across 357 districts in 24 States/UTs—concentrated in Uttar Pradesh, Bihar, Assam and West Bengal—and children under 15 years bear most of the burden. Uttar Pradesh alone recorded roughly 36,509 AES cases with about 5,700 deaths between 2008 and 2018, although case-fatality has fallen (about 12.6% in 2015–19) with vaccination and improved supportive care. Herpes simplex virus type 1, the commonest sporadic and most lethal cause globally (about 2 cases per million per year), can strike year-round in any region and remains a neurological emergency because untreated mortality exceeds 70%.</w:t>
      </w:r>
    </w:p>
    <w:p>
      <w:pPr>
        <w:spacing w:before="200" w:after="120"/>
      </w:pPr>
      <w:r>
        <w:rPr>
          <w:rFonts w:ascii="Calibri" w:hAnsi="Calibri"/>
          <w:b/>
          <w:i w:val="0"/>
          <w:color w:val="212121"/>
          <w:sz w:val="25"/>
        </w:rPr>
        <w:t>Diagnosis</w:t>
      </w:r>
    </w:p>
    <w:p>
      <w:pPr>
        <w:spacing w:before="0" w:after="120"/>
      </w:pPr>
      <w:r>
        <w:rPr>
          <w:rFonts w:ascii="Calibri" w:hAnsi="Calibri"/>
          <w:b w:val="0"/>
          <w:i w:val="0"/>
          <w:color w:val="212121"/>
          <w:sz w:val="21"/>
        </w:rPr>
        <w:t>Viral encephalitis is a clinical diagnosis supported by cerebrospinal fluid (CSF), molecular, imaging and electrophysiological findings; treatment (empirical aciclovir) must not wait for confirmation. Diagnosis rests on the International Encephalitis Consortium framework:</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Major criterion (required): altered mental status (reduced or altered consciousness, lethargy or personality change) lasting ≥ 24 hours with no alternative cause;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Minor criteria (≥ 2 for probable, ≥ 3 for possible): fever ≥ 38°C within 72 hours, new-onset seizures, new focal neurological deficit, CSF pleocytosis (≥ 5 WBC/µL), and abnormal neuroimaging or EEG suggestive of encephalitis;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CSF analysis: lymphocytic (mononuclear) pleocytosis, typically 10–500 cells/µL, mildly raised protein and normal glucose; up to ~10% may have normal early CSF, and red cells/xanthochromia suggest necrotising HSV encephalitis;</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CSF viral PCR: HSV-1/HSV-2 DNA PCR is the gold standard for HSE (may be falsely negative in the first 72 hours—repeat if suspicion is high); enterovirus and VZV PCR as indicated;</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Arboviral serology: JEV IgM antibody-capture ELISA (MAC-ELISA) in CSF or serum confirms Japanese encephalitis and satisfies the AES surveillance case definition;</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Neuroimaging: MRI brain (superior to CT) shows temporal-lobe and limbic hyperintensity in HSE, and thalamic/basal-ganglia lesions in JE;</w:t>
      </w:r>
    </w:p>
    <w:p>
      <w:pPr>
        <w:spacing w:after="60"/>
        <w:ind w:left="432" w:hanging="259"/>
      </w:pPr>
      <w:r>
        <w:rPr>
          <w:rFonts w:ascii="Calibri" w:hAnsi="Calibri"/>
          <w:b w:val="0"/>
          <w:i w:val="0"/>
          <w:color w:val="212121"/>
          <w:sz w:val="21"/>
        </w:rPr>
        <w:t xml:space="preserve">•  </w:t>
      </w:r>
      <w:r>
        <w:rPr>
          <w:rFonts w:ascii="Calibri" w:hAnsi="Calibri"/>
          <w:b w:val="0"/>
          <w:i w:val="0"/>
          <w:color w:val="212121"/>
          <w:sz w:val="21"/>
        </w:rPr>
        <w:t>EEG: diffuse slowing, with periodic lateralised epileptiform discharges (PLEDs) over the temporal region supporting herpes simplex encephalitis.</w:t>
      </w:r>
    </w:p>
    <w:p>
      <w:pPr>
        <w:spacing w:before="200" w:after="120"/>
      </w:pPr>
      <w:r>
        <w:rPr>
          <w:rFonts w:ascii="Calibri" w:hAnsi="Calibri"/>
          <w:b/>
          <w:i w:val="0"/>
          <w:color w:val="212121"/>
          <w:sz w:val="25"/>
        </w:rPr>
        <w:t>Classification</w:t>
      </w:r>
    </w:p>
    <w:p>
      <w:pPr>
        <w:spacing w:before="0" w:after="120"/>
      </w:pPr>
      <w:r>
        <w:rPr>
          <w:rFonts w:ascii="Calibri" w:hAnsi="Calibri"/>
          <w:b w:val="0"/>
          <w:i w:val="0"/>
          <w:color w:val="212121"/>
          <w:sz w:val="21"/>
        </w:rPr>
        <w:t>Viral encephalitis can be organised along four practical axes:</w:t>
      </w:r>
    </w:p>
    <w:p>
      <w:pPr>
        <w:spacing w:before="0" w:after="80"/>
      </w:pPr>
      <w:r>
        <w:rPr>
          <w:rFonts w:ascii="Calibri" w:hAnsi="Calibri"/>
          <w:b w:val="0"/>
          <w:i w:val="0"/>
          <w:color w:val="212121"/>
          <w:sz w:val="21"/>
        </w:rPr>
        <w:t>(1) Primary (infectious) viral encephalitis — direct viral invasion of neurons: sporadic forms (HSV-1 commonest; also VZV, enteroviruses, rabies) and epidemic/arboviral forms (Japanese encephalitis, dengue, chikungunya, Nipah, West Nile);</w:t>
      </w:r>
    </w:p>
    <w:p>
      <w:pPr>
        <w:spacing w:before="0" w:after="80"/>
      </w:pPr>
      <w:r>
        <w:rPr>
          <w:rFonts w:ascii="Calibri" w:hAnsi="Calibri"/>
          <w:b w:val="0"/>
          <w:i w:val="0"/>
          <w:color w:val="212121"/>
          <w:sz w:val="21"/>
        </w:rPr>
        <w:t>(2) Post-infectious / para-infectious encephalitis (acute disseminated encephalomyelitis, ADEM) — an immune-mediated demyelinating reaction occurring days to weeks after a viral infection or, rarely, vaccination;</w:t>
      </w:r>
    </w:p>
    <w:p>
      <w:pPr>
        <w:spacing w:before="0" w:after="80"/>
      </w:pPr>
      <w:r>
        <w:rPr>
          <w:rFonts w:ascii="Calibri" w:hAnsi="Calibri"/>
          <w:b w:val="0"/>
          <w:i w:val="0"/>
          <w:color w:val="212121"/>
          <w:sz w:val="21"/>
        </w:rPr>
        <w:t>(3) Acute Encephalitis Syndrome (AES) — the syndromic case definition used in Indian surveillance (acute fever with altered mental status and/or new seizures); an umbrella that includes JE plus large non-JE fractions (scrub typhus, dengue, enteroviruses and unknown causes);</w:t>
      </w:r>
    </w:p>
    <w:p>
      <w:pPr>
        <w:spacing w:before="0" w:after="80"/>
      </w:pPr>
      <w:r>
        <w:rPr>
          <w:rFonts w:ascii="Calibri" w:hAnsi="Calibri"/>
          <w:b w:val="0"/>
          <w:i w:val="0"/>
          <w:color w:val="212121"/>
          <w:sz w:val="21"/>
        </w:rPr>
        <w:t>(4) By host/immune status — encephalitis in the immunocompetent (HSV, JE) versus opportunistic encephalitides in the immunocompromised (CMV, HHV-6, JC virus/PML, reactivated HSV or VZV).</w:t>
      </w:r>
    </w:p>
    <w:p>
      <w:pPr>
        <w:spacing w:before="200" w:after="120"/>
      </w:pPr>
      <w:r>
        <w:rPr>
          <w:rFonts w:ascii="Calibri" w:hAnsi="Calibri"/>
          <w:b/>
          <w:i w:val="0"/>
          <w:color w:val="212121"/>
          <w:sz w:val="25"/>
        </w:rPr>
        <w:t>Etiology</w:t>
      </w:r>
    </w:p>
    <w:p>
      <w:pPr>
        <w:spacing w:after="60"/>
        <w:ind w:left="432" w:hanging="288"/>
      </w:pPr>
      <w:r>
        <w:rPr>
          <w:rFonts w:ascii="Calibri" w:hAnsi="Calibri"/>
          <w:b/>
          <w:i w:val="0"/>
          <w:color w:val="212121"/>
          <w:sz w:val="21"/>
        </w:rPr>
        <w:t xml:space="preserve">1. </w:t>
      </w:r>
      <w:r>
        <w:rPr>
          <w:rFonts w:ascii="Calibri" w:hAnsi="Calibri"/>
          <w:b w:val="0"/>
          <w:i w:val="0"/>
          <w:color w:val="212121"/>
          <w:sz w:val="21"/>
        </w:rPr>
        <w:t>Herpes simplex virus (HSV-1): the commonest sporadic and most lethal encephalitis worldwide; primary infection or reactivation tracks along the trigeminal/olfactory route to the temporal and frontal lobes causing haemorrhagic necrosis.</w:t>
      </w:r>
    </w:p>
    <w:p>
      <w:pPr>
        <w:spacing w:after="60"/>
        <w:ind w:left="432" w:hanging="288"/>
      </w:pPr>
      <w:r>
        <w:rPr>
          <w:rFonts w:ascii="Calibri" w:hAnsi="Calibri"/>
          <w:b/>
          <w:i w:val="0"/>
          <w:color w:val="212121"/>
          <w:sz w:val="21"/>
        </w:rPr>
        <w:t xml:space="preserve">2. </w:t>
      </w:r>
      <w:r>
        <w:rPr>
          <w:rFonts w:ascii="Calibri" w:hAnsi="Calibri"/>
          <w:b w:val="0"/>
          <w:i w:val="0"/>
          <w:color w:val="212121"/>
          <w:sz w:val="21"/>
        </w:rPr>
        <w:t>Arboviruses (vector-borne): Japanese encephalitis virus (Culex mosquito with a pig / wading-bird amplifying cycle) dominates epidemic AES in India; dengue, chikungunya, West Nile and Nipah also cause encephalitis.</w:t>
      </w:r>
    </w:p>
    <w:p>
      <w:pPr>
        <w:spacing w:after="60"/>
        <w:ind w:left="432" w:hanging="288"/>
      </w:pPr>
      <w:r>
        <w:rPr>
          <w:rFonts w:ascii="Calibri" w:hAnsi="Calibri"/>
          <w:b/>
          <w:i w:val="0"/>
          <w:color w:val="212121"/>
          <w:sz w:val="21"/>
        </w:rPr>
        <w:t xml:space="preserve">3. </w:t>
      </w:r>
      <w:r>
        <w:rPr>
          <w:rFonts w:ascii="Calibri" w:hAnsi="Calibri"/>
          <w:b w:val="0"/>
          <w:i w:val="0"/>
          <w:color w:val="212121"/>
          <w:sz w:val="21"/>
        </w:rPr>
        <w:t>Enteroviruses: faeco-oral spread; a common cause of childhood viral meningoencephalitis, particularly in monsoon months.</w:t>
      </w:r>
    </w:p>
    <w:p>
      <w:pPr>
        <w:spacing w:after="60"/>
        <w:ind w:left="432" w:hanging="288"/>
      </w:pPr>
      <w:r>
        <w:rPr>
          <w:rFonts w:ascii="Calibri" w:hAnsi="Calibri"/>
          <w:b/>
          <w:i w:val="0"/>
          <w:color w:val="212121"/>
          <w:sz w:val="21"/>
        </w:rPr>
        <w:t xml:space="preserve">4. </w:t>
      </w:r>
      <w:r>
        <w:rPr>
          <w:rFonts w:ascii="Calibri" w:hAnsi="Calibri"/>
          <w:b w:val="0"/>
          <w:i w:val="0"/>
          <w:color w:val="212121"/>
          <w:sz w:val="21"/>
        </w:rPr>
        <w:t>Other herpesviruses (VZV, CMV, EBV, HHV-6): important especially in neonates and the immunocompromised.</w:t>
      </w:r>
    </w:p>
    <w:p>
      <w:pPr>
        <w:spacing w:after="60"/>
        <w:ind w:left="432" w:hanging="288"/>
      </w:pPr>
      <w:r>
        <w:rPr>
          <w:rFonts w:ascii="Calibri" w:hAnsi="Calibri"/>
          <w:b/>
          <w:i w:val="0"/>
          <w:color w:val="212121"/>
          <w:sz w:val="21"/>
        </w:rPr>
        <w:t xml:space="preserve">5. </w:t>
      </w:r>
      <w:r>
        <w:rPr>
          <w:rFonts w:ascii="Calibri" w:hAnsi="Calibri"/>
          <w:b w:val="0"/>
          <w:i w:val="0"/>
          <w:color w:val="212121"/>
          <w:sz w:val="21"/>
        </w:rPr>
        <w:t>Immunosuppression: HIV/AIDS, organ transplantation, chemotherapy and poorly controlled diabetes predispose to opportunistic and more severe encephalitis.</w:t>
      </w:r>
    </w:p>
    <w:p>
      <w:pPr>
        <w:spacing w:after="60"/>
        <w:ind w:left="432" w:hanging="288"/>
      </w:pPr>
      <w:r>
        <w:rPr>
          <w:rFonts w:ascii="Calibri" w:hAnsi="Calibri"/>
          <w:b/>
          <w:i w:val="0"/>
          <w:color w:val="212121"/>
          <w:sz w:val="21"/>
        </w:rPr>
        <w:t xml:space="preserve">6. </w:t>
      </w:r>
      <w:r>
        <w:rPr>
          <w:rFonts w:ascii="Calibri" w:hAnsi="Calibri"/>
          <w:b w:val="0"/>
          <w:i w:val="0"/>
          <w:color w:val="212121"/>
          <w:sz w:val="21"/>
        </w:rPr>
        <w:t>Environmental &amp; vector exposure: rice-paddy agriculture, pig rearing, stagnant water and the monsoon/post-monsoon season amplify JE transmission.</w:t>
      </w:r>
    </w:p>
    <w:p>
      <w:pPr>
        <w:spacing w:after="60"/>
        <w:ind w:left="432" w:hanging="288"/>
      </w:pPr>
      <w:r>
        <w:rPr>
          <w:rFonts w:ascii="Calibri" w:hAnsi="Calibri"/>
          <w:b/>
          <w:i w:val="0"/>
          <w:color w:val="212121"/>
          <w:sz w:val="21"/>
        </w:rPr>
        <w:t xml:space="preserve">7. </w:t>
      </w:r>
      <w:r>
        <w:rPr>
          <w:rFonts w:ascii="Calibri" w:hAnsi="Calibri"/>
          <w:b w:val="0"/>
          <w:i w:val="0"/>
          <w:color w:val="212121"/>
          <w:sz w:val="21"/>
        </w:rPr>
        <w:t>Genetic susceptibility: inborn errors of innate anti-viral immunity (TLR3–type I interferon pathway) predispose children to herpes simplex encephalitis and recurrence.</w:t>
      </w:r>
    </w:p>
    <w:p>
      <w:pPr>
        <w:spacing w:before="280" w:after="120"/>
      </w:pPr>
      <w:r>
        <w:rPr>
          <w:rFonts w:ascii="Calibri" w:hAnsi="Calibri"/>
          <w:b/>
          <w:i w:val="0"/>
          <w:color w:val="212121"/>
          <w:sz w:val="31"/>
        </w:rPr>
        <w:t>Research Draft of MCP</w:t>
      </w:r>
    </w:p>
    <w:p>
      <w:pPr>
        <w:spacing w:before="200" w:after="120"/>
      </w:pPr>
      <w:r>
        <w:rPr>
          <w:rFonts w:ascii="Calibri" w:hAnsi="Calibri"/>
          <w:b/>
          <w:i w:val="0"/>
          <w:color w:val="212121"/>
          <w:sz w:val="25"/>
        </w:rPr>
        <w:t>Profiles Prone To</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2401"/>
        <w:gridCol w:w="2401"/>
        <w:gridCol w:w="2401"/>
        <w:gridCol w:w="24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Category</w:t>
            </w:r>
          </w:p>
        </w:tc>
        <w:tc>
          <w:tcPr>
            <w:tcW w:type="dxa" w:w="1655"/>
            <w:shd w:val="clear" w:color="auto" w:fill="F2F2F2"/>
            <w:vAlign w:val="center"/>
          </w:tcPr>
          <w:p>
            <w:pPr>
              <w:spacing w:after="40" w:before="0" w:line="259" w:lineRule="auto"/>
            </w:pPr>
            <w:r>
              <w:rPr>
                <w:rFonts w:ascii="Calibri" w:hAnsi="Calibri"/>
                <w:b/>
                <w:i w:val="0"/>
                <w:color w:val="212121"/>
                <w:sz w:val="19"/>
              </w:rPr>
              <w:t>Disposition</w:t>
            </w:r>
          </w:p>
        </w:tc>
        <w:tc>
          <w:tcPr>
            <w:tcW w:type="dxa" w:w="2160"/>
            <w:shd w:val="clear" w:color="auto" w:fill="F2F2F2"/>
            <w:vAlign w:val="center"/>
          </w:tcPr>
          <w:p>
            <w:pPr>
              <w:spacing w:after="40" w:before="0" w:line="259" w:lineRule="auto"/>
            </w:pPr>
            <w:r>
              <w:rPr>
                <w:rFonts w:ascii="Calibri" w:hAnsi="Calibri"/>
                <w:b/>
                <w:i w:val="0"/>
                <w:color w:val="212121"/>
                <w:sz w:val="19"/>
              </w:rPr>
              <w:t>Profiles</w:t>
            </w:r>
          </w:p>
        </w:tc>
        <w:tc>
          <w:tcPr>
            <w:tcW w:type="dxa" w:w="4276"/>
            <w:shd w:val="clear" w:color="auto" w:fill="F2F2F2"/>
            <w:vAlign w:val="center"/>
          </w:tcPr>
          <w:p>
            <w:pPr>
              <w:spacing w:after="40" w:before="0" w:line="259" w:lineRule="auto"/>
            </w:pPr>
            <w:r>
              <w:rPr>
                <w:rFonts w:ascii="Calibri" w:hAnsi="Calibri"/>
                <w:b/>
                <w:i w:val="0"/>
                <w:color w:val="212121"/>
                <w:sz w:val="19"/>
              </w:rPr>
              <w:t>Explanation</w:t>
            </w:r>
          </w:p>
        </w:tc>
      </w:tr>
      <w:tr>
        <w:trPr>
          <w:cantSplit/>
        </w:trPr>
        <w:tc>
          <w:tcPr>
            <w:tcW w:type="dxa" w:w="1512"/>
            <w:vMerge w:val="restart"/>
            <w:vAlign w:val="center"/>
          </w:tcPr>
          <w:p>
            <w:pPr>
              <w:spacing w:after="40"/>
            </w:pPr>
            <w:r>
              <w:rPr>
                <w:rFonts w:ascii="Calibri" w:hAnsi="Calibri"/>
                <w:b/>
                <w:i w:val="0"/>
                <w:color w:val="212121"/>
                <w:sz w:val="19"/>
              </w:rPr>
              <w:t>Demographic factors</w:t>
            </w:r>
          </w:p>
        </w:tc>
        <w:tc>
          <w:tcPr>
            <w:tcW w:type="dxa" w:w="1655"/>
            <w:vMerge w:val="restart"/>
            <w:vAlign w:val="center"/>
          </w:tcPr>
          <w:p>
            <w:pPr>
              <w:spacing w:after="40"/>
            </w:pPr>
            <w:r>
              <w:rPr>
                <w:rFonts w:ascii="Calibri" w:hAnsi="Calibri"/>
                <w:b w:val="0"/>
                <w:i w:val="0"/>
                <w:color w:val="212121"/>
                <w:sz w:val="19"/>
              </w:rPr>
              <w:t>Age</w:t>
            </w:r>
          </w:p>
        </w:tc>
        <w:tc>
          <w:tcPr>
            <w:tcW w:type="dxa" w:w="2160"/>
            <w:vAlign w:val="top"/>
          </w:tcPr>
          <w:p>
            <w:pPr>
              <w:spacing w:after="40" w:before="0" w:line="259" w:lineRule="auto"/>
            </w:pPr>
            <w:r>
              <w:rPr>
                <w:rFonts w:ascii="Calibri" w:hAnsi="Calibri"/>
                <w:b w:val="0"/>
                <w:i w:val="0"/>
                <w:color w:val="212121"/>
                <w:sz w:val="19"/>
              </w:rPr>
              <w:t>Children (&lt; 15 years)</w:t>
            </w:r>
          </w:p>
        </w:tc>
        <w:tc>
          <w:tcPr>
            <w:tcW w:type="dxa" w:w="4276"/>
            <w:vAlign w:val="top"/>
          </w:tcPr>
          <w:p>
            <w:pPr>
              <w:spacing w:after="60" w:line="259" w:lineRule="auto"/>
            </w:pPr>
            <w:r>
              <w:rPr>
                <w:rFonts w:ascii="Calibri" w:hAnsi="Calibri"/>
                <w:b w:val="0"/>
                <w:i w:val="0"/>
                <w:color w:val="212121"/>
                <w:sz w:val="19"/>
              </w:rPr>
              <w:t>Immature/naive immunity and higher outdoor exposure make children the principal victims of Japanese encephalitis and the wider AES burden; enteroviral encephalitis also clusters in this age group.</w:t>
            </w:r>
          </w:p>
          <w:p>
            <w:pPr>
              <w:spacing w:after="40" w:before="60" w:line="259" w:lineRule="auto"/>
            </w:pPr>
            <w:r>
              <w:rPr>
                <w:rFonts w:ascii="Calibri" w:hAnsi="Calibri"/>
                <w:b w:val="0"/>
                <w:i w:val="0"/>
                <w:color w:val="212121"/>
                <w:sz w:val="19"/>
              </w:rPr>
              <w:t>The majority of Japanese encephalitis cases occur in children below 15 years of age.</w:t>
            </w:r>
          </w:p>
          <w:p>
            <w:pPr>
              <w:spacing w:after="40" w:line="252" w:lineRule="auto"/>
            </w:pPr>
            <w:hyperlink r:id="rId9">
              <w:r>
                <w:rPr>
                  <w:rFonts w:ascii="Calibri" w:hAnsi="Calibri" w:cs="Calibri"/>
                  <w:sz w:val="18"/>
                  <w:color w:val="1155CC"/>
                  <w:u w:val="single"/>
                </w:rPr>
                <w:t xml:space="preserve">who.int — Japanese encephalitis fact sheet</w:t>
              </w:r>
            </w:hyperlink>
          </w:p>
          <w:p>
            <w:pPr>
              <w:spacing w:before="60" w:after="40"/>
            </w:pPr>
            <w:r>
              <w:rPr>
                <w:rFonts w:ascii="Calibri" w:hAnsi="Calibri"/>
                <w:b w:val="0"/>
                <w:i w:val="0"/>
                <w:color w:val="5A5A5A"/>
                <w:sz w:val="18"/>
              </w:rPr>
              <w:t>#children  #japaneseencephalitis  #AES  #paediatric  #endemic</w:t>
            </w:r>
          </w:p>
        </w:tc>
      </w:tr>
      <w:tr>
        <w:trPr>
          <w:cantSplit/>
        </w:trPr>
        <w:tc>
          <w:tcPr>
            <w:tcW w:type="dxa" w:w="1512"/>
            <w:vMerge/>
            <w:vAlign w:val="top"/>
          </w:tcPr>
          <w:p>
            <w:pPr>
              <w:spacing w:after="40" w:before="0" w:line="259" w:lineRule="auto"/>
            </w:pPr>
          </w:p>
        </w:tc>
        <w:tc>
          <w:tcPr>
            <w:tcW w:type="dxa" w:w="1655"/>
            <w:vMerge/>
            <w:vAlign w:val="top"/>
          </w:tcPr>
          <w:p>
            <w:pPr>
              <w:spacing w:after="40" w:before="0" w:line="259" w:lineRule="auto"/>
            </w:pPr>
          </w:p>
        </w:tc>
        <w:tc>
          <w:tcPr>
            <w:tcW w:type="dxa" w:w="2160"/>
            <w:vAlign w:val="top"/>
          </w:tcPr>
          <w:p>
            <w:pPr>
              <w:spacing w:after="40" w:before="0" w:line="259" w:lineRule="auto"/>
            </w:pPr>
            <w:r>
              <w:rPr>
                <w:rFonts w:ascii="Calibri" w:hAnsi="Calibri"/>
                <w:b w:val="0"/>
                <w:i w:val="0"/>
                <w:color w:val="212121"/>
                <w:sz w:val="19"/>
              </w:rPr>
              <w:t>Elderly (&gt; 50 years)</w:t>
            </w:r>
          </w:p>
        </w:tc>
        <w:tc>
          <w:tcPr>
            <w:tcW w:type="dxa" w:w="4276"/>
            <w:vAlign w:val="top"/>
          </w:tcPr>
          <w:p>
            <w:pPr>
              <w:spacing w:after="60" w:line="259" w:lineRule="auto"/>
            </w:pPr>
            <w:r>
              <w:rPr>
                <w:rFonts w:ascii="Calibri" w:hAnsi="Calibri"/>
                <w:b w:val="0"/>
                <w:i w:val="0"/>
                <w:color w:val="212121"/>
                <w:sz w:val="19"/>
              </w:rPr>
              <w:t>Herpes simplex encephalitis shows a second peak in older adults because of immunosenescence and viral reactivation; outcomes and residual disability are worse than in the young.</w:t>
            </w:r>
          </w:p>
          <w:p>
            <w:pPr>
              <w:spacing w:after="40" w:before="60" w:line="259" w:lineRule="auto"/>
            </w:pPr>
            <w:r>
              <w:rPr>
                <w:rFonts w:ascii="Calibri" w:hAnsi="Calibri"/>
                <w:b w:val="0"/>
                <w:i w:val="0"/>
                <w:color w:val="212121"/>
                <w:sz w:val="19"/>
              </w:rPr>
              <w:t>HSV encephalitis has a bimodal age distribution, with peaks in those under 20 and over 50 years.</w:t>
            </w:r>
          </w:p>
          <w:p>
            <w:pPr>
              <w:spacing w:after="40" w:line="252" w:lineRule="auto"/>
            </w:pPr>
            <w:hyperlink r:id="rId10">
              <w:r>
                <w:rPr>
                  <w:rFonts w:ascii="Calibri" w:hAnsi="Calibri" w:cs="Calibri"/>
                  <w:sz w:val="18"/>
                  <w:color w:val="1155CC"/>
                  <w:u w:val="single"/>
                </w:rPr>
                <w:t xml:space="preserve">emedicine.medscape.com — herpes simplex encephalitis</w:t>
              </w:r>
            </w:hyperlink>
          </w:p>
          <w:p>
            <w:pPr>
              <w:spacing w:before="60" w:after="40"/>
            </w:pPr>
            <w:r>
              <w:rPr>
                <w:rFonts w:ascii="Calibri" w:hAnsi="Calibri"/>
                <w:b w:val="0"/>
                <w:i w:val="0"/>
                <w:color w:val="5A5A5A"/>
                <w:sz w:val="18"/>
              </w:rPr>
              <w:t>#elderly  #HSV  #immunosenescence  #reactivation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Sex</w:t>
            </w:r>
          </w:p>
        </w:tc>
        <w:tc>
          <w:tcPr>
            <w:tcW w:type="dxa" w:w="2160"/>
            <w:vAlign w:val="top"/>
          </w:tcPr>
          <w:p>
            <w:pPr>
              <w:spacing w:after="40" w:before="0" w:line="259" w:lineRule="auto"/>
            </w:pPr>
            <w:r>
              <w:rPr>
                <w:rFonts w:ascii="Calibri" w:hAnsi="Calibri"/>
                <w:b w:val="0"/>
                <w:i w:val="0"/>
                <w:color w:val="212121"/>
                <w:sz w:val="19"/>
              </w:rPr>
              <w:t>Male</w:t>
            </w:r>
          </w:p>
        </w:tc>
        <w:tc>
          <w:tcPr>
            <w:tcW w:type="dxa" w:w="4276"/>
            <w:vAlign w:val="top"/>
          </w:tcPr>
          <w:p>
            <w:pPr>
              <w:spacing w:after="60" w:line="259" w:lineRule="auto"/>
            </w:pPr>
            <w:r>
              <w:rPr>
                <w:rFonts w:ascii="Calibri" w:hAnsi="Calibri"/>
                <w:b w:val="0"/>
                <w:i w:val="0"/>
                <w:color w:val="212121"/>
                <w:sz w:val="19"/>
              </w:rPr>
              <w:t>Males have greater occupational and outdoor exposure to mosquito vectors during agricultural work, giving a modestly higher incidence of Japanese encephalitis in most Indian series.</w:t>
            </w:r>
          </w:p>
          <w:p>
            <w:pPr>
              <w:spacing w:before="60" w:after="40"/>
            </w:pPr>
            <w:r>
              <w:rPr>
                <w:rFonts w:ascii="Calibri" w:hAnsi="Calibri"/>
                <w:b w:val="0"/>
                <w:i w:val="0"/>
                <w:color w:val="5A5A5A"/>
                <w:sz w:val="18"/>
              </w:rPr>
              <w:t>#male  #occupationalexposure  #vectorborne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Socioeconomic status</w:t>
            </w:r>
          </w:p>
        </w:tc>
        <w:tc>
          <w:tcPr>
            <w:tcW w:type="dxa" w:w="2160"/>
            <w:vAlign w:val="top"/>
          </w:tcPr>
          <w:p>
            <w:pPr>
              <w:spacing w:after="40" w:before="0" w:line="259" w:lineRule="auto"/>
            </w:pPr>
            <w:r>
              <w:rPr>
                <w:rFonts w:ascii="Calibri" w:hAnsi="Calibri"/>
                <w:b w:val="0"/>
                <w:i w:val="0"/>
                <w:color w:val="212121"/>
                <w:sz w:val="19"/>
              </w:rPr>
              <w:t>Rural poor / low-income households</w:t>
            </w:r>
          </w:p>
        </w:tc>
        <w:tc>
          <w:tcPr>
            <w:tcW w:type="dxa" w:w="4276"/>
            <w:vAlign w:val="top"/>
          </w:tcPr>
          <w:p>
            <w:pPr>
              <w:spacing w:after="60" w:line="259" w:lineRule="auto"/>
            </w:pPr>
            <w:r>
              <w:rPr>
                <w:rFonts w:ascii="Calibri" w:hAnsi="Calibri"/>
                <w:b w:val="0"/>
                <w:i w:val="0"/>
                <w:color w:val="212121"/>
                <w:sz w:val="19"/>
              </w:rPr>
              <w:t>Limited vector protection, close proximity to livestock, and delayed access to care increase both exposure to and mortality from arboviral encephalitis.</w:t>
            </w:r>
          </w:p>
          <w:p>
            <w:pPr>
              <w:spacing w:before="60" w:after="40"/>
            </w:pPr>
            <w:r>
              <w:rPr>
                <w:rFonts w:ascii="Calibri" w:hAnsi="Calibri"/>
                <w:b w:val="0"/>
                <w:i w:val="0"/>
                <w:color w:val="5A5A5A"/>
                <w:sz w:val="18"/>
              </w:rPr>
              <w:t>#ruralpoor  #healthaccess  #delayedcare  #vectorprotection</w:t>
            </w:r>
          </w:p>
        </w:tc>
      </w:tr>
      <w:tr>
        <w:trPr>
          <w:cantSplit/>
        </w:trPr>
        <w:tc>
          <w:tcPr>
            <w:tcW w:type="dxa" w:w="1512"/>
            <w:vMerge w:val="restart"/>
            <w:vAlign w:val="center"/>
          </w:tcPr>
          <w:p>
            <w:pPr>
              <w:spacing w:after="40"/>
            </w:pPr>
            <w:r>
              <w:rPr>
                <w:rFonts w:ascii="Calibri" w:hAnsi="Calibri"/>
                <w:b/>
                <w:i w:val="0"/>
                <w:color w:val="212121"/>
                <w:sz w:val="19"/>
              </w:rPr>
              <w:t>Geographic factors</w:t>
            </w:r>
          </w:p>
        </w:tc>
        <w:tc>
          <w:tcPr>
            <w:tcW w:type="dxa" w:w="1655"/>
            <w:vAlign w:val="center"/>
          </w:tcPr>
          <w:p>
            <w:pPr>
              <w:spacing w:after="40"/>
            </w:pPr>
            <w:r>
              <w:rPr>
                <w:rFonts w:ascii="Calibri" w:hAnsi="Calibri"/>
                <w:b w:val="0"/>
                <w:i w:val="0"/>
                <w:color w:val="212121"/>
                <w:sz w:val="19"/>
              </w:rPr>
              <w:t>Ethnicity / region</w:t>
            </w:r>
          </w:p>
        </w:tc>
        <w:tc>
          <w:tcPr>
            <w:tcW w:type="dxa" w:w="2160"/>
            <w:vAlign w:val="top"/>
          </w:tcPr>
          <w:p>
            <w:pPr>
              <w:spacing w:after="40" w:before="0" w:line="259" w:lineRule="auto"/>
            </w:pPr>
            <w:r>
              <w:rPr>
                <w:rFonts w:ascii="Calibri" w:hAnsi="Calibri"/>
                <w:b w:val="0"/>
                <w:i w:val="0"/>
                <w:color w:val="212121"/>
                <w:sz w:val="19"/>
              </w:rPr>
              <w:t>Eastern &amp; North-East India (UP, Bihar, Assam, West Bengal)</w:t>
            </w:r>
          </w:p>
        </w:tc>
        <w:tc>
          <w:tcPr>
            <w:tcW w:type="dxa" w:w="4276"/>
            <w:vAlign w:val="top"/>
          </w:tcPr>
          <w:p>
            <w:pPr>
              <w:spacing w:after="60" w:line="259" w:lineRule="auto"/>
            </w:pPr>
            <w:r>
              <w:rPr>
                <w:rFonts w:ascii="Calibri" w:hAnsi="Calibri"/>
                <w:b w:val="0"/>
                <w:i w:val="0"/>
                <w:color w:val="212121"/>
                <w:sz w:val="19"/>
              </w:rPr>
              <w:t>These states form India's Japanese encephalitis / AES endemic belt, driven by irrigated rice cultivation, high mosquito density and pig rearing.</w:t>
            </w:r>
          </w:p>
          <w:p>
            <w:pPr>
              <w:spacing w:after="40" w:before="60" w:line="259" w:lineRule="auto"/>
            </w:pPr>
            <w:r>
              <w:rPr>
                <w:rFonts w:ascii="Calibri" w:hAnsi="Calibri"/>
                <w:b w:val="0"/>
                <w:i w:val="0"/>
                <w:color w:val="212121"/>
                <w:sz w:val="19"/>
              </w:rPr>
              <w:t>Japanese encephalitis is endemic in 357 districts across 24 States/UTs of India.</w:t>
            </w:r>
          </w:p>
          <w:p>
            <w:pPr>
              <w:spacing w:after="40" w:line="252" w:lineRule="auto"/>
            </w:pPr>
            <w:hyperlink r:id="rId11">
              <w:r>
                <w:rPr>
                  <w:rFonts w:ascii="Calibri" w:hAnsi="Calibri" w:cs="Calibri"/>
                  <w:sz w:val="18"/>
                  <w:color w:val="1155CC"/>
                  <w:u w:val="single"/>
                </w:rPr>
                <w:t xml:space="preserve">ncvbdc.mohfw.gov.in — JE burden in India</w:t>
              </w:r>
            </w:hyperlink>
          </w:p>
          <w:p>
            <w:pPr>
              <w:spacing w:before="60" w:after="40"/>
            </w:pPr>
            <w:r>
              <w:rPr>
                <w:rFonts w:ascii="Calibri" w:hAnsi="Calibri"/>
                <w:b w:val="0"/>
                <w:i w:val="0"/>
                <w:color w:val="5A5A5A"/>
                <w:sz w:val="18"/>
              </w:rPr>
              <w:t>#endemicbelt  #UttarPradesh  #Assam  #Bihar  #WestBengal</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Residence / environment</w:t>
            </w:r>
          </w:p>
        </w:tc>
        <w:tc>
          <w:tcPr>
            <w:tcW w:type="dxa" w:w="2160"/>
            <w:vAlign w:val="top"/>
          </w:tcPr>
          <w:p>
            <w:pPr>
              <w:spacing w:after="40" w:before="0" w:line="259" w:lineRule="auto"/>
            </w:pPr>
            <w:r>
              <w:rPr>
                <w:rFonts w:ascii="Calibri" w:hAnsi="Calibri"/>
                <w:b w:val="0"/>
                <w:i w:val="0"/>
                <w:color w:val="212121"/>
                <w:sz w:val="19"/>
              </w:rPr>
              <w:t>Rural rice-paddy &amp; pig-rearing areas</w:t>
            </w:r>
          </w:p>
        </w:tc>
        <w:tc>
          <w:tcPr>
            <w:tcW w:type="dxa" w:w="4276"/>
            <w:vAlign w:val="top"/>
          </w:tcPr>
          <w:p>
            <w:pPr>
              <w:spacing w:after="60" w:line="259" w:lineRule="auto"/>
            </w:pPr>
            <w:r>
              <w:rPr>
                <w:rFonts w:ascii="Calibri" w:hAnsi="Calibri"/>
                <w:b w:val="0"/>
                <w:i w:val="0"/>
                <w:color w:val="212121"/>
                <w:sz w:val="19"/>
              </w:rPr>
              <w:t>Flooded paddy fields provide ideal Culex breeding sites while domestic pigs act as amplifying hosts, sustaining the JE transmission cycle close to homes.</w:t>
            </w:r>
          </w:p>
          <w:p>
            <w:pPr>
              <w:spacing w:after="40" w:before="60" w:line="259" w:lineRule="auto"/>
            </w:pPr>
            <w:r>
              <w:rPr>
                <w:rFonts w:ascii="Calibri" w:hAnsi="Calibri"/>
                <w:b w:val="0"/>
                <w:i w:val="0"/>
                <w:color w:val="212121"/>
                <w:sz w:val="19"/>
              </w:rPr>
              <w:t>JE transmission is sustained by a mosquito–pig–wading-bird cycle around irrigated rice cultivation.</w:t>
            </w:r>
          </w:p>
          <w:p>
            <w:pPr>
              <w:spacing w:after="40" w:line="252" w:lineRule="auto"/>
            </w:pPr>
            <w:hyperlink r:id="rId9">
              <w:r>
                <w:rPr>
                  <w:rFonts w:ascii="Calibri" w:hAnsi="Calibri" w:cs="Calibri"/>
                  <w:sz w:val="18"/>
                  <w:color w:val="1155CC"/>
                  <w:u w:val="single"/>
                </w:rPr>
                <w:t xml:space="preserve">who.int — Japanese encephalitis transmission</w:t>
              </w:r>
            </w:hyperlink>
          </w:p>
          <w:p>
            <w:pPr>
              <w:spacing w:before="60" w:after="40"/>
            </w:pPr>
            <w:r>
              <w:rPr>
                <w:rFonts w:ascii="Calibri" w:hAnsi="Calibri"/>
                <w:b w:val="0"/>
                <w:i w:val="0"/>
                <w:color w:val="5A5A5A"/>
                <w:sz w:val="18"/>
              </w:rPr>
              <w:t>#ricepaddy  #pigrearing  #Culex  #stagnantwater</w:t>
            </w:r>
          </w:p>
        </w:tc>
      </w:tr>
      <w:tr>
        <w:trPr>
          <w:cantSplit/>
        </w:trPr>
        <w:tc>
          <w:tcPr>
            <w:tcW w:type="dxa" w:w="1512"/>
            <w:vMerge w:val="restart"/>
            <w:vAlign w:val="center"/>
          </w:tcPr>
          <w:p>
            <w:pPr>
              <w:spacing w:after="40"/>
            </w:pPr>
            <w:r>
              <w:rPr>
                <w:rFonts w:ascii="Calibri" w:hAnsi="Calibri"/>
                <w:b/>
                <w:i w:val="0"/>
                <w:color w:val="212121"/>
                <w:sz w:val="19"/>
              </w:rPr>
              <w:t>Lifestyle factors</w:t>
            </w:r>
          </w:p>
        </w:tc>
        <w:tc>
          <w:tcPr>
            <w:tcW w:type="dxa" w:w="1655"/>
            <w:vAlign w:val="center"/>
          </w:tcPr>
          <w:p>
            <w:pPr>
              <w:spacing w:after="40"/>
            </w:pPr>
            <w:r>
              <w:rPr>
                <w:rFonts w:ascii="Calibri" w:hAnsi="Calibri"/>
                <w:b w:val="0"/>
                <w:i w:val="0"/>
                <w:color w:val="212121"/>
                <w:sz w:val="19"/>
              </w:rPr>
              <w:t>Occupational exposure</w:t>
            </w:r>
          </w:p>
        </w:tc>
        <w:tc>
          <w:tcPr>
            <w:tcW w:type="dxa" w:w="2160"/>
            <w:vAlign w:val="top"/>
          </w:tcPr>
          <w:p>
            <w:pPr>
              <w:spacing w:after="40" w:before="0" w:line="259" w:lineRule="auto"/>
            </w:pPr>
            <w:r>
              <w:rPr>
                <w:rFonts w:ascii="Calibri" w:hAnsi="Calibri"/>
                <w:b w:val="0"/>
                <w:i w:val="0"/>
                <w:color w:val="212121"/>
                <w:sz w:val="19"/>
              </w:rPr>
              <w:t>Farmers, paddy workers &amp; pig handlers</w:t>
            </w:r>
          </w:p>
        </w:tc>
        <w:tc>
          <w:tcPr>
            <w:tcW w:type="dxa" w:w="4276"/>
            <w:vAlign w:val="top"/>
          </w:tcPr>
          <w:p>
            <w:pPr>
              <w:spacing w:after="60" w:line="259" w:lineRule="auto"/>
            </w:pPr>
            <w:r>
              <w:rPr>
                <w:rFonts w:ascii="Calibri" w:hAnsi="Calibri"/>
                <w:b w:val="0"/>
                <w:i w:val="0"/>
                <w:color w:val="212121"/>
                <w:sz w:val="19"/>
              </w:rPr>
              <w:t>Prolonged dusk-to-dawn fieldwork and close animal contact raise the number of infective mosquito bites and hence Japanese encephalitis risk.</w:t>
            </w:r>
          </w:p>
          <w:p>
            <w:pPr>
              <w:spacing w:after="40" w:before="60" w:line="259" w:lineRule="auto"/>
            </w:pPr>
            <w:r>
              <w:rPr>
                <w:rFonts w:ascii="Calibri" w:hAnsi="Calibri"/>
                <w:b w:val="0"/>
                <w:i w:val="0"/>
                <w:color w:val="212121"/>
                <w:sz w:val="19"/>
              </w:rPr>
              <w:t>Occupational outdoor exposure in agricultural, rural populations is a recognised JE risk factor.</w:t>
            </w:r>
          </w:p>
          <w:p>
            <w:pPr>
              <w:spacing w:after="40" w:line="252" w:lineRule="auto"/>
            </w:pPr>
            <w:hyperlink r:id="rId9">
              <w:r>
                <w:rPr>
                  <w:rFonts w:ascii="Calibri" w:hAnsi="Calibri" w:cs="Calibri"/>
                  <w:sz w:val="18"/>
                  <w:color w:val="1155CC"/>
                  <w:u w:val="single"/>
                </w:rPr>
                <w:t xml:space="preserve">who.int — who is at risk of JE</w:t>
              </w:r>
            </w:hyperlink>
          </w:p>
          <w:p>
            <w:pPr>
              <w:spacing w:before="60" w:after="40"/>
            </w:pPr>
            <w:r>
              <w:rPr>
                <w:rFonts w:ascii="Calibri" w:hAnsi="Calibri"/>
                <w:b w:val="0"/>
                <w:i w:val="0"/>
                <w:color w:val="5A5A5A"/>
                <w:sz w:val="18"/>
              </w:rPr>
              <w:t>#farmers  #pighandlers  #outdoorwork  #mosquitobites</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Vector protection</w:t>
            </w:r>
          </w:p>
        </w:tc>
        <w:tc>
          <w:tcPr>
            <w:tcW w:type="dxa" w:w="2160"/>
            <w:vAlign w:val="top"/>
          </w:tcPr>
          <w:p>
            <w:pPr>
              <w:spacing w:after="40" w:before="0" w:line="259" w:lineRule="auto"/>
            </w:pPr>
            <w:r>
              <w:rPr>
                <w:rFonts w:ascii="Calibri" w:hAnsi="Calibri"/>
                <w:b w:val="0"/>
                <w:i w:val="0"/>
                <w:color w:val="212121"/>
                <w:sz w:val="19"/>
              </w:rPr>
              <w:t>Non-users of bed nets / repellents</w:t>
            </w:r>
          </w:p>
        </w:tc>
        <w:tc>
          <w:tcPr>
            <w:tcW w:type="dxa" w:w="4276"/>
            <w:vAlign w:val="top"/>
          </w:tcPr>
          <w:p>
            <w:pPr>
              <w:spacing w:after="60" w:line="259" w:lineRule="auto"/>
            </w:pPr>
            <w:r>
              <w:rPr>
                <w:rFonts w:ascii="Calibri" w:hAnsi="Calibri"/>
                <w:b w:val="0"/>
                <w:i w:val="0"/>
                <w:color w:val="212121"/>
                <w:sz w:val="19"/>
              </w:rPr>
              <w:t>Sleeping without insecticide-treated nets and not using repellents markedly increases exposure to night-biting Culex mosquitoes in endemic zones.</w:t>
            </w:r>
          </w:p>
          <w:p>
            <w:pPr>
              <w:spacing w:before="60" w:after="40"/>
            </w:pPr>
            <w:r>
              <w:rPr>
                <w:rFonts w:ascii="Calibri" w:hAnsi="Calibri"/>
                <w:b w:val="0"/>
                <w:i w:val="0"/>
                <w:color w:val="5A5A5A"/>
                <w:sz w:val="18"/>
              </w:rPr>
              <w:t>#bednets  #repellent  #personalprotection  #prevention</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Alcohol</w:t>
            </w:r>
          </w:p>
        </w:tc>
        <w:tc>
          <w:tcPr>
            <w:tcW w:type="dxa" w:w="2160"/>
            <w:vAlign w:val="top"/>
          </w:tcPr>
          <w:p>
            <w:pPr>
              <w:spacing w:after="40" w:before="0" w:line="259" w:lineRule="auto"/>
            </w:pPr>
            <w:r>
              <w:rPr>
                <w:rFonts w:ascii="Calibri" w:hAnsi="Calibri"/>
                <w:b w:val="0"/>
                <w:i w:val="0"/>
                <w:color w:val="212121"/>
                <w:sz w:val="19"/>
              </w:rPr>
              <w:t>Chronic heavy drinkers</w:t>
            </w:r>
          </w:p>
        </w:tc>
        <w:tc>
          <w:tcPr>
            <w:tcW w:type="dxa" w:w="4276"/>
            <w:vAlign w:val="top"/>
          </w:tcPr>
          <w:p>
            <w:pPr>
              <w:spacing w:after="60" w:line="259" w:lineRule="auto"/>
            </w:pPr>
            <w:r>
              <w:rPr>
                <w:rFonts w:ascii="Calibri" w:hAnsi="Calibri"/>
                <w:b w:val="0"/>
                <w:i w:val="0"/>
                <w:color w:val="212121"/>
                <w:sz w:val="19"/>
              </w:rPr>
              <w:t>Chronic alcohol use suppresses cell-mediated immunity, lowers the seizure threshold, and is associated with poorer outcomes in severe encephalitic illness.</w:t>
            </w:r>
          </w:p>
          <w:p>
            <w:pPr>
              <w:spacing w:before="60" w:after="40"/>
            </w:pPr>
            <w:r>
              <w:rPr>
                <w:rFonts w:ascii="Calibri" w:hAnsi="Calibri"/>
                <w:b w:val="0"/>
                <w:i w:val="0"/>
                <w:color w:val="5A5A5A"/>
                <w:sz w:val="18"/>
              </w:rPr>
              <w:t>#alcohol  #immunosuppression  #seizurethreshold  #pooroutcome</w:t>
            </w:r>
          </w:p>
        </w:tc>
      </w:tr>
      <w:tr>
        <w:trPr>
          <w:cantSplit/>
        </w:trPr>
        <w:tc>
          <w:tcPr>
            <w:tcW w:type="dxa" w:w="1512"/>
            <w:vMerge w:val="restart"/>
            <w:vAlign w:val="center"/>
          </w:tcPr>
          <w:p>
            <w:pPr>
              <w:spacing w:after="40"/>
            </w:pPr>
            <w:r>
              <w:rPr>
                <w:rFonts w:ascii="Calibri" w:hAnsi="Calibri"/>
                <w:b/>
                <w:i w:val="0"/>
                <w:color w:val="212121"/>
                <w:sz w:val="19"/>
              </w:rPr>
              <w:t>Dietary factors</w:t>
            </w:r>
          </w:p>
        </w:tc>
        <w:tc>
          <w:tcPr>
            <w:tcW w:type="dxa" w:w="1655"/>
            <w:vAlign w:val="center"/>
          </w:tcPr>
          <w:p>
            <w:pPr>
              <w:spacing w:after="40"/>
            </w:pPr>
            <w:r>
              <w:rPr>
                <w:rFonts w:ascii="Calibri" w:hAnsi="Calibri"/>
                <w:b w:val="0"/>
                <w:i w:val="0"/>
                <w:color w:val="212121"/>
                <w:sz w:val="19"/>
              </w:rPr>
              <w:t>Food practices</w:t>
            </w:r>
          </w:p>
        </w:tc>
        <w:tc>
          <w:tcPr>
            <w:tcW w:type="dxa" w:w="2160"/>
            <w:vAlign w:val="top"/>
          </w:tcPr>
          <w:p>
            <w:pPr>
              <w:spacing w:after="40" w:before="0" w:line="259" w:lineRule="auto"/>
            </w:pPr>
            <w:r>
              <w:rPr>
                <w:rFonts w:ascii="Calibri" w:hAnsi="Calibri"/>
                <w:b w:val="0"/>
                <w:i w:val="0"/>
                <w:color w:val="212121"/>
                <w:sz w:val="19"/>
              </w:rPr>
              <w:t>Consumers of raw date-palm sap / bat-exposed fruit</w:t>
            </w:r>
          </w:p>
        </w:tc>
        <w:tc>
          <w:tcPr>
            <w:tcW w:type="dxa" w:w="4276"/>
            <w:vAlign w:val="top"/>
          </w:tcPr>
          <w:p>
            <w:pPr>
              <w:spacing w:after="60" w:line="259" w:lineRule="auto"/>
            </w:pPr>
            <w:r>
              <w:rPr>
                <w:rFonts w:ascii="Calibri" w:hAnsi="Calibri"/>
                <w:b w:val="0"/>
                <w:i w:val="0"/>
                <w:color w:val="212121"/>
                <w:sz w:val="19"/>
              </w:rPr>
              <w:t>Drinking raw, unpasteurised date-palm sap or eating fruit partly eaten by fruit bats can transmit Nipah virus, a highly lethal cause of encephalitis in West Bengal and Kerala outbreaks.</w:t>
            </w:r>
          </w:p>
          <w:p>
            <w:pPr>
              <w:spacing w:before="60" w:after="40"/>
            </w:pPr>
            <w:r>
              <w:rPr>
                <w:rFonts w:ascii="Calibri" w:hAnsi="Calibri"/>
                <w:b w:val="0"/>
                <w:i w:val="0"/>
                <w:color w:val="5A5A5A"/>
                <w:sz w:val="18"/>
              </w:rPr>
              <w:t>#Nipah  #datepalmsap  #fruitbats  #foodborne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Nutrition</w:t>
            </w:r>
          </w:p>
        </w:tc>
        <w:tc>
          <w:tcPr>
            <w:tcW w:type="dxa" w:w="2160"/>
            <w:vAlign w:val="top"/>
          </w:tcPr>
          <w:p>
            <w:pPr>
              <w:spacing w:after="40" w:before="0" w:line="259" w:lineRule="auto"/>
            </w:pPr>
            <w:r>
              <w:rPr>
                <w:rFonts w:ascii="Calibri" w:hAnsi="Calibri"/>
                <w:b w:val="0"/>
                <w:i w:val="0"/>
                <w:color w:val="212121"/>
                <w:sz w:val="19"/>
              </w:rPr>
              <w:t>Malnourished children</w:t>
            </w:r>
          </w:p>
        </w:tc>
        <w:tc>
          <w:tcPr>
            <w:tcW w:type="dxa" w:w="4276"/>
            <w:vAlign w:val="top"/>
          </w:tcPr>
          <w:p>
            <w:pPr>
              <w:spacing w:after="60" w:line="259" w:lineRule="auto"/>
            </w:pPr>
            <w:r>
              <w:rPr>
                <w:rFonts w:ascii="Calibri" w:hAnsi="Calibri"/>
                <w:b w:val="0"/>
                <w:i w:val="0"/>
                <w:color w:val="212121"/>
                <w:sz w:val="19"/>
              </w:rPr>
              <w:t>Undernutrition impairs immune defence and is associated with more severe AES and worse recovery in children in endemic districts.</w:t>
            </w:r>
          </w:p>
          <w:p>
            <w:pPr>
              <w:spacing w:before="60" w:after="40"/>
            </w:pPr>
            <w:r>
              <w:rPr>
                <w:rFonts w:ascii="Calibri" w:hAnsi="Calibri"/>
                <w:b w:val="0"/>
                <w:i w:val="0"/>
                <w:color w:val="5A5A5A"/>
                <w:sz w:val="18"/>
              </w:rPr>
              <w:t>#malnutrition  #childimmunity  #AESoutcome</w:t>
            </w:r>
          </w:p>
        </w:tc>
      </w:tr>
      <w:tr>
        <w:trPr>
          <w:cantSplit/>
        </w:trPr>
        <w:tc>
          <w:tcPr>
            <w:tcW w:type="dxa" w:w="1512"/>
            <w:vAlign w:val="center"/>
          </w:tcPr>
          <w:p>
            <w:pPr>
              <w:spacing w:after="40"/>
            </w:pPr>
            <w:r>
              <w:rPr>
                <w:rFonts w:ascii="Calibri" w:hAnsi="Calibri"/>
                <w:b/>
                <w:i w:val="0"/>
                <w:color w:val="212121"/>
                <w:sz w:val="19"/>
              </w:rPr>
              <w:t>Genetic factors</w:t>
            </w:r>
          </w:p>
        </w:tc>
        <w:tc>
          <w:tcPr>
            <w:tcW w:type="dxa" w:w="1655"/>
            <w:vAlign w:val="center"/>
          </w:tcPr>
          <w:p>
            <w:pPr>
              <w:spacing w:after="40"/>
            </w:pPr>
            <w:r>
              <w:rPr>
                <w:rFonts w:ascii="Calibri" w:hAnsi="Calibri"/>
                <w:b w:val="0"/>
                <w:i w:val="0"/>
                <w:color w:val="212121"/>
                <w:sz w:val="19"/>
              </w:rPr>
              <w:t>Family history / inborn immunity</w:t>
            </w:r>
          </w:p>
        </w:tc>
        <w:tc>
          <w:tcPr>
            <w:tcW w:type="dxa" w:w="2160"/>
            <w:vAlign w:val="top"/>
          </w:tcPr>
          <w:p>
            <w:pPr>
              <w:spacing w:after="40" w:before="0" w:line="259" w:lineRule="auto"/>
            </w:pPr>
            <w:r>
              <w:rPr>
                <w:rFonts w:ascii="Calibri" w:hAnsi="Calibri"/>
                <w:b w:val="0"/>
                <w:i w:val="0"/>
                <w:color w:val="212121"/>
                <w:sz w:val="19"/>
              </w:rPr>
              <w:t>Children with TLR3–interferon pathway defects</w:t>
            </w:r>
          </w:p>
        </w:tc>
        <w:tc>
          <w:tcPr>
            <w:tcW w:type="dxa" w:w="4276"/>
            <w:vAlign w:val="top"/>
          </w:tcPr>
          <w:p>
            <w:pPr>
              <w:spacing w:after="60" w:line="259" w:lineRule="auto"/>
            </w:pPr>
            <w:r>
              <w:rPr>
                <w:rFonts w:ascii="Calibri" w:hAnsi="Calibri"/>
                <w:b w:val="0"/>
                <w:i w:val="0"/>
                <w:color w:val="212121"/>
                <w:sz w:val="19"/>
              </w:rPr>
              <w:t>Inborn errors of the TLR3–type I interferon axis (e.g., TLR3, UNC93B1, STAT1 deficiencies) predispose otherwise healthy children to herpes simplex encephalitis and its recurrence.</w:t>
            </w:r>
          </w:p>
          <w:p>
            <w:pPr>
              <w:spacing w:before="60" w:after="40"/>
            </w:pPr>
            <w:r>
              <w:rPr>
                <w:rFonts w:ascii="Calibri" w:hAnsi="Calibri"/>
                <w:b w:val="0"/>
                <w:i w:val="0"/>
                <w:color w:val="5A5A5A"/>
                <w:sz w:val="18"/>
              </w:rPr>
              <w:t>#TLR3  #interferon  #inbornimmunity  #HSErecurrence</w:t>
            </w:r>
          </w:p>
        </w:tc>
      </w:tr>
      <w:tr>
        <w:trPr>
          <w:cantSplit/>
        </w:trPr>
        <w:tc>
          <w:tcPr>
            <w:tcW w:type="dxa" w:w="1512"/>
            <w:vMerge w:val="restart"/>
            <w:vAlign w:val="center"/>
          </w:tcPr>
          <w:p>
            <w:pPr>
              <w:spacing w:after="40"/>
            </w:pPr>
            <w:r>
              <w:rPr>
                <w:rFonts w:ascii="Calibri" w:hAnsi="Calibri"/>
                <w:b/>
                <w:i w:val="0"/>
                <w:color w:val="212121"/>
                <w:sz w:val="19"/>
              </w:rPr>
              <w:t>Medical conditions profile (mcp)</w:t>
            </w:r>
          </w:p>
        </w:tc>
        <w:tc>
          <w:tcPr>
            <w:tcW w:type="dxa" w:w="1655"/>
            <w:vAlign w:val="center"/>
          </w:tcPr>
          <w:p>
            <w:pPr>
              <w:spacing w:after="40"/>
            </w:pPr>
            <w:r>
              <w:rPr>
                <w:rFonts w:ascii="Calibri" w:hAnsi="Calibri"/>
                <w:b w:val="0"/>
                <w:i w:val="0"/>
                <w:color w:val="212121"/>
                <w:sz w:val="19"/>
              </w:rPr>
              <w:t>Immunosuppression</w:t>
            </w:r>
          </w:p>
        </w:tc>
        <w:tc>
          <w:tcPr>
            <w:tcW w:type="dxa" w:w="2160"/>
            <w:vAlign w:val="top"/>
          </w:tcPr>
          <w:p>
            <w:pPr>
              <w:spacing w:after="40" w:before="0" w:line="259" w:lineRule="auto"/>
            </w:pPr>
            <w:r>
              <w:rPr>
                <w:rFonts w:ascii="Calibri" w:hAnsi="Calibri"/>
                <w:b w:val="0"/>
                <w:i w:val="0"/>
                <w:color w:val="212121"/>
                <w:sz w:val="19"/>
              </w:rPr>
              <w:t>People with HIV/AIDS, transplant or on chemotherapy</w:t>
            </w:r>
          </w:p>
        </w:tc>
        <w:tc>
          <w:tcPr>
            <w:tcW w:type="dxa" w:w="4276"/>
            <w:vAlign w:val="top"/>
          </w:tcPr>
          <w:p>
            <w:pPr>
              <w:spacing w:after="60" w:line="259" w:lineRule="auto"/>
            </w:pPr>
            <w:r>
              <w:rPr>
                <w:rFonts w:ascii="Calibri" w:hAnsi="Calibri"/>
                <w:b w:val="0"/>
                <w:i w:val="0"/>
                <w:color w:val="212121"/>
                <w:sz w:val="19"/>
              </w:rPr>
              <w:t>Depressed cell-mediated immunity permits opportunistic CMV, HHV-6, JC virus and reactivated HSV/VZV encephalitis, often with atypical presentations.</w:t>
            </w:r>
          </w:p>
          <w:p>
            <w:pPr>
              <w:spacing w:before="60" w:after="40"/>
            </w:pPr>
            <w:r>
              <w:rPr>
                <w:rFonts w:ascii="Calibri" w:hAnsi="Calibri"/>
                <w:b w:val="0"/>
                <w:i w:val="0"/>
                <w:color w:val="5A5A5A"/>
                <w:sz w:val="18"/>
              </w:rPr>
              <w:t>#HIV  #transplant  #immunocompromised  #opportunistic  #CMV</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Diabetes mellitus</w:t>
            </w:r>
          </w:p>
        </w:tc>
        <w:tc>
          <w:tcPr>
            <w:tcW w:type="dxa" w:w="2160"/>
            <w:vAlign w:val="top"/>
          </w:tcPr>
          <w:p>
            <w:pPr>
              <w:spacing w:after="40" w:before="0" w:line="259" w:lineRule="auto"/>
            </w:pPr>
            <w:r>
              <w:rPr>
                <w:rFonts w:ascii="Calibri" w:hAnsi="Calibri"/>
                <w:b w:val="0"/>
                <w:i w:val="0"/>
                <w:color w:val="212121"/>
                <w:sz w:val="19"/>
              </w:rPr>
              <w:t>Poorly controlled diabetics</w:t>
            </w:r>
          </w:p>
        </w:tc>
        <w:tc>
          <w:tcPr>
            <w:tcW w:type="dxa" w:w="4276"/>
            <w:vAlign w:val="top"/>
          </w:tcPr>
          <w:p>
            <w:pPr>
              <w:spacing w:after="60" w:line="259" w:lineRule="auto"/>
            </w:pPr>
            <w:r>
              <w:rPr>
                <w:rFonts w:ascii="Calibri" w:hAnsi="Calibri"/>
                <w:b w:val="0"/>
                <w:i w:val="0"/>
                <w:color w:val="212121"/>
                <w:sz w:val="19"/>
              </w:rPr>
              <w:t>Hyperglycaemia impairs innate and adaptive immunity, increasing susceptibility to and severity of viral CNS infections.</w:t>
            </w:r>
          </w:p>
          <w:p>
            <w:pPr>
              <w:spacing w:before="60" w:after="40"/>
            </w:pPr>
            <w:r>
              <w:rPr>
                <w:rFonts w:ascii="Calibri" w:hAnsi="Calibri"/>
                <w:b w:val="0"/>
                <w:i w:val="0"/>
                <w:color w:val="5A5A5A"/>
                <w:sz w:val="18"/>
              </w:rPr>
              <w:t>#diabetes  #hyperglycaemia  #immuneimpairment</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Prior HSV infection</w:t>
            </w:r>
          </w:p>
        </w:tc>
        <w:tc>
          <w:tcPr>
            <w:tcW w:type="dxa" w:w="2160"/>
            <w:vAlign w:val="top"/>
          </w:tcPr>
          <w:p>
            <w:pPr>
              <w:spacing w:after="40" w:before="0" w:line="259" w:lineRule="auto"/>
            </w:pPr>
            <w:r>
              <w:rPr>
                <w:rFonts w:ascii="Calibri" w:hAnsi="Calibri"/>
                <w:b w:val="0"/>
                <w:i w:val="0"/>
                <w:color w:val="212121"/>
                <w:sz w:val="19"/>
              </w:rPr>
              <w:t>HSV-seropositive individuals</w:t>
            </w:r>
          </w:p>
        </w:tc>
        <w:tc>
          <w:tcPr>
            <w:tcW w:type="dxa" w:w="4276"/>
            <w:vAlign w:val="top"/>
          </w:tcPr>
          <w:p>
            <w:pPr>
              <w:spacing w:after="60" w:line="259" w:lineRule="auto"/>
            </w:pPr>
            <w:r>
              <w:rPr>
                <w:rFonts w:ascii="Calibri" w:hAnsi="Calibri"/>
                <w:b w:val="0"/>
                <w:i w:val="0"/>
                <w:color w:val="212121"/>
                <w:sz w:val="19"/>
              </w:rPr>
              <w:t>Latent HSV-1 in the trigeminal ganglion can reactivate and spread to the brain; HSV-1 causes virtually all herpes encephalitis beyond the neonatal period.</w:t>
            </w:r>
          </w:p>
          <w:p>
            <w:pPr>
              <w:spacing w:after="40" w:before="60" w:line="259" w:lineRule="auto"/>
            </w:pPr>
            <w:r>
              <w:rPr>
                <w:rFonts w:ascii="Calibri" w:hAnsi="Calibri"/>
                <w:b w:val="0"/>
                <w:i w:val="0"/>
                <w:color w:val="212121"/>
                <w:sz w:val="19"/>
              </w:rPr>
              <w:t>HSV-1 accounts for nearly all herpes simplex encephalitis in persons older than 3 months.</w:t>
            </w:r>
          </w:p>
          <w:p>
            <w:pPr>
              <w:spacing w:after="40" w:line="252" w:lineRule="auto"/>
            </w:pPr>
            <w:hyperlink r:id="rId10">
              <w:r>
                <w:rPr>
                  <w:rFonts w:ascii="Calibri" w:hAnsi="Calibri" w:cs="Calibri"/>
                  <w:sz w:val="18"/>
                  <w:color w:val="1155CC"/>
                  <w:u w:val="single"/>
                </w:rPr>
                <w:t xml:space="preserve">emedicine.medscape.com — HSV-1 and encephalitis</w:t>
              </w:r>
            </w:hyperlink>
          </w:p>
          <w:p>
            <w:pPr>
              <w:spacing w:before="60" w:after="40"/>
            </w:pPr>
            <w:r>
              <w:rPr>
                <w:rFonts w:ascii="Calibri" w:hAnsi="Calibri"/>
                <w:b w:val="0"/>
                <w:i w:val="0"/>
                <w:color w:val="5A5A5A"/>
                <w:sz w:val="18"/>
              </w:rPr>
              <w:t>#HSV1  #latency  #reactivation  #temporallobe</w:t>
            </w:r>
          </w:p>
        </w:tc>
      </w:tr>
      <w:tr>
        <w:trPr>
          <w:cantSplit/>
        </w:trPr>
        <w:tc>
          <w:tcPr>
            <w:tcW w:type="dxa" w:w="1512"/>
            <w:vMerge/>
            <w:vAlign w:val="top"/>
          </w:tcPr>
          <w:p>
            <w:pPr>
              <w:spacing w:after="40" w:before="0" w:line="259" w:lineRule="auto"/>
            </w:pPr>
          </w:p>
        </w:tc>
        <w:tc>
          <w:tcPr>
            <w:tcW w:type="dxa" w:w="1655"/>
            <w:vAlign w:val="center"/>
          </w:tcPr>
          <w:p>
            <w:pPr>
              <w:spacing w:after="40"/>
            </w:pPr>
            <w:r>
              <w:rPr>
                <w:rFonts w:ascii="Calibri" w:hAnsi="Calibri"/>
                <w:b w:val="0"/>
                <w:i w:val="0"/>
                <w:color w:val="212121"/>
                <w:sz w:val="19"/>
              </w:rPr>
              <w:t>Scrub typhus / rickettsial exposure</w:t>
            </w:r>
          </w:p>
        </w:tc>
        <w:tc>
          <w:tcPr>
            <w:tcW w:type="dxa" w:w="2160"/>
            <w:vAlign w:val="top"/>
          </w:tcPr>
          <w:p>
            <w:pPr>
              <w:spacing w:after="40" w:before="0" w:line="259" w:lineRule="auto"/>
            </w:pPr>
            <w:r>
              <w:rPr>
                <w:rFonts w:ascii="Calibri" w:hAnsi="Calibri"/>
                <w:b w:val="0"/>
                <w:i w:val="0"/>
                <w:color w:val="212121"/>
                <w:sz w:val="19"/>
              </w:rPr>
              <w:t>Rural residents in Assam &amp; sub-Himalayan belt</w:t>
            </w:r>
          </w:p>
        </w:tc>
        <w:tc>
          <w:tcPr>
            <w:tcW w:type="dxa" w:w="4276"/>
            <w:vAlign w:val="top"/>
          </w:tcPr>
          <w:p>
            <w:pPr>
              <w:spacing w:after="60" w:line="259" w:lineRule="auto"/>
            </w:pPr>
            <w:r>
              <w:rPr>
                <w:rFonts w:ascii="Calibri" w:hAnsi="Calibri"/>
                <w:b w:val="0"/>
                <w:i w:val="0"/>
                <w:color w:val="212121"/>
                <w:sz w:val="19"/>
              </w:rPr>
              <w:t>Scrub typhus (Orientia tsutsugamushi) is a major, treatable cause of AES that mimics viral encephalitis; recognising it changes management from supportive care to doxycycline.</w:t>
            </w:r>
          </w:p>
          <w:p>
            <w:pPr>
              <w:spacing w:after="40" w:before="60" w:line="259" w:lineRule="auto"/>
            </w:pPr>
            <w:r>
              <w:rPr>
                <w:rFonts w:ascii="Calibri" w:hAnsi="Calibri"/>
                <w:b w:val="0"/>
                <w:i w:val="0"/>
                <w:color w:val="212121"/>
                <w:sz w:val="19"/>
              </w:rPr>
              <w:t>Scrub typhus accounted for 20.3% of AES cases (104/511) in a study from Assam, India.</w:t>
            </w:r>
          </w:p>
          <w:p>
            <w:pPr>
              <w:spacing w:after="40" w:line="252" w:lineRule="auto"/>
            </w:pPr>
            <w:hyperlink r:id="rId12">
              <w:r>
                <w:rPr>
                  <w:rFonts w:ascii="Calibri" w:hAnsi="Calibri" w:cs="Calibri"/>
                  <w:sz w:val="18"/>
                  <w:color w:val="1155CC"/>
                  <w:u w:val="single"/>
                </w:rPr>
                <w:t xml:space="preserve">cdc.gov (EID) — scrub typhus &amp; AES, Assam</w:t>
              </w:r>
            </w:hyperlink>
          </w:p>
          <w:p>
            <w:pPr>
              <w:spacing w:before="60" w:after="40"/>
            </w:pPr>
            <w:r>
              <w:rPr>
                <w:rFonts w:ascii="Calibri" w:hAnsi="Calibri"/>
                <w:b w:val="0"/>
                <w:i w:val="0"/>
                <w:color w:val="5A5A5A"/>
                <w:sz w:val="18"/>
              </w:rPr>
              <w:t>#scrubtyphus  #AESmimic  #doxycycline  #Assam  #treatable</w:t>
            </w:r>
          </w:p>
        </w:tc>
      </w:tr>
    </w:tbl>
    <w:p>
      <w:pPr>
        <w:spacing w:before="200" w:after="120"/>
      </w:pPr>
      <w:r>
        <w:rPr>
          <w:rFonts w:ascii="Calibri" w:hAnsi="Calibri"/>
          <w:b/>
          <w:i w:val="0"/>
          <w:color w:val="212121"/>
          <w:sz w:val="25"/>
        </w:rPr>
        <w:t>Lifestyle Health Parameters ( LHP )</w:t>
      </w:r>
    </w:p>
    <w:p>
      <w:pPr>
        <w:spacing w:before="160" w:after="120"/>
      </w:pPr>
      <w:r>
        <w:rPr>
          <w:rFonts w:ascii="Calibri" w:hAnsi="Calibri"/>
          <w:b/>
          <w:i w:val="0"/>
          <w:color w:val="212121"/>
          <w:sz w:val="22"/>
        </w:rPr>
        <w:t>Order of Parameter Influence Study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LHP</w:t>
            </w:r>
          </w:p>
        </w:tc>
        <w:tc>
          <w:tcPr>
            <w:tcW w:type="dxa" w:w="1800"/>
            <w:shd w:val="clear" w:color="auto" w:fill="F2F2F2"/>
            <w:vAlign w:val="center"/>
          </w:tcPr>
          <w:p>
            <w:pPr>
              <w:spacing w:after="40" w:before="0" w:line="259" w:lineRule="auto"/>
            </w:pPr>
            <w:r>
              <w:rPr>
                <w:rFonts w:ascii="Calibri" w:hAnsi="Calibri"/>
                <w:b/>
                <w:i w:val="0"/>
                <w:color w:val="212121"/>
                <w:sz w:val="19"/>
              </w:rPr>
              <w:t>Influence Level</w:t>
            </w:r>
          </w:p>
        </w:tc>
        <w:tc>
          <w:tcPr>
            <w:tcW w:type="dxa" w:w="5500"/>
            <w:shd w:val="clear" w:color="auto" w:fill="F2F2F2"/>
            <w:vAlign w:val="center"/>
          </w:tcPr>
          <w:p>
            <w:pPr>
              <w:spacing w:after="40" w:before="0" w:line="259" w:lineRule="auto"/>
            </w:pPr>
            <w:r>
              <w:rPr>
                <w:rFonts w:ascii="Calibri" w:hAnsi="Calibri"/>
                <w:b/>
                <w:i w:val="0"/>
                <w:color w:val="212121"/>
                <w:sz w:val="19"/>
              </w:rPr>
              <w:t>Influence Study</w:t>
            </w:r>
          </w:p>
        </w:tc>
      </w:tr>
      <w:tr>
        <w:trPr>
          <w:cantSplit/>
        </w:trPr>
        <w:tc>
          <w:tcPr>
            <w:tcW w:type="dxa" w:w="2304"/>
            <w:vAlign w:val="top"/>
          </w:tcPr>
          <w:p>
            <w:pPr>
              <w:spacing w:after="40" w:before="0" w:line="259" w:lineRule="auto"/>
            </w:pPr>
            <w:r>
              <w:rPr>
                <w:rFonts w:ascii="Calibri" w:hAnsi="Calibri"/>
                <w:b/>
                <w:i w:val="0"/>
                <w:color w:val="212121"/>
                <w:sz w:val="19"/>
              </w:rPr>
              <w:t>Physical activity</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Regular activity supports general immune competence but is not a direct determinant of encephalitis risk; early physiotherapy and graded activity are, however, central to motor recovery in survivors.</w:t>
            </w:r>
          </w:p>
        </w:tc>
      </w:tr>
      <w:tr>
        <w:trPr>
          <w:cantSplit/>
        </w:trPr>
        <w:tc>
          <w:tcPr>
            <w:tcW w:type="dxa" w:w="2304"/>
            <w:vAlign w:val="top"/>
          </w:tcPr>
          <w:p>
            <w:pPr>
              <w:spacing w:after="40" w:before="0" w:line="259" w:lineRule="auto"/>
            </w:pPr>
            <w:r>
              <w:rPr>
                <w:rFonts w:ascii="Calibri" w:hAnsi="Calibri"/>
                <w:b/>
                <w:i w:val="0"/>
                <w:color w:val="212121"/>
                <w:sz w:val="19"/>
              </w:rPr>
              <w:t>Food</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Food and water hygiene limit enteroviral spread; avoiding raw date-palm sap and bat-exposed fruit prevents Nipah encephalitis, and adequate nutrition supports antiviral immunity.</w:t>
            </w:r>
          </w:p>
        </w:tc>
      </w:tr>
      <w:tr>
        <w:trPr>
          <w:cantSplit/>
        </w:trPr>
        <w:tc>
          <w:tcPr>
            <w:tcW w:type="dxa" w:w="2304"/>
            <w:vAlign w:val="top"/>
          </w:tcPr>
          <w:p>
            <w:pPr>
              <w:spacing w:after="40" w:before="0" w:line="259" w:lineRule="auto"/>
            </w:pPr>
            <w:r>
              <w:rPr>
                <w:rFonts w:ascii="Calibri" w:hAnsi="Calibri"/>
                <w:b/>
                <w:i w:val="0"/>
                <w:color w:val="212121"/>
                <w:sz w:val="19"/>
              </w:rPr>
              <w:t>Sleep</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Adequate sleep maintains immune function; disturbed sleep, fatigue and hypersomnolence are common post-encephalitic sequelae rather than causes.</w:t>
            </w:r>
          </w:p>
        </w:tc>
      </w:tr>
      <w:tr>
        <w:trPr>
          <w:cantSplit/>
        </w:trPr>
        <w:tc>
          <w:tcPr>
            <w:tcW w:type="dxa" w:w="2304"/>
            <w:vAlign w:val="top"/>
          </w:tcPr>
          <w:p>
            <w:pPr>
              <w:spacing w:after="40" w:before="0" w:line="259" w:lineRule="auto"/>
            </w:pPr>
            <w:r>
              <w:rPr>
                <w:rFonts w:ascii="Calibri" w:hAnsi="Calibri"/>
                <w:b/>
                <w:i w:val="0"/>
                <w:color w:val="212121"/>
                <w:sz w:val="19"/>
              </w:rPr>
              <w:t>Smoking</w:t>
            </w:r>
          </w:p>
        </w:tc>
        <w:tc>
          <w:tcPr>
            <w:tcW w:type="dxa" w:w="1800"/>
            <w:vAlign w:val="top"/>
          </w:tcPr>
          <w:p>
            <w:pPr>
              <w:spacing w:after="40" w:before="0" w:line="259" w:lineRule="auto"/>
            </w:pPr>
            <w:r>
              <w:rPr>
                <w:rFonts w:ascii="Calibri" w:hAnsi="Calibri"/>
                <w:b w:val="0"/>
                <w:i w:val="0"/>
                <w:color w:val="212121"/>
                <w:sz w:val="19"/>
              </w:rPr>
              <w:t>Low</w:t>
            </w:r>
          </w:p>
        </w:tc>
        <w:tc>
          <w:tcPr>
            <w:tcW w:type="dxa" w:w="5500"/>
            <w:vAlign w:val="top"/>
          </w:tcPr>
          <w:p>
            <w:pPr>
              <w:spacing w:after="40" w:before="0" w:line="259" w:lineRule="auto"/>
            </w:pPr>
            <w:r>
              <w:rPr>
                <w:rFonts w:ascii="Calibri" w:hAnsi="Calibri"/>
                <w:b w:val="0"/>
                <w:i w:val="0"/>
                <w:color w:val="212121"/>
                <w:sz w:val="19"/>
              </w:rPr>
              <w:t>Tobacco impairs respiratory and mucosal immunity and can worsen outcomes in critically ill, ventilated encephalitis patients.</w:t>
            </w:r>
          </w:p>
        </w:tc>
      </w:tr>
      <w:tr>
        <w:trPr>
          <w:cantSplit/>
        </w:trPr>
        <w:tc>
          <w:tcPr>
            <w:tcW w:type="dxa" w:w="2304"/>
            <w:vAlign w:val="top"/>
          </w:tcPr>
          <w:p>
            <w:pPr>
              <w:spacing w:after="40" w:before="0" w:line="259" w:lineRule="auto"/>
            </w:pPr>
            <w:r>
              <w:rPr>
                <w:rFonts w:ascii="Calibri" w:hAnsi="Calibri"/>
                <w:b/>
                <w:i w:val="0"/>
                <w:color w:val="212121"/>
                <w:sz w:val="19"/>
              </w:rPr>
              <w:t>Alcohol</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Chronic heavy alcohol use suppresses cell-mediated immunity, lowers the seizure threshold and predicts poorer outcomes in severe encephalitis.</w:t>
            </w:r>
          </w:p>
        </w:tc>
      </w:tr>
      <w:tr>
        <w:trPr>
          <w:cantSplit/>
        </w:trPr>
        <w:tc>
          <w:tcPr>
            <w:tcW w:type="dxa" w:w="2304"/>
            <w:vAlign w:val="top"/>
          </w:tcPr>
          <w:p>
            <w:pPr>
              <w:spacing w:after="40" w:before="0" w:line="259" w:lineRule="auto"/>
            </w:pPr>
            <w:r>
              <w:rPr>
                <w:rFonts w:ascii="Calibri" w:hAnsi="Calibri"/>
                <w:b/>
                <w:i w:val="0"/>
                <w:color w:val="212121"/>
                <w:sz w:val="19"/>
              </w:rPr>
              <w:t>Mental health</w:t>
            </w:r>
          </w:p>
        </w:tc>
        <w:tc>
          <w:tcPr>
            <w:tcW w:type="dxa" w:w="1800"/>
            <w:vAlign w:val="top"/>
          </w:tcPr>
          <w:p>
            <w:pPr>
              <w:spacing w:after="40" w:before="0" w:line="259" w:lineRule="auto"/>
            </w:pPr>
            <w:r>
              <w:rPr>
                <w:rFonts w:ascii="Calibri" w:hAnsi="Calibri"/>
                <w:b w:val="0"/>
                <w:i w:val="0"/>
                <w:color w:val="212121"/>
                <w:sz w:val="19"/>
              </w:rPr>
              <w:t>Medium</w:t>
            </w:r>
          </w:p>
        </w:tc>
        <w:tc>
          <w:tcPr>
            <w:tcW w:type="dxa" w:w="5500"/>
            <w:vAlign w:val="top"/>
          </w:tcPr>
          <w:p>
            <w:pPr>
              <w:spacing w:after="40" w:before="0" w:line="259" w:lineRule="auto"/>
            </w:pPr>
            <w:r>
              <w:rPr>
                <w:rFonts w:ascii="Calibri" w:hAnsi="Calibri"/>
                <w:b w:val="0"/>
                <w:i w:val="0"/>
                <w:color w:val="212121"/>
                <w:sz w:val="19"/>
              </w:rPr>
              <w:t>Depression, anxiety, cognitive and behavioural disturbances are frequent long-term consequences; about 20–30% of Japanese encephalitis survivors have permanent neuropsychiatric sequelae.</w:t>
            </w:r>
          </w:p>
        </w:tc>
      </w:tr>
      <w:tr>
        <w:trPr>
          <w:cantSplit/>
        </w:trPr>
        <w:tc>
          <w:tcPr>
            <w:tcW w:type="dxa" w:w="2304"/>
            <w:vAlign w:val="top"/>
          </w:tcPr>
          <w:p>
            <w:pPr>
              <w:spacing w:after="40" w:before="0" w:line="259" w:lineRule="auto"/>
            </w:pPr>
            <w:r>
              <w:rPr>
                <w:rFonts w:ascii="Calibri" w:hAnsi="Calibri"/>
                <w:b/>
                <w:i w:val="0"/>
                <w:color w:val="212121"/>
                <w:sz w:val="19"/>
              </w:rPr>
              <w:t>Water</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Stagnant water breeds the Culex vectors of Japanese encephalitis, while safe drinking water reduces enteroviral transmission; sodium/fluid balance is also critical in the acute phase.</w:t>
            </w:r>
          </w:p>
        </w:tc>
      </w:tr>
      <w:tr>
        <w:trPr>
          <w:cantSplit/>
        </w:trPr>
        <w:tc>
          <w:tcPr>
            <w:tcW w:type="dxa" w:w="2304"/>
            <w:vAlign w:val="top"/>
          </w:tcPr>
          <w:p>
            <w:pPr>
              <w:spacing w:after="40" w:before="0" w:line="259" w:lineRule="auto"/>
            </w:pPr>
            <w:r>
              <w:rPr>
                <w:rFonts w:ascii="Calibri" w:hAnsi="Calibri"/>
                <w:b/>
                <w:i w:val="0"/>
                <w:color w:val="212121"/>
                <w:sz w:val="19"/>
              </w:rPr>
              <w:t>Caffeine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No established relationship between caffeine intake and viral encephalitis risk.</w:t>
            </w:r>
          </w:p>
        </w:tc>
      </w:tr>
      <w:tr>
        <w:trPr>
          <w:cantSplit/>
        </w:trPr>
        <w:tc>
          <w:tcPr>
            <w:tcW w:type="dxa" w:w="2304"/>
            <w:vAlign w:val="top"/>
          </w:tcPr>
          <w:p>
            <w:pPr>
              <w:spacing w:after="40" w:before="0" w:line="259" w:lineRule="auto"/>
            </w:pPr>
            <w:r>
              <w:rPr>
                <w:rFonts w:ascii="Calibri" w:hAnsi="Calibri"/>
                <w:b/>
                <w:i w:val="0"/>
                <w:color w:val="212121"/>
                <w:sz w:val="19"/>
              </w:rPr>
              <w:t>Hygiene</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Vector control, environmental sanitation, hand hygiene, JE vaccination and siting pig sheds away from dwellings are the principal preventive levers for AES/JE.</w:t>
            </w:r>
          </w:p>
        </w:tc>
      </w:tr>
      <w:tr>
        <w:trPr>
          <w:cantSplit/>
        </w:trPr>
        <w:tc>
          <w:tcPr>
            <w:tcW w:type="dxa" w:w="2304"/>
            <w:vAlign w:val="top"/>
          </w:tcPr>
          <w:p>
            <w:pPr>
              <w:spacing w:after="40" w:before="0" w:line="259" w:lineRule="auto"/>
            </w:pPr>
            <w:r>
              <w:rPr>
                <w:rFonts w:ascii="Calibri" w:hAnsi="Calibri"/>
                <w:b/>
                <w:i w:val="0"/>
                <w:color w:val="212121"/>
                <w:sz w:val="19"/>
              </w:rPr>
              <w:t>Provoking factors</w:t>
            </w:r>
          </w:p>
        </w:tc>
        <w:tc>
          <w:tcPr>
            <w:tcW w:type="dxa" w:w="1800"/>
            <w:vAlign w:val="top"/>
          </w:tcPr>
          <w:p>
            <w:pPr>
              <w:spacing w:after="40" w:before="0" w:line="259" w:lineRule="auto"/>
            </w:pPr>
            <w:r>
              <w:rPr>
                <w:rFonts w:ascii="Calibri" w:hAnsi="Calibri"/>
                <w:b w:val="0"/>
                <w:i w:val="0"/>
                <w:color w:val="212121"/>
                <w:sz w:val="19"/>
              </w:rPr>
              <w:t>High</w:t>
            </w:r>
          </w:p>
        </w:tc>
        <w:tc>
          <w:tcPr>
            <w:tcW w:type="dxa" w:w="5500"/>
            <w:vAlign w:val="top"/>
          </w:tcPr>
          <w:p>
            <w:pPr>
              <w:spacing w:after="40" w:before="0" w:line="259" w:lineRule="auto"/>
            </w:pPr>
            <w:r>
              <w:rPr>
                <w:rFonts w:ascii="Calibri" w:hAnsi="Calibri"/>
                <w:b w:val="0"/>
                <w:i w:val="0"/>
                <w:color w:val="212121"/>
                <w:sz w:val="19"/>
              </w:rPr>
              <w:t>The monsoon and post-monsoon season amplifies Culex vector density and JE transmission; immunosuppression, fever and HSV reactivation precipitate sporadic herpes encephalitis.</w:t>
            </w:r>
          </w:p>
        </w:tc>
      </w:tr>
      <w:tr>
        <w:trPr>
          <w:cantSplit/>
        </w:trPr>
        <w:tc>
          <w:tcPr>
            <w:tcW w:type="dxa" w:w="2304"/>
            <w:vAlign w:val="top"/>
          </w:tcPr>
          <w:p>
            <w:pPr>
              <w:spacing w:after="40" w:before="0" w:line="259" w:lineRule="auto"/>
            </w:pPr>
            <w:r>
              <w:rPr>
                <w:rFonts w:ascii="Calibri" w:hAnsi="Calibri"/>
                <w:b/>
                <w:i w:val="0"/>
                <w:color w:val="212121"/>
                <w:sz w:val="19"/>
              </w:rPr>
              <w:t>Posture</w:t>
            </w:r>
          </w:p>
        </w:tc>
        <w:tc>
          <w:tcPr>
            <w:tcW w:type="dxa" w:w="1800"/>
            <w:vAlign w:val="top"/>
          </w:tcPr>
          <w:p>
            <w:pPr>
              <w:spacing w:after="40" w:before="0" w:line="259" w:lineRule="auto"/>
            </w:pPr>
            <w:r>
              <w:rPr>
                <w:rFonts w:ascii="Calibri" w:hAnsi="Calibri"/>
                <w:b w:val="0"/>
                <w:i w:val="0"/>
                <w:color w:val="212121"/>
                <w:sz w:val="19"/>
              </w:rPr>
              <w:t>NA</w:t>
            </w:r>
          </w:p>
        </w:tc>
        <w:tc>
          <w:tcPr>
            <w:tcW w:type="dxa" w:w="5500"/>
            <w:vAlign w:val="top"/>
          </w:tcPr>
          <w:p>
            <w:pPr>
              <w:spacing w:after="40" w:before="0" w:line="259" w:lineRule="auto"/>
            </w:pPr>
            <w:r>
              <w:rPr>
                <w:rFonts w:ascii="Calibri" w:hAnsi="Calibri"/>
                <w:b w:val="0"/>
                <w:i w:val="0"/>
                <w:color w:val="212121"/>
                <w:sz w:val="19"/>
              </w:rPr>
              <w:t>NA</w:t>
            </w:r>
          </w:p>
        </w:tc>
      </w:tr>
    </w:tbl>
    <w:p>
      <w:pPr>
        <w:spacing w:before="160" w:after="120"/>
      </w:pPr>
      <w:r>
        <w:rPr>
          <w:rFonts w:ascii="Calibri" w:hAnsi="Calibri"/>
          <w:b/>
          <w:i w:val="0"/>
          <w:color w:val="212121"/>
          <w:sz w:val="22"/>
        </w:rPr>
        <w:t>LHP Metric Triggers &amp; Specifications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601"/>
        <w:gridCol w:w="1601"/>
        <w:gridCol w:w="1601"/>
        <w:gridCol w:w="1601"/>
        <w:gridCol w:w="1601"/>
        <w:gridCol w:w="1601"/>
      </w:tblGrid>
      <w:tr>
        <w:trPr>
          <w:cantSplit/>
        </w:trPr>
        <w:tc>
          <w:tcPr>
            <w:tcW w:type="dxa" w:w="1512"/>
            <w:shd w:val="clear" w:color="auto" w:fill="F2F2F2"/>
            <w:vAlign w:val="center"/>
          </w:tcPr>
          <w:p>
            <w:pPr>
              <w:spacing w:after="40" w:before="0" w:line="259" w:lineRule="auto"/>
            </w:pPr>
            <w:r>
              <w:rPr>
                <w:rFonts w:ascii="Calibri" w:hAnsi="Calibri"/>
                <w:b/>
                <w:i w:val="0"/>
                <w:color w:val="212121"/>
                <w:sz w:val="19"/>
              </w:rPr>
              <w:t>LHP</w:t>
            </w:r>
          </w:p>
        </w:tc>
        <w:tc>
          <w:tcPr>
            <w:tcW w:type="dxa" w:w="1944"/>
            <w:shd w:val="clear" w:color="auto" w:fill="F2F2F2"/>
            <w:vAlign w:val="center"/>
          </w:tcPr>
          <w:p>
            <w:pPr>
              <w:spacing w:after="40" w:before="0" w:line="259" w:lineRule="auto"/>
            </w:pPr>
            <w:r>
              <w:rPr>
                <w:rFonts w:ascii="Calibri" w:hAnsi="Calibri"/>
                <w:b/>
                <w:i w:val="0"/>
                <w:color w:val="212121"/>
                <w:sz w:val="19"/>
              </w:rPr>
              <w:t>Metric</w:t>
            </w:r>
          </w:p>
        </w:tc>
        <w:tc>
          <w:tcPr>
            <w:tcW w:type="dxa" w:w="1655"/>
            <w:shd w:val="clear" w:color="auto" w:fill="F2F2F2"/>
            <w:vAlign w:val="center"/>
          </w:tcPr>
          <w:p>
            <w:pPr>
              <w:spacing w:after="40" w:before="0" w:line="259" w:lineRule="auto"/>
            </w:pPr>
            <w:r>
              <w:rPr>
                <w:rFonts w:ascii="Calibri" w:hAnsi="Calibri"/>
                <w:b/>
                <w:i w:val="0"/>
                <w:color w:val="212121"/>
                <w:sz w:val="19"/>
              </w:rPr>
              <w:t>Profile</w:t>
            </w:r>
          </w:p>
        </w:tc>
        <w:tc>
          <w:tcPr>
            <w:tcW w:type="dxa" w:w="1512"/>
            <w:shd w:val="clear" w:color="auto" w:fill="F2F2F2"/>
            <w:vAlign w:val="center"/>
          </w:tcPr>
          <w:p>
            <w:pPr>
              <w:spacing w:after="40" w:before="0" w:line="259" w:lineRule="auto"/>
            </w:pPr>
            <w:r>
              <w:rPr>
                <w:rFonts w:ascii="Calibri" w:hAnsi="Calibri"/>
                <w:b/>
                <w:i w:val="0"/>
                <w:color w:val="212121"/>
                <w:sz w:val="19"/>
              </w:rPr>
              <w:t>Ideal Values</w:t>
            </w:r>
          </w:p>
        </w:tc>
        <w:tc>
          <w:tcPr>
            <w:tcW w:type="dxa" w:w="1512"/>
            <w:shd w:val="clear" w:color="auto" w:fill="F2F2F2"/>
            <w:vAlign w:val="center"/>
          </w:tcPr>
          <w:p>
            <w:pPr>
              <w:spacing w:after="40" w:before="0" w:line="259" w:lineRule="auto"/>
            </w:pPr>
            <w:r>
              <w:rPr>
                <w:rFonts w:ascii="Calibri" w:hAnsi="Calibri"/>
                <w:b/>
                <w:i w:val="0"/>
                <w:color w:val="212121"/>
                <w:sz w:val="19"/>
              </w:rPr>
              <w:t>Trigger Values</w:t>
            </w:r>
          </w:p>
        </w:tc>
        <w:tc>
          <w:tcPr>
            <w:tcW w:type="dxa" w:w="1468"/>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512"/>
            <w:vMerge w:val="restart"/>
            <w:vAlign w:val="center"/>
          </w:tcPr>
          <w:p>
            <w:pPr>
              <w:spacing w:after="40"/>
            </w:pPr>
            <w:r>
              <w:rPr>
                <w:rFonts w:ascii="Calibri" w:hAnsi="Calibri"/>
                <w:b w:val="0"/>
                <w:i w:val="0"/>
                <w:color w:val="212121"/>
                <w:sz w:val="19"/>
              </w:rPr>
              <w:t>Hygiene</w:t>
            </w:r>
          </w:p>
        </w:tc>
        <w:tc>
          <w:tcPr>
            <w:tcW w:type="dxa" w:w="1944"/>
            <w:vAlign w:val="top"/>
          </w:tcPr>
          <w:p>
            <w:pPr>
              <w:spacing w:after="40" w:before="0" w:line="259" w:lineRule="auto"/>
            </w:pPr>
            <w:r>
              <w:rPr>
                <w:rFonts w:ascii="Calibri" w:hAnsi="Calibri"/>
                <w:b w:val="0"/>
                <w:i w:val="0"/>
                <w:color w:val="212121"/>
                <w:sz w:val="19"/>
              </w:rPr>
              <w:t>Japanese encephalitis vaccination status (SA-14-14-2)</w:t>
            </w:r>
          </w:p>
        </w:tc>
        <w:tc>
          <w:tcPr>
            <w:tcW w:type="dxa" w:w="1655"/>
            <w:vAlign w:val="top"/>
          </w:tcPr>
          <w:p>
            <w:pPr>
              <w:spacing w:after="40" w:before="0" w:line="259" w:lineRule="auto"/>
            </w:pPr>
            <w:r>
              <w:rPr>
                <w:rFonts w:ascii="Calibri" w:hAnsi="Calibri"/>
                <w:b w:val="0"/>
                <w:i w:val="0"/>
                <w:color w:val="212121"/>
                <w:sz w:val="19"/>
              </w:rPr>
              <w:t>Children in endemic districts</w:t>
            </w:r>
          </w:p>
        </w:tc>
        <w:tc>
          <w:tcPr>
            <w:tcW w:type="dxa" w:w="1512"/>
            <w:vAlign w:val="top"/>
          </w:tcPr>
          <w:p>
            <w:pPr>
              <w:spacing w:after="40" w:before="0" w:line="259" w:lineRule="auto"/>
            </w:pPr>
            <w:r>
              <w:rPr>
                <w:rFonts w:ascii="Calibri" w:hAnsi="Calibri"/>
                <w:b w:val="0"/>
                <w:i w:val="0"/>
                <w:color w:val="212121"/>
                <w:sz w:val="19"/>
              </w:rPr>
              <w:t>2 doses per UIP schedule (9 months + 16–18 months)</w:t>
            </w:r>
          </w:p>
        </w:tc>
        <w:tc>
          <w:tcPr>
            <w:tcW w:type="dxa" w:w="1512"/>
            <w:vAlign w:val="top"/>
          </w:tcPr>
          <w:p>
            <w:pPr>
              <w:spacing w:after="40" w:before="0" w:line="259" w:lineRule="auto"/>
            </w:pPr>
            <w:r>
              <w:rPr>
                <w:rFonts w:ascii="Calibri" w:hAnsi="Calibri"/>
                <w:b w:val="0"/>
                <w:i w:val="0"/>
                <w:color w:val="212121"/>
                <w:sz w:val="19"/>
              </w:rPr>
              <w:t>Unvaccinated / incomplete</w:t>
            </w:r>
          </w:p>
        </w:tc>
        <w:tc>
          <w:tcPr>
            <w:tcW w:type="dxa" w:w="1468"/>
            <w:vAlign w:val="top"/>
          </w:tcPr>
          <w:p>
            <w:pPr>
              <w:spacing w:after="60" w:line="259" w:lineRule="auto"/>
            </w:pPr>
            <w:r>
              <w:rPr>
                <w:rFonts w:ascii="Calibri" w:hAnsi="Calibri"/>
                <w:b w:val="0"/>
                <w:i w:val="0"/>
                <w:color w:val="212121"/>
                <w:sz w:val="19"/>
              </w:rPr>
              <w:t>SA-14-14-2 was introduced into India's Universal Immunization Programme in 2011 for endemic districts</w:t>
            </w:r>
          </w:p>
          <w:p>
            <w:pPr>
              <w:spacing w:after="40" w:line="252" w:lineRule="auto"/>
            </w:pPr>
            <w:hyperlink r:id="rId13">
              <w:r>
                <w:rPr>
                  <w:rFonts w:ascii="Calibri" w:hAnsi="Calibri" w:cs="Calibri"/>
                  <w:sz w:val="18"/>
                  <w:color w:val="1155CC"/>
                  <w:u w:val="single"/>
                </w:rPr>
                <w:t xml:space="preserve">https://www.indianpediatrics.net/oct2015/837.pdf</w:t>
              </w:r>
            </w:hyperlink>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Insecticide-treated bed-net use</w:t>
            </w:r>
          </w:p>
        </w:tc>
        <w:tc>
          <w:tcPr>
            <w:tcW w:type="dxa" w:w="1655"/>
            <w:vAlign w:val="top"/>
          </w:tcPr>
          <w:p>
            <w:pPr>
              <w:spacing w:after="40" w:before="0" w:line="259" w:lineRule="auto"/>
            </w:pPr>
            <w:r>
              <w:rPr>
                <w:rFonts w:ascii="Calibri" w:hAnsi="Calibri"/>
                <w:b w:val="0"/>
                <w:i w:val="0"/>
                <w:color w:val="212121"/>
                <w:sz w:val="19"/>
              </w:rPr>
              <w:t>Rural residents in endemic areas</w:t>
            </w:r>
          </w:p>
        </w:tc>
        <w:tc>
          <w:tcPr>
            <w:tcW w:type="dxa" w:w="1512"/>
            <w:vAlign w:val="top"/>
          </w:tcPr>
          <w:p>
            <w:pPr>
              <w:spacing w:after="40" w:before="0" w:line="259" w:lineRule="auto"/>
            </w:pPr>
            <w:r>
              <w:rPr>
                <w:rFonts w:ascii="Calibri" w:hAnsi="Calibri"/>
                <w:b w:val="0"/>
                <w:i w:val="0"/>
                <w:color w:val="212121"/>
                <w:sz w:val="19"/>
              </w:rPr>
              <w:t>Nightly use, dusk to dawn</w:t>
            </w:r>
          </w:p>
        </w:tc>
        <w:tc>
          <w:tcPr>
            <w:tcW w:type="dxa" w:w="1512"/>
            <w:vAlign w:val="top"/>
          </w:tcPr>
          <w:p>
            <w:pPr>
              <w:spacing w:after="40" w:before="0" w:line="259" w:lineRule="auto"/>
            </w:pPr>
            <w:r>
              <w:rPr>
                <w:rFonts w:ascii="Calibri" w:hAnsi="Calibri"/>
                <w:b w:val="0"/>
                <w:i w:val="0"/>
                <w:color w:val="212121"/>
                <w:sz w:val="19"/>
              </w:rPr>
              <w:t>Non-use</w:t>
            </w:r>
          </w:p>
        </w:tc>
        <w:tc>
          <w:tcPr>
            <w:tcW w:type="dxa" w:w="1468"/>
            <w:vAlign w:val="top"/>
          </w:tcPr>
          <w:p>
            <w:pPr>
              <w:spacing w:after="40" w:before="0" w:line="259" w:lineRule="auto"/>
            </w:pPr>
            <w:r>
              <w:rPr>
                <w:rFonts w:ascii="Calibri" w:hAnsi="Calibri"/>
                <w:b w:val="0"/>
                <w:i w:val="0"/>
                <w:color w:val="212121"/>
                <w:sz w:val="19"/>
              </w:rPr>
              <w:t>Reduces bites from night-active Culex mosquitoes</w:t>
            </w:r>
          </w:p>
        </w:tc>
      </w:tr>
      <w:tr>
        <w:trPr>
          <w:cantSplit/>
        </w:trPr>
        <w:tc>
          <w:tcPr>
            <w:tcW w:type="dxa" w:w="1512"/>
            <w:vMerge/>
            <w:vAlign w:val="top"/>
          </w:tcPr>
          <w:p>
            <w:pPr>
              <w:spacing w:after="40" w:before="0" w:line="259" w:lineRule="auto"/>
            </w:pPr>
          </w:p>
        </w:tc>
        <w:tc>
          <w:tcPr>
            <w:tcW w:type="dxa" w:w="1944"/>
            <w:vAlign w:val="top"/>
          </w:tcPr>
          <w:p>
            <w:pPr>
              <w:spacing w:after="40" w:before="0" w:line="259" w:lineRule="auto"/>
            </w:pPr>
            <w:r>
              <w:rPr>
                <w:rFonts w:ascii="Calibri" w:hAnsi="Calibri"/>
                <w:b w:val="0"/>
                <w:i w:val="0"/>
                <w:color w:val="212121"/>
                <w:sz w:val="19"/>
              </w:rPr>
              <w:t>Distance of pig sheds from dwelling</w:t>
            </w:r>
          </w:p>
        </w:tc>
        <w:tc>
          <w:tcPr>
            <w:tcW w:type="dxa" w:w="1655"/>
            <w:vAlign w:val="top"/>
          </w:tcPr>
          <w:p>
            <w:pPr>
              <w:spacing w:after="40" w:before="0" w:line="259" w:lineRule="auto"/>
            </w:pPr>
            <w:r>
              <w:rPr>
                <w:rFonts w:ascii="Calibri" w:hAnsi="Calibri"/>
                <w:b w:val="0"/>
                <w:i w:val="0"/>
                <w:color w:val="212121"/>
                <w:sz w:val="19"/>
              </w:rPr>
              <w:t>Villages in JE-endemic belt</w:t>
            </w:r>
          </w:p>
        </w:tc>
        <w:tc>
          <w:tcPr>
            <w:tcW w:type="dxa" w:w="1512"/>
            <w:vAlign w:val="top"/>
          </w:tcPr>
          <w:p>
            <w:pPr>
              <w:spacing w:after="40" w:before="0" w:line="259" w:lineRule="auto"/>
            </w:pPr>
            <w:r>
              <w:rPr>
                <w:rFonts w:ascii="Calibri" w:hAnsi="Calibri"/>
                <w:b w:val="0"/>
                <w:i w:val="0"/>
                <w:color w:val="212121"/>
                <w:sz w:val="19"/>
              </w:rPr>
              <w:t>Pigs housed well away from homes</w:t>
            </w:r>
          </w:p>
        </w:tc>
        <w:tc>
          <w:tcPr>
            <w:tcW w:type="dxa" w:w="1512"/>
            <w:vAlign w:val="top"/>
          </w:tcPr>
          <w:p>
            <w:pPr>
              <w:spacing w:after="40" w:before="0" w:line="259" w:lineRule="auto"/>
            </w:pPr>
            <w:r>
              <w:rPr>
                <w:rFonts w:ascii="Calibri" w:hAnsi="Calibri"/>
                <w:b w:val="0"/>
                <w:i w:val="0"/>
                <w:color w:val="212121"/>
                <w:sz w:val="19"/>
              </w:rPr>
              <w:t>Pigsties adjacent to living areas</w:t>
            </w:r>
          </w:p>
        </w:tc>
        <w:tc>
          <w:tcPr>
            <w:tcW w:type="dxa" w:w="1468"/>
            <w:vAlign w:val="top"/>
          </w:tcPr>
          <w:p>
            <w:pPr>
              <w:spacing w:after="60" w:line="259" w:lineRule="auto"/>
            </w:pPr>
            <w:r>
              <w:rPr>
                <w:rFonts w:ascii="Calibri" w:hAnsi="Calibri"/>
                <w:b w:val="0"/>
                <w:i w:val="0"/>
                <w:color w:val="212121"/>
                <w:sz w:val="19"/>
              </w:rPr>
              <w:t>Pigs are amplifying hosts of JEV</w:t>
            </w:r>
          </w:p>
          <w:p>
            <w:pPr>
              <w:spacing w:after="40" w:line="252" w:lineRule="auto"/>
            </w:pPr>
            <w:hyperlink r:id="rId9">
              <w:r>
                <w:rPr>
                  <w:rFonts w:ascii="Calibri" w:hAnsi="Calibri" w:cs="Calibri"/>
                  <w:sz w:val="18"/>
                  <w:color w:val="1155CC"/>
                  <w:u w:val="single"/>
                </w:rPr>
                <w:t xml:space="preserve">https://www.who.int/news-room/fact-sheets/detail/japanese-encephalitis</w:t>
              </w:r>
            </w:hyperlink>
          </w:p>
        </w:tc>
      </w:tr>
      <w:tr>
        <w:trPr>
          <w:cantSplit/>
        </w:trPr>
        <w:tc>
          <w:tcPr>
            <w:tcW w:type="dxa" w:w="1512"/>
            <w:vAlign w:val="center"/>
          </w:tcPr>
          <w:p>
            <w:pPr>
              <w:spacing w:after="40"/>
            </w:pPr>
            <w:r>
              <w:rPr>
                <w:rFonts w:ascii="Calibri" w:hAnsi="Calibri"/>
                <w:b w:val="0"/>
                <w:i w:val="0"/>
                <w:color w:val="212121"/>
                <w:sz w:val="19"/>
              </w:rPr>
              <w:t>Water</w:t>
            </w:r>
          </w:p>
        </w:tc>
        <w:tc>
          <w:tcPr>
            <w:tcW w:type="dxa" w:w="1944"/>
            <w:vAlign w:val="top"/>
          </w:tcPr>
          <w:p>
            <w:pPr>
              <w:spacing w:after="40" w:before="0" w:line="259" w:lineRule="auto"/>
            </w:pPr>
            <w:r>
              <w:rPr>
                <w:rFonts w:ascii="Calibri" w:hAnsi="Calibri"/>
                <w:b w:val="0"/>
                <w:i w:val="0"/>
                <w:color w:val="212121"/>
                <w:sz w:val="19"/>
              </w:rPr>
              <w:t>Stagnant-water breeding sites near home</w:t>
            </w:r>
          </w:p>
        </w:tc>
        <w:tc>
          <w:tcPr>
            <w:tcW w:type="dxa" w:w="1655"/>
            <w:vAlign w:val="top"/>
          </w:tcPr>
          <w:p>
            <w:pPr>
              <w:spacing w:after="40" w:before="0" w:line="259" w:lineRule="auto"/>
            </w:pPr>
            <w:r>
              <w:rPr>
                <w:rFonts w:ascii="Calibri" w:hAnsi="Calibri"/>
                <w:b w:val="0"/>
                <w:i w:val="0"/>
                <w:color w:val="212121"/>
                <w:sz w:val="19"/>
              </w:rPr>
              <w:t>Endemic-village households</w:t>
            </w:r>
          </w:p>
        </w:tc>
        <w:tc>
          <w:tcPr>
            <w:tcW w:type="dxa" w:w="1512"/>
            <w:vAlign w:val="top"/>
          </w:tcPr>
          <w:p>
            <w:pPr>
              <w:spacing w:after="40" w:before="0" w:line="259" w:lineRule="auto"/>
            </w:pPr>
            <w:r>
              <w:rPr>
                <w:rFonts w:ascii="Calibri" w:hAnsi="Calibri"/>
                <w:b w:val="0"/>
                <w:i w:val="0"/>
                <w:color w:val="212121"/>
                <w:sz w:val="19"/>
              </w:rPr>
              <w:t>No standing water/paddy pools near dwellings</w:t>
            </w:r>
          </w:p>
        </w:tc>
        <w:tc>
          <w:tcPr>
            <w:tcW w:type="dxa" w:w="1512"/>
            <w:vAlign w:val="top"/>
          </w:tcPr>
          <w:p>
            <w:pPr>
              <w:spacing w:after="40" w:before="0" w:line="259" w:lineRule="auto"/>
            </w:pPr>
            <w:r>
              <w:rPr>
                <w:rFonts w:ascii="Calibri" w:hAnsi="Calibri"/>
                <w:b w:val="0"/>
                <w:i w:val="0"/>
                <w:color w:val="212121"/>
                <w:sz w:val="19"/>
              </w:rPr>
              <w:t>Breeding sites within the compound</w:t>
            </w:r>
          </w:p>
        </w:tc>
        <w:tc>
          <w:tcPr>
            <w:tcW w:type="dxa" w:w="1468"/>
            <w:vAlign w:val="top"/>
          </w:tcPr>
          <w:p>
            <w:pPr>
              <w:spacing w:after="40" w:before="0" w:line="259" w:lineRule="auto"/>
            </w:pPr>
            <w:r>
              <w:rPr>
                <w:rFonts w:ascii="Calibri" w:hAnsi="Calibri"/>
                <w:b w:val="0"/>
                <w:i w:val="0"/>
                <w:color w:val="212121"/>
                <w:sz w:val="19"/>
              </w:rPr>
              <w:t>Source reduction lowers vector density</w:t>
            </w:r>
          </w:p>
        </w:tc>
      </w:tr>
      <w:tr>
        <w:trPr>
          <w:cantSplit/>
        </w:trPr>
        <w:tc>
          <w:tcPr>
            <w:tcW w:type="dxa" w:w="1512"/>
            <w:vAlign w:val="center"/>
          </w:tcPr>
          <w:p>
            <w:pPr>
              <w:spacing w:after="40"/>
            </w:pPr>
            <w:r>
              <w:rPr>
                <w:rFonts w:ascii="Calibri" w:hAnsi="Calibri"/>
                <w:b w:val="0"/>
                <w:i w:val="0"/>
                <w:color w:val="212121"/>
                <w:sz w:val="19"/>
              </w:rPr>
              <w:t>Food</w:t>
            </w:r>
          </w:p>
        </w:tc>
        <w:tc>
          <w:tcPr>
            <w:tcW w:type="dxa" w:w="1944"/>
            <w:vAlign w:val="top"/>
          </w:tcPr>
          <w:p>
            <w:pPr>
              <w:spacing w:after="40" w:before="0" w:line="259" w:lineRule="auto"/>
            </w:pPr>
            <w:r>
              <w:rPr>
                <w:rFonts w:ascii="Calibri" w:hAnsi="Calibri"/>
                <w:b w:val="0"/>
                <w:i w:val="0"/>
                <w:color w:val="212121"/>
                <w:sz w:val="19"/>
              </w:rPr>
              <w:t>Raw date-palm sap consumption</w:t>
            </w:r>
          </w:p>
        </w:tc>
        <w:tc>
          <w:tcPr>
            <w:tcW w:type="dxa" w:w="1655"/>
            <w:vAlign w:val="top"/>
          </w:tcPr>
          <w:p>
            <w:pPr>
              <w:spacing w:after="40" w:before="0" w:line="259" w:lineRule="auto"/>
            </w:pPr>
            <w:r>
              <w:rPr>
                <w:rFonts w:ascii="Calibri" w:hAnsi="Calibri"/>
                <w:b w:val="0"/>
                <w:i w:val="0"/>
                <w:color w:val="212121"/>
                <w:sz w:val="19"/>
              </w:rPr>
              <w:t>West Bengal / North-East communities</w:t>
            </w:r>
          </w:p>
        </w:tc>
        <w:tc>
          <w:tcPr>
            <w:tcW w:type="dxa" w:w="1512"/>
            <w:vAlign w:val="top"/>
          </w:tcPr>
          <w:p>
            <w:pPr>
              <w:spacing w:after="40" w:before="0" w:line="259" w:lineRule="auto"/>
            </w:pPr>
            <w:r>
              <w:rPr>
                <w:rFonts w:ascii="Calibri" w:hAnsi="Calibri"/>
                <w:b w:val="0"/>
                <w:i w:val="0"/>
                <w:color w:val="212121"/>
                <w:sz w:val="19"/>
              </w:rPr>
              <w:t>Avoid raw sap; consume only if boiled</w:t>
            </w:r>
          </w:p>
        </w:tc>
        <w:tc>
          <w:tcPr>
            <w:tcW w:type="dxa" w:w="1512"/>
            <w:vAlign w:val="top"/>
          </w:tcPr>
          <w:p>
            <w:pPr>
              <w:spacing w:after="40" w:before="0" w:line="259" w:lineRule="auto"/>
            </w:pPr>
            <w:r>
              <w:rPr>
                <w:rFonts w:ascii="Calibri" w:hAnsi="Calibri"/>
                <w:b w:val="0"/>
                <w:i w:val="0"/>
                <w:color w:val="212121"/>
                <w:sz w:val="19"/>
              </w:rPr>
              <w:t>Drinking raw/unpasteurised sap</w:t>
            </w:r>
          </w:p>
        </w:tc>
        <w:tc>
          <w:tcPr>
            <w:tcW w:type="dxa" w:w="1468"/>
            <w:vAlign w:val="top"/>
          </w:tcPr>
          <w:p>
            <w:pPr>
              <w:spacing w:after="40" w:before="0" w:line="259" w:lineRule="auto"/>
            </w:pPr>
            <w:r>
              <w:rPr>
                <w:rFonts w:ascii="Calibri" w:hAnsi="Calibri"/>
                <w:b w:val="0"/>
                <w:i w:val="0"/>
                <w:color w:val="212121"/>
                <w:sz w:val="19"/>
              </w:rPr>
              <w:t>A documented route of Nipah virus transmission</w:t>
            </w:r>
          </w:p>
        </w:tc>
      </w:tr>
      <w:tr>
        <w:trPr>
          <w:cantSplit/>
        </w:trPr>
        <w:tc>
          <w:tcPr>
            <w:tcW w:type="dxa" w:w="1512"/>
            <w:vAlign w:val="center"/>
          </w:tcPr>
          <w:p>
            <w:pPr>
              <w:spacing w:after="40"/>
            </w:pPr>
            <w:r>
              <w:rPr>
                <w:rFonts w:ascii="Calibri" w:hAnsi="Calibri"/>
                <w:b w:val="0"/>
                <w:i w:val="0"/>
                <w:color w:val="212121"/>
                <w:sz w:val="19"/>
              </w:rPr>
              <w:t>Alcohol</w:t>
            </w:r>
          </w:p>
        </w:tc>
        <w:tc>
          <w:tcPr>
            <w:tcW w:type="dxa" w:w="1944"/>
            <w:vAlign w:val="top"/>
          </w:tcPr>
          <w:p>
            <w:pPr>
              <w:spacing w:after="40" w:before="0" w:line="259" w:lineRule="auto"/>
            </w:pPr>
            <w:r>
              <w:rPr>
                <w:rFonts w:ascii="Calibri" w:hAnsi="Calibri"/>
                <w:b w:val="0"/>
                <w:i w:val="0"/>
                <w:color w:val="212121"/>
                <w:sz w:val="19"/>
              </w:rPr>
              <w:t>Alcohol intake (drinks/week)</w:t>
            </w:r>
          </w:p>
        </w:tc>
        <w:tc>
          <w:tcPr>
            <w:tcW w:type="dxa" w:w="1655"/>
            <w:vAlign w:val="top"/>
          </w:tcPr>
          <w:p>
            <w:pPr>
              <w:spacing w:after="40" w:before="0" w:line="259" w:lineRule="auto"/>
            </w:pPr>
            <w:r>
              <w:rPr>
                <w:rFonts w:ascii="Calibri" w:hAnsi="Calibri"/>
                <w:b w:val="0"/>
                <w:i w:val="0"/>
                <w:color w:val="212121"/>
                <w:sz w:val="19"/>
              </w:rPr>
              <w:t>Adults</w:t>
            </w:r>
          </w:p>
        </w:tc>
        <w:tc>
          <w:tcPr>
            <w:tcW w:type="dxa" w:w="1512"/>
            <w:vAlign w:val="top"/>
          </w:tcPr>
          <w:p>
            <w:pPr>
              <w:spacing w:after="40" w:before="0" w:line="259" w:lineRule="auto"/>
            </w:pPr>
            <w:r>
              <w:rPr>
                <w:rFonts w:ascii="Calibri" w:hAnsi="Calibri"/>
                <w:b w:val="0"/>
                <w:i w:val="0"/>
                <w:color w:val="212121"/>
                <w:sz w:val="19"/>
              </w:rPr>
              <w:t>None to low (≤ moderate limits)</w:t>
            </w:r>
          </w:p>
        </w:tc>
        <w:tc>
          <w:tcPr>
            <w:tcW w:type="dxa" w:w="1512"/>
            <w:vAlign w:val="top"/>
          </w:tcPr>
          <w:p>
            <w:pPr>
              <w:spacing w:after="40" w:before="0" w:line="259" w:lineRule="auto"/>
            </w:pPr>
            <w:r>
              <w:rPr>
                <w:rFonts w:ascii="Calibri" w:hAnsi="Calibri"/>
                <w:b w:val="0"/>
                <w:i w:val="0"/>
                <w:color w:val="212121"/>
                <w:sz w:val="19"/>
              </w:rPr>
              <w:t>Heavy / chronic use</w:t>
            </w:r>
          </w:p>
        </w:tc>
        <w:tc>
          <w:tcPr>
            <w:tcW w:type="dxa" w:w="1468"/>
            <w:vAlign w:val="top"/>
          </w:tcPr>
          <w:p>
            <w:pPr>
              <w:spacing w:after="40" w:before="0" w:line="259" w:lineRule="auto"/>
            </w:pPr>
            <w:r>
              <w:rPr>
                <w:rFonts w:ascii="Calibri" w:hAnsi="Calibri"/>
                <w:b w:val="0"/>
                <w:i w:val="0"/>
                <w:color w:val="212121"/>
                <w:sz w:val="19"/>
              </w:rPr>
              <w:t>Immunosuppression and reduced seizure threshold worsen outcomes</w:t>
            </w:r>
          </w:p>
        </w:tc>
      </w:tr>
      <w:tr>
        <w:trPr>
          <w:cantSplit/>
        </w:trPr>
        <w:tc>
          <w:tcPr>
            <w:tcW w:type="dxa" w:w="1512"/>
            <w:vAlign w:val="center"/>
          </w:tcPr>
          <w:p>
            <w:pPr>
              <w:spacing w:after="40"/>
            </w:pPr>
            <w:r>
              <w:rPr>
                <w:rFonts w:ascii="Calibri" w:hAnsi="Calibri"/>
                <w:b w:val="0"/>
                <w:i w:val="0"/>
                <w:color w:val="212121"/>
                <w:sz w:val="19"/>
              </w:rPr>
              <w:t>Sleep</w:t>
            </w:r>
          </w:p>
        </w:tc>
        <w:tc>
          <w:tcPr>
            <w:tcW w:type="dxa" w:w="1944"/>
            <w:vAlign w:val="top"/>
          </w:tcPr>
          <w:p>
            <w:pPr>
              <w:spacing w:after="40" w:before="0" w:line="259" w:lineRule="auto"/>
            </w:pPr>
            <w:r>
              <w:rPr>
                <w:rFonts w:ascii="Calibri" w:hAnsi="Calibri"/>
                <w:b w:val="0"/>
                <w:i w:val="0"/>
                <w:color w:val="212121"/>
                <w:sz w:val="19"/>
              </w:rPr>
              <w:t>Sleep duration (hours/night)</w:t>
            </w:r>
          </w:p>
        </w:tc>
        <w:tc>
          <w:tcPr>
            <w:tcW w:type="dxa" w:w="1655"/>
            <w:vAlign w:val="top"/>
          </w:tcPr>
          <w:p>
            <w:pPr>
              <w:spacing w:after="40" w:before="0" w:line="259" w:lineRule="auto"/>
            </w:pPr>
            <w:r>
              <w:rPr>
                <w:rFonts w:ascii="Calibri" w:hAnsi="Calibri"/>
                <w:b w:val="0"/>
                <w:i w:val="0"/>
                <w:color w:val="212121"/>
                <w:sz w:val="19"/>
              </w:rPr>
              <w:t>All ages</w:t>
            </w:r>
          </w:p>
        </w:tc>
        <w:tc>
          <w:tcPr>
            <w:tcW w:type="dxa" w:w="1512"/>
            <w:vAlign w:val="top"/>
          </w:tcPr>
          <w:p>
            <w:pPr>
              <w:spacing w:after="40" w:before="0" w:line="259" w:lineRule="auto"/>
            </w:pPr>
            <w:r>
              <w:rPr>
                <w:rFonts w:ascii="Calibri" w:hAnsi="Calibri"/>
                <w:b w:val="0"/>
                <w:i w:val="0"/>
                <w:color w:val="212121"/>
                <w:sz w:val="19"/>
              </w:rPr>
              <w:t>7–9 hours</w:t>
            </w:r>
          </w:p>
        </w:tc>
        <w:tc>
          <w:tcPr>
            <w:tcW w:type="dxa" w:w="1512"/>
            <w:vAlign w:val="top"/>
          </w:tcPr>
          <w:p>
            <w:pPr>
              <w:spacing w:after="40" w:before="0" w:line="259" w:lineRule="auto"/>
            </w:pPr>
            <w:r>
              <w:rPr>
                <w:rFonts w:ascii="Calibri" w:hAnsi="Calibri"/>
                <w:b w:val="0"/>
                <w:i w:val="0"/>
                <w:color w:val="212121"/>
                <w:sz w:val="19"/>
              </w:rPr>
              <w:t>&lt; 6 hours chronically</w:t>
            </w:r>
          </w:p>
        </w:tc>
        <w:tc>
          <w:tcPr>
            <w:tcW w:type="dxa" w:w="1468"/>
            <w:vAlign w:val="top"/>
          </w:tcPr>
          <w:p>
            <w:pPr>
              <w:spacing w:after="40" w:before="0" w:line="259" w:lineRule="auto"/>
            </w:pPr>
            <w:r>
              <w:rPr>
                <w:rFonts w:ascii="Calibri" w:hAnsi="Calibri"/>
                <w:b w:val="0"/>
                <w:i w:val="0"/>
                <w:color w:val="212121"/>
                <w:sz w:val="19"/>
              </w:rPr>
              <w:t>Supports immune function and recovery</w:t>
            </w:r>
          </w:p>
        </w:tc>
      </w:tr>
      <w:tr>
        <w:trPr>
          <w:cantSplit/>
        </w:trPr>
        <w:tc>
          <w:tcPr>
            <w:tcW w:type="dxa" w:w="1512"/>
            <w:vAlign w:val="center"/>
          </w:tcPr>
          <w:p>
            <w:pPr>
              <w:spacing w:after="40"/>
            </w:pPr>
            <w:r>
              <w:rPr>
                <w:rFonts w:ascii="Calibri" w:hAnsi="Calibri"/>
                <w:b w:val="0"/>
                <w:i w:val="0"/>
                <w:color w:val="212121"/>
                <w:sz w:val="19"/>
              </w:rPr>
              <w:t>Smoking</w:t>
            </w:r>
          </w:p>
        </w:tc>
        <w:tc>
          <w:tcPr>
            <w:tcW w:type="dxa" w:w="1944"/>
            <w:vAlign w:val="top"/>
          </w:tcPr>
          <w:p>
            <w:pPr>
              <w:spacing w:after="40" w:before="0" w:line="259" w:lineRule="auto"/>
            </w:pPr>
            <w:r>
              <w:rPr>
                <w:rFonts w:ascii="Calibri" w:hAnsi="Calibri"/>
                <w:b w:val="0"/>
                <w:i w:val="0"/>
                <w:color w:val="212121"/>
                <w:sz w:val="19"/>
              </w:rPr>
              <w:t>Cigarettes per day</w:t>
            </w:r>
          </w:p>
        </w:tc>
        <w:tc>
          <w:tcPr>
            <w:tcW w:type="dxa" w:w="1655"/>
            <w:vAlign w:val="top"/>
          </w:tcPr>
          <w:p>
            <w:pPr>
              <w:spacing w:after="40" w:before="0" w:line="259" w:lineRule="auto"/>
            </w:pPr>
            <w:r>
              <w:rPr>
                <w:rFonts w:ascii="Calibri" w:hAnsi="Calibri"/>
                <w:b w:val="0"/>
                <w:i w:val="0"/>
                <w:color w:val="212121"/>
                <w:sz w:val="19"/>
              </w:rPr>
              <w:t>Adults / caregivers</w:t>
            </w:r>
          </w:p>
        </w:tc>
        <w:tc>
          <w:tcPr>
            <w:tcW w:type="dxa" w:w="1512"/>
            <w:vAlign w:val="top"/>
          </w:tcPr>
          <w:p>
            <w:pPr>
              <w:spacing w:after="40" w:before="0" w:line="259" w:lineRule="auto"/>
            </w:pPr>
            <w:r>
              <w:rPr>
                <w:rFonts w:ascii="Calibri" w:hAnsi="Calibri"/>
                <w:b w:val="0"/>
                <w:i w:val="0"/>
                <w:color w:val="212121"/>
                <w:sz w:val="19"/>
              </w:rPr>
              <w:t>0 cigarettes/day</w:t>
            </w:r>
          </w:p>
        </w:tc>
        <w:tc>
          <w:tcPr>
            <w:tcW w:type="dxa" w:w="1512"/>
            <w:vAlign w:val="top"/>
          </w:tcPr>
          <w:p>
            <w:pPr>
              <w:spacing w:after="40" w:before="0" w:line="259" w:lineRule="auto"/>
            </w:pPr>
            <w:r>
              <w:rPr>
                <w:rFonts w:ascii="Calibri" w:hAnsi="Calibri"/>
                <w:b w:val="0"/>
                <w:i w:val="0"/>
                <w:color w:val="212121"/>
                <w:sz w:val="19"/>
              </w:rPr>
              <w:t>≥ 1 cigarette/day</w:t>
            </w:r>
          </w:p>
        </w:tc>
        <w:tc>
          <w:tcPr>
            <w:tcW w:type="dxa" w:w="1468"/>
            <w:vAlign w:val="top"/>
          </w:tcPr>
          <w:p>
            <w:pPr>
              <w:spacing w:after="40" w:before="0" w:line="259" w:lineRule="auto"/>
            </w:pPr>
            <w:r>
              <w:rPr>
                <w:rFonts w:ascii="Calibri" w:hAnsi="Calibri"/>
                <w:b w:val="0"/>
                <w:i w:val="0"/>
                <w:color w:val="212121"/>
                <w:sz w:val="19"/>
              </w:rPr>
              <w:t>Impairs respiratory mucosal immunity</w:t>
            </w:r>
          </w:p>
        </w:tc>
      </w:tr>
    </w:tbl>
    <w:p>
      <w:pPr>
        <w:spacing w:before="200" w:after="120"/>
      </w:pPr>
      <w:r>
        <w:rPr>
          <w:rFonts w:ascii="Calibri" w:hAnsi="Calibri"/>
          <w:b/>
          <w:i w:val="0"/>
          <w:color w:val="212121"/>
          <w:sz w:val="25"/>
        </w:rPr>
        <w:t>Traditional Health Parameters ( THP )</w:t>
      </w:r>
    </w:p>
    <w:p>
      <w:pPr>
        <w:spacing w:before="160" w:after="120"/>
      </w:pPr>
      <w:r>
        <w:rPr>
          <w:rFonts w:ascii="Calibri" w:hAnsi="Calibri"/>
          <w:b/>
          <w:i w:val="0"/>
          <w:color w:val="212121"/>
          <w:sz w:val="22"/>
        </w:rPr>
        <w:t>Quantitative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1036"/>
            <w:shd w:val="clear" w:color="auto" w:fill="F2F2F2"/>
            <w:vAlign w:val="center"/>
          </w:tcPr>
          <w:p>
            <w:pPr>
              <w:spacing w:after="40" w:before="0" w:line="259" w:lineRule="auto"/>
            </w:pPr>
            <w:r>
              <w:rPr>
                <w:rFonts w:ascii="Calibri" w:hAnsi="Calibri"/>
                <w:b/>
                <w:i w:val="0"/>
                <w:color w:val="212121"/>
                <w:sz w:val="16"/>
              </w:rPr>
              <w:t>Parameter</w:t>
            </w:r>
          </w:p>
        </w:tc>
        <w:tc>
          <w:tcPr>
            <w:tcW w:type="dxa" w:w="892"/>
            <w:shd w:val="clear" w:color="auto" w:fill="F2F2F2"/>
            <w:vAlign w:val="center"/>
          </w:tcPr>
          <w:p>
            <w:pPr>
              <w:spacing w:after="40" w:before="0" w:line="259" w:lineRule="auto"/>
            </w:pPr>
            <w:r>
              <w:rPr>
                <w:rFonts w:ascii="Calibri" w:hAnsi="Calibri"/>
                <w:b/>
                <w:i w:val="0"/>
                <w:color w:val="212121"/>
                <w:sz w:val="16"/>
              </w:rPr>
              <w:t>THP</w:t>
            </w:r>
          </w:p>
        </w:tc>
        <w:tc>
          <w:tcPr>
            <w:tcW w:type="dxa" w:w="950"/>
            <w:shd w:val="clear" w:color="auto" w:fill="F2F2F2"/>
            <w:vAlign w:val="center"/>
          </w:tcPr>
          <w:p>
            <w:pPr>
              <w:spacing w:after="40" w:before="0" w:line="259" w:lineRule="auto"/>
            </w:pPr>
            <w:r>
              <w:rPr>
                <w:rFonts w:ascii="Calibri" w:hAnsi="Calibri"/>
                <w:b/>
                <w:i w:val="0"/>
                <w:color w:val="212121"/>
                <w:sz w:val="16"/>
              </w:rPr>
              <w:t>Normal values</w:t>
            </w:r>
          </w:p>
        </w:tc>
        <w:tc>
          <w:tcPr>
            <w:tcW w:type="dxa" w:w="950"/>
            <w:shd w:val="clear" w:color="auto" w:fill="F2F2F2"/>
            <w:vAlign w:val="center"/>
          </w:tcPr>
          <w:p>
            <w:pPr>
              <w:spacing w:after="40" w:before="0" w:line="259" w:lineRule="auto"/>
            </w:pPr>
            <w:r>
              <w:rPr>
                <w:rFonts w:ascii="Calibri" w:hAnsi="Calibri"/>
                <w:b/>
                <w:i w:val="0"/>
                <w:color w:val="212121"/>
                <w:sz w:val="16"/>
              </w:rPr>
              <w:t>Abnormal values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CSF analysis</w:t>
            </w:r>
          </w:p>
        </w:tc>
        <w:tc>
          <w:tcPr>
            <w:tcW w:type="dxa" w:w="1036"/>
            <w:vAlign w:val="top"/>
          </w:tcPr>
          <w:p>
            <w:pPr>
              <w:spacing w:after="40" w:before="0" w:line="259" w:lineRule="auto"/>
            </w:pPr>
            <w:r>
              <w:rPr>
                <w:rFonts w:ascii="Calibri" w:hAnsi="Calibri"/>
                <w:b w:val="0"/>
                <w:i w:val="0"/>
                <w:color w:val="212121"/>
                <w:sz w:val="16"/>
              </w:rPr>
              <w:t>CSF cell count &amp; differential</w:t>
            </w:r>
          </w:p>
        </w:tc>
        <w:tc>
          <w:tcPr>
            <w:tcW w:type="dxa" w:w="892"/>
            <w:vAlign w:val="top"/>
          </w:tcPr>
          <w:p>
            <w:pPr>
              <w:spacing w:after="40" w:before="0" w:line="259" w:lineRule="auto"/>
            </w:pPr>
            <w:r>
              <w:rPr>
                <w:rFonts w:ascii="Calibri" w:hAnsi="Calibri"/>
                <w:b w:val="0"/>
                <w:i w:val="0"/>
                <w:color w:val="212121"/>
                <w:sz w:val="16"/>
              </w:rPr>
              <w:t>Lumbar puncture</w:t>
            </w:r>
          </w:p>
        </w:tc>
        <w:tc>
          <w:tcPr>
            <w:tcW w:type="dxa" w:w="950"/>
            <w:vAlign w:val="top"/>
          </w:tcPr>
          <w:p>
            <w:pPr>
              <w:spacing w:after="40" w:before="0" w:line="259" w:lineRule="auto"/>
            </w:pPr>
            <w:r>
              <w:rPr>
                <w:rFonts w:ascii="Calibri" w:hAnsi="Calibri"/>
                <w:b w:val="0"/>
                <w:i w:val="0"/>
                <w:color w:val="212121"/>
                <w:sz w:val="16"/>
              </w:rPr>
              <w:t>&lt; 5 WBC/µL</w:t>
            </w:r>
          </w:p>
        </w:tc>
        <w:tc>
          <w:tcPr>
            <w:tcW w:type="dxa" w:w="950"/>
            <w:vAlign w:val="top"/>
          </w:tcPr>
          <w:p>
            <w:pPr>
              <w:spacing w:after="40" w:before="0" w:line="259" w:lineRule="auto"/>
            </w:pPr>
            <w:r>
              <w:rPr>
                <w:rFonts w:ascii="Calibri" w:hAnsi="Calibri"/>
                <w:b w:val="0"/>
                <w:i w:val="0"/>
                <w:color w:val="212121"/>
                <w:sz w:val="16"/>
              </w:rPr>
              <w:t>Lymphocytic pleocytosis 10–500 cells/µL</w:t>
            </w:r>
          </w:p>
        </w:tc>
        <w:tc>
          <w:tcPr>
            <w:tcW w:type="dxa" w:w="1036"/>
            <w:vAlign w:val="top"/>
          </w:tcPr>
          <w:p>
            <w:pPr>
              <w:spacing w:after="40" w:before="0" w:line="259" w:lineRule="auto"/>
            </w:pPr>
            <w:r>
              <w:rPr>
                <w:rFonts w:ascii="Calibri" w:hAnsi="Calibri"/>
                <w:b w:val="0"/>
                <w:i w:val="0"/>
                <w:color w:val="212121"/>
                <w:sz w:val="16"/>
              </w:rPr>
              <w:t>Mononuclear predominance suggests viral encephalitis; neutrophils early</w:t>
            </w:r>
          </w:p>
        </w:tc>
        <w:tc>
          <w:tcPr>
            <w:tcW w:type="dxa" w:w="1036"/>
            <w:vAlign w:val="top"/>
          </w:tcPr>
          <w:p>
            <w:pPr>
              <w:spacing w:after="40" w:before="0" w:line="259" w:lineRule="auto"/>
            </w:pPr>
            <w:r>
              <w:rPr>
                <w:rFonts w:ascii="Calibri" w:hAnsi="Calibri"/>
                <w:b w:val="0"/>
                <w:i w:val="0"/>
                <w:color w:val="212121"/>
                <w:sz w:val="16"/>
              </w:rPr>
              <w:t>Suspected AES, HSE, all encephalitis</w:t>
            </w:r>
          </w:p>
        </w:tc>
        <w:tc>
          <w:tcPr>
            <w:tcW w:type="dxa" w:w="720"/>
            <w:vAlign w:val="top"/>
          </w:tcPr>
          <w:p>
            <w:pPr>
              <w:spacing w:after="40" w:before="0" w:line="259" w:lineRule="auto"/>
            </w:pPr>
            <w:r>
              <w:rPr>
                <w:rFonts w:ascii="Calibri" w:hAnsi="Calibri"/>
                <w:b w:val="0"/>
                <w:i w:val="0"/>
                <w:color w:val="212121"/>
                <w:sz w:val="16"/>
              </w:rPr>
              <w:t>Hygiene; Provoking factors</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Up to ~10% have normal early CSF; check platelets/coagulation before LP</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CSF analysis</w:t>
            </w:r>
          </w:p>
        </w:tc>
        <w:tc>
          <w:tcPr>
            <w:tcW w:type="dxa" w:w="1036"/>
            <w:vAlign w:val="top"/>
          </w:tcPr>
          <w:p>
            <w:pPr>
              <w:spacing w:after="40" w:before="0" w:line="259" w:lineRule="auto"/>
            </w:pPr>
            <w:r>
              <w:rPr>
                <w:rFonts w:ascii="Calibri" w:hAnsi="Calibri"/>
                <w:b w:val="0"/>
                <w:i w:val="0"/>
                <w:color w:val="212121"/>
                <w:sz w:val="16"/>
              </w:rPr>
              <w:t>CSF protein &amp; glucose</w:t>
            </w:r>
          </w:p>
        </w:tc>
        <w:tc>
          <w:tcPr>
            <w:tcW w:type="dxa" w:w="892"/>
            <w:vAlign w:val="top"/>
          </w:tcPr>
          <w:p>
            <w:pPr>
              <w:spacing w:after="40" w:before="0" w:line="259" w:lineRule="auto"/>
            </w:pPr>
            <w:r>
              <w:rPr>
                <w:rFonts w:ascii="Calibri" w:hAnsi="Calibri"/>
                <w:b w:val="0"/>
                <w:i w:val="0"/>
                <w:color w:val="212121"/>
                <w:sz w:val="16"/>
              </w:rPr>
              <w:t>Lumbar puncture</w:t>
            </w:r>
          </w:p>
        </w:tc>
        <w:tc>
          <w:tcPr>
            <w:tcW w:type="dxa" w:w="950"/>
            <w:vAlign w:val="top"/>
          </w:tcPr>
          <w:p>
            <w:pPr>
              <w:spacing w:after="40" w:before="0" w:line="259" w:lineRule="auto"/>
            </w:pPr>
            <w:r>
              <w:rPr>
                <w:rFonts w:ascii="Calibri" w:hAnsi="Calibri"/>
                <w:b w:val="0"/>
                <w:i w:val="0"/>
                <w:color w:val="212121"/>
                <w:sz w:val="16"/>
              </w:rPr>
              <w:t>Protein 15–45 mg/dL; glucose ~2/3 serum</w:t>
            </w:r>
          </w:p>
        </w:tc>
        <w:tc>
          <w:tcPr>
            <w:tcW w:type="dxa" w:w="950"/>
            <w:vAlign w:val="top"/>
          </w:tcPr>
          <w:p>
            <w:pPr>
              <w:spacing w:after="40" w:before="0" w:line="259" w:lineRule="auto"/>
            </w:pPr>
            <w:r>
              <w:rPr>
                <w:rFonts w:ascii="Calibri" w:hAnsi="Calibri"/>
                <w:b w:val="0"/>
                <w:i w:val="0"/>
                <w:color w:val="212121"/>
                <w:sz w:val="16"/>
              </w:rPr>
              <w:t>Mildly raised protein, normal glucose</w:t>
            </w:r>
          </w:p>
        </w:tc>
        <w:tc>
          <w:tcPr>
            <w:tcW w:type="dxa" w:w="1036"/>
            <w:vAlign w:val="top"/>
          </w:tcPr>
          <w:p>
            <w:pPr>
              <w:spacing w:after="40" w:before="0" w:line="259" w:lineRule="auto"/>
            </w:pPr>
            <w:r>
              <w:rPr>
                <w:rFonts w:ascii="Calibri" w:hAnsi="Calibri"/>
                <w:b w:val="0"/>
                <w:i w:val="0"/>
                <w:color w:val="212121"/>
                <w:sz w:val="16"/>
              </w:rPr>
              <w:t>Normal glucose helps exclude bacterial meningitis (which lowers glucose)</w:t>
            </w:r>
          </w:p>
        </w:tc>
        <w:tc>
          <w:tcPr>
            <w:tcW w:type="dxa" w:w="1036"/>
            <w:vAlign w:val="top"/>
          </w:tcPr>
          <w:p>
            <w:pPr>
              <w:spacing w:after="40" w:before="0" w:line="259" w:lineRule="auto"/>
            </w:pPr>
            <w:r>
              <w:rPr>
                <w:rFonts w:ascii="Calibri" w:hAnsi="Calibri"/>
                <w:b w:val="0"/>
                <w:i w:val="0"/>
                <w:color w:val="212121"/>
                <w:sz w:val="16"/>
              </w:rPr>
              <w:t>Suspected encephalitis vs meningitis</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Red cells/xanthochromia hint at necrotising HSV</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Molecular</w:t>
            </w:r>
          </w:p>
        </w:tc>
        <w:tc>
          <w:tcPr>
            <w:tcW w:type="dxa" w:w="1036"/>
            <w:vAlign w:val="top"/>
          </w:tcPr>
          <w:p>
            <w:pPr>
              <w:spacing w:after="40" w:before="0" w:line="259" w:lineRule="auto"/>
            </w:pPr>
            <w:r>
              <w:rPr>
                <w:rFonts w:ascii="Calibri" w:hAnsi="Calibri"/>
                <w:b w:val="0"/>
                <w:i w:val="0"/>
                <w:color w:val="212121"/>
                <w:sz w:val="16"/>
              </w:rPr>
              <w:t>CSF HSV-1/2 DNA PCR</w:t>
            </w:r>
          </w:p>
        </w:tc>
        <w:tc>
          <w:tcPr>
            <w:tcW w:type="dxa" w:w="892"/>
            <w:vAlign w:val="top"/>
          </w:tcPr>
          <w:p>
            <w:pPr>
              <w:spacing w:after="40" w:before="0" w:line="259" w:lineRule="auto"/>
            </w:pPr>
            <w:r>
              <w:rPr>
                <w:rFonts w:ascii="Calibri" w:hAnsi="Calibri"/>
                <w:b w:val="0"/>
                <w:i w:val="0"/>
                <w:color w:val="212121"/>
                <w:sz w:val="16"/>
              </w:rPr>
              <w:t>PCR</w:t>
            </w:r>
          </w:p>
        </w:tc>
        <w:tc>
          <w:tcPr>
            <w:tcW w:type="dxa" w:w="950"/>
            <w:vAlign w:val="top"/>
          </w:tcPr>
          <w:p>
            <w:pPr>
              <w:spacing w:after="40" w:before="0" w:line="259" w:lineRule="auto"/>
            </w:pPr>
            <w:r>
              <w:rPr>
                <w:rFonts w:ascii="Calibri" w:hAnsi="Calibri"/>
                <w:b w:val="0"/>
                <w:i w:val="0"/>
                <w:color w:val="212121"/>
                <w:sz w:val="16"/>
              </w:rPr>
              <w:t>Not detected</w:t>
            </w:r>
          </w:p>
        </w:tc>
        <w:tc>
          <w:tcPr>
            <w:tcW w:type="dxa" w:w="950"/>
            <w:vAlign w:val="top"/>
          </w:tcPr>
          <w:p>
            <w:pPr>
              <w:spacing w:after="40" w:before="0" w:line="259" w:lineRule="auto"/>
            </w:pPr>
            <w:r>
              <w:rPr>
                <w:rFonts w:ascii="Calibri" w:hAnsi="Calibri"/>
                <w:b w:val="0"/>
                <w:i w:val="0"/>
                <w:color w:val="212121"/>
                <w:sz w:val="16"/>
              </w:rPr>
              <w:t>HSV DNA detected</w:t>
            </w:r>
          </w:p>
        </w:tc>
        <w:tc>
          <w:tcPr>
            <w:tcW w:type="dxa" w:w="1036"/>
            <w:vAlign w:val="top"/>
          </w:tcPr>
          <w:p>
            <w:pPr>
              <w:spacing w:after="40" w:before="0" w:line="259" w:lineRule="auto"/>
            </w:pPr>
            <w:r>
              <w:rPr>
                <w:rFonts w:ascii="Calibri" w:hAnsi="Calibri"/>
                <w:b w:val="0"/>
                <w:i w:val="0"/>
                <w:color w:val="212121"/>
                <w:sz w:val="16"/>
              </w:rPr>
              <w:t>Gold standard confirmation of herpes simplex encephalitis</w:t>
            </w:r>
          </w:p>
        </w:tc>
        <w:tc>
          <w:tcPr>
            <w:tcW w:type="dxa" w:w="1036"/>
            <w:vAlign w:val="top"/>
          </w:tcPr>
          <w:p>
            <w:pPr>
              <w:spacing w:after="40" w:before="0" w:line="259" w:lineRule="auto"/>
            </w:pPr>
            <w:r>
              <w:rPr>
                <w:rFonts w:ascii="Calibri" w:hAnsi="Calibri"/>
                <w:b w:val="0"/>
                <w:i w:val="0"/>
                <w:color w:val="212121"/>
                <w:sz w:val="16"/>
              </w:rPr>
              <w:t>Any suspected sporadic encephalitis</w:t>
            </w:r>
          </w:p>
        </w:tc>
        <w:tc>
          <w:tcPr>
            <w:tcW w:type="dxa" w:w="720"/>
            <w:vAlign w:val="top"/>
          </w:tcPr>
          <w:p>
            <w:pPr>
              <w:spacing w:after="40" w:before="0" w:line="259" w:lineRule="auto"/>
            </w:pPr>
            <w:r>
              <w:rPr>
                <w:rFonts w:ascii="Calibri" w:hAnsi="Calibri"/>
                <w:b w:val="0"/>
                <w:i w:val="0"/>
                <w:color w:val="212121"/>
                <w:sz w:val="16"/>
              </w:rPr>
              <w:t>Provoking factors</w:t>
            </w:r>
          </w:p>
        </w:tc>
        <w:tc>
          <w:tcPr>
            <w:tcW w:type="dxa" w:w="720"/>
            <w:vAlign w:val="top"/>
          </w:tcPr>
          <w:p>
            <w:pPr>
              <w:spacing w:after="40" w:before="0" w:line="259" w:lineRule="auto"/>
            </w:pPr>
            <w:r>
              <w:rPr>
                <w:rFonts w:ascii="Calibri" w:hAnsi="Calibri"/>
                <w:b w:val="0"/>
                <w:i w:val="0"/>
                <w:color w:val="212121"/>
                <w:sz w:val="16"/>
              </w:rPr>
              <w:t>Gold standard</w:t>
            </w:r>
          </w:p>
        </w:tc>
        <w:tc>
          <w:tcPr>
            <w:tcW w:type="dxa" w:w="720"/>
            <w:vAlign w:val="top"/>
          </w:tcPr>
          <w:p>
            <w:pPr>
              <w:spacing w:after="40" w:before="0" w:line="259" w:lineRule="auto"/>
            </w:pPr>
            <w:r>
              <w:rPr>
                <w:rFonts w:ascii="Calibri" w:hAnsi="Calibri"/>
                <w:b w:val="0"/>
                <w:i w:val="0"/>
                <w:color w:val="212121"/>
                <w:sz w:val="16"/>
              </w:rPr>
              <w:t>May be falsely negative in first 72 h—repeat if suspicion high; never delay aciclovir</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Serology</w:t>
            </w:r>
          </w:p>
        </w:tc>
        <w:tc>
          <w:tcPr>
            <w:tcW w:type="dxa" w:w="1036"/>
            <w:vAlign w:val="top"/>
          </w:tcPr>
          <w:p>
            <w:pPr>
              <w:spacing w:after="40" w:before="0" w:line="259" w:lineRule="auto"/>
            </w:pPr>
            <w:r>
              <w:rPr>
                <w:rFonts w:ascii="Calibri" w:hAnsi="Calibri"/>
                <w:b w:val="0"/>
                <w:i w:val="0"/>
                <w:color w:val="212121"/>
                <w:sz w:val="16"/>
              </w:rPr>
              <w:t>JEV IgM antibody-capture ELISA (CSF/serum)</w:t>
            </w:r>
          </w:p>
        </w:tc>
        <w:tc>
          <w:tcPr>
            <w:tcW w:type="dxa" w:w="892"/>
            <w:vAlign w:val="top"/>
          </w:tcPr>
          <w:p>
            <w:pPr>
              <w:spacing w:after="40" w:before="0" w:line="259" w:lineRule="auto"/>
            </w:pPr>
            <w:r>
              <w:rPr>
                <w:rFonts w:ascii="Calibri" w:hAnsi="Calibri"/>
                <w:b w:val="0"/>
                <w:i w:val="0"/>
                <w:color w:val="212121"/>
                <w:sz w:val="16"/>
              </w:rPr>
              <w:t>MAC-ELISA</w:t>
            </w:r>
          </w:p>
        </w:tc>
        <w:tc>
          <w:tcPr>
            <w:tcW w:type="dxa" w:w="950"/>
            <w:vAlign w:val="top"/>
          </w:tcPr>
          <w:p>
            <w:pPr>
              <w:spacing w:after="40" w:before="0" w:line="259" w:lineRule="auto"/>
            </w:pPr>
            <w:r>
              <w:rPr>
                <w:rFonts w:ascii="Calibri" w:hAnsi="Calibri"/>
                <w:b w:val="0"/>
                <w:i w:val="0"/>
                <w:color w:val="212121"/>
                <w:sz w:val="16"/>
              </w:rPr>
              <w:t>Negative</w:t>
            </w:r>
          </w:p>
        </w:tc>
        <w:tc>
          <w:tcPr>
            <w:tcW w:type="dxa" w:w="950"/>
            <w:vAlign w:val="top"/>
          </w:tcPr>
          <w:p>
            <w:pPr>
              <w:spacing w:after="40" w:before="0" w:line="259" w:lineRule="auto"/>
            </w:pPr>
            <w:r>
              <w:rPr>
                <w:rFonts w:ascii="Calibri" w:hAnsi="Calibri"/>
                <w:b w:val="0"/>
                <w:i w:val="0"/>
                <w:color w:val="212121"/>
                <w:sz w:val="16"/>
              </w:rPr>
              <w:t>IgM positive</w:t>
            </w:r>
          </w:p>
        </w:tc>
        <w:tc>
          <w:tcPr>
            <w:tcW w:type="dxa" w:w="1036"/>
            <w:vAlign w:val="top"/>
          </w:tcPr>
          <w:p>
            <w:pPr>
              <w:spacing w:after="40" w:before="0" w:line="259" w:lineRule="auto"/>
            </w:pPr>
            <w:r>
              <w:rPr>
                <w:rFonts w:ascii="Calibri" w:hAnsi="Calibri"/>
                <w:b w:val="0"/>
                <w:i w:val="0"/>
                <w:color w:val="212121"/>
                <w:sz w:val="16"/>
              </w:rPr>
              <w:t>Confirms Japanese encephalitis; satisfies AES surveillance case definition</w:t>
            </w:r>
          </w:p>
        </w:tc>
        <w:tc>
          <w:tcPr>
            <w:tcW w:type="dxa" w:w="1036"/>
            <w:vAlign w:val="top"/>
          </w:tcPr>
          <w:p>
            <w:pPr>
              <w:spacing w:after="40" w:before="0" w:line="259" w:lineRule="auto"/>
            </w:pPr>
            <w:r>
              <w:rPr>
                <w:rFonts w:ascii="Calibri" w:hAnsi="Calibri"/>
                <w:b w:val="0"/>
                <w:i w:val="0"/>
                <w:color w:val="212121"/>
                <w:sz w:val="16"/>
              </w:rPr>
              <w:t>AES in endemic districts, children</w:t>
            </w:r>
          </w:p>
        </w:tc>
        <w:tc>
          <w:tcPr>
            <w:tcW w:type="dxa" w:w="720"/>
            <w:vAlign w:val="top"/>
          </w:tcPr>
          <w:p>
            <w:pPr>
              <w:spacing w:after="40" w:before="0" w:line="259" w:lineRule="auto"/>
            </w:pPr>
            <w:r>
              <w:rPr>
                <w:rFonts w:ascii="Calibri" w:hAnsi="Calibri"/>
                <w:b w:val="0"/>
                <w:i w:val="0"/>
                <w:color w:val="212121"/>
                <w:sz w:val="16"/>
              </w:rPr>
              <w:t>Hygiene; Water</w:t>
            </w:r>
          </w:p>
        </w:tc>
        <w:tc>
          <w:tcPr>
            <w:tcW w:type="dxa" w:w="720"/>
            <w:vAlign w:val="top"/>
          </w:tcPr>
          <w:p>
            <w:pPr>
              <w:spacing w:after="40" w:before="0" w:line="259" w:lineRule="auto"/>
            </w:pPr>
            <w:r>
              <w:rPr>
                <w:rFonts w:ascii="Calibri" w:hAnsi="Calibri"/>
                <w:b w:val="0"/>
                <w:i w:val="0"/>
                <w:color w:val="212121"/>
                <w:sz w:val="16"/>
              </w:rPr>
              <w:t>Confirmatory</w:t>
            </w:r>
          </w:p>
        </w:tc>
        <w:tc>
          <w:tcPr>
            <w:tcW w:type="dxa" w:w="720"/>
            <w:vAlign w:val="top"/>
          </w:tcPr>
          <w:p>
            <w:pPr>
              <w:spacing w:after="40" w:before="0" w:line="259" w:lineRule="auto"/>
            </w:pPr>
            <w:r>
              <w:rPr>
                <w:rFonts w:ascii="Calibri" w:hAnsi="Calibri"/>
                <w:b w:val="0"/>
                <w:i w:val="0"/>
                <w:color w:val="212121"/>
                <w:sz w:val="16"/>
              </w:rPr>
              <w:t>Cross-reactivity with dengue possible</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Radiological</w:t>
            </w:r>
          </w:p>
        </w:tc>
        <w:tc>
          <w:tcPr>
            <w:tcW w:type="dxa" w:w="1036"/>
            <w:vAlign w:val="top"/>
          </w:tcPr>
          <w:p>
            <w:pPr>
              <w:spacing w:after="40" w:before="0" w:line="259" w:lineRule="auto"/>
            </w:pPr>
            <w:r>
              <w:rPr>
                <w:rFonts w:ascii="Calibri" w:hAnsi="Calibri"/>
                <w:b w:val="0"/>
                <w:i w:val="0"/>
                <w:color w:val="212121"/>
                <w:sz w:val="16"/>
              </w:rPr>
              <w:t>MRI brain (with DWI/FLAIR)</w:t>
            </w:r>
          </w:p>
        </w:tc>
        <w:tc>
          <w:tcPr>
            <w:tcW w:type="dxa" w:w="892"/>
            <w:vAlign w:val="top"/>
          </w:tcPr>
          <w:p>
            <w:pPr>
              <w:spacing w:after="40" w:before="0" w:line="259" w:lineRule="auto"/>
            </w:pPr>
            <w:r>
              <w:rPr>
                <w:rFonts w:ascii="Calibri" w:hAnsi="Calibri"/>
                <w:b w:val="0"/>
                <w:i w:val="0"/>
                <w:color w:val="212121"/>
                <w:sz w:val="16"/>
              </w:rPr>
              <w:t>MRI</w:t>
            </w:r>
          </w:p>
        </w:tc>
        <w:tc>
          <w:tcPr>
            <w:tcW w:type="dxa" w:w="950"/>
            <w:vAlign w:val="top"/>
          </w:tcPr>
          <w:p>
            <w:pPr>
              <w:spacing w:after="40" w:before="0" w:line="259" w:lineRule="auto"/>
            </w:pPr>
            <w:r>
              <w:rPr>
                <w:rFonts w:ascii="Calibri" w:hAnsi="Calibri"/>
                <w:b w:val="0"/>
                <w:i w:val="0"/>
                <w:color w:val="212121"/>
                <w:sz w:val="16"/>
              </w:rPr>
              <w:t>No parenchymal signal change</w:t>
            </w:r>
          </w:p>
        </w:tc>
        <w:tc>
          <w:tcPr>
            <w:tcW w:type="dxa" w:w="950"/>
            <w:vAlign w:val="top"/>
          </w:tcPr>
          <w:p>
            <w:pPr>
              <w:spacing w:after="40" w:before="0" w:line="259" w:lineRule="auto"/>
            </w:pPr>
            <w:r>
              <w:rPr>
                <w:rFonts w:ascii="Calibri" w:hAnsi="Calibri"/>
                <w:b w:val="0"/>
                <w:i w:val="0"/>
                <w:color w:val="212121"/>
                <w:sz w:val="16"/>
              </w:rPr>
              <w:t>Temporal-limbic hyperintensity (HSE); thalamic/basal-ganglia lesions (JE)</w:t>
            </w:r>
          </w:p>
        </w:tc>
        <w:tc>
          <w:tcPr>
            <w:tcW w:type="dxa" w:w="1036"/>
            <w:vAlign w:val="top"/>
          </w:tcPr>
          <w:p>
            <w:pPr>
              <w:spacing w:after="40" w:before="0" w:line="259" w:lineRule="auto"/>
            </w:pPr>
            <w:r>
              <w:rPr>
                <w:rFonts w:ascii="Calibri" w:hAnsi="Calibri"/>
                <w:b w:val="0"/>
                <w:i w:val="0"/>
                <w:color w:val="212121"/>
                <w:sz w:val="16"/>
              </w:rPr>
              <w:t>Most sensitive imaging; localises and characterises encephalitis</w:t>
            </w:r>
          </w:p>
        </w:tc>
        <w:tc>
          <w:tcPr>
            <w:tcW w:type="dxa" w:w="1036"/>
            <w:vAlign w:val="top"/>
          </w:tcPr>
          <w:p>
            <w:pPr>
              <w:spacing w:after="40" w:before="0" w:line="259" w:lineRule="auto"/>
            </w:pPr>
            <w:r>
              <w:rPr>
                <w:rFonts w:ascii="Calibri" w:hAnsi="Calibri"/>
                <w:b w:val="0"/>
                <w:i w:val="0"/>
                <w:color w:val="212121"/>
                <w:sz w:val="16"/>
              </w:rPr>
              <w:t>All encephalitis, especially suspected HSE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High</w:t>
            </w:r>
          </w:p>
        </w:tc>
        <w:tc>
          <w:tcPr>
            <w:tcW w:type="dxa" w:w="720"/>
            <w:vAlign w:val="top"/>
          </w:tcPr>
          <w:p>
            <w:pPr>
              <w:spacing w:after="40" w:before="0" w:line="259" w:lineRule="auto"/>
            </w:pPr>
            <w:r>
              <w:rPr>
                <w:rFonts w:ascii="Calibri" w:hAnsi="Calibri"/>
                <w:b w:val="0"/>
                <w:i w:val="0"/>
                <w:color w:val="212121"/>
                <w:sz w:val="16"/>
              </w:rPr>
              <w:t>Superior to CT; may be normal in first 48 h</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Neurophysiology</w:t>
            </w:r>
          </w:p>
        </w:tc>
        <w:tc>
          <w:tcPr>
            <w:tcW w:type="dxa" w:w="1036"/>
            <w:vAlign w:val="top"/>
          </w:tcPr>
          <w:p>
            <w:pPr>
              <w:spacing w:after="40" w:before="0" w:line="259" w:lineRule="auto"/>
            </w:pPr>
            <w:r>
              <w:rPr>
                <w:rFonts w:ascii="Calibri" w:hAnsi="Calibri"/>
                <w:b w:val="0"/>
                <w:i w:val="0"/>
                <w:color w:val="212121"/>
                <w:sz w:val="16"/>
              </w:rPr>
              <w:t>Electroencephalogram (EEG)</w:t>
            </w:r>
          </w:p>
        </w:tc>
        <w:tc>
          <w:tcPr>
            <w:tcW w:type="dxa" w:w="892"/>
            <w:vAlign w:val="top"/>
          </w:tcPr>
          <w:p>
            <w:pPr>
              <w:spacing w:after="40" w:before="0" w:line="259" w:lineRule="auto"/>
            </w:pPr>
            <w:r>
              <w:rPr>
                <w:rFonts w:ascii="Calibri" w:hAnsi="Calibri"/>
                <w:b w:val="0"/>
                <w:i w:val="0"/>
                <w:color w:val="212121"/>
                <w:sz w:val="16"/>
              </w:rPr>
              <w:t>EEG</w:t>
            </w:r>
          </w:p>
        </w:tc>
        <w:tc>
          <w:tcPr>
            <w:tcW w:type="dxa" w:w="950"/>
            <w:vAlign w:val="top"/>
          </w:tcPr>
          <w:p>
            <w:pPr>
              <w:spacing w:after="40" w:before="0" w:line="259" w:lineRule="auto"/>
            </w:pPr>
            <w:r>
              <w:rPr>
                <w:rFonts w:ascii="Calibri" w:hAnsi="Calibri"/>
                <w:b w:val="0"/>
                <w:i w:val="0"/>
                <w:color w:val="212121"/>
                <w:sz w:val="16"/>
              </w:rPr>
              <w:t>Normal background</w:t>
            </w:r>
          </w:p>
        </w:tc>
        <w:tc>
          <w:tcPr>
            <w:tcW w:type="dxa" w:w="950"/>
            <w:vAlign w:val="top"/>
          </w:tcPr>
          <w:p>
            <w:pPr>
              <w:spacing w:after="40" w:before="0" w:line="259" w:lineRule="auto"/>
            </w:pPr>
            <w:r>
              <w:rPr>
                <w:rFonts w:ascii="Calibri" w:hAnsi="Calibri"/>
                <w:b w:val="0"/>
                <w:i w:val="0"/>
                <w:color w:val="212121"/>
                <w:sz w:val="16"/>
              </w:rPr>
              <w:t>Diffuse slowing; temporal PLEDs</w:t>
            </w:r>
          </w:p>
        </w:tc>
        <w:tc>
          <w:tcPr>
            <w:tcW w:type="dxa" w:w="1036"/>
            <w:vAlign w:val="top"/>
          </w:tcPr>
          <w:p>
            <w:pPr>
              <w:spacing w:after="40" w:before="0" w:line="259" w:lineRule="auto"/>
            </w:pPr>
            <w:r>
              <w:rPr>
                <w:rFonts w:ascii="Calibri" w:hAnsi="Calibri"/>
                <w:b w:val="0"/>
                <w:i w:val="0"/>
                <w:color w:val="212121"/>
                <w:sz w:val="16"/>
              </w:rPr>
              <w:t>Periodic lateralised epileptiform discharges support HSE and detect non-convulsive seizures</w:t>
            </w:r>
          </w:p>
        </w:tc>
        <w:tc>
          <w:tcPr>
            <w:tcW w:type="dxa" w:w="1036"/>
            <w:vAlign w:val="top"/>
          </w:tcPr>
          <w:p>
            <w:pPr>
              <w:spacing w:after="40" w:before="0" w:line="259" w:lineRule="auto"/>
            </w:pPr>
            <w:r>
              <w:rPr>
                <w:rFonts w:ascii="Calibri" w:hAnsi="Calibri"/>
                <w:b w:val="0"/>
                <w:i w:val="0"/>
                <w:color w:val="212121"/>
                <w:sz w:val="16"/>
              </w:rPr>
              <w:t>Altered sensorium, suspected seizures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Useful when MRI/PCR pending</w:t>
            </w:r>
          </w:p>
        </w:tc>
      </w:tr>
      <w:tr>
        <w:trPr>
          <w:cantSplit/>
        </w:trPr>
        <w:tc>
          <w:tcPr>
            <w:tcW w:type="dxa" w:w="892"/>
            <w:vAlign w:val="top"/>
          </w:tcPr>
          <w:p>
            <w:pPr>
              <w:spacing w:after="40" w:before="0" w:line="259" w:lineRule="auto"/>
            </w:pPr>
            <w:r>
              <w:rPr>
                <w:rFonts w:ascii="Calibri" w:hAnsi="Calibri"/>
                <w:b w:val="0"/>
                <w:i w:val="0"/>
                <w:color w:val="212121"/>
                <w:sz w:val="16"/>
              </w:rPr>
              <w:t>Investigation</w:t>
            </w:r>
          </w:p>
        </w:tc>
        <w:tc>
          <w:tcPr>
            <w:tcW w:type="dxa" w:w="835"/>
            <w:vAlign w:val="top"/>
          </w:tcPr>
          <w:p>
            <w:pPr>
              <w:spacing w:after="40" w:before="0" w:line="259" w:lineRule="auto"/>
            </w:pPr>
            <w:r>
              <w:rPr>
                <w:rFonts w:ascii="Calibri" w:hAnsi="Calibri"/>
                <w:b w:val="0"/>
                <w:i w:val="0"/>
                <w:color w:val="212121"/>
                <w:sz w:val="16"/>
              </w:rPr>
              <w:t>Biochemical</w:t>
            </w:r>
          </w:p>
        </w:tc>
        <w:tc>
          <w:tcPr>
            <w:tcW w:type="dxa" w:w="1036"/>
            <w:vAlign w:val="top"/>
          </w:tcPr>
          <w:p>
            <w:pPr>
              <w:spacing w:after="40" w:before="0" w:line="259" w:lineRule="auto"/>
            </w:pPr>
            <w:r>
              <w:rPr>
                <w:rFonts w:ascii="Calibri" w:hAnsi="Calibri"/>
                <w:b w:val="0"/>
                <w:i w:val="0"/>
                <w:color w:val="212121"/>
                <w:sz w:val="16"/>
              </w:rPr>
              <w:t>Serum sodium</w:t>
            </w:r>
          </w:p>
        </w:tc>
        <w:tc>
          <w:tcPr>
            <w:tcW w:type="dxa" w:w="892"/>
            <w:vAlign w:val="top"/>
          </w:tcPr>
          <w:p>
            <w:pPr>
              <w:spacing w:after="40" w:before="0" w:line="259" w:lineRule="auto"/>
            </w:pPr>
            <w:r>
              <w:rPr>
                <w:rFonts w:ascii="Calibri" w:hAnsi="Calibri"/>
                <w:b w:val="0"/>
                <w:i w:val="0"/>
                <w:color w:val="212121"/>
                <w:sz w:val="16"/>
              </w:rPr>
              <w:t>Electrolyte panel</w:t>
            </w:r>
          </w:p>
        </w:tc>
        <w:tc>
          <w:tcPr>
            <w:tcW w:type="dxa" w:w="950"/>
            <w:vAlign w:val="top"/>
          </w:tcPr>
          <w:p>
            <w:pPr>
              <w:spacing w:after="40" w:before="0" w:line="259" w:lineRule="auto"/>
            </w:pPr>
            <w:r>
              <w:rPr>
                <w:rFonts w:ascii="Calibri" w:hAnsi="Calibri"/>
                <w:b w:val="0"/>
                <w:i w:val="0"/>
                <w:color w:val="212121"/>
                <w:sz w:val="16"/>
              </w:rPr>
              <w:t>135–145 mmol/L</w:t>
            </w:r>
          </w:p>
        </w:tc>
        <w:tc>
          <w:tcPr>
            <w:tcW w:type="dxa" w:w="950"/>
            <w:vAlign w:val="top"/>
          </w:tcPr>
          <w:p>
            <w:pPr>
              <w:spacing w:after="40" w:before="0" w:line="259" w:lineRule="auto"/>
            </w:pPr>
            <w:r>
              <w:rPr>
                <w:rFonts w:ascii="Calibri" w:hAnsi="Calibri"/>
                <w:b w:val="0"/>
                <w:i w:val="0"/>
                <w:color w:val="212121"/>
                <w:sz w:val="16"/>
              </w:rPr>
              <w:t>&lt; 135 mmol/L (hyponatraemia)</w:t>
            </w:r>
          </w:p>
        </w:tc>
        <w:tc>
          <w:tcPr>
            <w:tcW w:type="dxa" w:w="1036"/>
            <w:vAlign w:val="top"/>
          </w:tcPr>
          <w:p>
            <w:pPr>
              <w:spacing w:after="40" w:before="0" w:line="259" w:lineRule="auto"/>
            </w:pPr>
            <w:r>
              <w:rPr>
                <w:rFonts w:ascii="Calibri" w:hAnsi="Calibri"/>
                <w:b w:val="0"/>
                <w:i w:val="0"/>
                <w:color w:val="212121"/>
                <w:sz w:val="16"/>
              </w:rPr>
              <w:t>SIADH/hyponatraemia is common and aggravates cerebral oedema</w:t>
            </w:r>
          </w:p>
        </w:tc>
        <w:tc>
          <w:tcPr>
            <w:tcW w:type="dxa" w:w="1036"/>
            <w:vAlign w:val="top"/>
          </w:tcPr>
          <w:p>
            <w:pPr>
              <w:spacing w:after="40" w:before="0" w:line="259" w:lineRule="auto"/>
            </w:pPr>
            <w:r>
              <w:rPr>
                <w:rFonts w:ascii="Calibri" w:hAnsi="Calibri"/>
                <w:b w:val="0"/>
                <w:i w:val="0"/>
                <w:color w:val="212121"/>
                <w:sz w:val="16"/>
              </w:rPr>
              <w:t>JE and severe encephalitis</w:t>
            </w:r>
          </w:p>
        </w:tc>
        <w:tc>
          <w:tcPr>
            <w:tcW w:type="dxa" w:w="720"/>
            <w:vAlign w:val="top"/>
          </w:tcPr>
          <w:p>
            <w:pPr>
              <w:spacing w:after="40" w:before="0" w:line="259" w:lineRule="auto"/>
            </w:pPr>
            <w:r>
              <w:rPr>
                <w:rFonts w:ascii="Calibri" w:hAnsi="Calibri"/>
                <w:b w:val="0"/>
                <w:i w:val="0"/>
                <w:color w:val="212121"/>
                <w:sz w:val="16"/>
              </w:rPr>
              <w:t>Water</w:t>
            </w:r>
          </w:p>
        </w:tc>
        <w:tc>
          <w:tcPr>
            <w:tcW w:type="dxa" w:w="720"/>
            <w:vAlign w:val="top"/>
          </w:tcPr>
          <w:p>
            <w:pPr>
              <w:spacing w:after="40" w:before="0" w:line="259" w:lineRule="auto"/>
            </w:pPr>
            <w:r>
              <w:rPr>
                <w:rFonts w:ascii="Calibri" w:hAnsi="Calibri"/>
                <w:b w:val="0"/>
                <w:i w:val="0"/>
                <w:color w:val="212121"/>
                <w:sz w:val="16"/>
              </w:rPr>
              <w:t>Monitoring</w:t>
            </w:r>
          </w:p>
        </w:tc>
        <w:tc>
          <w:tcPr>
            <w:tcW w:type="dxa" w:w="720"/>
            <w:vAlign w:val="top"/>
          </w:tcPr>
          <w:p>
            <w:pPr>
              <w:spacing w:after="40" w:before="0" w:line="259" w:lineRule="auto"/>
            </w:pPr>
            <w:r>
              <w:rPr>
                <w:rFonts w:ascii="Calibri" w:hAnsi="Calibri"/>
                <w:b w:val="0"/>
                <w:i w:val="0"/>
                <w:color w:val="212121"/>
                <w:sz w:val="16"/>
              </w:rPr>
              <w:t>Correct cautiously to avoid osmotic demyelination</w:t>
            </w:r>
          </w:p>
        </w:tc>
      </w:tr>
    </w:tbl>
    <w:p>
      <w:pPr>
        <w:spacing w:before="160" w:after="120"/>
      </w:pPr>
      <w:r>
        <w:rPr>
          <w:rFonts w:ascii="Calibri" w:hAnsi="Calibri"/>
          <w:b/>
          <w:i w:val="0"/>
          <w:color w:val="212121"/>
          <w:sz w:val="22"/>
        </w:rPr>
        <w:t>Qualitative THP</w:t>
      </w:r>
    </w:p>
    <w:tbl>
      <w:tblPr>
        <w:tblW w:type="dxa" w:w="9792"/>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873"/>
        <w:gridCol w:w="873"/>
        <w:gridCol w:w="873"/>
        <w:gridCol w:w="873"/>
        <w:gridCol w:w="873"/>
        <w:gridCol w:w="873"/>
        <w:gridCol w:w="873"/>
        <w:gridCol w:w="873"/>
        <w:gridCol w:w="873"/>
        <w:gridCol w:w="873"/>
        <w:gridCol w:w="873"/>
      </w:tblGrid>
      <w:tr>
        <w:trPr>
          <w:cantSplit/>
        </w:trPr>
        <w:tc>
          <w:tcPr>
            <w:tcW w:type="dxa" w:w="892"/>
            <w:shd w:val="clear" w:color="auto" w:fill="F2F2F2"/>
            <w:vAlign w:val="center"/>
          </w:tcPr>
          <w:p>
            <w:pPr>
              <w:spacing w:after="40" w:before="0" w:line="259" w:lineRule="auto"/>
            </w:pPr>
            <w:r>
              <w:rPr>
                <w:rFonts w:ascii="Calibri" w:hAnsi="Calibri"/>
                <w:b/>
                <w:i w:val="0"/>
                <w:color w:val="212121"/>
                <w:sz w:val="16"/>
              </w:rPr>
              <w:t>Diagnostic Workup</w:t>
            </w:r>
          </w:p>
        </w:tc>
        <w:tc>
          <w:tcPr>
            <w:tcW w:type="dxa" w:w="835"/>
            <w:shd w:val="clear" w:color="auto" w:fill="F2F2F2"/>
            <w:vAlign w:val="center"/>
          </w:tcPr>
          <w:p>
            <w:pPr>
              <w:spacing w:after="40" w:before="0" w:line="259" w:lineRule="auto"/>
            </w:pPr>
            <w:r>
              <w:rPr>
                <w:rFonts w:ascii="Calibri" w:hAnsi="Calibri"/>
                <w:b/>
                <w:i w:val="0"/>
                <w:color w:val="212121"/>
                <w:sz w:val="16"/>
              </w:rPr>
              <w:t>Tests</w:t>
            </w:r>
          </w:p>
        </w:tc>
        <w:tc>
          <w:tcPr>
            <w:tcW w:type="dxa" w:w="950"/>
            <w:shd w:val="clear" w:color="auto" w:fill="F2F2F2"/>
            <w:vAlign w:val="center"/>
          </w:tcPr>
          <w:p>
            <w:pPr>
              <w:spacing w:after="40" w:before="0" w:line="259" w:lineRule="auto"/>
            </w:pPr>
            <w:r>
              <w:rPr>
                <w:rFonts w:ascii="Calibri" w:hAnsi="Calibri"/>
                <w:b/>
                <w:i w:val="0"/>
                <w:color w:val="212121"/>
                <w:sz w:val="16"/>
              </w:rPr>
              <w:t>THP</w:t>
            </w:r>
          </w:p>
        </w:tc>
        <w:tc>
          <w:tcPr>
            <w:tcW w:type="dxa" w:w="979"/>
            <w:shd w:val="clear" w:color="auto" w:fill="F2F2F2"/>
            <w:vAlign w:val="center"/>
          </w:tcPr>
          <w:p>
            <w:pPr>
              <w:spacing w:after="40" w:before="0" w:line="259" w:lineRule="auto"/>
            </w:pPr>
            <w:r>
              <w:rPr>
                <w:rFonts w:ascii="Calibri" w:hAnsi="Calibri"/>
                <w:b/>
                <w:i w:val="0"/>
                <w:color w:val="212121"/>
                <w:sz w:val="16"/>
              </w:rPr>
              <w:t>Parameter</w:t>
            </w:r>
          </w:p>
        </w:tc>
        <w:tc>
          <w:tcPr>
            <w:tcW w:type="dxa" w:w="950"/>
            <w:shd w:val="clear" w:color="auto" w:fill="F2F2F2"/>
            <w:vAlign w:val="center"/>
          </w:tcPr>
          <w:p>
            <w:pPr>
              <w:spacing w:after="40" w:before="0" w:line="259" w:lineRule="auto"/>
            </w:pPr>
            <w:r>
              <w:rPr>
                <w:rFonts w:ascii="Calibri" w:hAnsi="Calibri"/>
                <w:b/>
                <w:i w:val="0"/>
                <w:color w:val="212121"/>
                <w:sz w:val="16"/>
              </w:rPr>
              <w:t>Normal findings</w:t>
            </w:r>
          </w:p>
        </w:tc>
        <w:tc>
          <w:tcPr>
            <w:tcW w:type="dxa" w:w="950"/>
            <w:shd w:val="clear" w:color="auto" w:fill="F2F2F2"/>
            <w:vAlign w:val="center"/>
          </w:tcPr>
          <w:p>
            <w:pPr>
              <w:spacing w:after="40" w:before="0" w:line="259" w:lineRule="auto"/>
            </w:pPr>
            <w:r>
              <w:rPr>
                <w:rFonts w:ascii="Calibri" w:hAnsi="Calibri"/>
                <w:b/>
                <w:i w:val="0"/>
                <w:color w:val="212121"/>
                <w:sz w:val="16"/>
              </w:rPr>
              <w:t>Abnormal findings</w:t>
            </w:r>
          </w:p>
        </w:tc>
        <w:tc>
          <w:tcPr>
            <w:tcW w:type="dxa" w:w="1036"/>
            <w:shd w:val="clear" w:color="auto" w:fill="F2F2F2"/>
            <w:vAlign w:val="center"/>
          </w:tcPr>
          <w:p>
            <w:pPr>
              <w:spacing w:after="40" w:before="0" w:line="259" w:lineRule="auto"/>
            </w:pPr>
            <w:r>
              <w:rPr>
                <w:rFonts w:ascii="Calibri" w:hAnsi="Calibri"/>
                <w:b/>
                <w:i w:val="0"/>
                <w:color w:val="212121"/>
                <w:sz w:val="16"/>
              </w:rPr>
              <w:t>Interpretation</w:t>
            </w:r>
          </w:p>
        </w:tc>
        <w:tc>
          <w:tcPr>
            <w:tcW w:type="dxa" w:w="1036"/>
            <w:shd w:val="clear" w:color="auto" w:fill="F2F2F2"/>
            <w:vAlign w:val="center"/>
          </w:tcPr>
          <w:p>
            <w:pPr>
              <w:spacing w:after="40" w:before="0" w:line="259" w:lineRule="auto"/>
            </w:pPr>
            <w:r>
              <w:rPr>
                <w:rFonts w:ascii="Calibri" w:hAnsi="Calibri"/>
                <w:b/>
                <w:i w:val="0"/>
                <w:color w:val="212121"/>
                <w:sz w:val="16"/>
              </w:rPr>
              <w:t>Profiles</w:t>
            </w:r>
          </w:p>
        </w:tc>
        <w:tc>
          <w:tcPr>
            <w:tcW w:type="dxa" w:w="720"/>
            <w:shd w:val="clear" w:color="auto" w:fill="F2F2F2"/>
            <w:vAlign w:val="center"/>
          </w:tcPr>
          <w:p>
            <w:pPr>
              <w:spacing w:after="40" w:before="0" w:line="259" w:lineRule="auto"/>
            </w:pPr>
            <w:r>
              <w:rPr>
                <w:rFonts w:ascii="Calibri" w:hAnsi="Calibri"/>
                <w:b/>
                <w:i w:val="0"/>
                <w:color w:val="212121"/>
                <w:sz w:val="16"/>
              </w:rPr>
              <w:t>LHP</w:t>
            </w:r>
          </w:p>
        </w:tc>
        <w:tc>
          <w:tcPr>
            <w:tcW w:type="dxa" w:w="720"/>
            <w:shd w:val="clear" w:color="auto" w:fill="F2F2F2"/>
            <w:vAlign w:val="center"/>
          </w:tcPr>
          <w:p>
            <w:pPr>
              <w:spacing w:after="40" w:before="0" w:line="259" w:lineRule="auto"/>
            </w:pPr>
            <w:r>
              <w:rPr>
                <w:rFonts w:ascii="Calibri" w:hAnsi="Calibri"/>
                <w:b/>
                <w:i w:val="0"/>
                <w:color w:val="212121"/>
                <w:sz w:val="16"/>
              </w:rPr>
              <w:t>Importance</w:t>
            </w:r>
          </w:p>
        </w:tc>
        <w:tc>
          <w:tcPr>
            <w:tcW w:type="dxa" w:w="720"/>
            <w:shd w:val="clear" w:color="auto" w:fill="F2F2F2"/>
            <w:vAlign w:val="center"/>
          </w:tcPr>
          <w:p>
            <w:pPr>
              <w:spacing w:after="40" w:before="0" w:line="259" w:lineRule="auto"/>
            </w:pPr>
            <w:r>
              <w:rPr>
                <w:rFonts w:ascii="Calibri" w:hAnsi="Calibri"/>
                <w:b/>
                <w:i w:val="0"/>
                <w:color w:val="212121"/>
                <w:sz w:val="16"/>
              </w:rPr>
              <w:t>Note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Chief complaints</w:t>
            </w:r>
          </w:p>
        </w:tc>
        <w:tc>
          <w:tcPr>
            <w:tcW w:type="dxa" w:w="979"/>
            <w:vAlign w:val="top"/>
          </w:tcPr>
          <w:p>
            <w:pPr>
              <w:spacing w:after="40" w:before="0" w:line="259" w:lineRule="auto"/>
            </w:pPr>
            <w:r>
              <w:rPr>
                <w:rFonts w:ascii="Calibri" w:hAnsi="Calibri"/>
                <w:b w:val="0"/>
                <w:i w:val="0"/>
                <w:color w:val="212121"/>
                <w:sz w:val="16"/>
              </w:rPr>
              <w:t>Fever with altered sensorium / behaviour change</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Acute febrile encephalopathy</w:t>
            </w:r>
          </w:p>
        </w:tc>
        <w:tc>
          <w:tcPr>
            <w:tcW w:type="dxa" w:w="1036"/>
            <w:vAlign w:val="top"/>
          </w:tcPr>
          <w:p>
            <w:pPr>
              <w:spacing w:after="40" w:before="0" w:line="259" w:lineRule="auto"/>
            </w:pPr>
            <w:r>
              <w:rPr>
                <w:rFonts w:ascii="Calibri" w:hAnsi="Calibri"/>
                <w:b w:val="0"/>
                <w:i w:val="0"/>
                <w:color w:val="212121"/>
                <w:sz w:val="16"/>
              </w:rPr>
              <w:t>Core AES / encephalitis presentation demanding urgent work-up</w:t>
            </w:r>
          </w:p>
        </w:tc>
        <w:tc>
          <w:tcPr>
            <w:tcW w:type="dxa" w:w="1036"/>
            <w:vAlign w:val="top"/>
          </w:tcPr>
          <w:p>
            <w:pPr>
              <w:spacing w:after="40" w:before="0" w:line="259" w:lineRule="auto"/>
            </w:pPr>
            <w:r>
              <w:rPr>
                <w:rFonts w:ascii="Calibri" w:hAnsi="Calibri"/>
                <w:b w:val="0"/>
                <w:i w:val="0"/>
                <w:color w:val="212121"/>
                <w:sz w:val="16"/>
              </w:rPr>
              <w:t>Children and adults with acute fever + confusion</w:t>
            </w:r>
          </w:p>
        </w:tc>
        <w:tc>
          <w:tcPr>
            <w:tcW w:type="dxa" w:w="720"/>
            <w:vAlign w:val="top"/>
          </w:tcPr>
          <w:p>
            <w:pPr>
              <w:spacing w:after="40" w:before="0" w:line="259" w:lineRule="auto"/>
            </w:pPr>
            <w:r>
              <w:rPr>
                <w:rFonts w:ascii="Calibri" w:hAnsi="Calibri"/>
                <w:b w:val="0"/>
                <w:i w:val="0"/>
                <w:color w:val="212121"/>
                <w:sz w:val="16"/>
              </w:rPr>
              <w:t>Hygiene</w:t>
            </w:r>
          </w:p>
        </w:tc>
        <w:tc>
          <w:tcPr>
            <w:tcW w:type="dxa" w:w="720"/>
            <w:vAlign w:val="top"/>
          </w:tcPr>
          <w:p>
            <w:pPr>
              <w:spacing w:after="40" w:before="0" w:line="259" w:lineRule="auto"/>
            </w:pPr>
            <w:r>
              <w:rPr>
                <w:rFonts w:ascii="Calibri" w:hAnsi="Calibri"/>
                <w:b w:val="0"/>
                <w:i w:val="0"/>
                <w:color w:val="212121"/>
                <w:sz w:val="16"/>
              </w:rPr>
              <w:t>Screening</w:t>
            </w:r>
          </w:p>
        </w:tc>
        <w:tc>
          <w:tcPr>
            <w:tcW w:type="dxa" w:w="720"/>
            <w:vAlign w:val="top"/>
          </w:tcPr>
          <w:p>
            <w:pPr>
              <w:spacing w:after="40" w:before="0" w:line="259" w:lineRule="auto"/>
            </w:pPr>
            <w:r>
              <w:rPr>
                <w:rFonts w:ascii="Calibri" w:hAnsi="Calibri"/>
                <w:b w:val="0"/>
                <w:i w:val="0"/>
                <w:color w:val="212121"/>
                <w:sz w:val="16"/>
              </w:rPr>
              <w:t>Personality/behaviour change may precede coma in HSE</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History</w:t>
            </w:r>
          </w:p>
        </w:tc>
        <w:tc>
          <w:tcPr>
            <w:tcW w:type="dxa" w:w="950"/>
            <w:vAlign w:val="top"/>
          </w:tcPr>
          <w:p>
            <w:pPr>
              <w:spacing w:after="40" w:before="0" w:line="259" w:lineRule="auto"/>
            </w:pPr>
            <w:r>
              <w:rPr>
                <w:rFonts w:ascii="Calibri" w:hAnsi="Calibri"/>
                <w:b w:val="0"/>
                <w:i w:val="0"/>
                <w:color w:val="212121"/>
                <w:sz w:val="16"/>
              </w:rPr>
              <w:t>Exposure history</w:t>
            </w:r>
          </w:p>
        </w:tc>
        <w:tc>
          <w:tcPr>
            <w:tcW w:type="dxa" w:w="979"/>
            <w:vAlign w:val="top"/>
          </w:tcPr>
          <w:p>
            <w:pPr>
              <w:spacing w:after="40" w:before="0" w:line="259" w:lineRule="auto"/>
            </w:pPr>
            <w:r>
              <w:rPr>
                <w:rFonts w:ascii="Calibri" w:hAnsi="Calibri"/>
                <w:b w:val="0"/>
                <w:i w:val="0"/>
                <w:color w:val="212121"/>
                <w:sz w:val="16"/>
              </w:rPr>
              <w:t>Rural/paddy, mosquito, pig contact, raw sap, immunosuppression, travel</w:t>
            </w:r>
          </w:p>
        </w:tc>
        <w:tc>
          <w:tcPr>
            <w:tcW w:type="dxa" w:w="950"/>
            <w:vAlign w:val="top"/>
          </w:tcPr>
          <w:p>
            <w:pPr>
              <w:spacing w:after="40" w:before="0" w:line="259" w:lineRule="auto"/>
            </w:pPr>
            <w:r>
              <w:rPr>
                <w:rFonts w:ascii="Calibri" w:hAnsi="Calibri"/>
                <w:b w:val="0"/>
                <w:i w:val="0"/>
                <w:color w:val="212121"/>
                <w:sz w:val="16"/>
              </w:rPr>
              <w:t>No relevant exposure</w:t>
            </w:r>
          </w:p>
        </w:tc>
        <w:tc>
          <w:tcPr>
            <w:tcW w:type="dxa" w:w="950"/>
            <w:vAlign w:val="top"/>
          </w:tcPr>
          <w:p>
            <w:pPr>
              <w:spacing w:after="40" w:before="0" w:line="259" w:lineRule="auto"/>
            </w:pPr>
            <w:r>
              <w:rPr>
                <w:rFonts w:ascii="Calibri" w:hAnsi="Calibri"/>
                <w:b w:val="0"/>
                <w:i w:val="0"/>
                <w:color w:val="212121"/>
                <w:sz w:val="16"/>
              </w:rPr>
              <w:t>One or more positive exposures</w:t>
            </w:r>
          </w:p>
        </w:tc>
        <w:tc>
          <w:tcPr>
            <w:tcW w:type="dxa" w:w="1036"/>
            <w:vAlign w:val="top"/>
          </w:tcPr>
          <w:p>
            <w:pPr>
              <w:spacing w:after="40" w:before="0" w:line="259" w:lineRule="auto"/>
            </w:pPr>
            <w:r>
              <w:rPr>
                <w:rFonts w:ascii="Calibri" w:hAnsi="Calibri"/>
                <w:b w:val="0"/>
                <w:i w:val="0"/>
                <w:color w:val="212121"/>
                <w:sz w:val="16"/>
              </w:rPr>
              <w:t>Narrows likely aetiology (JE, Nipah, opportunistic)</w:t>
            </w:r>
          </w:p>
        </w:tc>
        <w:tc>
          <w:tcPr>
            <w:tcW w:type="dxa" w:w="1036"/>
            <w:vAlign w:val="top"/>
          </w:tcPr>
          <w:p>
            <w:pPr>
              <w:spacing w:after="40" w:before="0" w:line="259" w:lineRule="auto"/>
            </w:pPr>
            <w:r>
              <w:rPr>
                <w:rFonts w:ascii="Calibri" w:hAnsi="Calibri"/>
                <w:b w:val="0"/>
                <w:i w:val="0"/>
                <w:color w:val="212121"/>
                <w:sz w:val="16"/>
              </w:rPr>
              <w:t>Endemic-area residents, immunocompromised</w:t>
            </w:r>
          </w:p>
        </w:tc>
        <w:tc>
          <w:tcPr>
            <w:tcW w:type="dxa" w:w="720"/>
            <w:vAlign w:val="top"/>
          </w:tcPr>
          <w:p>
            <w:pPr>
              <w:spacing w:after="40" w:before="0" w:line="259" w:lineRule="auto"/>
            </w:pPr>
            <w:r>
              <w:rPr>
                <w:rFonts w:ascii="Calibri" w:hAnsi="Calibri"/>
                <w:b w:val="0"/>
                <w:i w:val="0"/>
                <w:color w:val="212121"/>
                <w:sz w:val="16"/>
              </w:rPr>
              <w:t>Provoking factors; Food</w:t>
            </w:r>
          </w:p>
        </w:tc>
        <w:tc>
          <w:tcPr>
            <w:tcW w:type="dxa" w:w="720"/>
            <w:vAlign w:val="top"/>
          </w:tcPr>
          <w:p>
            <w:pPr>
              <w:spacing w:after="40" w:before="0" w:line="259" w:lineRule="auto"/>
            </w:pPr>
            <w:r>
              <w:rPr>
                <w:rFonts w:ascii="Calibri" w:hAnsi="Calibri"/>
                <w:b w:val="0"/>
                <w:i w:val="0"/>
                <w:color w:val="212121"/>
                <w:sz w:val="16"/>
              </w:rPr>
              <w:t>Prognostic</w:t>
            </w:r>
          </w:p>
        </w:tc>
        <w:tc>
          <w:tcPr>
            <w:tcW w:type="dxa" w:w="720"/>
            <w:vAlign w:val="top"/>
          </w:tcPr>
          <w:p>
            <w:pPr>
              <w:spacing w:after="40" w:before="0" w:line="259" w:lineRule="auto"/>
            </w:pPr>
            <w:r>
              <w:rPr>
                <w:rFonts w:ascii="Calibri" w:hAnsi="Calibri"/>
                <w:b w:val="0"/>
                <w:i w:val="0"/>
                <w:color w:val="212121"/>
                <w:sz w:val="16"/>
              </w:rPr>
              <w:t>Ask about season and animal contact</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Level of consciousness</w:t>
            </w:r>
          </w:p>
        </w:tc>
        <w:tc>
          <w:tcPr>
            <w:tcW w:type="dxa" w:w="979"/>
            <w:vAlign w:val="top"/>
          </w:tcPr>
          <w:p>
            <w:pPr>
              <w:spacing w:after="40" w:before="0" w:line="259" w:lineRule="auto"/>
            </w:pPr>
            <w:r>
              <w:rPr>
                <w:rFonts w:ascii="Calibri" w:hAnsi="Calibri"/>
                <w:b w:val="0"/>
                <w:i w:val="0"/>
                <w:color w:val="212121"/>
                <w:sz w:val="16"/>
              </w:rPr>
              <w:t>Glasgow Coma Scale (GCS)</w:t>
            </w:r>
          </w:p>
        </w:tc>
        <w:tc>
          <w:tcPr>
            <w:tcW w:type="dxa" w:w="950"/>
            <w:vAlign w:val="top"/>
          </w:tcPr>
          <w:p>
            <w:pPr>
              <w:spacing w:after="40" w:before="0" w:line="259" w:lineRule="auto"/>
            </w:pPr>
            <w:r>
              <w:rPr>
                <w:rFonts w:ascii="Calibri" w:hAnsi="Calibri"/>
                <w:b w:val="0"/>
                <w:i w:val="0"/>
                <w:color w:val="212121"/>
                <w:sz w:val="16"/>
              </w:rPr>
              <w:t>15/15</w:t>
            </w:r>
          </w:p>
        </w:tc>
        <w:tc>
          <w:tcPr>
            <w:tcW w:type="dxa" w:w="950"/>
            <w:vAlign w:val="top"/>
          </w:tcPr>
          <w:p>
            <w:pPr>
              <w:spacing w:after="40" w:before="0" w:line="259" w:lineRule="auto"/>
            </w:pPr>
            <w:r>
              <w:rPr>
                <w:rFonts w:ascii="Calibri" w:hAnsi="Calibri"/>
                <w:b w:val="0"/>
                <w:i w:val="0"/>
                <w:color w:val="212121"/>
                <w:sz w:val="16"/>
              </w:rPr>
              <w:t>&lt; 15 or declining</w:t>
            </w:r>
          </w:p>
        </w:tc>
        <w:tc>
          <w:tcPr>
            <w:tcW w:type="dxa" w:w="1036"/>
            <w:vAlign w:val="top"/>
          </w:tcPr>
          <w:p>
            <w:pPr>
              <w:spacing w:after="40" w:before="0" w:line="259" w:lineRule="auto"/>
            </w:pPr>
            <w:r>
              <w:rPr>
                <w:rFonts w:ascii="Calibri" w:hAnsi="Calibri"/>
                <w:b w:val="0"/>
                <w:i w:val="0"/>
                <w:color w:val="212121"/>
                <w:sz w:val="16"/>
              </w:rPr>
              <w:t>Grades severity and guides ICU/airway triage</w:t>
            </w:r>
          </w:p>
        </w:tc>
        <w:tc>
          <w:tcPr>
            <w:tcW w:type="dxa" w:w="1036"/>
            <w:vAlign w:val="top"/>
          </w:tcPr>
          <w:p>
            <w:pPr>
              <w:spacing w:after="40" w:before="0" w:line="259" w:lineRule="auto"/>
            </w:pPr>
            <w:r>
              <w:rPr>
                <w:rFonts w:ascii="Calibri" w:hAnsi="Calibri"/>
                <w:b w:val="0"/>
                <w:i w:val="0"/>
                <w:color w:val="212121"/>
                <w:sz w:val="16"/>
              </w:rPr>
              <w:t>All encephalitis patients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Essential</w:t>
            </w:r>
          </w:p>
        </w:tc>
        <w:tc>
          <w:tcPr>
            <w:tcW w:type="dxa" w:w="720"/>
            <w:vAlign w:val="top"/>
          </w:tcPr>
          <w:p>
            <w:pPr>
              <w:spacing w:after="40" w:before="0" w:line="259" w:lineRule="auto"/>
            </w:pPr>
            <w:r>
              <w:rPr>
                <w:rFonts w:ascii="Calibri" w:hAnsi="Calibri"/>
                <w:b w:val="0"/>
                <w:i w:val="0"/>
                <w:color w:val="212121"/>
                <w:sz w:val="16"/>
              </w:rPr>
              <w:t>Serial GCS detects deterioration and raised ICP</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Focal neurological deficit</w:t>
            </w:r>
          </w:p>
        </w:tc>
        <w:tc>
          <w:tcPr>
            <w:tcW w:type="dxa" w:w="979"/>
            <w:vAlign w:val="top"/>
          </w:tcPr>
          <w:p>
            <w:pPr>
              <w:spacing w:after="40" w:before="0" w:line="259" w:lineRule="auto"/>
            </w:pPr>
            <w:r>
              <w:rPr>
                <w:rFonts w:ascii="Calibri" w:hAnsi="Calibri"/>
                <w:b w:val="0"/>
                <w:i w:val="0"/>
                <w:color w:val="212121"/>
                <w:sz w:val="16"/>
              </w:rPr>
              <w:t>Aphasia, hemiparesis, cranial-nerve signs</w:t>
            </w:r>
          </w:p>
        </w:tc>
        <w:tc>
          <w:tcPr>
            <w:tcW w:type="dxa" w:w="950"/>
            <w:vAlign w:val="top"/>
          </w:tcPr>
          <w:p>
            <w:pPr>
              <w:spacing w:after="40" w:before="0" w:line="259" w:lineRule="auto"/>
            </w:pPr>
            <w:r>
              <w:rPr>
                <w:rFonts w:ascii="Calibri" w:hAnsi="Calibri"/>
                <w:b w:val="0"/>
                <w:i w:val="0"/>
                <w:color w:val="212121"/>
                <w:sz w:val="16"/>
              </w:rPr>
              <w:t>None</w:t>
            </w:r>
          </w:p>
        </w:tc>
        <w:tc>
          <w:tcPr>
            <w:tcW w:type="dxa" w:w="950"/>
            <w:vAlign w:val="top"/>
          </w:tcPr>
          <w:p>
            <w:pPr>
              <w:spacing w:after="40" w:before="0" w:line="259" w:lineRule="auto"/>
            </w:pPr>
            <w:r>
              <w:rPr>
                <w:rFonts w:ascii="Calibri" w:hAnsi="Calibri"/>
                <w:b w:val="0"/>
                <w:i w:val="0"/>
                <w:color w:val="212121"/>
                <w:sz w:val="16"/>
              </w:rPr>
              <w:t>Focal deficit present</w:t>
            </w:r>
          </w:p>
        </w:tc>
        <w:tc>
          <w:tcPr>
            <w:tcW w:type="dxa" w:w="1036"/>
            <w:vAlign w:val="top"/>
          </w:tcPr>
          <w:p>
            <w:pPr>
              <w:spacing w:after="40" w:before="0" w:line="259" w:lineRule="auto"/>
            </w:pPr>
            <w:r>
              <w:rPr>
                <w:rFonts w:ascii="Calibri" w:hAnsi="Calibri"/>
                <w:b w:val="0"/>
                <w:i w:val="0"/>
                <w:color w:val="212121"/>
                <w:sz w:val="16"/>
              </w:rPr>
              <w:t>Temporal-lobe deficits (aphasia, memory) favour HSE</w:t>
            </w:r>
          </w:p>
        </w:tc>
        <w:tc>
          <w:tcPr>
            <w:tcW w:type="dxa" w:w="1036"/>
            <w:vAlign w:val="top"/>
          </w:tcPr>
          <w:p>
            <w:pPr>
              <w:spacing w:after="40" w:before="0" w:line="259" w:lineRule="auto"/>
            </w:pPr>
            <w:r>
              <w:rPr>
                <w:rFonts w:ascii="Calibri" w:hAnsi="Calibri"/>
                <w:b w:val="0"/>
                <w:i w:val="0"/>
                <w:color w:val="212121"/>
                <w:sz w:val="16"/>
              </w:rPr>
              <w:t>Suspected HSE</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Localizing</w:t>
            </w:r>
          </w:p>
        </w:tc>
        <w:tc>
          <w:tcPr>
            <w:tcW w:type="dxa" w:w="720"/>
            <w:vAlign w:val="top"/>
          </w:tcPr>
          <w:p>
            <w:pPr>
              <w:spacing w:after="40" w:before="0" w:line="259" w:lineRule="auto"/>
            </w:pPr>
            <w:r>
              <w:rPr>
                <w:rFonts w:ascii="Calibri" w:hAnsi="Calibri"/>
                <w:b w:val="0"/>
                <w:i w:val="0"/>
                <w:color w:val="212121"/>
                <w:sz w:val="16"/>
              </w:rPr>
              <w:t>Document baseline for rehabilitation planning</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Meningeal signs</w:t>
            </w:r>
          </w:p>
        </w:tc>
        <w:tc>
          <w:tcPr>
            <w:tcW w:type="dxa" w:w="979"/>
            <w:vAlign w:val="top"/>
          </w:tcPr>
          <w:p>
            <w:pPr>
              <w:spacing w:after="40" w:before="0" w:line="259" w:lineRule="auto"/>
            </w:pPr>
            <w:r>
              <w:rPr>
                <w:rFonts w:ascii="Calibri" w:hAnsi="Calibri"/>
                <w:b w:val="0"/>
                <w:i w:val="0"/>
                <w:color w:val="212121"/>
                <w:sz w:val="16"/>
              </w:rPr>
              <w:t>Neck stiffness, Kernig/Brudzinski</w:t>
            </w:r>
          </w:p>
        </w:tc>
        <w:tc>
          <w:tcPr>
            <w:tcW w:type="dxa" w:w="950"/>
            <w:vAlign w:val="top"/>
          </w:tcPr>
          <w:p>
            <w:pPr>
              <w:spacing w:after="40" w:before="0" w:line="259" w:lineRule="auto"/>
            </w:pPr>
            <w:r>
              <w:rPr>
                <w:rFonts w:ascii="Calibri" w:hAnsi="Calibri"/>
                <w:b w:val="0"/>
                <w:i w:val="0"/>
                <w:color w:val="212121"/>
                <w:sz w:val="16"/>
              </w:rPr>
              <w:t>Absent</w:t>
            </w:r>
          </w:p>
        </w:tc>
        <w:tc>
          <w:tcPr>
            <w:tcW w:type="dxa" w:w="950"/>
            <w:vAlign w:val="top"/>
          </w:tcPr>
          <w:p>
            <w:pPr>
              <w:spacing w:after="40" w:before="0" w:line="259" w:lineRule="auto"/>
            </w:pPr>
            <w:r>
              <w:rPr>
                <w:rFonts w:ascii="Calibri" w:hAnsi="Calibri"/>
                <w:b w:val="0"/>
                <w:i w:val="0"/>
                <w:color w:val="212121"/>
                <w:sz w:val="16"/>
              </w:rPr>
              <w:t>Present</w:t>
            </w:r>
          </w:p>
        </w:tc>
        <w:tc>
          <w:tcPr>
            <w:tcW w:type="dxa" w:w="1036"/>
            <w:vAlign w:val="top"/>
          </w:tcPr>
          <w:p>
            <w:pPr>
              <w:spacing w:after="40" w:before="0" w:line="259" w:lineRule="auto"/>
            </w:pPr>
            <w:r>
              <w:rPr>
                <w:rFonts w:ascii="Calibri" w:hAnsi="Calibri"/>
                <w:b w:val="0"/>
                <w:i w:val="0"/>
                <w:color w:val="212121"/>
                <w:sz w:val="16"/>
              </w:rPr>
              <w:t>Indicates meningoencephalitis / meningeal irritation</w:t>
            </w:r>
          </w:p>
        </w:tc>
        <w:tc>
          <w:tcPr>
            <w:tcW w:type="dxa" w:w="1036"/>
            <w:vAlign w:val="top"/>
          </w:tcPr>
          <w:p>
            <w:pPr>
              <w:spacing w:after="40" w:before="0" w:line="259" w:lineRule="auto"/>
            </w:pPr>
            <w:r>
              <w:rPr>
                <w:rFonts w:ascii="Calibri" w:hAnsi="Calibri"/>
                <w:b w:val="0"/>
                <w:i w:val="0"/>
                <w:color w:val="212121"/>
                <w:sz w:val="16"/>
              </w:rPr>
              <w:t>Encephalitis with meningism</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Supportive</w:t>
            </w:r>
          </w:p>
        </w:tc>
        <w:tc>
          <w:tcPr>
            <w:tcW w:type="dxa" w:w="720"/>
            <w:vAlign w:val="top"/>
          </w:tcPr>
          <w:p>
            <w:pPr>
              <w:spacing w:after="40" w:before="0" w:line="259" w:lineRule="auto"/>
            </w:pPr>
            <w:r>
              <w:rPr>
                <w:rFonts w:ascii="Calibri" w:hAnsi="Calibri"/>
                <w:b w:val="0"/>
                <w:i w:val="0"/>
                <w:color w:val="212121"/>
                <w:sz w:val="16"/>
              </w:rPr>
              <w:t>Absence does not exclude encephalitis</w:t>
            </w:r>
          </w:p>
        </w:tc>
      </w:tr>
      <w:tr>
        <w:trPr>
          <w:cantSplit/>
        </w:trPr>
        <w:tc>
          <w:tcPr>
            <w:tcW w:type="dxa" w:w="892"/>
            <w:vAlign w:val="top"/>
          </w:tcPr>
          <w:p>
            <w:pPr>
              <w:spacing w:after="40" w:before="0" w:line="259" w:lineRule="auto"/>
            </w:pPr>
            <w:r>
              <w:rPr>
                <w:rFonts w:ascii="Calibri" w:hAnsi="Calibri"/>
                <w:b w:val="0"/>
                <w:i w:val="0"/>
                <w:color w:val="212121"/>
                <w:sz w:val="16"/>
              </w:rPr>
              <w:t>Clinical Examination</w:t>
            </w:r>
          </w:p>
        </w:tc>
        <w:tc>
          <w:tcPr>
            <w:tcW w:type="dxa" w:w="835"/>
            <w:vAlign w:val="top"/>
          </w:tcPr>
          <w:p>
            <w:pPr>
              <w:spacing w:after="40" w:before="0" w:line="259" w:lineRule="auto"/>
            </w:pPr>
            <w:r>
              <w:rPr>
                <w:rFonts w:ascii="Calibri" w:hAnsi="Calibri"/>
                <w:b w:val="0"/>
                <w:i w:val="0"/>
                <w:color w:val="212121"/>
                <w:sz w:val="16"/>
              </w:rPr>
              <w:t>Physical</w:t>
            </w:r>
          </w:p>
        </w:tc>
        <w:tc>
          <w:tcPr>
            <w:tcW w:type="dxa" w:w="950"/>
            <w:vAlign w:val="top"/>
          </w:tcPr>
          <w:p>
            <w:pPr>
              <w:spacing w:after="40" w:before="0" w:line="259" w:lineRule="auto"/>
            </w:pPr>
            <w:r>
              <w:rPr>
                <w:rFonts w:ascii="Calibri" w:hAnsi="Calibri"/>
                <w:b w:val="0"/>
                <w:i w:val="0"/>
                <w:color w:val="212121"/>
                <w:sz w:val="16"/>
              </w:rPr>
              <w:t>Fundoscopy</w:t>
            </w:r>
          </w:p>
        </w:tc>
        <w:tc>
          <w:tcPr>
            <w:tcW w:type="dxa" w:w="979"/>
            <w:vAlign w:val="top"/>
          </w:tcPr>
          <w:p>
            <w:pPr>
              <w:spacing w:after="40" w:before="0" w:line="259" w:lineRule="auto"/>
            </w:pPr>
            <w:r>
              <w:rPr>
                <w:rFonts w:ascii="Calibri" w:hAnsi="Calibri"/>
                <w:b w:val="0"/>
                <w:i w:val="0"/>
                <w:color w:val="212121"/>
                <w:sz w:val="16"/>
              </w:rPr>
              <w:t>Optic disc / papilloedema</w:t>
            </w:r>
          </w:p>
        </w:tc>
        <w:tc>
          <w:tcPr>
            <w:tcW w:type="dxa" w:w="950"/>
            <w:vAlign w:val="top"/>
          </w:tcPr>
          <w:p>
            <w:pPr>
              <w:spacing w:after="40" w:before="0" w:line="259" w:lineRule="auto"/>
            </w:pPr>
            <w:r>
              <w:rPr>
                <w:rFonts w:ascii="Calibri" w:hAnsi="Calibri"/>
                <w:b w:val="0"/>
                <w:i w:val="0"/>
                <w:color w:val="212121"/>
                <w:sz w:val="16"/>
              </w:rPr>
              <w:t>Sharp disc margins</w:t>
            </w:r>
          </w:p>
        </w:tc>
        <w:tc>
          <w:tcPr>
            <w:tcW w:type="dxa" w:w="950"/>
            <w:vAlign w:val="top"/>
          </w:tcPr>
          <w:p>
            <w:pPr>
              <w:spacing w:after="40" w:before="0" w:line="259" w:lineRule="auto"/>
            </w:pPr>
            <w:r>
              <w:rPr>
                <w:rFonts w:ascii="Calibri" w:hAnsi="Calibri"/>
                <w:b w:val="0"/>
                <w:i w:val="0"/>
                <w:color w:val="212121"/>
                <w:sz w:val="16"/>
              </w:rPr>
              <w:t>Papilloedema</w:t>
            </w:r>
          </w:p>
        </w:tc>
        <w:tc>
          <w:tcPr>
            <w:tcW w:type="dxa" w:w="1036"/>
            <w:vAlign w:val="top"/>
          </w:tcPr>
          <w:p>
            <w:pPr>
              <w:spacing w:after="40" w:before="0" w:line="259" w:lineRule="auto"/>
            </w:pPr>
            <w:r>
              <w:rPr>
                <w:rFonts w:ascii="Calibri" w:hAnsi="Calibri"/>
                <w:b w:val="0"/>
                <w:i w:val="0"/>
                <w:color w:val="212121"/>
                <w:sz w:val="16"/>
              </w:rPr>
              <w:t>Suggests raised intracranial pressure</w:t>
            </w:r>
          </w:p>
        </w:tc>
        <w:tc>
          <w:tcPr>
            <w:tcW w:type="dxa" w:w="1036"/>
            <w:vAlign w:val="top"/>
          </w:tcPr>
          <w:p>
            <w:pPr>
              <w:spacing w:after="40" w:before="0" w:line="259" w:lineRule="auto"/>
            </w:pPr>
            <w:r>
              <w:rPr>
                <w:rFonts w:ascii="Calibri" w:hAnsi="Calibri"/>
                <w:b w:val="0"/>
                <w:i w:val="0"/>
                <w:color w:val="212121"/>
                <w:sz w:val="16"/>
              </w:rPr>
              <w:t>Depressed consciousness, focal signs</w:t>
            </w:r>
          </w:p>
        </w:tc>
        <w:tc>
          <w:tcPr>
            <w:tcW w:type="dxa" w:w="720"/>
            <w:vAlign w:val="top"/>
          </w:tcPr>
          <w:p>
            <w:pPr>
              <w:spacing w:after="40" w:before="0" w:line="259" w:lineRule="auto"/>
            </w:pPr>
            <w:r>
              <w:rPr>
                <w:rFonts w:ascii="Calibri" w:hAnsi="Calibri"/>
                <w:b w:val="0"/>
                <w:i w:val="0"/>
                <w:color w:val="212121"/>
                <w:sz w:val="16"/>
              </w:rPr>
              <w:t>NA</w:t>
            </w:r>
          </w:p>
        </w:tc>
        <w:tc>
          <w:tcPr>
            <w:tcW w:type="dxa" w:w="720"/>
            <w:vAlign w:val="top"/>
          </w:tcPr>
          <w:p>
            <w:pPr>
              <w:spacing w:after="40" w:before="0" w:line="259" w:lineRule="auto"/>
            </w:pPr>
            <w:r>
              <w:rPr>
                <w:rFonts w:ascii="Calibri" w:hAnsi="Calibri"/>
                <w:b w:val="0"/>
                <w:i w:val="0"/>
                <w:color w:val="212121"/>
                <w:sz w:val="16"/>
              </w:rPr>
              <w:t>Safety</w:t>
            </w:r>
          </w:p>
        </w:tc>
        <w:tc>
          <w:tcPr>
            <w:tcW w:type="dxa" w:w="720"/>
            <w:vAlign w:val="top"/>
          </w:tcPr>
          <w:p>
            <w:pPr>
              <w:spacing w:after="40" w:before="0" w:line="259" w:lineRule="auto"/>
            </w:pPr>
            <w:r>
              <w:rPr>
                <w:rFonts w:ascii="Calibri" w:hAnsi="Calibri"/>
                <w:b w:val="0"/>
                <w:i w:val="0"/>
                <w:color w:val="212121"/>
                <w:sz w:val="16"/>
              </w:rPr>
              <w:t>Assess before lumbar puncture / consider imaging first</w:t>
            </w:r>
          </w:p>
        </w:tc>
      </w:tr>
    </w:tbl>
    <w:p>
      <w:pPr>
        <w:spacing w:before="200" w:after="120"/>
      </w:pPr>
      <w:r>
        <w:rPr>
          <w:rFonts w:ascii="Calibri" w:hAnsi="Calibri"/>
          <w:b/>
          <w:i w:val="0"/>
          <w:color w:val="212121"/>
          <w:sz w:val="25"/>
        </w:rPr>
        <w:t>Clinical features</w:t>
      </w:r>
    </w:p>
    <w:p>
      <w:pPr>
        <w:spacing w:before="160" w:after="120"/>
      </w:pPr>
      <w:r>
        <w:rPr>
          <w:rFonts w:ascii="Calibri" w:hAnsi="Calibri"/>
          <w:b/>
          <w:i w:val="0"/>
          <w:color w:val="212121"/>
          <w:sz w:val="22"/>
        </w:rPr>
        <w:t>Symptoms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304"/>
            <w:shd w:val="clear" w:color="auto" w:fill="F2F2F2"/>
            <w:vAlign w:val="center"/>
          </w:tcPr>
          <w:p>
            <w:pPr>
              <w:spacing w:after="40" w:before="0" w:line="259" w:lineRule="auto"/>
            </w:pPr>
            <w:r>
              <w:rPr>
                <w:rFonts w:ascii="Calibri" w:hAnsi="Calibri"/>
                <w:b/>
                <w:i w:val="0"/>
                <w:color w:val="212121"/>
                <w:sz w:val="19"/>
              </w:rPr>
              <w:t>Symptom</w:t>
            </w:r>
          </w:p>
        </w:tc>
        <w:tc>
          <w:tcPr>
            <w:tcW w:type="dxa" w:w="1584"/>
            <w:shd w:val="clear" w:color="auto" w:fill="F2F2F2"/>
            <w:vAlign w:val="center"/>
          </w:tcPr>
          <w:p>
            <w:pPr>
              <w:spacing w:after="40" w:before="0" w:line="259" w:lineRule="auto"/>
            </w:pPr>
            <w:r>
              <w:rPr>
                <w:rFonts w:ascii="Calibri" w:hAnsi="Calibri"/>
                <w:b/>
                <w:i w:val="0"/>
                <w:color w:val="212121"/>
                <w:sz w:val="19"/>
              </w:rPr>
              <w:t>Type</w:t>
            </w:r>
          </w:p>
        </w:tc>
        <w:tc>
          <w:tcPr>
            <w:tcW w:type="dxa" w:w="5716"/>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304"/>
            <w:vAlign w:val="top"/>
          </w:tcPr>
          <w:p>
            <w:pPr>
              <w:spacing w:after="40" w:before="0" w:line="259" w:lineRule="auto"/>
            </w:pPr>
            <w:r>
              <w:rPr>
                <w:rFonts w:ascii="Calibri" w:hAnsi="Calibri"/>
                <w:b/>
                <w:i w:val="0"/>
                <w:color w:val="212121"/>
                <w:sz w:val="19"/>
              </w:rPr>
              <w:t>Fever</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Acute febrile onset accompanies most infective encephalitides.</w:t>
            </w:r>
          </w:p>
        </w:tc>
      </w:tr>
      <w:tr>
        <w:trPr>
          <w:cantSplit/>
        </w:trPr>
        <w:tc>
          <w:tcPr>
            <w:tcW w:type="dxa" w:w="2304"/>
            <w:vAlign w:val="top"/>
          </w:tcPr>
          <w:p>
            <w:pPr>
              <w:spacing w:after="40" w:before="0" w:line="259" w:lineRule="auto"/>
            </w:pPr>
            <w:r>
              <w:rPr>
                <w:rFonts w:ascii="Calibri" w:hAnsi="Calibri"/>
                <w:b/>
                <w:i w:val="0"/>
                <w:color w:val="212121"/>
                <w:sz w:val="19"/>
              </w:rPr>
              <w:t>Headache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Often severe and diffuse due to meningeal and parenchymal inflammation.</w:t>
            </w:r>
          </w:p>
        </w:tc>
      </w:tr>
      <w:tr>
        <w:trPr>
          <w:cantSplit/>
        </w:trPr>
        <w:tc>
          <w:tcPr>
            <w:tcW w:type="dxa" w:w="2304"/>
            <w:vAlign w:val="top"/>
          </w:tcPr>
          <w:p>
            <w:pPr>
              <w:spacing w:after="40" w:before="0" w:line="259" w:lineRule="auto"/>
            </w:pPr>
            <w:r>
              <w:rPr>
                <w:rFonts w:ascii="Calibri" w:hAnsi="Calibri"/>
                <w:b/>
                <w:i w:val="0"/>
                <w:color w:val="212121"/>
                <w:sz w:val="19"/>
              </w:rPr>
              <w:t>Altered mental status / confusion</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Disorientation, drowsiness or reduced consciousness is the hallmark feature.</w:t>
            </w:r>
          </w:p>
        </w:tc>
      </w:tr>
      <w:tr>
        <w:trPr>
          <w:cantSplit/>
        </w:trPr>
        <w:tc>
          <w:tcPr>
            <w:tcW w:type="dxa" w:w="2304"/>
            <w:vAlign w:val="top"/>
          </w:tcPr>
          <w:p>
            <w:pPr>
              <w:spacing w:after="40" w:before="0" w:line="259" w:lineRule="auto"/>
            </w:pPr>
            <w:r>
              <w:rPr>
                <w:rFonts w:ascii="Calibri" w:hAnsi="Calibri"/>
                <w:b/>
                <w:i w:val="0"/>
                <w:color w:val="212121"/>
                <w:sz w:val="19"/>
              </w:rPr>
              <w:t>Seizures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Focal or generalised seizures, sometimes progressing to status epilepticus, especially in HSE.</w:t>
            </w:r>
          </w:p>
        </w:tc>
      </w:tr>
      <w:tr>
        <w:trPr>
          <w:cantSplit/>
        </w:trPr>
        <w:tc>
          <w:tcPr>
            <w:tcW w:type="dxa" w:w="2304"/>
            <w:vAlign w:val="top"/>
          </w:tcPr>
          <w:p>
            <w:pPr>
              <w:spacing w:after="40" w:before="0" w:line="259" w:lineRule="auto"/>
            </w:pPr>
            <w:r>
              <w:rPr>
                <w:rFonts w:ascii="Calibri" w:hAnsi="Calibri"/>
                <w:b/>
                <w:i w:val="0"/>
                <w:color w:val="212121"/>
                <w:sz w:val="19"/>
              </w:rPr>
              <w:t>Behavioural / personality change</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Bizarre behaviour, agitation or psychosis, classically an early feature of temporal-lobe HSE.</w:t>
            </w:r>
          </w:p>
        </w:tc>
      </w:tr>
      <w:tr>
        <w:trPr>
          <w:cantSplit/>
        </w:trPr>
        <w:tc>
          <w:tcPr>
            <w:tcW w:type="dxa" w:w="2304"/>
            <w:vAlign w:val="top"/>
          </w:tcPr>
          <w:p>
            <w:pPr>
              <w:spacing w:after="40" w:before="0" w:line="259" w:lineRule="auto"/>
            </w:pPr>
            <w:r>
              <w:rPr>
                <w:rFonts w:ascii="Calibri" w:hAnsi="Calibri"/>
                <w:b/>
                <w:i w:val="0"/>
                <w:color w:val="212121"/>
                <w:sz w:val="19"/>
              </w:rPr>
              <w:t>Vomiting</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Reflects raised intracranial pressure and meningeal irritation.</w:t>
            </w:r>
          </w:p>
        </w:tc>
      </w:tr>
      <w:tr>
        <w:trPr>
          <w:cantSplit/>
        </w:trPr>
        <w:tc>
          <w:tcPr>
            <w:tcW w:type="dxa" w:w="2304"/>
            <w:vAlign w:val="top"/>
          </w:tcPr>
          <w:p>
            <w:pPr>
              <w:spacing w:after="40" w:before="0" w:line="259" w:lineRule="auto"/>
            </w:pPr>
            <w:r>
              <w:rPr>
                <w:rFonts w:ascii="Calibri" w:hAnsi="Calibri"/>
                <w:b/>
                <w:i w:val="0"/>
                <w:color w:val="212121"/>
                <w:sz w:val="19"/>
              </w:rPr>
              <w:t>Neck stiffness</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Indicates associated meningeal involvement (meningoencephalitis).</w:t>
            </w:r>
          </w:p>
        </w:tc>
      </w:tr>
      <w:tr>
        <w:trPr>
          <w:cantSplit/>
        </w:trPr>
        <w:tc>
          <w:tcPr>
            <w:tcW w:type="dxa" w:w="2304"/>
            <w:vAlign w:val="top"/>
          </w:tcPr>
          <w:p>
            <w:pPr>
              <w:spacing w:after="40" w:before="0" w:line="259" w:lineRule="auto"/>
            </w:pPr>
            <w:r>
              <w:rPr>
                <w:rFonts w:ascii="Calibri" w:hAnsi="Calibri"/>
                <w:b/>
                <w:i w:val="0"/>
                <w:color w:val="212121"/>
                <w:sz w:val="19"/>
              </w:rPr>
              <w:t>Drowsiness progressing to coma</w:t>
            </w:r>
          </w:p>
        </w:tc>
        <w:tc>
          <w:tcPr>
            <w:tcW w:type="dxa" w:w="1584"/>
            <w:vAlign w:val="top"/>
          </w:tcPr>
          <w:p>
            <w:pPr>
              <w:spacing w:after="40" w:before="0" w:line="259" w:lineRule="auto"/>
            </w:pPr>
            <w:r>
              <w:rPr>
                <w:rFonts w:ascii="Calibri" w:hAnsi="Calibri"/>
                <w:b w:val="0"/>
                <w:i w:val="0"/>
                <w:color w:val="212121"/>
                <w:sz w:val="19"/>
              </w:rPr>
              <w:t>Common</w:t>
            </w:r>
          </w:p>
        </w:tc>
        <w:tc>
          <w:tcPr>
            <w:tcW w:type="dxa" w:w="5716"/>
            <w:vAlign w:val="top"/>
          </w:tcPr>
          <w:p>
            <w:pPr>
              <w:spacing w:after="40" w:before="0" w:line="259" w:lineRule="auto"/>
            </w:pPr>
            <w:r>
              <w:rPr>
                <w:rFonts w:ascii="Calibri" w:hAnsi="Calibri"/>
                <w:b w:val="0"/>
                <w:i w:val="0"/>
                <w:color w:val="212121"/>
                <w:sz w:val="19"/>
              </w:rPr>
              <w:t>Worsening obtundation signals severe or rising intracranial pressure.</w:t>
            </w:r>
          </w:p>
        </w:tc>
      </w:tr>
      <w:tr>
        <w:trPr>
          <w:cantSplit/>
        </w:trPr>
        <w:tc>
          <w:tcPr>
            <w:tcW w:type="dxa" w:w="2304"/>
            <w:vAlign w:val="top"/>
          </w:tcPr>
          <w:p>
            <w:pPr>
              <w:spacing w:after="40" w:before="0" w:line="259" w:lineRule="auto"/>
            </w:pPr>
            <w:r>
              <w:rPr>
                <w:rFonts w:ascii="Calibri" w:hAnsi="Calibri"/>
                <w:b/>
                <w:i w:val="0"/>
                <w:color w:val="212121"/>
                <w:sz w:val="19"/>
              </w:rPr>
              <w:t>Focal weakness / speech difficulty</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Aphasia and hemiparesis point to focal (often temporal) cortical involvement.</w:t>
            </w:r>
          </w:p>
        </w:tc>
      </w:tr>
      <w:tr>
        <w:trPr>
          <w:cantSplit/>
        </w:trPr>
        <w:tc>
          <w:tcPr>
            <w:tcW w:type="dxa" w:w="2304"/>
            <w:vAlign w:val="top"/>
          </w:tcPr>
          <w:p>
            <w:pPr>
              <w:spacing w:after="40" w:before="0" w:line="259" w:lineRule="auto"/>
            </w:pPr>
            <w:r>
              <w:rPr>
                <w:rFonts w:ascii="Calibri" w:hAnsi="Calibri"/>
                <w:b/>
                <w:i w:val="0"/>
                <w:color w:val="212121"/>
                <w:sz w:val="19"/>
              </w:rPr>
              <w:t>Memory impairment</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Amnesia from limbic/temporal-lobe damage, prominent in HSE.</w:t>
            </w:r>
          </w:p>
        </w:tc>
      </w:tr>
      <w:tr>
        <w:trPr>
          <w:cantSplit/>
        </w:trPr>
        <w:tc>
          <w:tcPr>
            <w:tcW w:type="dxa" w:w="2304"/>
            <w:vAlign w:val="top"/>
          </w:tcPr>
          <w:p>
            <w:pPr>
              <w:spacing w:after="40" w:before="0" w:line="259" w:lineRule="auto"/>
            </w:pPr>
            <w:r>
              <w:rPr>
                <w:rFonts w:ascii="Calibri" w:hAnsi="Calibri"/>
                <w:b/>
                <w:i w:val="0"/>
                <w:color w:val="212121"/>
                <w:sz w:val="19"/>
              </w:rPr>
              <w:t>Hallucinations / psychosis</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Neuropsychiatric manifestations of limbic inflammation.</w:t>
            </w:r>
          </w:p>
        </w:tc>
      </w:tr>
      <w:tr>
        <w:trPr>
          <w:cantSplit/>
        </w:trPr>
        <w:tc>
          <w:tcPr>
            <w:tcW w:type="dxa" w:w="2304"/>
            <w:vAlign w:val="top"/>
          </w:tcPr>
          <w:p>
            <w:pPr>
              <w:spacing w:after="40" w:before="0" w:line="259" w:lineRule="auto"/>
            </w:pPr>
            <w:r>
              <w:rPr>
                <w:rFonts w:ascii="Calibri" w:hAnsi="Calibri"/>
                <w:b/>
                <w:i w:val="0"/>
                <w:color w:val="212121"/>
                <w:sz w:val="19"/>
              </w:rPr>
              <w:t>Photophobia</w:t>
            </w:r>
          </w:p>
        </w:tc>
        <w:tc>
          <w:tcPr>
            <w:tcW w:type="dxa" w:w="1584"/>
            <w:vAlign w:val="top"/>
          </w:tcPr>
          <w:p>
            <w:pPr>
              <w:spacing w:after="40" w:before="0" w:line="259" w:lineRule="auto"/>
            </w:pPr>
            <w:r>
              <w:rPr>
                <w:rFonts w:ascii="Calibri" w:hAnsi="Calibri"/>
                <w:b w:val="0"/>
                <w:i w:val="0"/>
                <w:color w:val="212121"/>
                <w:sz w:val="19"/>
              </w:rPr>
              <w:t>Less common</w:t>
            </w:r>
          </w:p>
        </w:tc>
        <w:tc>
          <w:tcPr>
            <w:tcW w:type="dxa" w:w="5716"/>
            <w:vAlign w:val="top"/>
          </w:tcPr>
          <w:p>
            <w:pPr>
              <w:spacing w:after="40" w:before="0" w:line="259" w:lineRule="auto"/>
            </w:pPr>
            <w:r>
              <w:rPr>
                <w:rFonts w:ascii="Calibri" w:hAnsi="Calibri"/>
                <w:b w:val="0"/>
                <w:i w:val="0"/>
                <w:color w:val="212121"/>
                <w:sz w:val="19"/>
              </w:rPr>
              <w:t>Light sensitivity from meningeal irritation.</w:t>
            </w:r>
          </w:p>
        </w:tc>
      </w:tr>
      <w:tr>
        <w:trPr>
          <w:cantSplit/>
        </w:trPr>
        <w:tc>
          <w:tcPr>
            <w:tcW w:type="dxa" w:w="2304"/>
            <w:vAlign w:val="top"/>
          </w:tcPr>
          <w:p>
            <w:pPr>
              <w:spacing w:after="40" w:before="0" w:line="259" w:lineRule="auto"/>
            </w:pPr>
            <w:r>
              <w:rPr>
                <w:rFonts w:ascii="Calibri" w:hAnsi="Calibri"/>
                <w:b/>
                <w:i w:val="0"/>
                <w:color w:val="212121"/>
                <w:sz w:val="19"/>
              </w:rPr>
              <w:t>Movement disorders (tremor, dystonia)</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Parkinsonism, dystonia or masked facies characterise Japanese encephalitis.</w:t>
            </w:r>
          </w:p>
        </w:tc>
      </w:tr>
      <w:tr>
        <w:trPr>
          <w:cantSplit/>
        </w:trPr>
        <w:tc>
          <w:tcPr>
            <w:tcW w:type="dxa" w:w="2304"/>
            <w:vAlign w:val="top"/>
          </w:tcPr>
          <w:p>
            <w:pPr>
              <w:spacing w:after="40" w:before="0" w:line="259" w:lineRule="auto"/>
            </w:pPr>
            <w:r>
              <w:rPr>
                <w:rFonts w:ascii="Calibri" w:hAnsi="Calibri"/>
                <w:b/>
                <w:i w:val="0"/>
                <w:color w:val="212121"/>
                <w:sz w:val="19"/>
              </w:rPr>
              <w:t>Hydrophobia / hyperexcitability</w:t>
            </w:r>
          </w:p>
        </w:tc>
        <w:tc>
          <w:tcPr>
            <w:tcW w:type="dxa" w:w="1584"/>
            <w:vAlign w:val="top"/>
          </w:tcPr>
          <w:p>
            <w:pPr>
              <w:spacing w:after="40" w:before="0" w:line="259" w:lineRule="auto"/>
            </w:pPr>
            <w:r>
              <w:rPr>
                <w:rFonts w:ascii="Calibri" w:hAnsi="Calibri"/>
                <w:b w:val="0"/>
                <w:i w:val="0"/>
                <w:color w:val="212121"/>
                <w:sz w:val="19"/>
              </w:rPr>
              <w:t>Rare</w:t>
            </w:r>
          </w:p>
        </w:tc>
        <w:tc>
          <w:tcPr>
            <w:tcW w:type="dxa" w:w="5716"/>
            <w:vAlign w:val="top"/>
          </w:tcPr>
          <w:p>
            <w:pPr>
              <w:spacing w:after="40" w:before="0" w:line="259" w:lineRule="auto"/>
            </w:pPr>
            <w:r>
              <w:rPr>
                <w:rFonts w:ascii="Calibri" w:hAnsi="Calibri"/>
                <w:b w:val="0"/>
                <w:i w:val="0"/>
                <w:color w:val="212121"/>
                <w:sz w:val="19"/>
              </w:rPr>
              <w:t>Suggests rabies encephalitis, which is almost universally fatal.</w:t>
            </w:r>
          </w:p>
        </w:tc>
      </w:tr>
    </w:tbl>
    <w:p>
      <w:pPr>
        <w:spacing w:before="160" w:after="120"/>
      </w:pPr>
      <w:r>
        <w:rPr>
          <w:rFonts w:ascii="Calibri" w:hAnsi="Calibri"/>
          <w:b/>
          <w:i w:val="0"/>
          <w:color w:val="212121"/>
          <w:sz w:val="22"/>
        </w:rPr>
        <w:t>Signs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3456"/>
            <w:shd w:val="clear" w:color="auto" w:fill="F2F2F2"/>
            <w:vAlign w:val="center"/>
          </w:tcPr>
          <w:p>
            <w:pPr>
              <w:spacing w:after="40" w:before="0" w:line="259" w:lineRule="auto"/>
            </w:pPr>
            <w:r>
              <w:rPr>
                <w:rFonts w:ascii="Calibri" w:hAnsi="Calibri"/>
                <w:b/>
                <w:i w:val="0"/>
                <w:color w:val="212121"/>
                <w:sz w:val="19"/>
              </w:rPr>
              <w:t>Sign</w:t>
            </w:r>
          </w:p>
        </w:tc>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42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3456"/>
            <w:vAlign w:val="top"/>
          </w:tcPr>
          <w:p>
            <w:pPr>
              <w:spacing w:after="40" w:before="0" w:line="259" w:lineRule="auto"/>
            </w:pPr>
            <w:r>
              <w:rPr>
                <w:rFonts w:ascii="Calibri" w:hAnsi="Calibri"/>
                <w:b/>
                <w:i w:val="0"/>
                <w:color w:val="212121"/>
                <w:sz w:val="19"/>
              </w:rPr>
              <w:t>Altered Glasgow Coma Scale / obtundation</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Objective reduction in consciousness level on serial assessment.</w:t>
            </w:r>
          </w:p>
        </w:tc>
      </w:tr>
      <w:tr>
        <w:trPr>
          <w:cantSplit/>
        </w:trPr>
        <w:tc>
          <w:tcPr>
            <w:tcW w:type="dxa" w:w="3456"/>
            <w:vAlign w:val="top"/>
          </w:tcPr>
          <w:p>
            <w:pPr>
              <w:spacing w:after="40" w:before="0" w:line="259" w:lineRule="auto"/>
            </w:pPr>
            <w:r>
              <w:rPr>
                <w:rFonts w:ascii="Calibri" w:hAnsi="Calibri"/>
                <w:b/>
                <w:i w:val="0"/>
                <w:color w:val="212121"/>
                <w:sz w:val="19"/>
              </w:rPr>
              <w:t>Pyrexia</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Documented fever ≥ 38°C supports an infective cause.</w:t>
            </w:r>
          </w:p>
        </w:tc>
      </w:tr>
      <w:tr>
        <w:trPr>
          <w:cantSplit/>
        </w:trPr>
        <w:tc>
          <w:tcPr>
            <w:tcW w:type="dxa" w:w="3456"/>
            <w:vAlign w:val="top"/>
          </w:tcPr>
          <w:p>
            <w:pPr>
              <w:spacing w:after="40" w:before="0" w:line="259" w:lineRule="auto"/>
            </w:pPr>
            <w:r>
              <w:rPr>
                <w:rFonts w:ascii="Calibri" w:hAnsi="Calibri"/>
                <w:b/>
                <w:i w:val="0"/>
                <w:color w:val="212121"/>
                <w:sz w:val="19"/>
              </w:rPr>
              <w:t>Meningismus (neck stiffness, positive Kernig/Brudzinski)</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Signs of meningeal irritation in meningoencephalitis.</w:t>
            </w:r>
          </w:p>
        </w:tc>
      </w:tr>
      <w:tr>
        <w:trPr>
          <w:cantSplit/>
        </w:trPr>
        <w:tc>
          <w:tcPr>
            <w:tcW w:type="dxa" w:w="3456"/>
            <w:vAlign w:val="top"/>
          </w:tcPr>
          <w:p>
            <w:pPr>
              <w:spacing w:after="40" w:before="0" w:line="259" w:lineRule="auto"/>
            </w:pPr>
            <w:r>
              <w:rPr>
                <w:rFonts w:ascii="Calibri" w:hAnsi="Calibri"/>
                <w:b/>
                <w:i w:val="0"/>
                <w:color w:val="212121"/>
                <w:sz w:val="19"/>
              </w:rPr>
              <w:t>Focal neurological deficit</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Hemiparesis, aphasia or sensory loss localising the inflammation.</w:t>
            </w:r>
          </w:p>
        </w:tc>
      </w:tr>
      <w:tr>
        <w:trPr>
          <w:cantSplit/>
        </w:trPr>
        <w:tc>
          <w:tcPr>
            <w:tcW w:type="dxa" w:w="3456"/>
            <w:vAlign w:val="top"/>
          </w:tcPr>
          <w:p>
            <w:pPr>
              <w:spacing w:after="40" w:before="0" w:line="259" w:lineRule="auto"/>
            </w:pPr>
            <w:r>
              <w:rPr>
                <w:rFonts w:ascii="Calibri" w:hAnsi="Calibri"/>
                <w:b/>
                <w:i w:val="0"/>
                <w:color w:val="212121"/>
                <w:sz w:val="19"/>
              </w:rPr>
              <w:t>Observed seizure activity</w:t>
            </w:r>
          </w:p>
        </w:tc>
        <w:tc>
          <w:tcPr>
            <w:tcW w:type="dxa" w:w="1728"/>
            <w:vAlign w:val="top"/>
          </w:tcPr>
          <w:p>
            <w:pPr>
              <w:spacing w:after="40" w:before="0" w:line="259" w:lineRule="auto"/>
            </w:pPr>
            <w:r>
              <w:rPr>
                <w:rFonts w:ascii="Calibri" w:hAnsi="Calibri"/>
                <w:b w:val="0"/>
                <w:i w:val="0"/>
                <w:color w:val="212121"/>
                <w:sz w:val="19"/>
              </w:rPr>
              <w:t>Common</w:t>
            </w:r>
          </w:p>
        </w:tc>
        <w:tc>
          <w:tcPr>
            <w:tcW w:type="dxa" w:w="4420"/>
            <w:vAlign w:val="top"/>
          </w:tcPr>
          <w:p>
            <w:pPr>
              <w:spacing w:after="40" w:before="0" w:line="259" w:lineRule="auto"/>
            </w:pPr>
            <w:r>
              <w:rPr>
                <w:rFonts w:ascii="Calibri" w:hAnsi="Calibri"/>
                <w:b w:val="0"/>
                <w:i w:val="0"/>
                <w:color w:val="212121"/>
                <w:sz w:val="19"/>
              </w:rPr>
              <w:t>Focal or generalised convulsions, or subtle non-convulsive status on EEG.</w:t>
            </w:r>
          </w:p>
        </w:tc>
      </w:tr>
      <w:tr>
        <w:trPr>
          <w:cantSplit/>
        </w:trPr>
        <w:tc>
          <w:tcPr>
            <w:tcW w:type="dxa" w:w="3456"/>
            <w:vAlign w:val="top"/>
          </w:tcPr>
          <w:p>
            <w:pPr>
              <w:spacing w:after="40" w:before="0" w:line="259" w:lineRule="auto"/>
            </w:pPr>
            <w:r>
              <w:rPr>
                <w:rFonts w:ascii="Calibri" w:hAnsi="Calibri"/>
                <w:b/>
                <w:i w:val="0"/>
                <w:color w:val="212121"/>
                <w:sz w:val="19"/>
              </w:rPr>
              <w:t>Dysphasia / aphasia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Dominant temporal-lobe involvement, characteristic of HSE.</w:t>
            </w:r>
          </w:p>
        </w:tc>
      </w:tr>
      <w:tr>
        <w:trPr>
          <w:cantSplit/>
        </w:trPr>
        <w:tc>
          <w:tcPr>
            <w:tcW w:type="dxa" w:w="3456"/>
            <w:vAlign w:val="top"/>
          </w:tcPr>
          <w:p>
            <w:pPr>
              <w:spacing w:after="40" w:before="0" w:line="259" w:lineRule="auto"/>
            </w:pPr>
            <w:r>
              <w:rPr>
                <w:rFonts w:ascii="Calibri" w:hAnsi="Calibri"/>
                <w:b/>
                <w:i w:val="0"/>
                <w:color w:val="212121"/>
                <w:sz w:val="19"/>
              </w:rPr>
              <w:t>Cranial nerve palsies</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Brainstem or basal involvement, seen in some arboviral encephalitides.</w:t>
            </w:r>
          </w:p>
        </w:tc>
      </w:tr>
      <w:tr>
        <w:trPr>
          <w:cantSplit/>
        </w:trPr>
        <w:tc>
          <w:tcPr>
            <w:tcW w:type="dxa" w:w="3456"/>
            <w:vAlign w:val="top"/>
          </w:tcPr>
          <w:p>
            <w:pPr>
              <w:spacing w:after="40" w:before="0" w:line="259" w:lineRule="auto"/>
            </w:pPr>
            <w:r>
              <w:rPr>
                <w:rFonts w:ascii="Calibri" w:hAnsi="Calibri"/>
                <w:b/>
                <w:i w:val="0"/>
                <w:color w:val="212121"/>
                <w:sz w:val="19"/>
              </w:rPr>
              <w:t>Hyperreflexia &amp; extensor plantar (Babinski)</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Upper motor neuron signs from cortical/subcortical damage.</w:t>
            </w:r>
          </w:p>
        </w:tc>
      </w:tr>
      <w:tr>
        <w:trPr>
          <w:cantSplit/>
        </w:trPr>
        <w:tc>
          <w:tcPr>
            <w:tcW w:type="dxa" w:w="3456"/>
            <w:vAlign w:val="top"/>
          </w:tcPr>
          <w:p>
            <w:pPr>
              <w:spacing w:after="40" w:before="0" w:line="259" w:lineRule="auto"/>
            </w:pPr>
            <w:r>
              <w:rPr>
                <w:rFonts w:ascii="Calibri" w:hAnsi="Calibri"/>
                <w:b/>
                <w:i w:val="0"/>
                <w:color w:val="212121"/>
                <w:sz w:val="19"/>
              </w:rPr>
              <w:t>Papilloedema</w:t>
            </w:r>
          </w:p>
        </w:tc>
        <w:tc>
          <w:tcPr>
            <w:tcW w:type="dxa" w:w="1728"/>
            <w:vAlign w:val="top"/>
          </w:tcPr>
          <w:p>
            <w:pPr>
              <w:spacing w:after="40" w:before="0" w:line="259" w:lineRule="auto"/>
            </w:pPr>
            <w:r>
              <w:rPr>
                <w:rFonts w:ascii="Calibri" w:hAnsi="Calibri"/>
                <w:b w:val="0"/>
                <w:i w:val="0"/>
                <w:color w:val="212121"/>
                <w:sz w:val="19"/>
              </w:rPr>
              <w:t>Less common</w:t>
            </w:r>
          </w:p>
        </w:tc>
        <w:tc>
          <w:tcPr>
            <w:tcW w:type="dxa" w:w="4420"/>
            <w:vAlign w:val="top"/>
          </w:tcPr>
          <w:p>
            <w:pPr>
              <w:spacing w:after="40" w:before="0" w:line="259" w:lineRule="auto"/>
            </w:pPr>
            <w:r>
              <w:rPr>
                <w:rFonts w:ascii="Calibri" w:hAnsi="Calibri"/>
                <w:b w:val="0"/>
                <w:i w:val="0"/>
                <w:color w:val="212121"/>
                <w:sz w:val="19"/>
              </w:rPr>
              <w:t>Fundoscopic sign of raised intracranial pressure.</w:t>
            </w:r>
          </w:p>
        </w:tc>
      </w:tr>
      <w:tr>
        <w:trPr>
          <w:cantSplit/>
        </w:trPr>
        <w:tc>
          <w:tcPr>
            <w:tcW w:type="dxa" w:w="3456"/>
            <w:vAlign w:val="top"/>
          </w:tcPr>
          <w:p>
            <w:pPr>
              <w:spacing w:after="40" w:before="0" w:line="259" w:lineRule="auto"/>
            </w:pPr>
            <w:r>
              <w:rPr>
                <w:rFonts w:ascii="Calibri" w:hAnsi="Calibri"/>
                <w:b/>
                <w:i w:val="0"/>
                <w:color w:val="212121"/>
                <w:sz w:val="19"/>
              </w:rPr>
              <w:t>Extrapyramidal signs (rigidity, dystonia, masked facies)</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Thalamic/basal-ganglia involvement typical of Japanese encephalitis.</w:t>
            </w:r>
          </w:p>
        </w:tc>
      </w:tr>
      <w:tr>
        <w:trPr>
          <w:cantSplit/>
        </w:trPr>
        <w:tc>
          <w:tcPr>
            <w:tcW w:type="dxa" w:w="3456"/>
            <w:vAlign w:val="top"/>
          </w:tcPr>
          <w:p>
            <w:pPr>
              <w:spacing w:after="40" w:before="0" w:line="259" w:lineRule="auto"/>
            </w:pPr>
            <w:r>
              <w:rPr>
                <w:rFonts w:ascii="Calibri" w:hAnsi="Calibri"/>
                <w:b/>
                <w:i w:val="0"/>
                <w:color w:val="212121"/>
                <w:sz w:val="19"/>
              </w:rPr>
              <w:t>Autonomic instability</w:t>
            </w:r>
          </w:p>
        </w:tc>
        <w:tc>
          <w:tcPr>
            <w:tcW w:type="dxa" w:w="1728"/>
            <w:vAlign w:val="top"/>
          </w:tcPr>
          <w:p>
            <w:pPr>
              <w:spacing w:after="40" w:before="0" w:line="259" w:lineRule="auto"/>
            </w:pPr>
            <w:r>
              <w:rPr>
                <w:rFonts w:ascii="Calibri" w:hAnsi="Calibri"/>
                <w:b w:val="0"/>
                <w:i w:val="0"/>
                <w:color w:val="212121"/>
                <w:sz w:val="19"/>
              </w:rPr>
              <w:t>Rare</w:t>
            </w:r>
          </w:p>
        </w:tc>
        <w:tc>
          <w:tcPr>
            <w:tcW w:type="dxa" w:w="4420"/>
            <w:vAlign w:val="top"/>
          </w:tcPr>
          <w:p>
            <w:pPr>
              <w:spacing w:after="40" w:before="0" w:line="259" w:lineRule="auto"/>
            </w:pPr>
            <w:r>
              <w:rPr>
                <w:rFonts w:ascii="Calibri" w:hAnsi="Calibri"/>
                <w:b w:val="0"/>
                <w:i w:val="0"/>
                <w:color w:val="212121"/>
                <w:sz w:val="19"/>
              </w:rPr>
              <w:t>Labile blood pressure, temperature and heart rate in severe brainstem-involving disease.</w:t>
            </w:r>
          </w:p>
        </w:tc>
      </w:tr>
    </w:tbl>
    <w:p>
      <w:pPr>
        <w:spacing w:before="200" w:after="120"/>
      </w:pPr>
      <w:r>
        <w:rPr>
          <w:rFonts w:ascii="Calibri" w:hAnsi="Calibri"/>
          <w:b/>
          <w:i w:val="0"/>
          <w:color w:val="212121"/>
          <w:sz w:val="25"/>
        </w:rPr>
        <w:t>Concomitant conditions</w:t>
      </w:r>
    </w:p>
    <w:p>
      <w:pPr>
        <w:spacing w:before="160" w:after="120"/>
      </w:pPr>
      <w:r>
        <w:rPr>
          <w:rFonts w:ascii="Calibri" w:hAnsi="Calibri"/>
          <w:b/>
          <w:i w:val="0"/>
          <w:color w:val="212121"/>
          <w:sz w:val="22"/>
        </w:rPr>
        <w:t>Relationship Types (classification key)</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4802"/>
        <w:gridCol w:w="4802"/>
      </w:tblGrid>
      <w:tr>
        <w:trPr>
          <w:cantSplit/>
        </w:trPr>
        <w:tc>
          <w:tcPr>
            <w:tcW w:type="dxa" w:w="2808"/>
            <w:shd w:val="clear" w:color="auto" w:fill="F2F2F2"/>
            <w:vAlign w:val="center"/>
          </w:tcPr>
          <w:p>
            <w:pPr>
              <w:spacing w:after="40" w:before="0" w:line="259" w:lineRule="auto"/>
            </w:pPr>
            <w:r>
              <w:rPr>
                <w:rFonts w:ascii="Calibri" w:hAnsi="Calibri"/>
                <w:b/>
                <w:i w:val="0"/>
                <w:color w:val="212121"/>
                <w:sz w:val="19"/>
              </w:rPr>
              <w:t>Relationship type</w:t>
            </w:r>
          </w:p>
        </w:tc>
        <w:tc>
          <w:tcPr>
            <w:tcW w:type="dxa" w:w="6796"/>
            <w:shd w:val="clear" w:color="auto" w:fill="F2F2F2"/>
            <w:vAlign w:val="center"/>
          </w:tcPr>
          <w:p>
            <w:pPr>
              <w:spacing w:after="40" w:before="0" w:line="259" w:lineRule="auto"/>
            </w:pPr>
            <w:r>
              <w:rPr>
                <w:rFonts w:ascii="Calibri" w:hAnsi="Calibri"/>
                <w:b/>
                <w:i w:val="0"/>
                <w:color w:val="212121"/>
                <w:sz w:val="19"/>
              </w:rPr>
              <w:t>Definition</w:t>
            </w:r>
          </w:p>
        </w:tc>
      </w:tr>
      <w:tr>
        <w:trPr>
          <w:cantSplit/>
        </w:trPr>
        <w:tc>
          <w:tcPr>
            <w:tcW w:type="dxa" w:w="2808"/>
            <w:vAlign w:val="top"/>
          </w:tcPr>
          <w:p>
            <w:pPr>
              <w:spacing w:after="40" w:before="0" w:line="259" w:lineRule="auto"/>
            </w:pPr>
            <w:r>
              <w:rPr>
                <w:rFonts w:ascii="Calibri" w:hAnsi="Calibri"/>
                <w:b/>
                <w:i w:val="0"/>
                <w:color w:val="212121"/>
                <w:sz w:val="19"/>
              </w:rPr>
              <w:t>Predisposes To</w:t>
            </w:r>
          </w:p>
        </w:tc>
        <w:tc>
          <w:tcPr>
            <w:tcW w:type="dxa" w:w="6796"/>
            <w:vAlign w:val="top"/>
          </w:tcPr>
          <w:p>
            <w:pPr>
              <w:spacing w:after="40" w:before="0" w:line="259" w:lineRule="auto"/>
            </w:pPr>
            <w:r>
              <w:rPr>
                <w:rFonts w:ascii="Calibri" w:hAnsi="Calibri"/>
                <w:b w:val="0"/>
                <w:i w:val="0"/>
                <w:color w:val="212121"/>
                <w:sz w:val="19"/>
              </w:rPr>
              <w:t>One condition increases the likelihood of developing another.</w:t>
            </w:r>
          </w:p>
        </w:tc>
      </w:tr>
      <w:tr>
        <w:trPr>
          <w:cantSplit/>
        </w:trPr>
        <w:tc>
          <w:tcPr>
            <w:tcW w:type="dxa" w:w="2808"/>
            <w:vAlign w:val="top"/>
          </w:tcPr>
          <w:p>
            <w:pPr>
              <w:spacing w:after="40" w:before="0" w:line="259" w:lineRule="auto"/>
            </w:pPr>
            <w:r>
              <w:rPr>
                <w:rFonts w:ascii="Calibri" w:hAnsi="Calibri"/>
                <w:b/>
                <w:i w:val="0"/>
                <w:color w:val="212121"/>
                <w:sz w:val="19"/>
              </w:rPr>
              <w:t>Bidirectional Association</w:t>
            </w:r>
          </w:p>
        </w:tc>
        <w:tc>
          <w:tcPr>
            <w:tcW w:type="dxa" w:w="6796"/>
            <w:vAlign w:val="top"/>
          </w:tcPr>
          <w:p>
            <w:pPr>
              <w:spacing w:after="40" w:before="0" w:line="259" w:lineRule="auto"/>
            </w:pPr>
            <w:r>
              <w:rPr>
                <w:rFonts w:ascii="Calibri" w:hAnsi="Calibri"/>
                <w:b w:val="0"/>
                <w:i w:val="0"/>
                <w:color w:val="212121"/>
                <w:sz w:val="19"/>
              </w:rPr>
              <w:t>Both conditions influence each other.</w:t>
            </w:r>
          </w:p>
        </w:tc>
      </w:tr>
      <w:tr>
        <w:trPr>
          <w:cantSplit/>
        </w:trPr>
        <w:tc>
          <w:tcPr>
            <w:tcW w:type="dxa" w:w="2808"/>
            <w:vAlign w:val="top"/>
          </w:tcPr>
          <w:p>
            <w:pPr>
              <w:spacing w:after="40" w:before="0" w:line="259" w:lineRule="auto"/>
            </w:pPr>
            <w:r>
              <w:rPr>
                <w:rFonts w:ascii="Calibri" w:hAnsi="Calibri"/>
                <w:b/>
                <w:i w:val="0"/>
                <w:color w:val="212121"/>
                <w:sz w:val="19"/>
              </w:rPr>
              <w:t>Shared Pathophysiology</w:t>
            </w:r>
          </w:p>
        </w:tc>
        <w:tc>
          <w:tcPr>
            <w:tcW w:type="dxa" w:w="6796"/>
            <w:vAlign w:val="top"/>
          </w:tcPr>
          <w:p>
            <w:pPr>
              <w:spacing w:after="40" w:before="0" w:line="259" w:lineRule="auto"/>
            </w:pPr>
            <w:r>
              <w:rPr>
                <w:rFonts w:ascii="Calibri" w:hAnsi="Calibri"/>
                <w:b w:val="0"/>
                <w:i w:val="0"/>
                <w:color w:val="212121"/>
                <w:sz w:val="19"/>
              </w:rPr>
              <w:t>Common biological mechanisms and shared etiologies.</w:t>
            </w:r>
          </w:p>
        </w:tc>
      </w:tr>
      <w:tr>
        <w:trPr>
          <w:cantSplit/>
        </w:trPr>
        <w:tc>
          <w:tcPr>
            <w:tcW w:type="dxa" w:w="2808"/>
            <w:vAlign w:val="top"/>
          </w:tcPr>
          <w:p>
            <w:pPr>
              <w:spacing w:after="40" w:before="0" w:line="259" w:lineRule="auto"/>
            </w:pPr>
            <w:r>
              <w:rPr>
                <w:rFonts w:ascii="Calibri" w:hAnsi="Calibri"/>
                <w:b/>
                <w:i w:val="0"/>
                <w:color w:val="212121"/>
                <w:sz w:val="19"/>
              </w:rPr>
              <w:t>Complication Of</w:t>
            </w:r>
          </w:p>
        </w:tc>
        <w:tc>
          <w:tcPr>
            <w:tcW w:type="dxa" w:w="6796"/>
            <w:vAlign w:val="top"/>
          </w:tcPr>
          <w:p>
            <w:pPr>
              <w:spacing w:after="40" w:before="0" w:line="259" w:lineRule="auto"/>
            </w:pPr>
            <w:r>
              <w:rPr>
                <w:rFonts w:ascii="Calibri" w:hAnsi="Calibri"/>
                <w:b w:val="0"/>
                <w:i w:val="0"/>
                <w:color w:val="212121"/>
                <w:sz w:val="19"/>
              </w:rPr>
              <w:t>One condition develops as a consequence of the other.</w:t>
            </w:r>
          </w:p>
        </w:tc>
      </w:tr>
      <w:tr>
        <w:trPr>
          <w:cantSplit/>
        </w:trPr>
        <w:tc>
          <w:tcPr>
            <w:tcW w:type="dxa" w:w="2808"/>
            <w:vAlign w:val="top"/>
          </w:tcPr>
          <w:p>
            <w:pPr>
              <w:spacing w:after="40" w:before="0" w:line="259" w:lineRule="auto"/>
            </w:pPr>
            <w:r>
              <w:rPr>
                <w:rFonts w:ascii="Calibri" w:hAnsi="Calibri"/>
                <w:b/>
                <w:i w:val="0"/>
                <w:color w:val="212121"/>
                <w:sz w:val="19"/>
              </w:rPr>
              <w:t>Treatment Interaction</w:t>
            </w:r>
          </w:p>
        </w:tc>
        <w:tc>
          <w:tcPr>
            <w:tcW w:type="dxa" w:w="6796"/>
            <w:vAlign w:val="top"/>
          </w:tcPr>
          <w:p>
            <w:pPr>
              <w:spacing w:after="40" w:before="0" w:line="259" w:lineRule="auto"/>
            </w:pPr>
            <w:r>
              <w:rPr>
                <w:rFonts w:ascii="Calibri" w:hAnsi="Calibri"/>
                <w:b w:val="0"/>
                <w:i w:val="0"/>
                <w:color w:val="212121"/>
                <w:sz w:val="19"/>
              </w:rPr>
              <w:t>Treatment of one condition affects the other.</w:t>
            </w:r>
          </w:p>
        </w:tc>
      </w:tr>
      <w:tr>
        <w:trPr>
          <w:cantSplit/>
        </w:trPr>
        <w:tc>
          <w:tcPr>
            <w:tcW w:type="dxa" w:w="2808"/>
            <w:vAlign w:val="top"/>
          </w:tcPr>
          <w:p>
            <w:pPr>
              <w:spacing w:after="40" w:before="0" w:line="259" w:lineRule="auto"/>
            </w:pPr>
            <w:r>
              <w:rPr>
                <w:rFonts w:ascii="Calibri" w:hAnsi="Calibri"/>
                <w:b/>
                <w:i w:val="0"/>
                <w:color w:val="212121"/>
                <w:sz w:val="19"/>
              </w:rPr>
              <w:t>Clinical Management Impact</w:t>
            </w:r>
          </w:p>
        </w:tc>
        <w:tc>
          <w:tcPr>
            <w:tcW w:type="dxa" w:w="6796"/>
            <w:vAlign w:val="top"/>
          </w:tcPr>
          <w:p>
            <w:pPr>
              <w:spacing w:after="40" w:before="0" w:line="259" w:lineRule="auto"/>
            </w:pPr>
            <w:r>
              <w:rPr>
                <w:rFonts w:ascii="Calibri" w:hAnsi="Calibri"/>
                <w:b w:val="0"/>
                <w:i w:val="0"/>
                <w:color w:val="212121"/>
                <w:sz w:val="19"/>
              </w:rPr>
              <w:t>Coexistence alters diagnosis, monitoring, prognosis, or treatment planning.</w:t>
            </w:r>
          </w:p>
        </w:tc>
      </w:tr>
    </w:tbl>
    <w:p>
      <w:pPr>
        <w:spacing w:before="160" w:after="120"/>
      </w:pPr>
      <w:r>
        <w:rPr>
          <w:rFonts w:ascii="Calibri" w:hAnsi="Calibri"/>
          <w:b/>
          <w:i w:val="0"/>
          <w:color w:val="212121"/>
          <w:sz w:val="22"/>
        </w:rPr>
        <w:t>Complications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1728"/>
            <w:shd w:val="clear" w:color="auto" w:fill="F2F2F2"/>
            <w:vAlign w:val="center"/>
          </w:tcPr>
          <w:p>
            <w:pPr>
              <w:spacing w:after="40" w:before="0" w:line="259" w:lineRule="auto"/>
            </w:pPr>
            <w:r>
              <w:rPr>
                <w:rFonts w:ascii="Calibri" w:hAnsi="Calibri"/>
                <w:b/>
                <w:i w:val="0"/>
                <w:color w:val="212121"/>
                <w:sz w:val="19"/>
              </w:rPr>
              <w:t>Type</w:t>
            </w:r>
          </w:p>
        </w:tc>
        <w:tc>
          <w:tcPr>
            <w:tcW w:type="dxa" w:w="4896"/>
            <w:shd w:val="clear" w:color="auto" w:fill="F2F2F2"/>
            <w:vAlign w:val="center"/>
          </w:tcPr>
          <w:p>
            <w:pPr>
              <w:spacing w:after="40" w:before="0" w:line="259" w:lineRule="auto"/>
            </w:pPr>
            <w:r>
              <w:rPr>
                <w:rFonts w:ascii="Calibri" w:hAnsi="Calibri"/>
                <w:b/>
                <w:i w:val="0"/>
                <w:color w:val="212121"/>
                <w:sz w:val="19"/>
              </w:rPr>
              <w:t>Complications</w:t>
            </w:r>
          </w:p>
        </w:tc>
        <w:tc>
          <w:tcPr>
            <w:tcW w:type="dxa" w:w="2980"/>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1728"/>
            <w:vAlign w:val="top"/>
          </w:tcPr>
          <w:p>
            <w:pPr>
              <w:spacing w:after="40" w:before="0" w:line="259" w:lineRule="auto"/>
            </w:pPr>
            <w:r>
              <w:rPr>
                <w:rFonts w:ascii="Calibri" w:hAnsi="Calibri"/>
                <w:b/>
                <w:i w:val="0"/>
                <w:color w:val="212121"/>
                <w:sz w:val="19"/>
              </w:rPr>
              <w:t>Primary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Status epilepticus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Raised intracranial pressure and cerebral oedema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Coma / progressive depression of consciousness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SIADH with hyponatraemia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Autonomic dysfunction</w:t>
            </w:r>
          </w:p>
        </w:tc>
        <w:tc>
          <w:tcPr>
            <w:tcW w:type="dxa" w:w="2980"/>
            <w:vAlign w:val="top"/>
          </w:tcPr>
          <w:p>
            <w:pPr>
              <w:spacing w:after="40" w:before="0" w:line="259" w:lineRule="auto"/>
            </w:pPr>
            <w:r>
              <w:rPr>
                <w:rFonts w:ascii="Calibri" w:hAnsi="Calibri"/>
                <w:b w:val="0"/>
                <w:i w:val="0"/>
                <w:color w:val="212121"/>
                <w:sz w:val="19"/>
              </w:rPr>
              <w:t>Acute neurological emergencies arising directly from parenchymal inflammation and swelling.</w:t>
            </w:r>
          </w:p>
        </w:tc>
      </w:tr>
      <w:tr>
        <w:trPr>
          <w:cantSplit/>
        </w:trPr>
        <w:tc>
          <w:tcPr>
            <w:tcW w:type="dxa" w:w="1728"/>
            <w:vAlign w:val="top"/>
          </w:tcPr>
          <w:p>
            <w:pPr>
              <w:spacing w:after="40" w:before="0" w:line="259" w:lineRule="auto"/>
            </w:pPr>
            <w:r>
              <w:rPr>
                <w:rFonts w:ascii="Calibri" w:hAnsi="Calibri"/>
                <w:b/>
                <w:i w:val="0"/>
                <w:color w:val="212121"/>
                <w:sz w:val="19"/>
              </w:rPr>
              <w:t>Secondary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Cerebral (uncal/tonsillar) herniation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Aspiration pneumonia and respiratory failure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Hospital-acquired infections and venous thromboembolism</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Post-HSV anti-NMDA-receptor (autoimmune) encephalitis relapse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Communicating hydrocephalus</w:t>
            </w:r>
          </w:p>
        </w:tc>
        <w:tc>
          <w:tcPr>
            <w:tcW w:type="dxa" w:w="2980"/>
            <w:vAlign w:val="top"/>
          </w:tcPr>
          <w:p>
            <w:pPr>
              <w:spacing w:after="40" w:before="0" w:line="259" w:lineRule="auto"/>
            </w:pPr>
            <w:r>
              <w:rPr>
                <w:rFonts w:ascii="Calibri" w:hAnsi="Calibri"/>
                <w:b w:val="0"/>
                <w:i w:val="0"/>
                <w:color w:val="212121"/>
                <w:sz w:val="19"/>
              </w:rPr>
              <w:t>Consequences of severe illness, immobility, prolonged ICU stay and secondary immune responses.</w:t>
            </w:r>
          </w:p>
        </w:tc>
      </w:tr>
      <w:tr>
        <w:trPr>
          <w:cantSplit/>
        </w:trPr>
        <w:tc>
          <w:tcPr>
            <w:tcW w:type="dxa" w:w="1728"/>
            <w:vAlign w:val="top"/>
          </w:tcPr>
          <w:p>
            <w:pPr>
              <w:spacing w:after="40" w:before="0" w:line="259" w:lineRule="auto"/>
            </w:pPr>
            <w:r>
              <w:rPr>
                <w:rFonts w:ascii="Calibri" w:hAnsi="Calibri"/>
                <w:b/>
                <w:i w:val="0"/>
                <w:color w:val="212121"/>
                <w:sz w:val="19"/>
              </w:rPr>
              <w:t>Tertiary</w:t>
            </w:r>
          </w:p>
        </w:tc>
        <w:tc>
          <w:tcPr>
            <w:tcW w:type="dxa" w:w="489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Post-encephalitic epilepsy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Cognitive impairment, amnesia and dementia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Behavioural and psychiatric sequelae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motor deficits / hemiparesis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Parkinsonism and dystonia (Japanese encephalitis)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Aphasia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Persistent vegetative state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Death</w:t>
            </w:r>
          </w:p>
        </w:tc>
        <w:tc>
          <w:tcPr>
            <w:tcW w:type="dxa" w:w="2980"/>
            <w:vAlign w:val="top"/>
          </w:tcPr>
          <w:p>
            <w:pPr>
              <w:spacing w:after="40" w:before="0" w:line="259" w:lineRule="auto"/>
            </w:pPr>
            <w:r>
              <w:rPr>
                <w:rFonts w:ascii="Calibri" w:hAnsi="Calibri"/>
                <w:b w:val="0"/>
                <w:i w:val="0"/>
                <w:color w:val="212121"/>
                <w:sz w:val="19"/>
              </w:rPr>
              <w:t>Irreversible long-term sequelae; about 20–30% of Japanese encephalitis survivors are left with permanent neurological or psychiatric disability.</w:t>
            </w:r>
          </w:p>
        </w:tc>
      </w:tr>
    </w:tbl>
    <w:p>
      <w:pPr>
        <w:spacing w:before="160" w:after="120"/>
      </w:pPr>
      <w:r>
        <w:rPr>
          <w:rFonts w:ascii="Calibri" w:hAnsi="Calibri"/>
          <w:b/>
          <w:i w:val="0"/>
          <w:color w:val="212121"/>
          <w:sz w:val="22"/>
        </w:rPr>
        <w:t>Associated Medical Conditions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3202"/>
        <w:gridCol w:w="3202"/>
        <w:gridCol w:w="3202"/>
      </w:tblGrid>
      <w:tr>
        <w:trPr>
          <w:cantSplit/>
        </w:trPr>
        <w:tc>
          <w:tcPr>
            <w:tcW w:type="dxa" w:w="2232"/>
            <w:shd w:val="clear" w:color="auto" w:fill="F2F2F2"/>
            <w:vAlign w:val="center"/>
          </w:tcPr>
          <w:p>
            <w:pPr>
              <w:spacing w:after="40" w:before="0" w:line="259" w:lineRule="auto"/>
            </w:pPr>
            <w:r>
              <w:rPr>
                <w:rFonts w:ascii="Calibri" w:hAnsi="Calibri"/>
                <w:b/>
                <w:i w:val="0"/>
                <w:color w:val="212121"/>
                <w:sz w:val="19"/>
              </w:rPr>
              <w:t>AMC</w:t>
            </w:r>
          </w:p>
        </w:tc>
        <w:tc>
          <w:tcPr>
            <w:tcW w:type="dxa" w:w="2520"/>
            <w:shd w:val="clear" w:color="auto" w:fill="F2F2F2"/>
            <w:vAlign w:val="center"/>
          </w:tcPr>
          <w:p>
            <w:pPr>
              <w:spacing w:after="40" w:before="0" w:line="259" w:lineRule="auto"/>
            </w:pPr>
            <w:r>
              <w:rPr>
                <w:rFonts w:ascii="Calibri" w:hAnsi="Calibri"/>
                <w:b/>
                <w:i w:val="0"/>
                <w:color w:val="212121"/>
                <w:sz w:val="19"/>
              </w:rPr>
              <w:t>Relationship</w:t>
            </w:r>
          </w:p>
        </w:tc>
        <w:tc>
          <w:tcPr>
            <w:tcW w:type="dxa" w:w="4852"/>
            <w:shd w:val="clear" w:color="auto" w:fill="F2F2F2"/>
            <w:vAlign w:val="center"/>
          </w:tcPr>
          <w:p>
            <w:pPr>
              <w:spacing w:after="40" w:before="0" w:line="259" w:lineRule="auto"/>
            </w:pPr>
            <w:r>
              <w:rPr>
                <w:rFonts w:ascii="Calibri" w:hAnsi="Calibri"/>
                <w:b/>
                <w:i w:val="0"/>
                <w:color w:val="212121"/>
                <w:sz w:val="19"/>
              </w:rPr>
              <w:t>Note</w:t>
            </w:r>
          </w:p>
        </w:tc>
      </w:tr>
      <w:tr>
        <w:trPr>
          <w:cantSplit/>
        </w:trPr>
        <w:tc>
          <w:tcPr>
            <w:tcW w:type="dxa" w:w="2232"/>
            <w:vAlign w:val="top"/>
          </w:tcPr>
          <w:p>
            <w:pPr>
              <w:spacing w:after="40" w:before="0" w:line="259" w:lineRule="auto"/>
            </w:pPr>
            <w:r>
              <w:rPr>
                <w:rFonts w:ascii="Calibri" w:hAnsi="Calibri"/>
                <w:b/>
                <w:i w:val="0"/>
                <w:color w:val="212121"/>
                <w:sz w:val="19"/>
              </w:rPr>
              <w:t>HIV / AIDS &amp; other immunosuppression</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Depressed cell-mediated immunity predisposes to opportunistic CMV, HHV-6, JC virus and reactivated HSV/VZV encephalitis and alters empirical work-up.</w:t>
            </w:r>
          </w:p>
        </w:tc>
      </w:tr>
      <w:tr>
        <w:trPr>
          <w:cantSplit/>
        </w:trPr>
        <w:tc>
          <w:tcPr>
            <w:tcW w:type="dxa" w:w="2232"/>
            <w:vAlign w:val="top"/>
          </w:tcPr>
          <w:p>
            <w:pPr>
              <w:spacing w:after="40" w:before="0" w:line="259" w:lineRule="auto"/>
            </w:pPr>
            <w:r>
              <w:rPr>
                <w:rFonts w:ascii="Calibri" w:hAnsi="Calibri"/>
                <w:b/>
                <w:i w:val="0"/>
                <w:color w:val="212121"/>
                <w:sz w:val="19"/>
              </w:rPr>
              <w:t>Post-encephalitic epilepsy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Cortical scarring after encephalitis produces chronic, often drug-resistant seizures.</w:t>
            </w:r>
          </w:p>
          <w:p>
            <w:pPr>
              <w:spacing w:after="40" w:before="0" w:line="259" w:lineRule="auto"/>
            </w:pPr>
            <w:r>
              <w:rPr>
                <w:rFonts w:ascii="Calibri" w:hAnsi="Calibri"/>
                <w:b/>
                <w:i w:val="0"/>
                <w:color w:val="212121"/>
                <w:sz w:val="19"/>
              </w:rPr>
              <w:t>Up to 10–20%</w:t>
            </w:r>
          </w:p>
        </w:tc>
      </w:tr>
      <w:tr>
        <w:trPr>
          <w:cantSplit/>
        </w:trPr>
        <w:tc>
          <w:tcPr>
            <w:tcW w:type="dxa" w:w="2232"/>
            <w:vAlign w:val="top"/>
          </w:tcPr>
          <w:p>
            <w:pPr>
              <w:spacing w:after="40" w:before="0" w:line="259" w:lineRule="auto"/>
            </w:pPr>
            <w:r>
              <w:rPr>
                <w:rFonts w:ascii="Calibri" w:hAnsi="Calibri"/>
                <w:b/>
                <w:i w:val="0"/>
                <w:color w:val="212121"/>
                <w:sz w:val="19"/>
              </w:rPr>
              <w:t>Anti-NMDA-receptor (autoimmune) encephalitis</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A post-HSV autoimmune relapse driven by anti-neuronal antibodies, especially in children, requiring immunotherapy rather than antivirals.</w:t>
            </w:r>
          </w:p>
          <w:p>
            <w:pPr>
              <w:spacing w:after="40" w:before="0" w:line="259" w:lineRule="auto"/>
            </w:pPr>
            <w:r>
              <w:rPr>
                <w:rFonts w:ascii="Calibri" w:hAnsi="Calibri"/>
                <w:b/>
                <w:i w:val="0"/>
                <w:color w:val="212121"/>
                <w:sz w:val="19"/>
              </w:rPr>
              <w:t>~20–27% after HSE</w:t>
            </w:r>
          </w:p>
        </w:tc>
      </w:tr>
      <w:tr>
        <w:trPr>
          <w:cantSplit/>
        </w:trPr>
        <w:tc>
          <w:tcPr>
            <w:tcW w:type="dxa" w:w="2232"/>
            <w:vAlign w:val="top"/>
          </w:tcPr>
          <w:p>
            <w:pPr>
              <w:spacing w:after="40" w:before="0" w:line="259" w:lineRule="auto"/>
            </w:pPr>
            <w:r>
              <w:rPr>
                <w:rFonts w:ascii="Calibri" w:hAnsi="Calibri"/>
                <w:b/>
                <w:i w:val="0"/>
                <w:color w:val="212121"/>
                <w:sz w:val="19"/>
              </w:rPr>
              <w:t>Cognitive impairment / dementia</w:t>
            </w:r>
          </w:p>
        </w:tc>
        <w:tc>
          <w:tcPr>
            <w:tcW w:type="dxa" w:w="2520"/>
            <w:vAlign w:val="top"/>
          </w:tcPr>
          <w:p>
            <w:pPr>
              <w:spacing w:after="40" w:before="0" w:line="259" w:lineRule="auto"/>
            </w:pPr>
            <w:r>
              <w:rPr>
                <w:rFonts w:ascii="Calibri" w:hAnsi="Calibri"/>
                <w:b w:val="0"/>
                <w:i w:val="0"/>
                <w:color w:val="212121"/>
                <w:sz w:val="18"/>
              </w:rPr>
              <w:t>Complication Of</w:t>
            </w:r>
          </w:p>
        </w:tc>
        <w:tc>
          <w:tcPr>
            <w:tcW w:type="dxa" w:w="4852"/>
            <w:vAlign w:val="top"/>
          </w:tcPr>
          <w:p>
            <w:pPr>
              <w:spacing w:after="40" w:before="0" w:line="259" w:lineRule="auto"/>
            </w:pPr>
            <w:r>
              <w:rPr>
                <w:rFonts w:ascii="Calibri" w:hAnsi="Calibri"/>
                <w:b w:val="0"/>
                <w:i w:val="0"/>
                <w:color w:val="212121"/>
                <w:sz w:val="19"/>
              </w:rPr>
              <w:t>Limbic and temporal-lobe damage causes lasting memory and executive deficits.</w:t>
            </w:r>
          </w:p>
        </w:tc>
      </w:tr>
      <w:tr>
        <w:trPr>
          <w:cantSplit/>
        </w:trPr>
        <w:tc>
          <w:tcPr>
            <w:tcW w:type="dxa" w:w="2232"/>
            <w:vAlign w:val="top"/>
          </w:tcPr>
          <w:p>
            <w:pPr>
              <w:spacing w:after="40" w:before="0" w:line="259" w:lineRule="auto"/>
            </w:pPr>
            <w:r>
              <w:rPr>
                <w:rFonts w:ascii="Calibri" w:hAnsi="Calibri"/>
                <w:b/>
                <w:i w:val="0"/>
                <w:color w:val="212121"/>
                <w:sz w:val="19"/>
              </w:rPr>
              <w:t>Depression &amp; anxiety</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Bidirectional Association</w:t>
            </w:r>
          </w:p>
        </w:tc>
        <w:tc>
          <w:tcPr>
            <w:tcW w:type="dxa" w:w="4852"/>
            <w:vAlign w:val="top"/>
          </w:tcPr>
          <w:p>
            <w:pPr>
              <w:spacing w:after="40" w:before="0" w:line="259" w:lineRule="auto"/>
            </w:pPr>
            <w:r>
              <w:rPr>
                <w:rFonts w:ascii="Calibri" w:hAnsi="Calibri"/>
                <w:b w:val="0"/>
                <w:i w:val="0"/>
                <w:color w:val="212121"/>
                <w:sz w:val="19"/>
              </w:rPr>
              <w:t>Common post-encephalitic psychiatric sequelae with a bidirectional relationship to recovery and adherence.</w:t>
            </w:r>
          </w:p>
        </w:tc>
      </w:tr>
      <w:tr>
        <w:trPr>
          <w:cantSplit/>
        </w:trPr>
        <w:tc>
          <w:tcPr>
            <w:tcW w:type="dxa" w:w="2232"/>
            <w:vAlign w:val="top"/>
          </w:tcPr>
          <w:p>
            <w:pPr>
              <w:spacing w:after="40" w:before="0" w:line="259" w:lineRule="auto"/>
            </w:pPr>
            <w:r>
              <w:rPr>
                <w:rFonts w:ascii="Calibri" w:hAnsi="Calibri"/>
                <w:b/>
                <w:i w:val="0"/>
                <w:color w:val="212121"/>
                <w:sz w:val="19"/>
              </w:rPr>
              <w:t>SIADH / hyponatraemia</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Frequent acute metabolic complication that worsens cerebral oedema and must be corrected cautiously.</w:t>
            </w:r>
          </w:p>
        </w:tc>
      </w:tr>
      <w:tr>
        <w:trPr>
          <w:cantSplit/>
        </w:trPr>
        <w:tc>
          <w:tcPr>
            <w:tcW w:type="dxa" w:w="2232"/>
            <w:vAlign w:val="top"/>
          </w:tcPr>
          <w:p>
            <w:pPr>
              <w:spacing w:after="40" w:before="0" w:line="259" w:lineRule="auto"/>
            </w:pPr>
            <w:r>
              <w:rPr>
                <w:rFonts w:ascii="Calibri" w:hAnsi="Calibri"/>
                <w:b/>
                <w:i w:val="0"/>
                <w:color w:val="212121"/>
                <w:sz w:val="19"/>
              </w:rPr>
              <w:t>Diabetes mellitus</w:t>
            </w:r>
          </w:p>
        </w:tc>
        <w:tc>
          <w:tcPr>
            <w:tcW w:type="dxa" w:w="2520"/>
            <w:vAlign w:val="top"/>
          </w:tcPr>
          <w:p>
            <w:pPr>
              <w:spacing w:after="40" w:before="0" w:line="259" w:lineRule="auto"/>
            </w:pPr>
            <w:r>
              <w:rPr>
                <w:rFonts w:ascii="Calibri" w:hAnsi="Calibri"/>
                <w:b w:val="0"/>
                <w:i w:val="0"/>
                <w:color w:val="212121"/>
                <w:sz w:val="18"/>
              </w:rPr>
              <w:t>• Predisposes To</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Hyperglycaemia impairs immunity, increasing susceptibility to and severity of viral CNS infection.</w:t>
            </w:r>
          </w:p>
        </w:tc>
      </w:tr>
      <w:tr>
        <w:trPr>
          <w:cantSplit/>
        </w:trPr>
        <w:tc>
          <w:tcPr>
            <w:tcW w:type="dxa" w:w="2232"/>
            <w:vAlign w:val="top"/>
          </w:tcPr>
          <w:p>
            <w:pPr>
              <w:spacing w:after="40" w:before="0" w:line="259" w:lineRule="auto"/>
            </w:pPr>
            <w:r>
              <w:rPr>
                <w:rFonts w:ascii="Calibri" w:hAnsi="Calibri"/>
                <w:b/>
                <w:i w:val="0"/>
                <w:color w:val="212121"/>
                <w:sz w:val="19"/>
              </w:rPr>
              <w:t>Parkinsonism / movement disorder</w:t>
            </w:r>
          </w:p>
        </w:tc>
        <w:tc>
          <w:tcPr>
            <w:tcW w:type="dxa" w:w="2520"/>
            <w:vAlign w:val="top"/>
          </w:tcPr>
          <w:p>
            <w:pPr>
              <w:spacing w:after="40" w:before="0" w:line="259" w:lineRule="auto"/>
            </w:pPr>
            <w:r>
              <w:rPr>
                <w:rFonts w:ascii="Calibri" w:hAnsi="Calibri"/>
                <w:b w:val="0"/>
                <w:i w:val="0"/>
                <w:color w:val="212121"/>
                <w:sz w:val="18"/>
              </w:rPr>
              <w:t>• Complication Of</w:t>
            </w:r>
          </w:p>
          <w:p>
            <w:pPr>
              <w:spacing w:after="40" w:before="0" w:line="259" w:lineRule="auto"/>
            </w:pPr>
            <w:r>
              <w:rPr>
                <w:rFonts w:ascii="Calibri" w:hAnsi="Calibri"/>
                <w:b w:val="0"/>
                <w:i w:val="0"/>
                <w:color w:val="212121"/>
                <w:sz w:val="18"/>
              </w:rPr>
              <w:t>• Shared Pathophysiology</w:t>
            </w:r>
          </w:p>
        </w:tc>
        <w:tc>
          <w:tcPr>
            <w:tcW w:type="dxa" w:w="4852"/>
            <w:vAlign w:val="top"/>
          </w:tcPr>
          <w:p>
            <w:pPr>
              <w:spacing w:after="40" w:before="0" w:line="259" w:lineRule="auto"/>
            </w:pPr>
            <w:r>
              <w:rPr>
                <w:rFonts w:ascii="Calibri" w:hAnsi="Calibri"/>
                <w:b w:val="0"/>
                <w:i w:val="0"/>
                <w:color w:val="212121"/>
                <w:sz w:val="19"/>
              </w:rPr>
              <w:t>Thalamic and basal-ganglia injury from Japanese encephalitis leaves extrapyramidal sequelae.</w:t>
            </w:r>
          </w:p>
        </w:tc>
      </w:tr>
      <w:tr>
        <w:trPr>
          <w:cantSplit/>
        </w:trPr>
        <w:tc>
          <w:tcPr>
            <w:tcW w:type="dxa" w:w="2232"/>
            <w:vAlign w:val="top"/>
          </w:tcPr>
          <w:p>
            <w:pPr>
              <w:spacing w:after="40" w:before="0" w:line="259" w:lineRule="auto"/>
            </w:pPr>
            <w:r>
              <w:rPr>
                <w:rFonts w:ascii="Calibri" w:hAnsi="Calibri"/>
                <w:b/>
                <w:i w:val="0"/>
                <w:color w:val="212121"/>
                <w:sz w:val="19"/>
              </w:rPr>
              <w:t>Scrub typhus</w:t>
            </w:r>
          </w:p>
        </w:tc>
        <w:tc>
          <w:tcPr>
            <w:tcW w:type="dxa" w:w="2520"/>
            <w:vAlign w:val="top"/>
          </w:tcPr>
          <w:p>
            <w:pPr>
              <w:spacing w:after="40" w:before="0" w:line="259" w:lineRule="auto"/>
            </w:pPr>
            <w:r>
              <w:rPr>
                <w:rFonts w:ascii="Calibri" w:hAnsi="Calibri"/>
                <w:b w:val="0"/>
                <w:i w:val="0"/>
                <w:color w:val="212121"/>
                <w:sz w:val="18"/>
              </w:rPr>
              <w:t>• Shared Pathophysiology</w:t>
            </w:r>
          </w:p>
          <w:p>
            <w:pPr>
              <w:spacing w:after="40" w:before="0" w:line="259" w:lineRule="auto"/>
            </w:pPr>
            <w:r>
              <w:rPr>
                <w:rFonts w:ascii="Calibri" w:hAnsi="Calibri"/>
                <w:b w:val="0"/>
                <w:i w:val="0"/>
                <w:color w:val="212121"/>
                <w:sz w:val="18"/>
              </w:rPr>
              <w:t>• Clinical Management Impact</w:t>
            </w:r>
          </w:p>
        </w:tc>
        <w:tc>
          <w:tcPr>
            <w:tcW w:type="dxa" w:w="4852"/>
            <w:vAlign w:val="top"/>
          </w:tcPr>
          <w:p>
            <w:pPr>
              <w:spacing w:after="40" w:before="0" w:line="259" w:lineRule="auto"/>
            </w:pPr>
            <w:r>
              <w:rPr>
                <w:rFonts w:ascii="Calibri" w:hAnsi="Calibri"/>
                <w:b w:val="0"/>
                <w:i w:val="0"/>
                <w:color w:val="212121"/>
                <w:sz w:val="19"/>
              </w:rPr>
              <w:t>A treatable rickettsial cause of AES that mimics viral encephalitis; recognising it redirects therapy to doxycycline.</w:t>
            </w:r>
          </w:p>
          <w:p>
            <w:pPr>
              <w:spacing w:after="40" w:before="0" w:line="259" w:lineRule="auto"/>
            </w:pPr>
            <w:r>
              <w:rPr>
                <w:rFonts w:ascii="Calibri" w:hAnsi="Calibri"/>
                <w:b/>
                <w:i w:val="0"/>
                <w:color w:val="212121"/>
                <w:sz w:val="19"/>
              </w:rPr>
              <w:t>~20% of AES (Assam)</w:t>
            </w:r>
          </w:p>
        </w:tc>
      </w:tr>
    </w:tbl>
    <w:p>
      <w:pPr>
        <w:spacing w:before="200" w:after="120"/>
      </w:pPr>
      <w:r>
        <w:rPr>
          <w:rFonts w:ascii="Calibri" w:hAnsi="Calibri"/>
          <w:b/>
          <w:i w:val="0"/>
          <w:color w:val="212121"/>
          <w:sz w:val="25"/>
        </w:rPr>
        <w:t>Suggestions</w:t>
      </w:r>
    </w:p>
    <w:tbl>
      <w:tblPr>
        <w:tblW w:type="dxa" w:w="9604"/>
        <w:jc w:val="center"/>
        <w:tblLook w:firstColumn="1" w:firstRow="1" w:lastColumn="0" w:lastRow="0" w:noHBand="0" w:noVBand="1" w:val="04A0"/>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tblGrid>
        <w:gridCol w:w="1921"/>
        <w:gridCol w:w="1921"/>
        <w:gridCol w:w="1921"/>
        <w:gridCol w:w="1921"/>
        <w:gridCol w:w="1921"/>
      </w:tblGrid>
      <w:tr>
        <w:trPr>
          <w:cantSplit/>
        </w:trPr>
        <w:tc>
          <w:tcPr>
            <w:tcW w:type="dxa" w:w="1224"/>
            <w:shd w:val="clear" w:color="auto" w:fill="F2F2F2"/>
            <w:vAlign w:val="center"/>
          </w:tcPr>
          <w:p>
            <w:pPr>
              <w:spacing w:after="40" w:before="0" w:line="259" w:lineRule="auto"/>
            </w:pPr>
            <w:r>
              <w:rPr>
                <w:rFonts w:ascii="Calibri" w:hAnsi="Calibri"/>
                <w:b/>
                <w:i w:val="0"/>
                <w:color w:val="212121"/>
                <w:sz w:val="19"/>
              </w:rPr>
              <w:t>LHP</w:t>
            </w:r>
          </w:p>
        </w:tc>
        <w:tc>
          <w:tcPr>
            <w:tcW w:type="dxa" w:w="1224"/>
            <w:shd w:val="clear" w:color="auto" w:fill="F2F2F2"/>
            <w:vAlign w:val="center"/>
          </w:tcPr>
          <w:p>
            <w:pPr>
              <w:spacing w:after="40" w:before="0" w:line="259" w:lineRule="auto"/>
            </w:pPr>
            <w:r>
              <w:rPr>
                <w:rFonts w:ascii="Calibri" w:hAnsi="Calibri"/>
                <w:b/>
                <w:i w:val="0"/>
                <w:color w:val="212121"/>
                <w:sz w:val="19"/>
              </w:rPr>
              <w:t>Type</w:t>
            </w:r>
          </w:p>
        </w:tc>
        <w:tc>
          <w:tcPr>
            <w:tcW w:type="dxa" w:w="4176"/>
            <w:shd w:val="clear" w:color="auto" w:fill="F2F2F2"/>
            <w:vAlign w:val="center"/>
          </w:tcPr>
          <w:p>
            <w:pPr>
              <w:spacing w:after="40" w:before="0" w:line="259" w:lineRule="auto"/>
            </w:pPr>
            <w:r>
              <w:rPr>
                <w:rFonts w:ascii="Calibri" w:hAnsi="Calibri"/>
                <w:b/>
                <w:i w:val="0"/>
                <w:color w:val="212121"/>
                <w:sz w:val="19"/>
              </w:rPr>
              <w:t>Suggestion</w:t>
            </w:r>
          </w:p>
        </w:tc>
        <w:tc>
          <w:tcPr>
            <w:tcW w:type="dxa" w:w="1944"/>
            <w:shd w:val="clear" w:color="auto" w:fill="F2F2F2"/>
            <w:vAlign w:val="center"/>
          </w:tcPr>
          <w:p>
            <w:pPr>
              <w:spacing w:after="40" w:before="0" w:line="259" w:lineRule="auto"/>
            </w:pPr>
            <w:r>
              <w:rPr>
                <w:rFonts w:ascii="Calibri" w:hAnsi="Calibri"/>
                <w:b/>
                <w:i w:val="0"/>
                <w:color w:val="212121"/>
                <w:sz w:val="19"/>
              </w:rPr>
              <w:t>Profile</w:t>
            </w:r>
          </w:p>
        </w:tc>
        <w:tc>
          <w:tcPr>
            <w:tcW w:type="dxa" w:w="1036"/>
            <w:shd w:val="clear" w:color="auto" w:fill="F2F2F2"/>
            <w:vAlign w:val="center"/>
          </w:tcPr>
          <w:p>
            <w:pPr>
              <w:spacing w:after="40" w:before="0" w:line="259" w:lineRule="auto"/>
            </w:pPr>
            <w:r>
              <w:rPr>
                <w:rFonts w:ascii="Calibri" w:hAnsi="Calibri"/>
                <w:b/>
                <w:i w:val="0"/>
                <w:color w:val="212121"/>
                <w:sz w:val="19"/>
              </w:rPr>
              <w:t>Importance</w:t>
            </w:r>
          </w:p>
        </w:tc>
      </w:tr>
      <w:tr>
        <w:trPr>
          <w:cantSplit/>
        </w:trPr>
        <w:tc>
          <w:tcPr>
            <w:tcW w:type="dxa" w:w="1224"/>
            <w:vAlign w:val="center"/>
          </w:tcPr>
          <w:p>
            <w:pPr>
              <w:spacing w:after="40"/>
            </w:pPr>
            <w:r>
              <w:rPr>
                <w:rFonts w:ascii="Calibri" w:hAnsi="Calibri"/>
                <w:b w:val="0"/>
                <w:i w:val="0"/>
                <w:color w:val="212121"/>
                <w:sz w:val="19"/>
              </w:rPr>
              <w:t>Education</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Treat fever combined with any confusion, drowsiness, behaviour change or new seizure as an emergency and seek hospital care immediately — untreated HSV encephalitis kills more than 70%.</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Complete Japanese encephalitis vaccination (SA-14-14-2) for children in endemic districts through the Universal Immunization Programme.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Adopt mosquito-bite prevention: insecticide-treated bed nets, repellents and full-sleeved clothing, especially during monsoon dusk-to-dawn hours.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Keep pig sheds and poultry away from living areas and eliminate stagnant-water mosquito breeding sites around the home.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raw or unpasteurised date-palm sap and fruit partly eaten by bats in Nipah-prone regions.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Practise hand hygiene and safe water and sanitation to reduce enteroviral spread among children.</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in endemic districts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agricultural families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Pig and paddy workers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Parents and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Travellers to endemic areas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Physical Activity</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Start early neuro-rehabilitation and physiotherapy in survivors to recover motor deficits and prevent contractures.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graded activity and occupational therapy to rebuild activities of daily living.</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balance and gait training for patients with post-JE movement disorders.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Encourage regular moderate activity during convalescence to support immunity, sleep and mood.</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Encephalitis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Post-JE patients with motor sequelae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Elderly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Rehabilitation patients</w:t>
            </w:r>
          </w:p>
        </w:tc>
        <w:tc>
          <w:tcPr>
            <w:tcW w:type="dxa" w:w="1036"/>
            <w:vAlign w:val="top"/>
          </w:tcPr>
          <w:p>
            <w:pPr>
              <w:spacing w:after="40" w:before="0" w:line="259" w:lineRule="auto"/>
            </w:pPr>
            <w:r>
              <w:rPr>
                <w:rFonts w:ascii="Calibri" w:hAnsi="Calibri"/>
                <w:b w:val="0"/>
                <w:i w:val="0"/>
                <w:color w:val="212121"/>
                <w:sz w:val="19"/>
              </w:rPr>
              <w:t>High</w:t>
            </w:r>
          </w:p>
        </w:tc>
      </w:tr>
      <w:tr>
        <w:trPr>
          <w:cantSplit/>
        </w:trPr>
        <w:tc>
          <w:tcPr>
            <w:tcW w:type="dxa" w:w="1224"/>
            <w:vAlign w:val="center"/>
          </w:tcPr>
          <w:p>
            <w:pPr>
              <w:spacing w:after="40"/>
            </w:pPr>
            <w:r>
              <w:rPr>
                <w:rFonts w:ascii="Calibri" w:hAnsi="Calibri"/>
                <w:b w:val="0"/>
                <w:i w:val="0"/>
                <w:color w:val="212121"/>
                <w:sz w:val="19"/>
              </w:rPr>
              <w:t>Food</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Ensure clean, safe drinking water and thoroughly washed and cooked food to limit enteroviral and food-borne transmission.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raw date-palm sap; wash fruit well and discard any bat-bitten fruit (Nipah risk).</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Maintain adequate nutrition and micronutrients, particularly in children, to support antiviral immunity.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During acute illness, manage fluids and sodium carefully under medical supervision because of the risk of SIADH.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Malnourished individuals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Rural households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Sleep</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Aim for 7–9 hours of quality sleep to support immune function and recovery.</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Use bed nets that also provide night-time mosquito protection in endemic areas.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Address post-encephalitic sleep disturbance and fatigue with sleep hygiene and clinical support.</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All ages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Endemic-area residents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Encephalitis survivors</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Smoking</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tobacco and secondhand smoke, which impair respiratory mucosal immunity and worsen outcomes in critically ill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smoking-cessation support to caregivers to protect children's respiratory health.</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Survivors in recovery</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Alcohol</w:t>
            </w:r>
          </w:p>
        </w:tc>
        <w:tc>
          <w:tcPr>
            <w:tcW w:type="dxa" w:w="1224"/>
            <w:vAlign w:val="top"/>
          </w:tcPr>
          <w:p>
            <w:pPr>
              <w:spacing w:after="40" w:before="0" w:line="259" w:lineRule="auto"/>
            </w:pPr>
            <w:r>
              <w:rPr>
                <w:rFonts w:ascii="Calibri" w:hAnsi="Calibri"/>
                <w:b w:val="0"/>
                <w:i w:val="0"/>
                <w:color w:val="212121"/>
                <w:sz w:val="19"/>
              </w:rPr>
              <w:t>Preventive</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Limit alcohol; chronic heavy use suppresses immunity, lowers the seizure threshold and worsens encephalitis outcomes.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Avoid alcohol during antiviral and anti-seizure therapy and throughout recovery.</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Adults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Heavy drinkers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Survivors on medication</w:t>
            </w:r>
          </w:p>
        </w:tc>
        <w:tc>
          <w:tcPr>
            <w:tcW w:type="dxa" w:w="1036"/>
            <w:vAlign w:val="top"/>
          </w:tcPr>
          <w:p>
            <w:pPr>
              <w:spacing w:after="40" w:before="0" w:line="259" w:lineRule="auto"/>
            </w:pPr>
            <w:r>
              <w:rPr>
                <w:rFonts w:ascii="Calibri" w:hAnsi="Calibri"/>
                <w:b w:val="0"/>
                <w:i w:val="0"/>
                <w:color w:val="212121"/>
                <w:sz w:val="19"/>
              </w:rPr>
              <w:t>Medium</w:t>
            </w:r>
          </w:p>
        </w:tc>
      </w:tr>
      <w:tr>
        <w:trPr>
          <w:cantSplit/>
        </w:trPr>
        <w:tc>
          <w:tcPr>
            <w:tcW w:type="dxa" w:w="1224"/>
            <w:vAlign w:val="center"/>
          </w:tcPr>
          <w:p>
            <w:pPr>
              <w:spacing w:after="40"/>
            </w:pPr>
            <w:r>
              <w:rPr>
                <w:rFonts w:ascii="Calibri" w:hAnsi="Calibri"/>
                <w:b w:val="0"/>
                <w:i w:val="0"/>
                <w:color w:val="212121"/>
                <w:sz w:val="19"/>
              </w:rPr>
              <w:t>Mental health</w:t>
            </w:r>
          </w:p>
        </w:tc>
        <w:tc>
          <w:tcPr>
            <w:tcW w:type="dxa" w:w="1224"/>
            <w:vAlign w:val="top"/>
          </w:tcPr>
          <w:p>
            <w:pPr>
              <w:spacing w:after="40" w:before="0" w:line="259" w:lineRule="auto"/>
            </w:pPr>
            <w:r>
              <w:rPr>
                <w:rFonts w:ascii="Calibri" w:hAnsi="Calibri"/>
                <w:b w:val="0"/>
                <w:i w:val="0"/>
                <w:color w:val="212121"/>
                <w:sz w:val="19"/>
              </w:rPr>
              <w:t>Therapeutic</w:t>
            </w:r>
          </w:p>
        </w:tc>
        <w:tc>
          <w:tcPr>
            <w:tcW w:type="dxa" w:w="4176"/>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Screen survivors for depression, anxiety, and cognitive and behavioural change, and provide neuropsychological rehabilitation.</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Offer cognitive rehabilitation and memory strategies for post-HSE amnesia.</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Provide family counselling and community reintegration support for personality and behavioural sequelae.</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Link patients with post-encephalitic epilepsy to seizure support and medication-adherence counselling.</w:t>
            </w:r>
          </w:p>
        </w:tc>
        <w:tc>
          <w:tcPr>
            <w:tcW w:type="dxa" w:w="1944"/>
            <w:vAlign w:val="top"/>
          </w:tcPr>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Encephalitis survivors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Families and caregivers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Post-HSE patients</w:t>
            </w:r>
          </w:p>
          <w:p>
            <w:pPr>
              <w:spacing w:after="40" w:line="254" w:lineRule="auto"/>
              <w:ind w:left="187" w:hanging="187"/>
            </w:pPr>
            <w:r>
              <w:rPr>
                <w:rFonts w:ascii="Calibri" w:hAnsi="Calibri"/>
                <w:b w:val="0"/>
                <w:i w:val="0"/>
                <w:color w:val="212121"/>
                <w:sz w:val="19"/>
              </w:rPr>
              <w:t xml:space="preserve">•  </w:t>
            </w:r>
            <w:r>
              <w:rPr>
                <w:rFonts w:ascii="Calibri" w:hAnsi="Calibri"/>
                <w:b w:val="0"/>
                <w:i w:val="0"/>
                <w:color w:val="212121"/>
                <w:sz w:val="19"/>
              </w:rPr>
              <w:t>Children with sequelae</w:t>
            </w:r>
          </w:p>
        </w:tc>
        <w:tc>
          <w:tcPr>
            <w:tcW w:type="dxa" w:w="1036"/>
            <w:vAlign w:val="top"/>
          </w:tcPr>
          <w:p>
            <w:pPr>
              <w:spacing w:after="40" w:before="0" w:line="259" w:lineRule="auto"/>
            </w:pPr>
            <w:r>
              <w:rPr>
                <w:rFonts w:ascii="Calibri" w:hAnsi="Calibri"/>
                <w:b w:val="0"/>
                <w:i w:val="0"/>
                <w:color w:val="212121"/>
                <w:sz w:val="19"/>
              </w:rPr>
              <w:t>High</w:t>
            </w:r>
          </w:p>
        </w:tc>
      </w:tr>
    </w:tbl>
    <w:sectPr w:rsidR="00FC693F" w:rsidRPr="0006063C" w:rsidSect="00034616">
      <w:pgSz w:w="11909" w:h="16834"/>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69" w:lineRule="auto"/>
    </w:pPr>
    <w:rPr>
      <w:rFonts w:ascii="Calibri" w:hAnsi="Calibri" w:cs="Calibri"/>
      <w:color w:val="21212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who.int/news-room/fact-sheets/detail/japanese-encephalitis" TargetMode="External"/><Relationship Id="rId10" Type="http://schemas.openxmlformats.org/officeDocument/2006/relationships/hyperlink" Target="https://emedicine.medscape.com/article/1165183-overview" TargetMode="External"/><Relationship Id="rId11" Type="http://schemas.openxmlformats.org/officeDocument/2006/relationships/hyperlink" Target="https://ncvbdc.mohfw.gov.in/index1.php?lang=1&amp;level=2&amp;sublinkid=5926&amp;lid=3760" TargetMode="External"/><Relationship Id="rId12" Type="http://schemas.openxmlformats.org/officeDocument/2006/relationships/hyperlink" Target="https://wwwnc.cdc.gov/eid/article/23/1/16-1038_article" TargetMode="External"/><Relationship Id="rId13" Type="http://schemas.openxmlformats.org/officeDocument/2006/relationships/hyperlink" Target="https://www.indianpediatrics.net/oct2015/83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