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Traumatic Brain Injury / Concussion</w:t>
      </w:r>
    </w:p>
    <w:p>
      <w:pPr>
        <w:spacing w:before="0" w:after="160"/>
      </w:pPr>
      <w:r>
        <w:rPr>
          <w:rFonts w:ascii="Calibri" w:hAnsi="Calibri"/>
          <w:b/>
          <w:i w:val="0"/>
          <w:color w:val="212121"/>
          <w:sz w:val="22"/>
        </w:rPr>
        <w:t xml:space="preserve">AKA </w:t>
      </w:r>
      <w:r>
        <w:rPr>
          <w:rFonts w:ascii="Calibri" w:hAnsi="Calibri"/>
          <w:b w:val="0"/>
          <w:i w:val="0"/>
          <w:color w:val="212121"/>
          <w:sz w:val="22"/>
        </w:rPr>
        <w:t>i.e., TBI, Head injury, Intracranial injury, Concussion (mild TBI), Traumatic head injury, Neurotrauma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Traumatic brain injury (TBI) is an alteration in brain function, or other evidence of brain pathology, caused by an external mechanical force — a blow, jolt, penetrating object or rapid acceleration–deceleration of the head. Severity spans a spectrum: concussion (mild TBI) is a transient disturbance of neurological function, usually with normal structural imaging, while moderate and severe TBI involve focal or diffuse structural damage (contusions, extradural/subdural/intracerebral haematomas, diffuse axonal injury) with depressed consciousness. Injury occurs in two phases — the immediate primary injury from mechanical impact, and a secondary injury cascade (hypoxia, hypotension, oedema, excitotoxicity and raised intracranial pressure) that evolves over hours to days and is the main target of acute care. In India, TBI is overwhelmingly driven by road-traffic crashes and is a leading cause of death and long-term disability in young adults.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TBI is a leading cause of death and disability among young Indians and is overwhelmingly driven by road-traffic crashes. Global Burden of Disease estimates put India's age-adjusted TBI incidence at about 554 per 100,000 population (2019) and prevalence at roughly 1,002 per 100,000 — close to 1 in 100 people living with the consequences of a past head injury. NIMHANS/Gururaj estimates that nearly 1.5–2 million persons sustain a TBI and close to 1 million require rehabilitation every year; road-traffic injuries are the single largest cause (~60%), followed by falls (20–25%) and assault/violence (~10%), with alcohol involved in 15–20% at the time of injury. India records over 150,000 road-crash deaths a year — about 10% of the global total with only ~1% of the world's vehicles — and NIMHANS data attribute 50–80% of head injuries to road crashes, with young men (ages 10–24) most affected. Most presentations are mild (about 45–77% in Indian series), yet moderate and severe injuries account for the bulk of deaths; correct helmet use — currently only 22–51% among riders — can cut the risk of brain injury by up to 74%.</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TBI is a clinical diagnosis based on a history of external head trauma plus altered neurological function; severity is graded at the bedside and confirmed with neuroimaging where indicated: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History of an external force to the head (road crash, fall, assault, blast or sports impact) with at least one of: any loss or alteration of consciousness, amnesia around the event (post-traumatic amnesia), confusion/disorientation, or a focal neurological deficit;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Glasgow Coma Scale (GCS) — eye (1–4), verbal (1–5) and motor (1–6) responses summed to a total of 3–15 — is the standard bedside severity grade: mild/concussion 13–15, moderate 9–12, severe 3–8;</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Mild TBI (concussion) is defined by GCS 13–15 with loss of consciousness ≤ 30 minutes, post-traumatic amnesia &lt; 24 hours and normal structural imaging; symptoms may be present with no imaging abnormality;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Non-contrast CT of the head is first-line in moderate/severe injury and in mild TBI meeting validated rules (Canadian CT Head Rule / New Orleans Criteria): GCS &lt; 15 at 2 hours, suspected open/depressed or basal skull fracture, ≥ 2 vomiting episodes, age ≥ 65, anticoagulation/coagulopathy, dangerous mechanism, focal deficit or post-traumatic seizure;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CT identifies skull fracture, extradural/subdural/intracerebral haematoma, cerebral contusion, traumatic subarachnoid haemorrhage, oedema and midline shift; MRI is more sensitive for diffuse axonal injury and brainstem lesions;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Adjuncts: serum biomarkers (GFAP + UCH-L1) can help rule out intracranial injury and the need for CT in adults with mild TBI within 12 hours, while pupillary reactivity and (in severe TBI) intracranial-pressure monitoring guide ongoing management.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TBI is classified by severity, by mechanism and by pathology, each of which guides management and prognosis:</w:t>
      </w:r>
    </w:p>
    <w:p>
      <w:pPr>
        <w:spacing w:before="0" w:after="80"/>
      </w:pPr>
      <w:r>
        <w:rPr>
          <w:rFonts w:ascii="Calibri" w:hAnsi="Calibri"/>
          <w:b w:val="0"/>
          <w:i w:val="0"/>
          <w:color w:val="212121"/>
          <w:sz w:val="21"/>
        </w:rPr>
        <w:t>(1) By severity (GCS): mild/concussion (GCS 13–15), moderate (GCS 9–12) and severe (GCS 3–8). Mild TBI predominates in Indian series (about 45–77% of presentations), but moderate and severe injuries account for most deaths and long-term disability.</w:t>
      </w:r>
    </w:p>
    <w:p>
      <w:pPr>
        <w:spacing w:before="0" w:after="80"/>
      </w:pPr>
      <w:r>
        <w:rPr>
          <w:rFonts w:ascii="Calibri" w:hAnsi="Calibri"/>
          <w:b w:val="0"/>
          <w:i w:val="0"/>
          <w:color w:val="212121"/>
          <w:sz w:val="21"/>
        </w:rPr>
        <w:t>(2) By mechanism: closed (blunt) TBI — the great majority, from crashes, falls and assault — versus penetrating (open) TBI from sharp objects, projectiles or compound depressed fractures that breach the dura and carry a high infection risk.</w:t>
      </w:r>
    </w:p>
    <w:p>
      <w:pPr>
        <w:spacing w:before="0" w:after="80"/>
      </w:pPr>
      <w:r>
        <w:rPr>
          <w:rFonts w:ascii="Calibri" w:hAnsi="Calibri"/>
          <w:b w:val="0"/>
          <w:i w:val="0"/>
          <w:color w:val="212121"/>
          <w:sz w:val="21"/>
        </w:rPr>
        <w:t>(3) By pathology — focal lesions: cerebral contusion; extradural (epidural) haematoma, often from a temporal skull fracture tearing the middle meningeal artery with a classic 'lucid interval'; acute subdural haematoma from bridging-vein tears (common in the elderly and in chronic alcoholics with cerebral atrophy); chronic subdural haematoma (often after trivial trauma); and intracerebral haemorrhage.</w:t>
      </w:r>
    </w:p>
    <w:p>
      <w:pPr>
        <w:spacing w:before="0" w:after="80"/>
      </w:pPr>
      <w:r>
        <w:rPr>
          <w:rFonts w:ascii="Calibri" w:hAnsi="Calibri"/>
          <w:b w:val="0"/>
          <w:i w:val="0"/>
          <w:color w:val="212121"/>
          <w:sz w:val="21"/>
        </w:rPr>
        <w:t>(4) By pathology — diffuse injury: concussion (a functional disturbance without macroscopic damage) and diffuse axonal injury (widespread shearing of axons from rotational acceleration–deceleration, a major cause of persistent coma and vegetative states). Overlaid on every type is the distinction between the primary injury (at the moment of impact) and the preventable secondary injury (hypoxia, hypotension, oedema, raised ICP and herniation) that evolves over hours to days.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Road-traffic crashes: The dominant cause in India (~60% of TBIs), especially among motorcyclists, pillion riders and pedestrians. Direct impact and rapid acceleration–deceleration produce contusions, haematomas and diffuse axonal injury; non-use of helmets converts survivable crashes into severe TBI.</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Falls: The second commonest cause (20–25%) — falls from height in workers and low-level falls in the very young and the elderly, in whom even minor falls can cause serious intracranial bleeding.</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Assault and interpersonal violence: Blunt or penetrating blows to the head account for roughly 10% of TBIs and are frequently associated with alcohol.</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Alcohol and substance intoxication: Present in 15–20% of TBIs at the time of injury; it impairs judgement, coordination and reaction time (causing crashes, falls and assaults) and worsens outcome through coagulopathy, hypotension and poor airway protection.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Sports and recreational impacts: Contact and combat sports (boxing, kabaddi, wrestling, cricket, football) and cycling cause concussion and repetitive mild TBI, with risk of second-impact syndrome if play resumes before recovery.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Occupational and blast trauma: Construction, mining and height work (falls, falling objects) and blast exposure in defence/industrial settings are important mechanisms.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Secondary-injury cascade: After the primary impact, hypoxia, hypotension, cerebral oedema, excitotoxicity, seizures and raised intracranial pressure extend the damage — the principal preventable driver of death and disability and the main target of acute care.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(15–45 years)</w:t>
            </w:r>
          </w:p>
        </w:tc>
        <w:tc>
          <w:tcPr>
            <w:tcW w:type="dxa" w:w="4276"/>
            <w:vAlign w:val="top"/>
          </w:tcPr>
          <w:p>
            <w:pPr>
              <w:spacing w:after="60" w:line="259" w:lineRule="auto"/>
            </w:pPr>
            <w:r>
              <w:rPr>
                <w:rFonts w:ascii="Calibri" w:hAnsi="Calibri"/>
                <w:b w:val="0"/>
                <w:i w:val="0"/>
                <w:color w:val="212121"/>
                <w:sz w:val="19"/>
              </w:rPr>
              <w:t>Economically active young men dominate TBI caseloads because they ride and drive most, take more risks and are the chief victims of road-traffic crashes; this is the peak age for severe injury and lost productive years.</w:t>
            </w:r>
          </w:p>
          <w:p>
            <w:pPr>
              <w:spacing w:after="40" w:before="60" w:line="259" w:lineRule="auto"/>
            </w:pPr>
            <w:r>
              <w:rPr>
                <w:rFonts w:ascii="Calibri" w:hAnsi="Calibri"/>
                <w:b w:val="0"/>
                <w:i w:val="0"/>
                <w:color w:val="212121"/>
                <w:sz w:val="19"/>
              </w:rPr>
              <w:t>Road-traffic crashes cause about 60% of TBIs in India, and young males aged 10–24 years are the most commonly affected group.</w:t>
            </w:r>
          </w:p>
          <w:p>
            <w:pPr>
              <w:spacing w:after="40" w:line="252" w:lineRule="auto"/>
            </w:pPr>
            <w:hyperlink r:id="rId9">
              <w:r>
                <w:rPr>
                  <w:rFonts w:ascii="Calibri" w:hAnsi="Calibri" w:cs="Calibri"/>
                  <w:sz w:val="18"/>
                  <w:color w:val="1155CC"/>
                  <w:u w:val="single"/>
                </w:rPr>
                <w:t xml:space="preserve">thieme-connect.com — Current Status of TBI in India</w:t>
              </w:r>
            </w:hyperlink>
          </w:p>
          <w:p>
            <w:pPr>
              <w:spacing w:before="60" w:after="40"/>
            </w:pPr>
            <w:r>
              <w:rPr>
                <w:rFonts w:ascii="Calibri" w:hAnsi="Calibri"/>
                <w:b w:val="0"/>
                <w:i w:val="0"/>
                <w:color w:val="5A5A5A"/>
                <w:sz w:val="18"/>
              </w:rPr>
              <w:t>#TBI  #roadtrafficinjury  #youngadults  #neurotrauma  #India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65 years)</w:t>
            </w:r>
          </w:p>
        </w:tc>
        <w:tc>
          <w:tcPr>
            <w:tcW w:type="dxa" w:w="4276"/>
            <w:vAlign w:val="top"/>
          </w:tcPr>
          <w:p>
            <w:pPr>
              <w:spacing w:after="60" w:line="259" w:lineRule="auto"/>
            </w:pPr>
            <w:r>
              <w:rPr>
                <w:rFonts w:ascii="Calibri" w:hAnsi="Calibri"/>
                <w:b w:val="0"/>
                <w:i w:val="0"/>
                <w:color w:val="212121"/>
                <w:sz w:val="19"/>
              </w:rPr>
              <w:t>Falls replace crashes as the leading mechanism in the old; age-related brain atrophy stretches bridging veins, and widespread use of antiplatelets/anticoagulants means even trivial head knocks can cause acute or chronic subdural haematoma with delayed deterioration.</w:t>
            </w:r>
          </w:p>
          <w:p>
            <w:pPr>
              <w:spacing w:after="40" w:before="60" w:line="259" w:lineRule="auto"/>
            </w:pPr>
            <w:r>
              <w:rPr>
                <w:rFonts w:ascii="Calibri" w:hAnsi="Calibri"/>
                <w:b w:val="0"/>
                <w:i w:val="0"/>
                <w:color w:val="212121"/>
                <w:sz w:val="19"/>
              </w:rPr>
              <w:t>Even minor low-level falls in older adults can produce serious intracranial bleeding, and outcomes are worse than in younger patients with comparable injury.</w:t>
            </w:r>
          </w:p>
          <w:p>
            <w:pPr>
              <w:spacing w:before="60" w:after="40"/>
            </w:pPr>
            <w:r>
              <w:rPr>
                <w:rFonts w:ascii="Calibri" w:hAnsi="Calibri"/>
                <w:b w:val="0"/>
                <w:i w:val="0"/>
                <w:color w:val="5A5A5A"/>
                <w:sz w:val="18"/>
              </w:rPr>
              <w:t>#elderly  #falls  #subduralhaematoma  #anticoagulation  #chronicSDH</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&amp; adolescents</w:t>
            </w:r>
          </w:p>
        </w:tc>
        <w:tc>
          <w:tcPr>
            <w:tcW w:type="dxa" w:w="4276"/>
            <w:vAlign w:val="top"/>
          </w:tcPr>
          <w:p>
            <w:pPr>
              <w:spacing w:after="60" w:line="259" w:lineRule="auto"/>
            </w:pPr>
            <w:r>
              <w:rPr>
                <w:rFonts w:ascii="Calibri" w:hAnsi="Calibri"/>
                <w:b w:val="0"/>
                <w:i w:val="0"/>
                <w:color w:val="212121"/>
                <w:sz w:val="19"/>
              </w:rPr>
              <w:t>Children are injured by falls, as unrestrained pillion riders and in sport/cycling; their large head-to-body ratio, thin skull and developing brain make them vulnerable, and repetitive concussion risks second-impact syndrome.</w:t>
            </w:r>
          </w:p>
          <w:p>
            <w:pPr>
              <w:spacing w:after="40" w:before="60" w:line="259" w:lineRule="auto"/>
            </w:pPr>
            <w:r>
              <w:rPr>
                <w:rFonts w:ascii="Calibri" w:hAnsi="Calibri"/>
                <w:b w:val="0"/>
                <w:i w:val="0"/>
                <w:color w:val="212121"/>
                <w:sz w:val="19"/>
              </w:rPr>
              <w:t>In a central-India series, children aged 1–15 years made up 22% of traumatic head injuries (second only to the 16–50 group at 60%).</w:t>
            </w:r>
          </w:p>
          <w:p>
            <w:pPr>
              <w:spacing w:after="40" w:line="252" w:lineRule="auto"/>
            </w:pPr>
            <w:hyperlink r:id="rId10">
              <w:r>
                <w:rPr>
                  <w:rFonts w:ascii="Calibri" w:hAnsi="Calibri" w:cs="Calibri"/>
                  <w:sz w:val="18"/>
                  <w:color w:val="1155CC"/>
                  <w:u w:val="single"/>
                </w:rPr>
                <w:t xml:space="preserve">ijnonline.org — head injuries central India 2018–19</w:t>
              </w:r>
            </w:hyperlink>
          </w:p>
          <w:p>
            <w:pPr>
              <w:spacing w:before="60" w:after="40"/>
            </w:pPr>
            <w:r>
              <w:rPr>
                <w:rFonts w:ascii="Calibri" w:hAnsi="Calibri"/>
                <w:b w:val="0"/>
                <w:i w:val="0"/>
                <w:color w:val="5A5A5A"/>
                <w:sz w:val="18"/>
              </w:rPr>
              <w:t>#paediatricTBI  #childhoodinjury  #sportsconcussion  #pillionrider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predominate across every Indian TBI series owing to greater exposure to driving/riding, hazardous occupations, alcohol and interpersonal violence.</w:t>
            </w:r>
          </w:p>
          <w:p>
            <w:pPr>
              <w:spacing w:after="40" w:before="60" w:line="259" w:lineRule="auto"/>
            </w:pPr>
            <w:r>
              <w:rPr>
                <w:rFonts w:ascii="Calibri" w:hAnsi="Calibri"/>
                <w:b w:val="0"/>
                <w:i w:val="0"/>
                <w:color w:val="212121"/>
                <w:sz w:val="19"/>
              </w:rPr>
              <w:t>Males comprised 65% of traumatic head-injury patients (male:female ≈ 1.9:1) in a central-India study; many series report ratios of 3–4:1.</w:t>
            </w:r>
          </w:p>
          <w:p>
            <w:pPr>
              <w:spacing w:after="40" w:line="252" w:lineRule="auto"/>
            </w:pPr>
            <w:hyperlink r:id="rId10">
              <w:r>
                <w:rPr>
                  <w:rFonts w:ascii="Calibri" w:hAnsi="Calibri" w:cs="Calibri"/>
                  <w:sz w:val="18"/>
                  <w:color w:val="1155CC"/>
                  <w:u w:val="single"/>
                </w:rPr>
                <w:t xml:space="preserve">ijnonline.org — head injuries central India 2018–19</w:t>
              </w:r>
            </w:hyperlink>
          </w:p>
          <w:p>
            <w:pPr>
              <w:spacing w:before="60" w:after="40"/>
            </w:pPr>
            <w:r>
              <w:rPr>
                <w:rFonts w:ascii="Calibri" w:hAnsi="Calibri"/>
                <w:b w:val="0"/>
                <w:i w:val="0"/>
                <w:color w:val="5A5A5A"/>
                <w:sz w:val="18"/>
              </w:rPr>
              <w:t>#malepredominance  #sexdifference  #riskbehaviour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road users (pedestrians, cyclists, motorcyclists)</w:t>
            </w:r>
          </w:p>
        </w:tc>
        <w:tc>
          <w:tcPr>
            <w:tcW w:type="dxa" w:w="4276"/>
            <w:vAlign w:val="top"/>
          </w:tcPr>
          <w:p>
            <w:pPr>
              <w:spacing w:after="60" w:line="259" w:lineRule="auto"/>
            </w:pPr>
            <w:r>
              <w:rPr>
                <w:rFonts w:ascii="Calibri" w:hAnsi="Calibri"/>
                <w:b w:val="0"/>
                <w:i w:val="0"/>
                <w:color w:val="212121"/>
                <w:sz w:val="19"/>
              </w:rPr>
              <w:t>The poor travel as vulnerable road users with the least protection, face delayed and costlier care, and bear a disproportionate share of crash deaths and post-injury impoverishment.</w:t>
            </w:r>
          </w:p>
          <w:p>
            <w:pPr>
              <w:spacing w:after="40" w:before="60" w:line="259" w:lineRule="auto"/>
            </w:pPr>
            <w:r>
              <w:rPr>
                <w:rFonts w:ascii="Calibri" w:hAnsi="Calibri"/>
                <w:b w:val="0"/>
                <w:i w:val="0"/>
                <w:color w:val="212121"/>
                <w:sz w:val="19"/>
              </w:rPr>
              <w:t>More than half of India's crash deaths involve pedestrians, cyclists and motorcyclists, and low-income households report about twice the number of post-crash deaths of high-income households.</w:t>
            </w:r>
          </w:p>
          <w:p>
            <w:pPr>
              <w:spacing w:after="40" w:line="252" w:lineRule="auto"/>
            </w:pPr>
            <w:hyperlink r:id="rId9">
              <w:r>
                <w:rPr>
                  <w:rFonts w:ascii="Calibri" w:hAnsi="Calibri" w:cs="Calibri"/>
                  <w:sz w:val="18"/>
                  <w:color w:val="1155CC"/>
                  <w:u w:val="single"/>
                </w:rPr>
                <w:t xml:space="preserve">thieme-connect.com — Current Status of TBI in India</w:t>
              </w:r>
            </w:hyperlink>
          </w:p>
          <w:p>
            <w:pPr>
              <w:spacing w:before="60" w:after="40"/>
            </w:pPr>
            <w:r>
              <w:rPr>
                <w:rFonts w:ascii="Calibri" w:hAnsi="Calibri"/>
                <w:b w:val="0"/>
                <w:i w:val="0"/>
                <w:color w:val="5A5A5A"/>
                <w:sz w:val="18"/>
              </w:rPr>
              <w:t>#vulnerableroadusers  #poverty  #pedestrians  #socialdeterminants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road environment</w:t>
            </w:r>
          </w:p>
        </w:tc>
        <w:tc>
          <w:tcPr>
            <w:tcW w:type="dxa" w:w="2160"/>
            <w:vAlign w:val="top"/>
          </w:tcPr>
          <w:p>
            <w:pPr>
              <w:spacing w:after="40" w:before="0" w:line="259" w:lineRule="auto"/>
            </w:pPr>
            <w:r>
              <w:rPr>
                <w:rFonts w:ascii="Calibri" w:hAnsi="Calibri"/>
                <w:b w:val="0"/>
                <w:i w:val="0"/>
                <w:color w:val="212121"/>
                <w:sz w:val="19"/>
              </w:rPr>
              <w:t>Rural &amp; national-highway corridors</w:t>
            </w:r>
          </w:p>
        </w:tc>
        <w:tc>
          <w:tcPr>
            <w:tcW w:type="dxa" w:w="4276"/>
            <w:vAlign w:val="top"/>
          </w:tcPr>
          <w:p>
            <w:pPr>
              <w:spacing w:after="60" w:line="259" w:lineRule="auto"/>
            </w:pPr>
            <w:r>
              <w:rPr>
                <w:rFonts w:ascii="Calibri" w:hAnsi="Calibri"/>
                <w:b w:val="0"/>
                <w:i w:val="0"/>
                <w:color w:val="212121"/>
                <w:sz w:val="19"/>
              </w:rPr>
              <w:t>High-speed highway traffic mixing with pedestrians and slow vehicles, poor road engineering and long distances to neurosurgical care mean rural and highway crashes are both more frequent and more lethal — the 'golden hour' is often missed.</w:t>
            </w:r>
          </w:p>
          <w:p>
            <w:pPr>
              <w:spacing w:after="40" w:before="60" w:line="259" w:lineRule="auto"/>
            </w:pPr>
            <w:r>
              <w:rPr>
                <w:rFonts w:ascii="Calibri" w:hAnsi="Calibri"/>
                <w:b w:val="0"/>
                <w:i w:val="0"/>
                <w:color w:val="212121"/>
                <w:sz w:val="19"/>
              </w:rPr>
              <w:t>Greater than 66% of India's road-crash deaths occur in rural areas, and only about 30% of patients reach hospital within 6 hours (nearly one-third arrive &gt; 24 hours after injury).</w:t>
            </w:r>
          </w:p>
          <w:p>
            <w:pPr>
              <w:spacing w:after="40" w:line="252" w:lineRule="auto"/>
            </w:pPr>
            <w:hyperlink r:id="rId9">
              <w:r>
                <w:rPr>
                  <w:rFonts w:ascii="Calibri" w:hAnsi="Calibri" w:cs="Calibri"/>
                  <w:sz w:val="18"/>
                  <w:color w:val="1155CC"/>
                  <w:u w:val="single"/>
                </w:rPr>
                <w:t xml:space="preserve">thieme-connect.com — Current Status of TBI in India</w:t>
              </w:r>
            </w:hyperlink>
          </w:p>
          <w:p>
            <w:pPr>
              <w:spacing w:before="60" w:after="40"/>
            </w:pPr>
            <w:r>
              <w:rPr>
                <w:rFonts w:ascii="Calibri" w:hAnsi="Calibri"/>
                <w:b w:val="0"/>
                <w:i w:val="0"/>
                <w:color w:val="5A5A5A"/>
                <w:sz w:val="18"/>
              </w:rPr>
              <w:t>#ruralIndia  #highwaycrashes  #goldenhour  #prehospitaldelay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Urbanisation / vehicle mix</w:t>
            </w:r>
          </w:p>
        </w:tc>
        <w:tc>
          <w:tcPr>
            <w:tcW w:type="dxa" w:w="2160"/>
            <w:vAlign w:val="top"/>
          </w:tcPr>
          <w:p>
            <w:pPr>
              <w:spacing w:after="40" w:before="0" w:line="259" w:lineRule="auto"/>
            </w:pPr>
            <w:r>
              <w:rPr>
                <w:rFonts w:ascii="Calibri" w:hAnsi="Calibri"/>
                <w:b w:val="0"/>
                <w:i w:val="0"/>
                <w:color w:val="212121"/>
                <w:sz w:val="19"/>
              </w:rPr>
              <w:t>Two-wheeler-dominant cities</w:t>
            </w:r>
          </w:p>
        </w:tc>
        <w:tc>
          <w:tcPr>
            <w:tcW w:type="dxa" w:w="4276"/>
            <w:vAlign w:val="top"/>
          </w:tcPr>
          <w:p>
            <w:pPr>
              <w:spacing w:after="60" w:line="259" w:lineRule="auto"/>
            </w:pPr>
            <w:r>
              <w:rPr>
                <w:rFonts w:ascii="Calibri" w:hAnsi="Calibri"/>
                <w:b w:val="0"/>
                <w:i w:val="0"/>
                <w:color w:val="212121"/>
                <w:sz w:val="19"/>
              </w:rPr>
              <w:t>India's roads are dominated by motorcycles and scooters, whose riders have little crash protection; head injury is the leading cause of two-wheeler crash death, and helmet use remains low and often incorrect.</w:t>
            </w:r>
          </w:p>
          <w:p>
            <w:pPr>
              <w:spacing w:after="40" w:before="60" w:line="259" w:lineRule="auto"/>
            </w:pPr>
            <w:r>
              <w:rPr>
                <w:rFonts w:ascii="Calibri" w:hAnsi="Calibri"/>
                <w:b w:val="0"/>
                <w:i w:val="0"/>
                <w:color w:val="212121"/>
                <w:sz w:val="19"/>
              </w:rPr>
              <w:t>Helmet use among riders is only 22–51%, yet correct helmets reduce the risk of brain injury by up to 74%.</w:t>
            </w:r>
          </w:p>
          <w:p>
            <w:pPr>
              <w:spacing w:after="40" w:line="252" w:lineRule="auto"/>
            </w:pPr>
            <w:hyperlink r:id="rId9">
              <w:r>
                <w:rPr>
                  <w:rFonts w:ascii="Calibri" w:hAnsi="Calibri" w:cs="Calibri"/>
                  <w:sz w:val="18"/>
                  <w:color w:val="1155CC"/>
                  <w:u w:val="single"/>
                </w:rPr>
                <w:t xml:space="preserve">thieme-connect.com — Current Status of TBI in India</w:t>
              </w:r>
            </w:hyperlink>
          </w:p>
          <w:p>
            <w:pPr>
              <w:spacing w:before="60" w:after="40"/>
            </w:pPr>
            <w:r>
              <w:rPr>
                <w:rFonts w:ascii="Calibri" w:hAnsi="Calibri"/>
                <w:b w:val="0"/>
                <w:i w:val="0"/>
                <w:color w:val="5A5A5A"/>
                <w:sz w:val="18"/>
              </w:rPr>
              <w:t>#twowheeler  #helmet  #motorcyclist  #urbantraffic</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Helmet / seatbelt non-use</w:t>
            </w:r>
          </w:p>
        </w:tc>
        <w:tc>
          <w:tcPr>
            <w:tcW w:type="dxa" w:w="2160"/>
            <w:vAlign w:val="top"/>
          </w:tcPr>
          <w:p>
            <w:pPr>
              <w:spacing w:after="40" w:before="0" w:line="259" w:lineRule="auto"/>
            </w:pPr>
            <w:r>
              <w:rPr>
                <w:rFonts w:ascii="Calibri" w:hAnsi="Calibri"/>
                <w:b w:val="0"/>
                <w:i w:val="0"/>
                <w:color w:val="212121"/>
                <w:sz w:val="19"/>
              </w:rPr>
              <w:t>Riders &amp; drivers without protective equipment</w:t>
            </w:r>
          </w:p>
        </w:tc>
        <w:tc>
          <w:tcPr>
            <w:tcW w:type="dxa" w:w="4276"/>
            <w:vAlign w:val="top"/>
          </w:tcPr>
          <w:p>
            <w:pPr>
              <w:spacing w:after="60" w:line="259" w:lineRule="auto"/>
            </w:pPr>
            <w:r>
              <w:rPr>
                <w:rFonts w:ascii="Calibri" w:hAnsi="Calibri"/>
                <w:b w:val="0"/>
                <w:i w:val="0"/>
                <w:color w:val="212121"/>
                <w:sz w:val="19"/>
              </w:rPr>
              <w:t>Failure to wear a standards-compliant helmet or seatbelt is the single most important modifiable factor converting a survivable crash into a fatal or disabling brain injury.</w:t>
            </w:r>
          </w:p>
          <w:p>
            <w:pPr>
              <w:spacing w:after="40" w:before="60" w:line="259" w:lineRule="auto"/>
            </w:pPr>
            <w:r>
              <w:rPr>
                <w:rFonts w:ascii="Calibri" w:hAnsi="Calibri"/>
                <w:b w:val="0"/>
                <w:i w:val="0"/>
                <w:color w:val="212121"/>
                <w:sz w:val="19"/>
              </w:rPr>
              <w:t>NIMHANS experts attribute 50–80% of head injuries in India to road crashes, most of them preventable with correct helmet and seatbelt use.</w:t>
            </w:r>
          </w:p>
          <w:p>
            <w:pPr>
              <w:spacing w:after="40" w:line="252" w:lineRule="auto"/>
            </w:pPr>
            <w:hyperlink r:id="rId11">
              <w:r>
                <w:rPr>
                  <w:rFonts w:ascii="Calibri" w:hAnsi="Calibri" w:cs="Calibri"/>
                  <w:sz w:val="18"/>
                  <w:color w:val="1155CC"/>
                  <w:u w:val="single"/>
                </w:rPr>
                <w:t xml:space="preserve">deccanherald.com — NIMHANS on road-crash head injuries</w:t>
              </w:r>
            </w:hyperlink>
          </w:p>
          <w:p>
            <w:pPr>
              <w:spacing w:before="60" w:after="40"/>
            </w:pPr>
            <w:r>
              <w:rPr>
                <w:rFonts w:ascii="Calibri" w:hAnsi="Calibri"/>
                <w:b w:val="0"/>
                <w:i w:val="0"/>
                <w:color w:val="5A5A5A"/>
                <w:sz w:val="18"/>
              </w:rPr>
              <w:t>#helmetlaw  #seatbelt  #preventable  #roadsafety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 use</w:t>
            </w:r>
          </w:p>
        </w:tc>
        <w:tc>
          <w:tcPr>
            <w:tcW w:type="dxa" w:w="2160"/>
            <w:vAlign w:val="top"/>
          </w:tcPr>
          <w:p>
            <w:pPr>
              <w:spacing w:after="40" w:before="0" w:line="259" w:lineRule="auto"/>
            </w:pPr>
            <w:r>
              <w:rPr>
                <w:rFonts w:ascii="Calibri" w:hAnsi="Calibri"/>
                <w:b w:val="0"/>
                <w:i w:val="0"/>
                <w:color w:val="212121"/>
                <w:sz w:val="19"/>
              </w:rPr>
              <w:t>Intoxicated drivers, riders &amp; pedestrians</w:t>
            </w:r>
          </w:p>
        </w:tc>
        <w:tc>
          <w:tcPr>
            <w:tcW w:type="dxa" w:w="4276"/>
            <w:vAlign w:val="top"/>
          </w:tcPr>
          <w:p>
            <w:pPr>
              <w:spacing w:after="60" w:line="259" w:lineRule="auto"/>
            </w:pPr>
            <w:r>
              <w:rPr>
                <w:rFonts w:ascii="Calibri" w:hAnsi="Calibri"/>
                <w:b w:val="0"/>
                <w:i w:val="0"/>
                <w:color w:val="212121"/>
                <w:sz w:val="19"/>
              </w:rPr>
              <w:t>Alcohol impairs reaction time, judgement and balance, causing crashes, falls and assaults; intoxicated patients also present with lower GCS, aspiration risk and coagulopathy that complicate assessment and worsen outcome.</w:t>
            </w:r>
          </w:p>
          <w:p>
            <w:pPr>
              <w:spacing w:after="40" w:before="60" w:line="259" w:lineRule="auto"/>
            </w:pPr>
            <w:r>
              <w:rPr>
                <w:rFonts w:ascii="Calibri" w:hAnsi="Calibri"/>
                <w:b w:val="0"/>
                <w:i w:val="0"/>
                <w:color w:val="212121"/>
                <w:sz w:val="19"/>
              </w:rPr>
              <w:t>Alcohol is involved in 15–20% of TBIs at the time of injury.</w:t>
            </w:r>
          </w:p>
          <w:p>
            <w:pPr>
              <w:spacing w:after="40" w:line="252" w:lineRule="auto"/>
            </w:pPr>
            <w:hyperlink r:id="rId12">
              <w:r>
                <w:rPr>
                  <w:rFonts w:ascii="Calibri" w:hAnsi="Calibri" w:cs="Calibri"/>
                  <w:sz w:val="18"/>
                  <w:color w:val="1155CC"/>
                  <w:u w:val="single"/>
                </w:rPr>
                <w:t xml:space="preserve">pubmed.ncbi.nlm.nih.gov/11783750 — Gururaj, Indian scenario</w:t>
              </w:r>
            </w:hyperlink>
          </w:p>
          <w:p>
            <w:pPr>
              <w:spacing w:before="60" w:after="40"/>
            </w:pPr>
            <w:r>
              <w:rPr>
                <w:rFonts w:ascii="Calibri" w:hAnsi="Calibri"/>
                <w:b w:val="0"/>
                <w:i w:val="0"/>
                <w:color w:val="5A5A5A"/>
                <w:sz w:val="18"/>
              </w:rPr>
              <w:t>#alcohol  #drinkdriving  #intoxication  #riskfactor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Construction, mining &amp; height workers; transport workers</w:t>
            </w:r>
          </w:p>
        </w:tc>
        <w:tc>
          <w:tcPr>
            <w:tcW w:type="dxa" w:w="4276"/>
            <w:vAlign w:val="top"/>
          </w:tcPr>
          <w:p>
            <w:pPr>
              <w:spacing w:after="60" w:line="259" w:lineRule="auto"/>
            </w:pPr>
            <w:r>
              <w:rPr>
                <w:rFonts w:ascii="Calibri" w:hAnsi="Calibri"/>
                <w:b w:val="0"/>
                <w:i w:val="0"/>
                <w:color w:val="212121"/>
                <w:sz w:val="19"/>
              </w:rPr>
              <w:t>Falls from height, falling objects and long hours on the road expose these workers to head injury; absent scaffolding safety and hard-hats amplify the risk.</w:t>
            </w:r>
          </w:p>
          <w:p>
            <w:pPr>
              <w:spacing w:after="40" w:before="60" w:line="259" w:lineRule="auto"/>
            </w:pPr>
            <w:r>
              <w:rPr>
                <w:rFonts w:ascii="Calibri" w:hAnsi="Calibri"/>
                <w:b w:val="0"/>
                <w:i w:val="0"/>
                <w:color w:val="212121"/>
                <w:sz w:val="19"/>
              </w:rPr>
              <w:t>Falls are the second leading cause of TBI in India, accounting for 20–25% of cases (about 25% in a central-India series).</w:t>
            </w:r>
          </w:p>
          <w:p>
            <w:pPr>
              <w:spacing w:after="40" w:line="252" w:lineRule="auto"/>
            </w:pPr>
            <w:hyperlink r:id="rId10">
              <w:r>
                <w:rPr>
                  <w:rFonts w:ascii="Calibri" w:hAnsi="Calibri" w:cs="Calibri"/>
                  <w:sz w:val="18"/>
                  <w:color w:val="1155CC"/>
                  <w:u w:val="single"/>
                </w:rPr>
                <w:t xml:space="preserve">ijnonline.org — head injuries central India 2018–19</w:t>
              </w:r>
            </w:hyperlink>
          </w:p>
          <w:p>
            <w:pPr>
              <w:spacing w:before="60" w:after="40"/>
            </w:pPr>
            <w:r>
              <w:rPr>
                <w:rFonts w:ascii="Calibri" w:hAnsi="Calibri"/>
                <w:b w:val="0"/>
                <w:i w:val="0"/>
                <w:color w:val="5A5A5A"/>
                <w:sz w:val="18"/>
              </w:rPr>
              <w:t>#occupationalinjury  #fallsfromheight  #construction  #workplacesafety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Contact &amp; adventure sports</w:t>
            </w:r>
          </w:p>
        </w:tc>
        <w:tc>
          <w:tcPr>
            <w:tcW w:type="dxa" w:w="2160"/>
            <w:vAlign w:val="top"/>
          </w:tcPr>
          <w:p>
            <w:pPr>
              <w:spacing w:after="40" w:before="0" w:line="259" w:lineRule="auto"/>
            </w:pPr>
            <w:r>
              <w:rPr>
                <w:rFonts w:ascii="Calibri" w:hAnsi="Calibri"/>
                <w:b w:val="0"/>
                <w:i w:val="0"/>
                <w:color w:val="212121"/>
                <w:sz w:val="19"/>
              </w:rPr>
              <w:t>Boxers, kabaddi/wrestling, cricket &amp; cyclists</w:t>
            </w:r>
          </w:p>
        </w:tc>
        <w:tc>
          <w:tcPr>
            <w:tcW w:type="dxa" w:w="4276"/>
            <w:vAlign w:val="top"/>
          </w:tcPr>
          <w:p>
            <w:pPr>
              <w:spacing w:after="60" w:line="259" w:lineRule="auto"/>
            </w:pPr>
            <w:r>
              <w:rPr>
                <w:rFonts w:ascii="Calibri" w:hAnsi="Calibri"/>
                <w:b w:val="0"/>
                <w:i w:val="0"/>
                <w:color w:val="212121"/>
                <w:sz w:val="19"/>
              </w:rPr>
              <w:t>Repeated blows and falls in contact/combat sports and cycling cause concussion; premature return to play before symptoms resolve risks second-impact syndrome and cumulative injury.</w:t>
            </w:r>
          </w:p>
          <w:p>
            <w:pPr>
              <w:spacing w:after="40" w:before="60" w:line="259" w:lineRule="auto"/>
            </w:pPr>
            <w:r>
              <w:rPr>
                <w:rFonts w:ascii="Calibri" w:hAnsi="Calibri"/>
                <w:b w:val="0"/>
                <w:i w:val="0"/>
                <w:color w:val="212121"/>
                <w:sz w:val="19"/>
              </w:rPr>
              <w:t>Most TBIs are mild concussions, and a history of multiple or repeated concussions predicts longer recovery and more severe symptoms.</w:t>
            </w:r>
          </w:p>
          <w:p>
            <w:pPr>
              <w:spacing w:after="40" w:line="252" w:lineRule="auto"/>
            </w:pPr>
            <w:hyperlink r:id="rId13">
              <w:r>
                <w:rPr>
                  <w:rFonts w:ascii="Calibri" w:hAnsi="Calibri" w:cs="Calibri"/>
                  <w:sz w:val="18"/>
                  <w:color w:val="1155CC"/>
                  <w:u w:val="single"/>
                </w:rPr>
                <w:t xml:space="preserve">cdc.gov — about TBI &amp; concussion</w:t>
              </w:r>
            </w:hyperlink>
          </w:p>
          <w:p>
            <w:pPr>
              <w:spacing w:before="60" w:after="40"/>
            </w:pPr>
            <w:r>
              <w:rPr>
                <w:rFonts w:ascii="Calibri" w:hAnsi="Calibri"/>
                <w:b w:val="0"/>
                <w:i w:val="0"/>
                <w:color w:val="5A5A5A"/>
                <w:sz w:val="18"/>
              </w:rPr>
              <w:t>#sportsconcussion  #secondimpact  #repetitiveTBI  #returntoplay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Acute binge drinking</w:t>
            </w:r>
          </w:p>
        </w:tc>
        <w:tc>
          <w:tcPr>
            <w:tcW w:type="dxa" w:w="2160"/>
            <w:vAlign w:val="top"/>
          </w:tcPr>
          <w:p>
            <w:pPr>
              <w:spacing w:after="40" w:before="0" w:line="259" w:lineRule="auto"/>
            </w:pPr>
            <w:r>
              <w:rPr>
                <w:rFonts w:ascii="Calibri" w:hAnsi="Calibri"/>
                <w:b w:val="0"/>
                <w:i w:val="0"/>
                <w:color w:val="212121"/>
                <w:sz w:val="19"/>
              </w:rPr>
              <w:t>Binge / episodic heavy drinkers</w:t>
            </w:r>
          </w:p>
        </w:tc>
        <w:tc>
          <w:tcPr>
            <w:tcW w:type="dxa" w:w="4276"/>
            <w:vAlign w:val="top"/>
          </w:tcPr>
          <w:p>
            <w:pPr>
              <w:spacing w:after="60" w:line="259" w:lineRule="auto"/>
            </w:pPr>
            <w:r>
              <w:rPr>
                <w:rFonts w:ascii="Calibri" w:hAnsi="Calibri"/>
                <w:b w:val="0"/>
                <w:i w:val="0"/>
                <w:color w:val="212121"/>
                <w:sz w:val="19"/>
              </w:rPr>
              <w:t>An episode of heavy drinking is a dietary intake that acutely and directly predisposes to the crashes, falls and fights that cause TBI, and impairs the airway and coagulation once injured.</w:t>
            </w:r>
          </w:p>
          <w:p>
            <w:pPr>
              <w:spacing w:after="40" w:before="60" w:line="259" w:lineRule="auto"/>
            </w:pPr>
            <w:r>
              <w:rPr>
                <w:rFonts w:ascii="Calibri" w:hAnsi="Calibri"/>
                <w:b w:val="0"/>
                <w:i w:val="0"/>
                <w:color w:val="212121"/>
                <w:sz w:val="19"/>
              </w:rPr>
              <w:t>Alcohol intoxication is documented in 15–20% of TBIs at the moment of injury.</w:t>
            </w:r>
          </w:p>
          <w:p>
            <w:pPr>
              <w:spacing w:after="40" w:line="252" w:lineRule="auto"/>
            </w:pPr>
            <w:hyperlink r:id="rId12">
              <w:r>
                <w:rPr>
                  <w:rFonts w:ascii="Calibri" w:hAnsi="Calibri" w:cs="Calibri"/>
                  <w:sz w:val="18"/>
                  <w:color w:val="1155CC"/>
                  <w:u w:val="single"/>
                </w:rPr>
                <w:t xml:space="preserve">pubmed.ncbi.nlm.nih.gov/11783750 — Gururaj, Indian scenario</w:t>
              </w:r>
            </w:hyperlink>
          </w:p>
          <w:p>
            <w:pPr>
              <w:spacing w:before="60" w:after="40"/>
            </w:pPr>
            <w:r>
              <w:rPr>
                <w:rFonts w:ascii="Calibri" w:hAnsi="Calibri"/>
                <w:b w:val="0"/>
                <w:i w:val="0"/>
                <w:color w:val="5A5A5A"/>
                <w:sz w:val="18"/>
              </w:rPr>
              <w:t>#bingedrinking  #alcohol  #acuteintoxication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alcohol-use disorder</w:t>
            </w:r>
          </w:p>
        </w:tc>
        <w:tc>
          <w:tcPr>
            <w:tcW w:type="dxa" w:w="2160"/>
            <w:vAlign w:val="top"/>
          </w:tcPr>
          <w:p>
            <w:pPr>
              <w:spacing w:after="40" w:before="0" w:line="259" w:lineRule="auto"/>
            </w:pPr>
            <w:r>
              <w:rPr>
                <w:rFonts w:ascii="Calibri" w:hAnsi="Calibri"/>
                <w:b w:val="0"/>
                <w:i w:val="0"/>
                <w:color w:val="212121"/>
                <w:sz w:val="19"/>
              </w:rPr>
              <w:t>Long-term heavy drinkers</w:t>
            </w:r>
          </w:p>
        </w:tc>
        <w:tc>
          <w:tcPr>
            <w:tcW w:type="dxa" w:w="4276"/>
            <w:vAlign w:val="top"/>
          </w:tcPr>
          <w:p>
            <w:pPr>
              <w:spacing w:after="60" w:line="259" w:lineRule="auto"/>
            </w:pPr>
            <w:r>
              <w:rPr>
                <w:rFonts w:ascii="Calibri" w:hAnsi="Calibri"/>
                <w:b w:val="0"/>
                <w:i w:val="0"/>
                <w:color w:val="212121"/>
                <w:sz w:val="19"/>
              </w:rPr>
              <w:t>Chronic alcohol use causes cerebral atrophy (stretching bridging veins), thrombocytopenia, coagulopathy from liver disease and repeated falls — a combination that markedly raises the risk of acute and chronic subdural haematoma from even minor trauma.</w:t>
            </w:r>
          </w:p>
          <w:p>
            <w:pPr>
              <w:spacing w:after="40" w:before="60" w:line="259" w:lineRule="auto"/>
            </w:pPr>
            <w:r>
              <w:rPr>
                <w:rFonts w:ascii="Calibri" w:hAnsi="Calibri"/>
                <w:b w:val="0"/>
                <w:i w:val="0"/>
                <w:color w:val="212121"/>
                <w:sz w:val="19"/>
              </w:rPr>
              <w:t>Chronic alcoholics and the elderly share the highest risk of bridging-vein subdural haematoma after trivial head injury.</w:t>
            </w:r>
          </w:p>
          <w:p>
            <w:pPr>
              <w:spacing w:before="60" w:after="40"/>
            </w:pPr>
            <w:r>
              <w:rPr>
                <w:rFonts w:ascii="Calibri" w:hAnsi="Calibri"/>
                <w:b w:val="0"/>
                <w:i w:val="0"/>
                <w:color w:val="5A5A5A"/>
                <w:sz w:val="18"/>
              </w:rPr>
              <w:t>#alcoholusedisorder  #cerebralatrophy  #coagulopathy  #subdural</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APOE genotype</w:t>
            </w:r>
          </w:p>
        </w:tc>
        <w:tc>
          <w:tcPr>
            <w:tcW w:type="dxa" w:w="2160"/>
            <w:vAlign w:val="top"/>
          </w:tcPr>
          <w:p>
            <w:pPr>
              <w:spacing w:after="40" w:before="0" w:line="259" w:lineRule="auto"/>
            </w:pPr>
            <w:r>
              <w:rPr>
                <w:rFonts w:ascii="Calibri" w:hAnsi="Calibri"/>
                <w:b w:val="0"/>
                <w:i w:val="0"/>
                <w:color w:val="212121"/>
                <w:sz w:val="19"/>
              </w:rPr>
              <w:t>APOE ε4 allele carriers</w:t>
            </w:r>
          </w:p>
        </w:tc>
        <w:tc>
          <w:tcPr>
            <w:tcW w:type="dxa" w:w="4276"/>
            <w:vAlign w:val="top"/>
          </w:tcPr>
          <w:p>
            <w:pPr>
              <w:spacing w:after="60" w:line="259" w:lineRule="auto"/>
            </w:pPr>
            <w:r>
              <w:rPr>
                <w:rFonts w:ascii="Calibri" w:hAnsi="Calibri"/>
                <w:b w:val="0"/>
                <w:i w:val="0"/>
                <w:color w:val="212121"/>
                <w:sz w:val="19"/>
              </w:rPr>
              <w:t>TBI is not inherited, but the APOE ε4 allele is associated with poorer recovery after head injury and a higher long-term risk of post-traumatic cognitive decline, dementia and chronic traumatic encephalopathy.</w:t>
            </w:r>
          </w:p>
          <w:p>
            <w:pPr>
              <w:spacing w:after="40" w:before="60" w:line="259" w:lineRule="auto"/>
            </w:pPr>
            <w:r>
              <w:rPr>
                <w:rFonts w:ascii="Calibri" w:hAnsi="Calibri"/>
                <w:b w:val="0"/>
                <w:i w:val="0"/>
                <w:color w:val="212121"/>
                <w:sz w:val="19"/>
              </w:rPr>
              <w:t>Carriage of APOE ε4 is a recognised host modifier of worse neurological outcome and dementia risk after TBI.</w:t>
            </w:r>
          </w:p>
          <w:p>
            <w:pPr>
              <w:spacing w:before="60" w:after="40"/>
            </w:pPr>
            <w:r>
              <w:rPr>
                <w:rFonts w:ascii="Calibri" w:hAnsi="Calibri"/>
                <w:b w:val="0"/>
                <w:i w:val="0"/>
                <w:color w:val="5A5A5A"/>
                <w:sz w:val="18"/>
              </w:rPr>
              <w:t>#APOE4  #geneticmodifier  #dementiarisk  #recovery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Anticoagulant / antiplatelet therapy</w:t>
            </w:r>
          </w:p>
        </w:tc>
        <w:tc>
          <w:tcPr>
            <w:tcW w:type="dxa" w:w="2160"/>
            <w:vAlign w:val="top"/>
          </w:tcPr>
          <w:p>
            <w:pPr>
              <w:spacing w:after="40" w:before="0" w:line="259" w:lineRule="auto"/>
            </w:pPr>
            <w:r>
              <w:rPr>
                <w:rFonts w:ascii="Calibri" w:hAnsi="Calibri"/>
                <w:b w:val="0"/>
                <w:i w:val="0"/>
                <w:color w:val="212121"/>
                <w:sz w:val="19"/>
              </w:rPr>
              <w:t>Patients on warfarin, DOACs or aspirin</w:t>
            </w:r>
          </w:p>
        </w:tc>
        <w:tc>
          <w:tcPr>
            <w:tcW w:type="dxa" w:w="4276"/>
            <w:vAlign w:val="top"/>
          </w:tcPr>
          <w:p>
            <w:pPr>
              <w:spacing w:after="60" w:line="259" w:lineRule="auto"/>
            </w:pPr>
            <w:r>
              <w:rPr>
                <w:rFonts w:ascii="Calibri" w:hAnsi="Calibri"/>
                <w:b w:val="0"/>
                <w:i w:val="0"/>
                <w:color w:val="212121"/>
                <w:sz w:val="19"/>
              </w:rPr>
              <w:t>Impaired haemostasis turns minor head trauma into potentially fatal intracranial haemorrhage; such patients need a lower threshold for CT, observation and reversal, even with a normal initial scan (risk of delayed bleeding).</w:t>
            </w:r>
          </w:p>
          <w:p>
            <w:pPr>
              <w:spacing w:after="40" w:before="60" w:line="259" w:lineRule="auto"/>
            </w:pPr>
            <w:r>
              <w:rPr>
                <w:rFonts w:ascii="Calibri" w:hAnsi="Calibri"/>
                <w:b w:val="0"/>
                <w:i w:val="0"/>
                <w:color w:val="212121"/>
                <w:sz w:val="19"/>
              </w:rPr>
              <w:t>Anticoagulation is a validated CT-head-rule risk factor mandating imaging after even mild head injury.</w:t>
            </w:r>
          </w:p>
          <w:p>
            <w:pPr>
              <w:spacing w:before="60" w:after="40"/>
            </w:pPr>
            <w:r>
              <w:rPr>
                <w:rFonts w:ascii="Calibri" w:hAnsi="Calibri"/>
                <w:b w:val="0"/>
                <w:i w:val="0"/>
                <w:color w:val="5A5A5A"/>
                <w:sz w:val="18"/>
              </w:rPr>
              <w:t>#anticoagulation  #DOAC  #warfarin  #delayedbleed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Epilepsy / seizure disorder</w:t>
            </w:r>
          </w:p>
        </w:tc>
        <w:tc>
          <w:tcPr>
            <w:tcW w:type="dxa" w:w="2160"/>
            <w:vAlign w:val="top"/>
          </w:tcPr>
          <w:p>
            <w:pPr>
              <w:spacing w:after="40" w:before="0" w:line="259" w:lineRule="auto"/>
            </w:pPr>
            <w:r>
              <w:rPr>
                <w:rFonts w:ascii="Calibri" w:hAnsi="Calibri"/>
                <w:b w:val="0"/>
                <w:i w:val="0"/>
                <w:color w:val="212121"/>
                <w:sz w:val="19"/>
              </w:rPr>
              <w:t>Patients with pre-existing seizures</w:t>
            </w:r>
          </w:p>
        </w:tc>
        <w:tc>
          <w:tcPr>
            <w:tcW w:type="dxa" w:w="4276"/>
            <w:vAlign w:val="top"/>
          </w:tcPr>
          <w:p>
            <w:pPr>
              <w:spacing w:after="60" w:line="259" w:lineRule="auto"/>
            </w:pPr>
            <w:r>
              <w:rPr>
                <w:rFonts w:ascii="Calibri" w:hAnsi="Calibri"/>
                <w:b w:val="0"/>
                <w:i w:val="0"/>
                <w:color w:val="212121"/>
                <w:sz w:val="19"/>
              </w:rPr>
              <w:t>Seizures cause falls and head injury, while TBI in turn causes post-traumatic epilepsy — a bidirectional loop; a seizure at the scene also complicates GCS interpretation.</w:t>
            </w:r>
          </w:p>
          <w:p>
            <w:pPr>
              <w:spacing w:after="40" w:before="60" w:line="259" w:lineRule="auto"/>
            </w:pPr>
            <w:r>
              <w:rPr>
                <w:rFonts w:ascii="Calibri" w:hAnsi="Calibri"/>
                <w:b w:val="0"/>
                <w:i w:val="0"/>
                <w:color w:val="212121"/>
                <w:sz w:val="19"/>
              </w:rPr>
              <w:t>Post-traumatic seizures occurred in 12.5% of severe, 2% of moderate and 1% of mild head injuries in a central-India series.</w:t>
            </w:r>
          </w:p>
          <w:p>
            <w:pPr>
              <w:spacing w:after="40" w:line="252" w:lineRule="auto"/>
            </w:pPr>
            <w:hyperlink r:id="rId10">
              <w:r>
                <w:rPr>
                  <w:rFonts w:ascii="Calibri" w:hAnsi="Calibri" w:cs="Calibri"/>
                  <w:sz w:val="18"/>
                  <w:color w:val="1155CC"/>
                  <w:u w:val="single"/>
                </w:rPr>
                <w:t xml:space="preserve">ijnonline.org — head injuries central India 2018–19</w:t>
              </w:r>
            </w:hyperlink>
          </w:p>
          <w:p>
            <w:pPr>
              <w:spacing w:before="60" w:after="40"/>
            </w:pPr>
            <w:r>
              <w:rPr>
                <w:rFonts w:ascii="Calibri" w:hAnsi="Calibri"/>
                <w:b w:val="0"/>
                <w:i w:val="0"/>
                <w:color w:val="5A5A5A"/>
                <w:sz w:val="18"/>
              </w:rPr>
              <w:t>#epilepsy  #posttraumaticseizure  #bidirectional  #falls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 repetitive TBI</w:t>
            </w:r>
          </w:p>
        </w:tc>
        <w:tc>
          <w:tcPr>
            <w:tcW w:type="dxa" w:w="2160"/>
            <w:vAlign w:val="top"/>
          </w:tcPr>
          <w:p>
            <w:pPr>
              <w:spacing w:after="40" w:before="0" w:line="259" w:lineRule="auto"/>
            </w:pPr>
            <w:r>
              <w:rPr>
                <w:rFonts w:ascii="Calibri" w:hAnsi="Calibri"/>
                <w:b w:val="0"/>
                <w:i w:val="0"/>
                <w:color w:val="212121"/>
                <w:sz w:val="19"/>
              </w:rPr>
              <w:t>Patients with previous concussion(s)</w:t>
            </w:r>
          </w:p>
        </w:tc>
        <w:tc>
          <w:tcPr>
            <w:tcW w:type="dxa" w:w="4276"/>
            <w:vAlign w:val="top"/>
          </w:tcPr>
          <w:p>
            <w:pPr>
              <w:spacing w:after="60" w:line="259" w:lineRule="auto"/>
            </w:pPr>
            <w:r>
              <w:rPr>
                <w:rFonts w:ascii="Calibri" w:hAnsi="Calibri"/>
                <w:b w:val="0"/>
                <w:i w:val="0"/>
                <w:color w:val="212121"/>
                <w:sz w:val="19"/>
              </w:rPr>
              <w:t>A brain still recovering from concussion is vulnerable to catastrophic diffuse swelling if injured again (second-impact syndrome); cumulative concussions raise the risk of chronic traumatic encephalopathy and persistent cognitive symptoms.</w:t>
            </w:r>
          </w:p>
          <w:p>
            <w:pPr>
              <w:spacing w:after="40" w:before="60" w:line="259" w:lineRule="auto"/>
            </w:pPr>
            <w:r>
              <w:rPr>
                <w:rFonts w:ascii="Calibri" w:hAnsi="Calibri"/>
                <w:b w:val="0"/>
                <w:i w:val="0"/>
                <w:color w:val="212121"/>
                <w:sz w:val="19"/>
              </w:rPr>
              <w:t>A history of multiple or repeated mild TBIs predicts longer recovery and more severe, persistent symptoms.</w:t>
            </w:r>
          </w:p>
          <w:p>
            <w:pPr>
              <w:spacing w:after="40" w:line="252" w:lineRule="auto"/>
            </w:pPr>
            <w:hyperlink r:id="rId13">
              <w:r>
                <w:rPr>
                  <w:rFonts w:ascii="Calibri" w:hAnsi="Calibri" w:cs="Calibri"/>
                  <w:sz w:val="18"/>
                  <w:color w:val="1155CC"/>
                  <w:u w:val="single"/>
                </w:rPr>
                <w:t xml:space="preserve">cdc.gov — about TBI &amp; concussion</w:t>
              </w:r>
            </w:hyperlink>
          </w:p>
          <w:p>
            <w:pPr>
              <w:spacing w:before="60" w:after="40"/>
            </w:pPr>
            <w:r>
              <w:rPr>
                <w:rFonts w:ascii="Calibri" w:hAnsi="Calibri"/>
                <w:b w:val="0"/>
                <w:i w:val="0"/>
                <w:color w:val="5A5A5A"/>
                <w:sz w:val="18"/>
              </w:rPr>
              <w:t>#repetitiveTBI  #secondimpact  #CTE  #cumulativeinjury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Coagulopathy / chronic liver disease</w:t>
            </w:r>
          </w:p>
        </w:tc>
        <w:tc>
          <w:tcPr>
            <w:tcW w:type="dxa" w:w="2160"/>
            <w:vAlign w:val="top"/>
          </w:tcPr>
          <w:p>
            <w:pPr>
              <w:spacing w:after="40" w:before="0" w:line="259" w:lineRule="auto"/>
            </w:pPr>
            <w:r>
              <w:rPr>
                <w:rFonts w:ascii="Calibri" w:hAnsi="Calibri"/>
                <w:b w:val="0"/>
                <w:i w:val="0"/>
                <w:color w:val="212121"/>
                <w:sz w:val="19"/>
              </w:rPr>
              <w:t>Patients with bleeding diatheses or cirrhosis</w:t>
            </w:r>
          </w:p>
        </w:tc>
        <w:tc>
          <w:tcPr>
            <w:tcW w:type="dxa" w:w="4276"/>
            <w:vAlign w:val="top"/>
          </w:tcPr>
          <w:p>
            <w:pPr>
              <w:spacing w:after="60" w:line="259" w:lineRule="auto"/>
            </w:pPr>
            <w:r>
              <w:rPr>
                <w:rFonts w:ascii="Calibri" w:hAnsi="Calibri"/>
                <w:b w:val="0"/>
                <w:i w:val="0"/>
                <w:color w:val="212121"/>
                <w:sz w:val="19"/>
              </w:rPr>
              <w:t>Thrombocytopenia and clotting-factor deficiency (from cirrhosis, chemotherapy or bleeding disorders) enlarge traumatic haematomas and worsen prognosis, requiring correction before or alongside neurosurgical care.</w:t>
            </w:r>
          </w:p>
          <w:p>
            <w:pPr>
              <w:spacing w:after="40" w:before="60" w:line="259" w:lineRule="auto"/>
            </w:pPr>
            <w:r>
              <w:rPr>
                <w:rFonts w:ascii="Calibri" w:hAnsi="Calibri"/>
                <w:b w:val="0"/>
                <w:i w:val="0"/>
                <w:color w:val="212121"/>
                <w:sz w:val="19"/>
              </w:rPr>
              <w:t>Coagulopathy is an independent driver of haematoma expansion and mortality after TBI.</w:t>
            </w:r>
          </w:p>
          <w:p>
            <w:pPr>
              <w:spacing w:before="60" w:after="40"/>
            </w:pPr>
            <w:r>
              <w:rPr>
                <w:rFonts w:ascii="Calibri" w:hAnsi="Calibri"/>
                <w:b w:val="0"/>
                <w:i w:val="0"/>
                <w:color w:val="5A5A5A"/>
                <w:sz w:val="18"/>
              </w:rPr>
              <w:t>#coagulopathy  #thrombocytopenia  #cirrhosis  #haematomaexpansion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Activity has a dual role. Contact/combat sports and cycling are direct routes to concussion and repetitive mild TBI, so protective gear and graduated return-to-play matter; conversely, regular strength and balance exercise reduces falls (the leading cause of TBI in the elderly and very young).</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does not cause TBI, but alcohol — an ingested substance — is a major modifiable driver (15–20% of injuries), and adequate protein/energy and micronutrients support neuro-recovery after moderate/severe injury.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 deprivation and drowsy driving raise crash risk, a leading TBI mechanism. After concussion, sleep disturbance is a core symptom, and adequate rest followed by gradual reactivation aids recovery; obstructive sleep apnoea is common after TBI and worsens cognition.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does not directly cause TBI but impairs cerebral vascular health and wound/bone healing, and clusters with alcohol and risk-taking; it may modestly slow recovery.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a leading modifiable factor: it causes the crashes, falls and assaults behind 15–20% of TBIs, lowers presenting GCS, promotes coagulopathy and cerebral atrophy (subdural haematoma), and undermines rehabilitation adherence.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relationship is strongly bidirectional. Risk-taking, substance use and impulsivity predispose to injury, while depression, anxiety, PTSD, irritability and suicidality are common sequelae of TBI that impair recovery and quality of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role in causation, but fluid and sodium balance are critical in acute severe TBI — hypotonic fluids worsen cerebral oedema, and SIADH, cerebral salt wasting and diabetes insipidus must be detected and corrected.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causal role; modest use can reduce drowsy-driving crashes, whereas heavy intake or caffeine withdrawal can aggravate post-concussion headache and sleep disturbance.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Hygiene is relevant chiefly in open/penetrating injury and basal skull fracture with CSF leak, where meticulous wound care and asepsis prevent post-traumatic meningitis and abscess.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direct provoking events are road-traffic crashes (especially two-wheeler riders without helmets), falls, assault and blasts, amplified by speeding, alcohol, drowsy or distracted driving and non-use of restraints. Preventing these events is the highest-yield intervention.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 acute care, 30° head-of-bed elevation with a neutral neck lowers intracranial pressure and improves cerebral venous drainage; in the elderly, poor balance and gait posture predispose to the falls that cause TBI.</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Helmet use (standards-compliant, correctly fastened)</w:t>
            </w:r>
          </w:p>
        </w:tc>
        <w:tc>
          <w:tcPr>
            <w:tcW w:type="dxa" w:w="1655"/>
            <w:vAlign w:val="top"/>
          </w:tcPr>
          <w:p>
            <w:pPr>
              <w:spacing w:after="40" w:before="0" w:line="259" w:lineRule="auto"/>
            </w:pPr>
            <w:r>
              <w:rPr>
                <w:rFonts w:ascii="Calibri" w:hAnsi="Calibri"/>
                <w:b w:val="0"/>
                <w:i w:val="0"/>
                <w:color w:val="212121"/>
                <w:sz w:val="19"/>
              </w:rPr>
              <w:t>All two-wheeler riders &amp; pillions</w:t>
            </w:r>
          </w:p>
        </w:tc>
        <w:tc>
          <w:tcPr>
            <w:tcW w:type="dxa" w:w="1512"/>
            <w:vAlign w:val="top"/>
          </w:tcPr>
          <w:p>
            <w:pPr>
              <w:spacing w:after="40" w:before="0" w:line="259" w:lineRule="auto"/>
            </w:pPr>
            <w:r>
              <w:rPr>
                <w:rFonts w:ascii="Calibri" w:hAnsi="Calibri"/>
                <w:b w:val="0"/>
                <w:i w:val="0"/>
                <w:color w:val="212121"/>
                <w:sz w:val="19"/>
              </w:rPr>
              <w:t>100% — always, ISI/BIS-certified, chin-strap fastened</w:t>
            </w:r>
          </w:p>
        </w:tc>
        <w:tc>
          <w:tcPr>
            <w:tcW w:type="dxa" w:w="1512"/>
            <w:vAlign w:val="top"/>
          </w:tcPr>
          <w:p>
            <w:pPr>
              <w:spacing w:after="40" w:before="0" w:line="259" w:lineRule="auto"/>
            </w:pPr>
            <w:r>
              <w:rPr>
                <w:rFonts w:ascii="Calibri" w:hAnsi="Calibri"/>
                <w:b w:val="0"/>
                <w:i w:val="0"/>
                <w:color w:val="212121"/>
                <w:sz w:val="19"/>
              </w:rPr>
              <w:t>No helmet, loose/unfastened or sub-standard helmet</w:t>
            </w:r>
          </w:p>
        </w:tc>
        <w:tc>
          <w:tcPr>
            <w:tcW w:type="dxa" w:w="1468"/>
            <w:vAlign w:val="top"/>
          </w:tcPr>
          <w:p>
            <w:pPr>
              <w:spacing w:after="60" w:line="259" w:lineRule="auto"/>
            </w:pPr>
            <w:r>
              <w:rPr>
                <w:rFonts w:ascii="Calibri" w:hAnsi="Calibri"/>
                <w:b w:val="0"/>
                <w:i w:val="0"/>
                <w:color w:val="212121"/>
                <w:sz w:val="19"/>
              </w:rPr>
              <w:t>Correct helmets cut brain-injury risk by up to 74%</w:t>
            </w:r>
          </w:p>
          <w:p>
            <w:pPr>
              <w:spacing w:after="40" w:line="252" w:lineRule="auto"/>
            </w:pPr>
            <w:hyperlink r:id="rId9">
              <w:r>
                <w:rPr>
                  <w:rFonts w:ascii="Calibri" w:hAnsi="Calibri" w:cs="Calibri"/>
                  <w:sz w:val="18"/>
                  <w:color w:val="1155CC"/>
                  <w:u w:val="single"/>
                </w:rPr>
                <w:t xml:space="preserve">https://www.thieme-connect.com/products/ejournals/html/10.1055/s-0044-1789260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Seatbelt / child-restraint use</w:t>
            </w:r>
          </w:p>
        </w:tc>
        <w:tc>
          <w:tcPr>
            <w:tcW w:type="dxa" w:w="1655"/>
            <w:vAlign w:val="top"/>
          </w:tcPr>
          <w:p>
            <w:pPr>
              <w:spacing w:after="40" w:before="0" w:line="259" w:lineRule="auto"/>
            </w:pPr>
            <w:r>
              <w:rPr>
                <w:rFonts w:ascii="Calibri" w:hAnsi="Calibri"/>
                <w:b w:val="0"/>
                <w:i w:val="0"/>
                <w:color w:val="212121"/>
                <w:sz w:val="19"/>
              </w:rPr>
              <w:t>Car occupants; children</w:t>
            </w:r>
          </w:p>
        </w:tc>
        <w:tc>
          <w:tcPr>
            <w:tcW w:type="dxa" w:w="1512"/>
            <w:vAlign w:val="top"/>
          </w:tcPr>
          <w:p>
            <w:pPr>
              <w:spacing w:after="40" w:before="0" w:line="259" w:lineRule="auto"/>
            </w:pPr>
            <w:r>
              <w:rPr>
                <w:rFonts w:ascii="Calibri" w:hAnsi="Calibri"/>
                <w:b w:val="0"/>
                <w:i w:val="0"/>
                <w:color w:val="212121"/>
                <w:sz w:val="19"/>
              </w:rPr>
              <w:t>Belt worn every trip; age-appropriate child seat</w:t>
            </w:r>
          </w:p>
        </w:tc>
        <w:tc>
          <w:tcPr>
            <w:tcW w:type="dxa" w:w="1512"/>
            <w:vAlign w:val="top"/>
          </w:tcPr>
          <w:p>
            <w:pPr>
              <w:spacing w:after="40" w:before="0" w:line="259" w:lineRule="auto"/>
            </w:pPr>
            <w:r>
              <w:rPr>
                <w:rFonts w:ascii="Calibri" w:hAnsi="Calibri"/>
                <w:b w:val="0"/>
                <w:i w:val="0"/>
                <w:color w:val="212121"/>
                <w:sz w:val="19"/>
              </w:rPr>
              <w:t>Unrestrained occupant or child on lap</w:t>
            </w:r>
          </w:p>
        </w:tc>
        <w:tc>
          <w:tcPr>
            <w:tcW w:type="dxa" w:w="1468"/>
            <w:vAlign w:val="top"/>
          </w:tcPr>
          <w:p>
            <w:pPr>
              <w:spacing w:after="40" w:before="0" w:line="259" w:lineRule="auto"/>
            </w:pPr>
            <w:r>
              <w:rPr>
                <w:rFonts w:ascii="Calibri" w:hAnsi="Calibri"/>
                <w:b w:val="0"/>
                <w:i w:val="0"/>
                <w:color w:val="212121"/>
                <w:sz w:val="19"/>
              </w:rPr>
              <w:t>Restraints reduce head impact and ejection in crashes</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Blood alcohol before driving/riding</w:t>
            </w:r>
          </w:p>
        </w:tc>
        <w:tc>
          <w:tcPr>
            <w:tcW w:type="dxa" w:w="1655"/>
            <w:vAlign w:val="top"/>
          </w:tcPr>
          <w:p>
            <w:pPr>
              <w:spacing w:after="40" w:before="0" w:line="259" w:lineRule="auto"/>
            </w:pPr>
            <w:r>
              <w:rPr>
                <w:rFonts w:ascii="Calibri" w:hAnsi="Calibri"/>
                <w:b w:val="0"/>
                <w:i w:val="0"/>
                <w:color w:val="212121"/>
                <w:sz w:val="19"/>
              </w:rPr>
              <w:t>All drivers &amp; riders</w:t>
            </w:r>
          </w:p>
        </w:tc>
        <w:tc>
          <w:tcPr>
            <w:tcW w:type="dxa" w:w="1512"/>
            <w:vAlign w:val="top"/>
          </w:tcPr>
          <w:p>
            <w:pPr>
              <w:spacing w:after="40" w:before="0" w:line="259" w:lineRule="auto"/>
            </w:pPr>
            <w:r>
              <w:rPr>
                <w:rFonts w:ascii="Calibri" w:hAnsi="Calibri"/>
                <w:b w:val="0"/>
                <w:i w:val="0"/>
                <w:color w:val="212121"/>
                <w:sz w:val="19"/>
              </w:rPr>
              <w:t>0 (never drink and drive)</w:t>
            </w:r>
          </w:p>
        </w:tc>
        <w:tc>
          <w:tcPr>
            <w:tcW w:type="dxa" w:w="1512"/>
            <w:vAlign w:val="top"/>
          </w:tcPr>
          <w:p>
            <w:pPr>
              <w:spacing w:after="40" w:before="0" w:line="259" w:lineRule="auto"/>
            </w:pPr>
            <w:r>
              <w:rPr>
                <w:rFonts w:ascii="Calibri" w:hAnsi="Calibri"/>
                <w:b w:val="0"/>
                <w:i w:val="0"/>
                <w:color w:val="212121"/>
                <w:sz w:val="19"/>
              </w:rPr>
              <w:t>Any driving after alcohol; legal limit in India is 30 mg/100 mL (0.03%)</w:t>
            </w:r>
          </w:p>
        </w:tc>
        <w:tc>
          <w:tcPr>
            <w:tcW w:type="dxa" w:w="1468"/>
            <w:vAlign w:val="top"/>
          </w:tcPr>
          <w:p>
            <w:pPr>
              <w:spacing w:after="40" w:before="0" w:line="259" w:lineRule="auto"/>
            </w:pPr>
            <w:r>
              <w:rPr>
                <w:rFonts w:ascii="Calibri" w:hAnsi="Calibri"/>
                <w:b w:val="0"/>
                <w:i w:val="0"/>
                <w:color w:val="212121"/>
                <w:sz w:val="19"/>
              </w:rPr>
              <w:t>Alcohol is present in 15–20% of TBIs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Presenting Glasgow Coma Scale (GCS)</w:t>
            </w:r>
          </w:p>
        </w:tc>
        <w:tc>
          <w:tcPr>
            <w:tcW w:type="dxa" w:w="1655"/>
            <w:vAlign w:val="top"/>
          </w:tcPr>
          <w:p>
            <w:pPr>
              <w:spacing w:after="40" w:before="0" w:line="259" w:lineRule="auto"/>
            </w:pPr>
            <w:r>
              <w:rPr>
                <w:rFonts w:ascii="Calibri" w:hAnsi="Calibri"/>
                <w:b w:val="0"/>
                <w:i w:val="0"/>
                <w:color w:val="212121"/>
                <w:sz w:val="19"/>
              </w:rPr>
              <w:t>All head-injury patients</w:t>
            </w:r>
          </w:p>
        </w:tc>
        <w:tc>
          <w:tcPr>
            <w:tcW w:type="dxa" w:w="1512"/>
            <w:vAlign w:val="top"/>
          </w:tcPr>
          <w:p>
            <w:pPr>
              <w:spacing w:after="40" w:before="0" w:line="259" w:lineRule="auto"/>
            </w:pPr>
            <w:r>
              <w:rPr>
                <w:rFonts w:ascii="Calibri" w:hAnsi="Calibri"/>
                <w:b w:val="0"/>
                <w:i w:val="0"/>
                <w:color w:val="212121"/>
                <w:sz w:val="19"/>
              </w:rPr>
              <w:t>15/15 (fully conscious)</w:t>
            </w:r>
          </w:p>
        </w:tc>
        <w:tc>
          <w:tcPr>
            <w:tcW w:type="dxa" w:w="1512"/>
            <w:vAlign w:val="top"/>
          </w:tcPr>
          <w:p>
            <w:pPr>
              <w:spacing w:after="40" w:before="0" w:line="259" w:lineRule="auto"/>
            </w:pPr>
            <w:r>
              <w:rPr>
                <w:rFonts w:ascii="Calibri" w:hAnsi="Calibri"/>
                <w:b w:val="0"/>
                <w:i w:val="0"/>
                <w:color w:val="212121"/>
                <w:sz w:val="19"/>
              </w:rPr>
              <w:t>GCS ≤ 12 (moderate) and especially ≤ 8 (severe — secure airway)</w:t>
            </w:r>
          </w:p>
        </w:tc>
        <w:tc>
          <w:tcPr>
            <w:tcW w:type="dxa" w:w="1468"/>
            <w:vAlign w:val="top"/>
          </w:tcPr>
          <w:p>
            <w:pPr>
              <w:spacing w:after="60" w:line="259" w:lineRule="auto"/>
            </w:pPr>
            <w:r>
              <w:rPr>
                <w:rFonts w:ascii="Calibri" w:hAnsi="Calibri"/>
                <w:b w:val="0"/>
                <w:i w:val="0"/>
                <w:color w:val="212121"/>
                <w:sz w:val="19"/>
              </w:rPr>
              <w:t>GCS grades severity: mild 13–15, moderate 9–12, severe 3–8</w:t>
            </w:r>
          </w:p>
          <w:p>
            <w:pPr>
              <w:spacing w:after="40" w:line="252" w:lineRule="auto"/>
            </w:pPr>
            <w:hyperlink r:id="rId14">
              <w:r>
                <w:rPr>
                  <w:rFonts w:ascii="Calibri" w:hAnsi="Calibri" w:cs="Calibri"/>
                  <w:sz w:val="18"/>
                  <w:color w:val="1155CC"/>
                  <w:u w:val="single"/>
                </w:rPr>
                <w:t xml:space="preserve">https://my.clevelandclinic.org/health/diagnostics/24848-glasgow-coma-scale-gcs</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Graduated return-to-play/return-to-learn after concussion</w:t>
            </w:r>
          </w:p>
        </w:tc>
        <w:tc>
          <w:tcPr>
            <w:tcW w:type="dxa" w:w="1655"/>
            <w:vAlign w:val="top"/>
          </w:tcPr>
          <w:p>
            <w:pPr>
              <w:spacing w:after="40" w:before="0" w:line="259" w:lineRule="auto"/>
            </w:pPr>
            <w:r>
              <w:rPr>
                <w:rFonts w:ascii="Calibri" w:hAnsi="Calibri"/>
                <w:b w:val="0"/>
                <w:i w:val="0"/>
                <w:color w:val="212121"/>
                <w:sz w:val="19"/>
              </w:rPr>
              <w:t>Athletes, students, children</w:t>
            </w:r>
          </w:p>
        </w:tc>
        <w:tc>
          <w:tcPr>
            <w:tcW w:type="dxa" w:w="1512"/>
            <w:vAlign w:val="top"/>
          </w:tcPr>
          <w:p>
            <w:pPr>
              <w:spacing w:after="40" w:before="0" w:line="259" w:lineRule="auto"/>
            </w:pPr>
            <w:r>
              <w:rPr>
                <w:rFonts w:ascii="Calibri" w:hAnsi="Calibri"/>
                <w:b w:val="0"/>
                <w:i w:val="0"/>
                <w:color w:val="212121"/>
                <w:sz w:val="19"/>
              </w:rPr>
              <w:t>Stepwise, symptom-free progression over days</w:t>
            </w:r>
          </w:p>
        </w:tc>
        <w:tc>
          <w:tcPr>
            <w:tcW w:type="dxa" w:w="1512"/>
            <w:vAlign w:val="top"/>
          </w:tcPr>
          <w:p>
            <w:pPr>
              <w:spacing w:after="40" w:before="0" w:line="259" w:lineRule="auto"/>
            </w:pPr>
            <w:r>
              <w:rPr>
                <w:rFonts w:ascii="Calibri" w:hAnsi="Calibri"/>
                <w:b w:val="0"/>
                <w:i w:val="0"/>
                <w:color w:val="212121"/>
                <w:sz w:val="19"/>
              </w:rPr>
              <w:t>Same-day return or return while symptomatic (second-impact risk)</w:t>
            </w:r>
          </w:p>
        </w:tc>
        <w:tc>
          <w:tcPr>
            <w:tcW w:type="dxa" w:w="1468"/>
            <w:vAlign w:val="top"/>
          </w:tcPr>
          <w:p>
            <w:pPr>
              <w:spacing w:after="60" w:line="259" w:lineRule="auto"/>
            </w:pPr>
            <w:r>
              <w:rPr>
                <w:rFonts w:ascii="Calibri" w:hAnsi="Calibri"/>
                <w:b w:val="0"/>
                <w:i w:val="0"/>
                <w:color w:val="212121"/>
                <w:sz w:val="19"/>
              </w:rPr>
              <w:t>Repeated concussion predicts longer recovery</w:t>
            </w:r>
          </w:p>
          <w:p>
            <w:pPr>
              <w:spacing w:after="40" w:line="252" w:lineRule="auto"/>
            </w:pPr>
            <w:hyperlink r:id="rId13">
              <w:r>
                <w:rPr>
                  <w:rFonts w:ascii="Calibri" w:hAnsi="Calibri" w:cs="Calibri"/>
                  <w:sz w:val="18"/>
                  <w:color w:val="1155CC"/>
                  <w:u w:val="single"/>
                </w:rPr>
                <w:t xml:space="preserve">https://www.cdc.gov/traumatic-brain-injury/about/index.html</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before driving / drowsy-driving avoidance</w:t>
            </w:r>
          </w:p>
        </w:tc>
        <w:tc>
          <w:tcPr>
            <w:tcW w:type="dxa" w:w="1655"/>
            <w:vAlign w:val="top"/>
          </w:tcPr>
          <w:p>
            <w:pPr>
              <w:spacing w:after="40" w:before="0" w:line="259" w:lineRule="auto"/>
            </w:pPr>
            <w:r>
              <w:rPr>
                <w:rFonts w:ascii="Calibri" w:hAnsi="Calibri"/>
                <w:b w:val="0"/>
                <w:i w:val="0"/>
                <w:color w:val="212121"/>
                <w:sz w:val="19"/>
              </w:rPr>
              <w:t>Drivers, especially long-haul &amp; night</w:t>
            </w:r>
          </w:p>
        </w:tc>
        <w:tc>
          <w:tcPr>
            <w:tcW w:type="dxa" w:w="1512"/>
            <w:vAlign w:val="top"/>
          </w:tcPr>
          <w:p>
            <w:pPr>
              <w:spacing w:after="40" w:before="0" w:line="259" w:lineRule="auto"/>
            </w:pPr>
            <w:r>
              <w:rPr>
                <w:rFonts w:ascii="Calibri" w:hAnsi="Calibri"/>
                <w:b w:val="0"/>
                <w:i w:val="0"/>
                <w:color w:val="212121"/>
                <w:sz w:val="19"/>
              </w:rPr>
              <w:t>7–9 h sleep; no driving when drowsy</w:t>
            </w:r>
          </w:p>
        </w:tc>
        <w:tc>
          <w:tcPr>
            <w:tcW w:type="dxa" w:w="1512"/>
            <w:vAlign w:val="top"/>
          </w:tcPr>
          <w:p>
            <w:pPr>
              <w:spacing w:after="40" w:before="0" w:line="259" w:lineRule="auto"/>
            </w:pPr>
            <w:r>
              <w:rPr>
                <w:rFonts w:ascii="Calibri" w:hAnsi="Calibri"/>
                <w:b w:val="0"/>
                <w:i w:val="0"/>
                <w:color w:val="212121"/>
                <w:sz w:val="19"/>
              </w:rPr>
              <w:t>&lt; 6 h sleep or night-time fatigue driving</w:t>
            </w:r>
          </w:p>
        </w:tc>
        <w:tc>
          <w:tcPr>
            <w:tcW w:type="dxa" w:w="1468"/>
            <w:vAlign w:val="top"/>
          </w:tcPr>
          <w:p>
            <w:pPr>
              <w:spacing w:after="40" w:before="0" w:line="259" w:lineRule="auto"/>
            </w:pPr>
            <w:r>
              <w:rPr>
                <w:rFonts w:ascii="Calibri" w:hAnsi="Calibri"/>
                <w:b w:val="0"/>
                <w:i w:val="0"/>
                <w:color w:val="212121"/>
                <w:sz w:val="19"/>
              </w:rPr>
              <w:t>Drowsy driving is a preventable crash cause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Vehicle speed vs posted limit</w:t>
            </w:r>
          </w:p>
        </w:tc>
        <w:tc>
          <w:tcPr>
            <w:tcW w:type="dxa" w:w="1655"/>
            <w:vAlign w:val="top"/>
          </w:tcPr>
          <w:p>
            <w:pPr>
              <w:spacing w:after="40" w:before="0" w:line="259" w:lineRule="auto"/>
            </w:pPr>
            <w:r>
              <w:rPr>
                <w:rFonts w:ascii="Calibri" w:hAnsi="Calibri"/>
                <w:b w:val="0"/>
                <w:i w:val="0"/>
                <w:color w:val="212121"/>
                <w:sz w:val="19"/>
              </w:rPr>
              <w:t>All motorists</w:t>
            </w:r>
          </w:p>
        </w:tc>
        <w:tc>
          <w:tcPr>
            <w:tcW w:type="dxa" w:w="1512"/>
            <w:vAlign w:val="top"/>
          </w:tcPr>
          <w:p>
            <w:pPr>
              <w:spacing w:after="40" w:before="0" w:line="259" w:lineRule="auto"/>
            </w:pPr>
            <w:r>
              <w:rPr>
                <w:rFonts w:ascii="Calibri" w:hAnsi="Calibri"/>
                <w:b w:val="0"/>
                <w:i w:val="0"/>
                <w:color w:val="212121"/>
                <w:sz w:val="19"/>
              </w:rPr>
              <w:t>At or below posted limit; slower in mixed traffic</w:t>
            </w:r>
          </w:p>
        </w:tc>
        <w:tc>
          <w:tcPr>
            <w:tcW w:type="dxa" w:w="1512"/>
            <w:vAlign w:val="top"/>
          </w:tcPr>
          <w:p>
            <w:pPr>
              <w:spacing w:after="40" w:before="0" w:line="259" w:lineRule="auto"/>
            </w:pPr>
            <w:r>
              <w:rPr>
                <w:rFonts w:ascii="Calibri" w:hAnsi="Calibri"/>
                <w:b w:val="0"/>
                <w:i w:val="0"/>
                <w:color w:val="212121"/>
                <w:sz w:val="19"/>
              </w:rPr>
              <w:t>Over-speeding / racing</w:t>
            </w:r>
          </w:p>
        </w:tc>
        <w:tc>
          <w:tcPr>
            <w:tcW w:type="dxa" w:w="1468"/>
            <w:vAlign w:val="top"/>
          </w:tcPr>
          <w:p>
            <w:pPr>
              <w:spacing w:after="40" w:before="0" w:line="259" w:lineRule="auto"/>
            </w:pPr>
            <w:r>
              <w:rPr>
                <w:rFonts w:ascii="Calibri" w:hAnsi="Calibri"/>
                <w:b w:val="0"/>
                <w:i w:val="0"/>
                <w:color w:val="212121"/>
                <w:sz w:val="19"/>
              </w:rPr>
              <w:t>Impact energy and injury severity rise steeply with speed</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Head-of-bed elevation in acute moderate/severe TBI</w:t>
            </w:r>
          </w:p>
        </w:tc>
        <w:tc>
          <w:tcPr>
            <w:tcW w:type="dxa" w:w="1655"/>
            <w:vAlign w:val="top"/>
          </w:tcPr>
          <w:p>
            <w:pPr>
              <w:spacing w:after="40" w:before="0" w:line="259" w:lineRule="auto"/>
            </w:pPr>
            <w:r>
              <w:rPr>
                <w:rFonts w:ascii="Calibri" w:hAnsi="Calibri"/>
                <w:b w:val="0"/>
                <w:i w:val="0"/>
                <w:color w:val="212121"/>
                <w:sz w:val="19"/>
              </w:rPr>
              <w:t>Admitted TBI patients</w:t>
            </w:r>
          </w:p>
        </w:tc>
        <w:tc>
          <w:tcPr>
            <w:tcW w:type="dxa" w:w="1512"/>
            <w:vAlign w:val="top"/>
          </w:tcPr>
          <w:p>
            <w:pPr>
              <w:spacing w:after="40" w:before="0" w:line="259" w:lineRule="auto"/>
            </w:pPr>
            <w:r>
              <w:rPr>
                <w:rFonts w:ascii="Calibri" w:hAnsi="Calibri"/>
                <w:b w:val="0"/>
                <w:i w:val="0"/>
                <w:color w:val="212121"/>
                <w:sz w:val="19"/>
              </w:rPr>
              <w:t>30° head-up, neck neutral</w:t>
            </w:r>
          </w:p>
        </w:tc>
        <w:tc>
          <w:tcPr>
            <w:tcW w:type="dxa" w:w="1512"/>
            <w:vAlign w:val="top"/>
          </w:tcPr>
          <w:p>
            <w:pPr>
              <w:spacing w:after="40" w:before="0" w:line="259" w:lineRule="auto"/>
            </w:pPr>
            <w:r>
              <w:rPr>
                <w:rFonts w:ascii="Calibri" w:hAnsi="Calibri"/>
                <w:b w:val="0"/>
                <w:i w:val="0"/>
                <w:color w:val="212121"/>
                <w:sz w:val="19"/>
              </w:rPr>
              <w:t>Flat/neck-flexed positioning with raised ICP</w:t>
            </w:r>
          </w:p>
        </w:tc>
        <w:tc>
          <w:tcPr>
            <w:tcW w:type="dxa" w:w="1468"/>
            <w:vAlign w:val="top"/>
          </w:tcPr>
          <w:p>
            <w:pPr>
              <w:spacing w:after="40" w:before="0" w:line="259" w:lineRule="auto"/>
            </w:pPr>
            <w:r>
              <w:rPr>
                <w:rFonts w:ascii="Calibri" w:hAnsi="Calibri"/>
                <w:b w:val="0"/>
                <w:i w:val="0"/>
                <w:color w:val="212121"/>
                <w:sz w:val="19"/>
              </w:rPr>
              <w:t>Improves cerebral venous drainage and lowers ICP</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Fall-risk / balance (e.g., Timed Up-and-Go)</w:t>
            </w:r>
          </w:p>
        </w:tc>
        <w:tc>
          <w:tcPr>
            <w:tcW w:type="dxa" w:w="1655"/>
            <w:vAlign w:val="top"/>
          </w:tcPr>
          <w:p>
            <w:pPr>
              <w:spacing w:after="40" w:before="0" w:line="259" w:lineRule="auto"/>
            </w:pPr>
            <w:r>
              <w:rPr>
                <w:rFonts w:ascii="Calibri" w:hAnsi="Calibri"/>
                <w:b w:val="0"/>
                <w:i w:val="0"/>
                <w:color w:val="212121"/>
                <w:sz w:val="19"/>
              </w:rPr>
              <w:t>Elderly, prior fallers</w:t>
            </w:r>
          </w:p>
        </w:tc>
        <w:tc>
          <w:tcPr>
            <w:tcW w:type="dxa" w:w="1512"/>
            <w:vAlign w:val="top"/>
          </w:tcPr>
          <w:p>
            <w:pPr>
              <w:spacing w:after="40" w:before="0" w:line="259" w:lineRule="auto"/>
            </w:pPr>
            <w:r>
              <w:rPr>
                <w:rFonts w:ascii="Calibri" w:hAnsi="Calibri"/>
                <w:b w:val="0"/>
                <w:i w:val="0"/>
                <w:color w:val="212121"/>
                <w:sz w:val="19"/>
              </w:rPr>
              <w:t>&lt; 12 seconds; independent, steady gait</w:t>
            </w:r>
          </w:p>
        </w:tc>
        <w:tc>
          <w:tcPr>
            <w:tcW w:type="dxa" w:w="1512"/>
            <w:vAlign w:val="top"/>
          </w:tcPr>
          <w:p>
            <w:pPr>
              <w:spacing w:after="40" w:before="0" w:line="259" w:lineRule="auto"/>
            </w:pPr>
            <w:r>
              <w:rPr>
                <w:rFonts w:ascii="Calibri" w:hAnsi="Calibri"/>
                <w:b w:val="0"/>
                <w:i w:val="0"/>
                <w:color w:val="212121"/>
                <w:sz w:val="19"/>
              </w:rPr>
              <w:t>≥ 14 seconds or unsteady gait</w:t>
            </w:r>
          </w:p>
        </w:tc>
        <w:tc>
          <w:tcPr>
            <w:tcW w:type="dxa" w:w="1468"/>
            <w:vAlign w:val="top"/>
          </w:tcPr>
          <w:p>
            <w:pPr>
              <w:spacing w:after="40" w:before="0" w:line="259" w:lineRule="auto"/>
            </w:pPr>
            <w:r>
              <w:rPr>
                <w:rFonts w:ascii="Calibri" w:hAnsi="Calibri"/>
                <w:b w:val="0"/>
                <w:i w:val="0"/>
                <w:color w:val="212121"/>
                <w:sz w:val="19"/>
              </w:rPr>
              <w:t>Flags high fall risk; target balance/strength training</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Depression/PTSD screen after TBI (e.g., PHQ-9, PCL-5)</w:t>
            </w:r>
          </w:p>
        </w:tc>
        <w:tc>
          <w:tcPr>
            <w:tcW w:type="dxa" w:w="1655"/>
            <w:vAlign w:val="top"/>
          </w:tcPr>
          <w:p>
            <w:pPr>
              <w:spacing w:after="40" w:before="0" w:line="259" w:lineRule="auto"/>
            </w:pPr>
            <w:r>
              <w:rPr>
                <w:rFonts w:ascii="Calibri" w:hAnsi="Calibri"/>
                <w:b w:val="0"/>
                <w:i w:val="0"/>
                <w:color w:val="212121"/>
                <w:sz w:val="19"/>
              </w:rPr>
              <w:t>TBI survivors</w:t>
            </w:r>
          </w:p>
        </w:tc>
        <w:tc>
          <w:tcPr>
            <w:tcW w:type="dxa" w:w="1512"/>
            <w:vAlign w:val="top"/>
          </w:tcPr>
          <w:p>
            <w:pPr>
              <w:spacing w:after="40" w:before="0" w:line="259" w:lineRule="auto"/>
            </w:pPr>
            <w:r>
              <w:rPr>
                <w:rFonts w:ascii="Calibri" w:hAnsi="Calibri"/>
                <w:b w:val="0"/>
                <w:i w:val="0"/>
                <w:color w:val="212121"/>
                <w:sz w:val="19"/>
              </w:rPr>
              <w:t>Screened; PHQ-9 &lt; 5</w:t>
            </w:r>
          </w:p>
        </w:tc>
        <w:tc>
          <w:tcPr>
            <w:tcW w:type="dxa" w:w="1512"/>
            <w:vAlign w:val="top"/>
          </w:tcPr>
          <w:p>
            <w:pPr>
              <w:spacing w:after="40" w:before="0" w:line="259" w:lineRule="auto"/>
            </w:pPr>
            <w:r>
              <w:rPr>
                <w:rFonts w:ascii="Calibri" w:hAnsi="Calibri"/>
                <w:b w:val="0"/>
                <w:i w:val="0"/>
                <w:color w:val="212121"/>
                <w:sz w:val="19"/>
              </w:rPr>
              <w:t>Unscreened or PHQ-9 ≥ 10 / positive PTSD screen</w:t>
            </w:r>
          </w:p>
        </w:tc>
        <w:tc>
          <w:tcPr>
            <w:tcW w:type="dxa" w:w="1468"/>
            <w:vAlign w:val="top"/>
          </w:tcPr>
          <w:p>
            <w:pPr>
              <w:spacing w:after="40" w:before="0" w:line="259" w:lineRule="auto"/>
            </w:pPr>
            <w:r>
              <w:rPr>
                <w:rFonts w:ascii="Calibri" w:hAnsi="Calibri"/>
                <w:b w:val="0"/>
                <w:i w:val="0"/>
                <w:color w:val="212121"/>
                <w:sz w:val="19"/>
              </w:rPr>
              <w:t>Mood and PTSD symptoms are common and undertreated post-TBI</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Non-contrast CT head</w:t>
            </w:r>
          </w:p>
        </w:tc>
        <w:tc>
          <w:tcPr>
            <w:tcW w:type="dxa" w:w="892"/>
            <w:vAlign w:val="top"/>
          </w:tcPr>
          <w:p>
            <w:pPr>
              <w:spacing w:after="40" w:before="0" w:line="259" w:lineRule="auto"/>
            </w:pPr>
            <w:r>
              <w:rPr>
                <w:rFonts w:ascii="Calibri" w:hAnsi="Calibri"/>
                <w:b w:val="0"/>
                <w:i w:val="0"/>
                <w:color w:val="212121"/>
                <w:sz w:val="16"/>
              </w:rPr>
              <w:t>Computed Tomography</w:t>
            </w:r>
          </w:p>
        </w:tc>
        <w:tc>
          <w:tcPr>
            <w:tcW w:type="dxa" w:w="950"/>
            <w:vAlign w:val="top"/>
          </w:tcPr>
          <w:p>
            <w:pPr>
              <w:spacing w:after="40" w:before="0" w:line="259" w:lineRule="auto"/>
            </w:pPr>
            <w:r>
              <w:rPr>
                <w:rFonts w:ascii="Calibri" w:hAnsi="Calibri"/>
                <w:b w:val="0"/>
                <w:i w:val="0"/>
                <w:color w:val="212121"/>
                <w:sz w:val="16"/>
              </w:rPr>
              <w:t>No fracture, haemorrhage, oedema or midline shift</w:t>
            </w:r>
          </w:p>
        </w:tc>
        <w:tc>
          <w:tcPr>
            <w:tcW w:type="dxa" w:w="950"/>
            <w:vAlign w:val="top"/>
          </w:tcPr>
          <w:p>
            <w:pPr>
              <w:spacing w:after="40" w:before="0" w:line="259" w:lineRule="auto"/>
            </w:pPr>
            <w:r>
              <w:rPr>
                <w:rFonts w:ascii="Calibri" w:hAnsi="Calibri"/>
                <w:b w:val="0"/>
                <w:i w:val="0"/>
                <w:color w:val="212121"/>
                <w:sz w:val="16"/>
              </w:rPr>
              <w:t>Skull fracture, extradural/subdural/intracerebral haematoma, contusion, traumatic SAH, effacement of cisterns or midline shift</w:t>
            </w:r>
          </w:p>
        </w:tc>
        <w:tc>
          <w:tcPr>
            <w:tcW w:type="dxa" w:w="1036"/>
            <w:vAlign w:val="top"/>
          </w:tcPr>
          <w:p>
            <w:pPr>
              <w:spacing w:after="40" w:before="0" w:line="259" w:lineRule="auto"/>
            </w:pPr>
            <w:r>
              <w:rPr>
                <w:rFonts w:ascii="Calibri" w:hAnsi="Calibri"/>
                <w:b w:val="0"/>
                <w:i w:val="0"/>
                <w:color w:val="212121"/>
                <w:sz w:val="16"/>
              </w:rPr>
              <w:t>First-line and gold standard in acute moderate/severe TBI and in mild TBI meeting CT rules; guides surgical decisions</w:t>
            </w:r>
          </w:p>
        </w:tc>
        <w:tc>
          <w:tcPr>
            <w:tcW w:type="dxa" w:w="1036"/>
            <w:vAlign w:val="top"/>
          </w:tcPr>
          <w:p>
            <w:pPr>
              <w:spacing w:after="40" w:before="0" w:line="259" w:lineRule="auto"/>
            </w:pPr>
            <w:r>
              <w:rPr>
                <w:rFonts w:ascii="Calibri" w:hAnsi="Calibri"/>
                <w:b w:val="0"/>
                <w:i w:val="0"/>
                <w:color w:val="212121"/>
                <w:sz w:val="16"/>
              </w:rPr>
              <w:t>GCS &lt; 15, dangerous mechanism, elderly, anticoagulated, vomiting/seizure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Repeat/interval CT if deterioration or delayed-bleed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MRI brain (incl. GRE/SWI, DWI)</w:t>
            </w:r>
          </w:p>
        </w:tc>
        <w:tc>
          <w:tcPr>
            <w:tcW w:type="dxa" w:w="892"/>
            <w:vAlign w:val="top"/>
          </w:tcPr>
          <w:p>
            <w:pPr>
              <w:spacing w:after="40" w:before="0" w:line="259" w:lineRule="auto"/>
            </w:pPr>
            <w:r>
              <w:rPr>
                <w:rFonts w:ascii="Calibri" w:hAnsi="Calibri"/>
                <w:b w:val="0"/>
                <w:i w:val="0"/>
                <w:color w:val="212121"/>
                <w:sz w:val="16"/>
              </w:rPr>
              <w:t>Magnetic Resonance Imaging</w:t>
            </w:r>
          </w:p>
        </w:tc>
        <w:tc>
          <w:tcPr>
            <w:tcW w:type="dxa" w:w="950"/>
            <w:vAlign w:val="top"/>
          </w:tcPr>
          <w:p>
            <w:pPr>
              <w:spacing w:after="40" w:before="0" w:line="259" w:lineRule="auto"/>
            </w:pPr>
            <w:r>
              <w:rPr>
                <w:rFonts w:ascii="Calibri" w:hAnsi="Calibri"/>
                <w:b w:val="0"/>
                <w:i w:val="0"/>
                <w:color w:val="212121"/>
                <w:sz w:val="16"/>
              </w:rPr>
              <w:t>No parenchymal lesion</w:t>
            </w:r>
          </w:p>
        </w:tc>
        <w:tc>
          <w:tcPr>
            <w:tcW w:type="dxa" w:w="950"/>
            <w:vAlign w:val="top"/>
          </w:tcPr>
          <w:p>
            <w:pPr>
              <w:spacing w:after="40" w:before="0" w:line="259" w:lineRule="auto"/>
            </w:pPr>
            <w:r>
              <w:rPr>
                <w:rFonts w:ascii="Calibri" w:hAnsi="Calibri"/>
                <w:b w:val="0"/>
                <w:i w:val="0"/>
                <w:color w:val="212121"/>
                <w:sz w:val="16"/>
              </w:rPr>
              <w:t>Diffuse axonal injury microbleeds, small contusions, brainstem injury</w:t>
            </w:r>
          </w:p>
        </w:tc>
        <w:tc>
          <w:tcPr>
            <w:tcW w:type="dxa" w:w="1036"/>
            <w:vAlign w:val="top"/>
          </w:tcPr>
          <w:p>
            <w:pPr>
              <w:spacing w:after="40" w:before="0" w:line="259" w:lineRule="auto"/>
            </w:pPr>
            <w:r>
              <w:rPr>
                <w:rFonts w:ascii="Calibri" w:hAnsi="Calibri"/>
                <w:b w:val="0"/>
                <w:i w:val="0"/>
                <w:color w:val="212121"/>
                <w:sz w:val="16"/>
              </w:rPr>
              <w:t>More sensitive than CT for diffuse axonal and brainstem injury; useful when deficits exceed CT findings and for prognosis</w:t>
            </w:r>
          </w:p>
        </w:tc>
        <w:tc>
          <w:tcPr>
            <w:tcW w:type="dxa" w:w="1036"/>
            <w:vAlign w:val="top"/>
          </w:tcPr>
          <w:p>
            <w:pPr>
              <w:spacing w:after="40" w:before="0" w:line="259" w:lineRule="auto"/>
            </w:pPr>
            <w:r>
              <w:rPr>
                <w:rFonts w:ascii="Calibri" w:hAnsi="Calibri"/>
                <w:b w:val="0"/>
                <w:i w:val="0"/>
                <w:color w:val="212121"/>
                <w:sz w:val="16"/>
              </w:rPr>
              <w:t>Persistent low GCS with normal CT, suspected DAI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Not for the unstable acute patient; used subacutely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Serum biomarker</w:t>
            </w:r>
          </w:p>
        </w:tc>
        <w:tc>
          <w:tcPr>
            <w:tcW w:type="dxa" w:w="1036"/>
            <w:vAlign w:val="top"/>
          </w:tcPr>
          <w:p>
            <w:pPr>
              <w:spacing w:after="40" w:before="0" w:line="259" w:lineRule="auto"/>
            </w:pPr>
            <w:r>
              <w:rPr>
                <w:rFonts w:ascii="Calibri" w:hAnsi="Calibri"/>
                <w:b w:val="0"/>
                <w:i w:val="0"/>
                <w:color w:val="212121"/>
                <w:sz w:val="16"/>
              </w:rPr>
              <w:t>GFAP + UCH-L1 (brain-injury biomarkers)</w:t>
            </w:r>
          </w:p>
        </w:tc>
        <w:tc>
          <w:tcPr>
            <w:tcW w:type="dxa" w:w="892"/>
            <w:vAlign w:val="top"/>
          </w:tcPr>
          <w:p>
            <w:pPr>
              <w:spacing w:after="40" w:before="0" w:line="259" w:lineRule="auto"/>
            </w:pPr>
            <w:r>
              <w:rPr>
                <w:rFonts w:ascii="Calibri" w:hAnsi="Calibri"/>
                <w:b w:val="0"/>
                <w:i w:val="0"/>
                <w:color w:val="212121"/>
                <w:sz w:val="16"/>
              </w:rPr>
              <w:t>Blood biomarker panel</w:t>
            </w:r>
          </w:p>
        </w:tc>
        <w:tc>
          <w:tcPr>
            <w:tcW w:type="dxa" w:w="950"/>
            <w:vAlign w:val="top"/>
          </w:tcPr>
          <w:p>
            <w:pPr>
              <w:spacing w:after="40" w:before="0" w:line="259" w:lineRule="auto"/>
            </w:pPr>
            <w:r>
              <w:rPr>
                <w:rFonts w:ascii="Calibri" w:hAnsi="Calibri"/>
                <w:b w:val="0"/>
                <w:i w:val="0"/>
                <w:color w:val="212121"/>
                <w:sz w:val="16"/>
              </w:rPr>
              <w:t>Below assay cut-off</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A negative result within 12 h of mild TBI helps rule out intracranial injury and avoid unnecessary CT</w:t>
            </w:r>
          </w:p>
        </w:tc>
        <w:tc>
          <w:tcPr>
            <w:tcW w:type="dxa" w:w="1036"/>
            <w:vAlign w:val="top"/>
          </w:tcPr>
          <w:p>
            <w:pPr>
              <w:spacing w:after="40" w:before="0" w:line="259" w:lineRule="auto"/>
            </w:pPr>
            <w:r>
              <w:rPr>
                <w:rFonts w:ascii="Calibri" w:hAnsi="Calibri"/>
                <w:b w:val="0"/>
                <w:i w:val="0"/>
                <w:color w:val="212121"/>
                <w:sz w:val="16"/>
              </w:rPr>
              <w:t>Adults with mild TBI (GCS 13–15)</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Adjunct to, not replacement for, clinical CT rules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Coagulation</w:t>
            </w:r>
          </w:p>
        </w:tc>
        <w:tc>
          <w:tcPr>
            <w:tcW w:type="dxa" w:w="1036"/>
            <w:vAlign w:val="top"/>
          </w:tcPr>
          <w:p>
            <w:pPr>
              <w:spacing w:after="40" w:before="0" w:line="259" w:lineRule="auto"/>
            </w:pPr>
            <w:r>
              <w:rPr>
                <w:rFonts w:ascii="Calibri" w:hAnsi="Calibri"/>
                <w:b w:val="0"/>
                <w:i w:val="0"/>
                <w:color w:val="212121"/>
                <w:sz w:val="16"/>
              </w:rPr>
              <w:t>INR, platelets, fibrinogen</w:t>
            </w:r>
          </w:p>
        </w:tc>
        <w:tc>
          <w:tcPr>
            <w:tcW w:type="dxa" w:w="892"/>
            <w:vAlign w:val="top"/>
          </w:tcPr>
          <w:p>
            <w:pPr>
              <w:spacing w:after="40" w:before="0" w:line="259" w:lineRule="auto"/>
            </w:pPr>
            <w:r>
              <w:rPr>
                <w:rFonts w:ascii="Calibri" w:hAnsi="Calibri"/>
                <w:b w:val="0"/>
                <w:i w:val="0"/>
                <w:color w:val="212121"/>
                <w:sz w:val="16"/>
              </w:rPr>
              <w:t>Coagulation profile</w:t>
            </w:r>
          </w:p>
        </w:tc>
        <w:tc>
          <w:tcPr>
            <w:tcW w:type="dxa" w:w="950"/>
            <w:vAlign w:val="top"/>
          </w:tcPr>
          <w:p>
            <w:pPr>
              <w:spacing w:after="40" w:before="0" w:line="259" w:lineRule="auto"/>
            </w:pPr>
            <w:r>
              <w:rPr>
                <w:rFonts w:ascii="Calibri" w:hAnsi="Calibri"/>
                <w:b w:val="0"/>
                <w:i w:val="0"/>
                <w:color w:val="212121"/>
                <w:sz w:val="16"/>
              </w:rPr>
              <w:t>INR ~1.0; platelets 150–400 ×10⁹/L</w:t>
            </w:r>
          </w:p>
        </w:tc>
        <w:tc>
          <w:tcPr>
            <w:tcW w:type="dxa" w:w="950"/>
            <w:vAlign w:val="top"/>
          </w:tcPr>
          <w:p>
            <w:pPr>
              <w:spacing w:after="40" w:before="0" w:line="259" w:lineRule="auto"/>
            </w:pPr>
            <w:r>
              <w:rPr>
                <w:rFonts w:ascii="Calibri" w:hAnsi="Calibri"/>
                <w:b w:val="0"/>
                <w:i w:val="0"/>
                <w:color w:val="212121"/>
                <w:sz w:val="16"/>
              </w:rPr>
              <w:t>Raised INR, thrombocytopenia, low fibrinogen</w:t>
            </w:r>
          </w:p>
        </w:tc>
        <w:tc>
          <w:tcPr>
            <w:tcW w:type="dxa" w:w="1036"/>
            <w:vAlign w:val="top"/>
          </w:tcPr>
          <w:p>
            <w:pPr>
              <w:spacing w:after="40" w:before="0" w:line="259" w:lineRule="auto"/>
            </w:pPr>
            <w:r>
              <w:rPr>
                <w:rFonts w:ascii="Calibri" w:hAnsi="Calibri"/>
                <w:b w:val="0"/>
                <w:i w:val="0"/>
                <w:color w:val="212121"/>
                <w:sz w:val="16"/>
              </w:rPr>
              <w:t>Coagulopathy expands haematomas and worsens outcome; guides reversal of anticoagulants and transfusion</w:t>
            </w:r>
          </w:p>
        </w:tc>
        <w:tc>
          <w:tcPr>
            <w:tcW w:type="dxa" w:w="1036"/>
            <w:vAlign w:val="top"/>
          </w:tcPr>
          <w:p>
            <w:pPr>
              <w:spacing w:after="40" w:before="0" w:line="259" w:lineRule="auto"/>
            </w:pPr>
            <w:r>
              <w:rPr>
                <w:rFonts w:ascii="Calibri" w:hAnsi="Calibri"/>
                <w:b w:val="0"/>
                <w:i w:val="0"/>
                <w:color w:val="212121"/>
                <w:sz w:val="16"/>
              </w:rPr>
              <w:t>Anticoagulated, cirrhosis, polytrauma</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Urgent reversal (e.g., PCC/vitamin K) if bleeding on warfarin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Serum sodium &amp; osmolality</w:t>
            </w:r>
          </w:p>
        </w:tc>
        <w:tc>
          <w:tcPr>
            <w:tcW w:type="dxa" w:w="892"/>
            <w:vAlign w:val="top"/>
          </w:tcPr>
          <w:p>
            <w:pPr>
              <w:spacing w:after="40" w:before="0" w:line="259" w:lineRule="auto"/>
            </w:pPr>
            <w:r>
              <w:rPr>
                <w:rFonts w:ascii="Calibri" w:hAnsi="Calibri"/>
                <w:b w:val="0"/>
                <w:i w:val="0"/>
                <w:color w:val="212121"/>
                <w:sz w:val="16"/>
              </w:rPr>
              <w:t>Electrolytes</w:t>
            </w:r>
          </w:p>
        </w:tc>
        <w:tc>
          <w:tcPr>
            <w:tcW w:type="dxa" w:w="950"/>
            <w:vAlign w:val="top"/>
          </w:tcPr>
          <w:p>
            <w:pPr>
              <w:spacing w:after="40" w:before="0" w:line="259" w:lineRule="auto"/>
            </w:pPr>
            <w:r>
              <w:rPr>
                <w:rFonts w:ascii="Calibri" w:hAnsi="Calibri"/>
                <w:b w:val="0"/>
                <w:i w:val="0"/>
                <w:color w:val="212121"/>
                <w:sz w:val="16"/>
              </w:rPr>
              <w:t>Na⁺ 135–145 mmol/L</w:t>
            </w:r>
          </w:p>
        </w:tc>
        <w:tc>
          <w:tcPr>
            <w:tcW w:type="dxa" w:w="950"/>
            <w:vAlign w:val="top"/>
          </w:tcPr>
          <w:p>
            <w:pPr>
              <w:spacing w:after="40" w:before="0" w:line="259" w:lineRule="auto"/>
            </w:pPr>
            <w:r>
              <w:rPr>
                <w:rFonts w:ascii="Calibri" w:hAnsi="Calibri"/>
                <w:b w:val="0"/>
                <w:i w:val="0"/>
                <w:color w:val="212121"/>
                <w:sz w:val="16"/>
              </w:rPr>
              <w:t>Hyponatraemia (SIADH/cerebral salt wasting) or hypernatraemia (diabetes insipidus)</w:t>
            </w:r>
          </w:p>
        </w:tc>
        <w:tc>
          <w:tcPr>
            <w:tcW w:type="dxa" w:w="1036"/>
            <w:vAlign w:val="top"/>
          </w:tcPr>
          <w:p>
            <w:pPr>
              <w:spacing w:after="40" w:before="0" w:line="259" w:lineRule="auto"/>
            </w:pPr>
            <w:r>
              <w:rPr>
                <w:rFonts w:ascii="Calibri" w:hAnsi="Calibri"/>
                <w:b w:val="0"/>
                <w:i w:val="0"/>
                <w:color w:val="212121"/>
                <w:sz w:val="16"/>
              </w:rPr>
              <w:t>Sodium disturbances are common after moderate/severe TBI and independently worsen cerebral oedema and outcome</w:t>
            </w:r>
          </w:p>
        </w:tc>
        <w:tc>
          <w:tcPr>
            <w:tcW w:type="dxa" w:w="1036"/>
            <w:vAlign w:val="top"/>
          </w:tcPr>
          <w:p>
            <w:pPr>
              <w:spacing w:after="40" w:before="0" w:line="259" w:lineRule="auto"/>
            </w:pPr>
            <w:r>
              <w:rPr>
                <w:rFonts w:ascii="Calibri" w:hAnsi="Calibri"/>
                <w:b w:val="0"/>
                <w:i w:val="0"/>
                <w:color w:val="212121"/>
                <w:sz w:val="16"/>
              </w:rPr>
              <w:t>Severe TBI, basal skull/pituitary injury</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Distinguish SIADH from cerebral salt wasting by volume status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Toxicology</w:t>
            </w:r>
          </w:p>
        </w:tc>
        <w:tc>
          <w:tcPr>
            <w:tcW w:type="dxa" w:w="1036"/>
            <w:vAlign w:val="top"/>
          </w:tcPr>
          <w:p>
            <w:pPr>
              <w:spacing w:after="40" w:before="0" w:line="259" w:lineRule="auto"/>
            </w:pPr>
            <w:r>
              <w:rPr>
                <w:rFonts w:ascii="Calibri" w:hAnsi="Calibri"/>
                <w:b w:val="0"/>
                <w:i w:val="0"/>
                <w:color w:val="212121"/>
                <w:sz w:val="16"/>
              </w:rPr>
              <w:t>Blood alcohol &amp; drug screen</w:t>
            </w:r>
          </w:p>
        </w:tc>
        <w:tc>
          <w:tcPr>
            <w:tcW w:type="dxa" w:w="892"/>
            <w:vAlign w:val="top"/>
          </w:tcPr>
          <w:p>
            <w:pPr>
              <w:spacing w:after="40" w:before="0" w:line="259" w:lineRule="auto"/>
            </w:pPr>
            <w:r>
              <w:rPr>
                <w:rFonts w:ascii="Calibri" w:hAnsi="Calibri"/>
                <w:b w:val="0"/>
                <w:i w:val="0"/>
                <w:color w:val="212121"/>
                <w:sz w:val="16"/>
              </w:rPr>
              <w:t>Toxicology</w:t>
            </w:r>
          </w:p>
        </w:tc>
        <w:tc>
          <w:tcPr>
            <w:tcW w:type="dxa" w:w="950"/>
            <w:vAlign w:val="top"/>
          </w:tcPr>
          <w:p>
            <w:pPr>
              <w:spacing w:after="40" w:before="0" w:line="259" w:lineRule="auto"/>
            </w:pPr>
            <w:r>
              <w:rPr>
                <w:rFonts w:ascii="Calibri" w:hAnsi="Calibri"/>
                <w:b w:val="0"/>
                <w:i w:val="0"/>
                <w:color w:val="212121"/>
                <w:sz w:val="16"/>
              </w:rPr>
              <w:t>Nil detected</w:t>
            </w:r>
          </w:p>
        </w:tc>
        <w:tc>
          <w:tcPr>
            <w:tcW w:type="dxa" w:w="950"/>
            <w:vAlign w:val="top"/>
          </w:tcPr>
          <w:p>
            <w:pPr>
              <w:spacing w:after="40" w:before="0" w:line="259" w:lineRule="auto"/>
            </w:pPr>
            <w:r>
              <w:rPr>
                <w:rFonts w:ascii="Calibri" w:hAnsi="Calibri"/>
                <w:b w:val="0"/>
                <w:i w:val="0"/>
                <w:color w:val="212121"/>
                <w:sz w:val="16"/>
              </w:rPr>
              <w:t>Alcohol/psychoactive substances present</w:t>
            </w:r>
          </w:p>
        </w:tc>
        <w:tc>
          <w:tcPr>
            <w:tcW w:type="dxa" w:w="1036"/>
            <w:vAlign w:val="top"/>
          </w:tcPr>
          <w:p>
            <w:pPr>
              <w:spacing w:after="40" w:before="0" w:line="259" w:lineRule="auto"/>
            </w:pPr>
            <w:r>
              <w:rPr>
                <w:rFonts w:ascii="Calibri" w:hAnsi="Calibri"/>
                <w:b w:val="0"/>
                <w:i w:val="0"/>
                <w:color w:val="212121"/>
                <w:sz w:val="16"/>
              </w:rPr>
              <w:t>Confirms intoxication contributing to injury and confounding GCS; informs airway and disposition</w:t>
            </w:r>
          </w:p>
        </w:tc>
        <w:tc>
          <w:tcPr>
            <w:tcW w:type="dxa" w:w="1036"/>
            <w:vAlign w:val="top"/>
          </w:tcPr>
          <w:p>
            <w:pPr>
              <w:spacing w:after="40" w:before="0" w:line="259" w:lineRule="auto"/>
            </w:pPr>
            <w:r>
              <w:rPr>
                <w:rFonts w:ascii="Calibri" w:hAnsi="Calibri"/>
                <w:b w:val="0"/>
                <w:i w:val="0"/>
                <w:color w:val="212121"/>
                <w:sz w:val="16"/>
              </w:rPr>
              <w:t>Suspected intoxicated trauma, altered sensorium</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Do not attribute low GCS to alcohol until injury excluded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Monitoring</w:t>
            </w:r>
          </w:p>
        </w:tc>
        <w:tc>
          <w:tcPr>
            <w:tcW w:type="dxa" w:w="1036"/>
            <w:vAlign w:val="top"/>
          </w:tcPr>
          <w:p>
            <w:pPr>
              <w:spacing w:after="40" w:before="0" w:line="259" w:lineRule="auto"/>
            </w:pPr>
            <w:r>
              <w:rPr>
                <w:rFonts w:ascii="Calibri" w:hAnsi="Calibri"/>
                <w:b w:val="0"/>
                <w:i w:val="0"/>
                <w:color w:val="212121"/>
                <w:sz w:val="16"/>
              </w:rPr>
              <w:t>Intracranial pressure (ICP) monitor</w:t>
            </w:r>
          </w:p>
        </w:tc>
        <w:tc>
          <w:tcPr>
            <w:tcW w:type="dxa" w:w="892"/>
            <w:vAlign w:val="top"/>
          </w:tcPr>
          <w:p>
            <w:pPr>
              <w:spacing w:after="40" w:before="0" w:line="259" w:lineRule="auto"/>
            </w:pPr>
            <w:r>
              <w:rPr>
                <w:rFonts w:ascii="Calibri" w:hAnsi="Calibri"/>
                <w:b w:val="0"/>
                <w:i w:val="0"/>
                <w:color w:val="212121"/>
                <w:sz w:val="16"/>
              </w:rPr>
              <w:t>Invasive ICP monitoring</w:t>
            </w:r>
          </w:p>
        </w:tc>
        <w:tc>
          <w:tcPr>
            <w:tcW w:type="dxa" w:w="950"/>
            <w:vAlign w:val="top"/>
          </w:tcPr>
          <w:p>
            <w:pPr>
              <w:spacing w:after="40" w:before="0" w:line="259" w:lineRule="auto"/>
            </w:pPr>
            <w:r>
              <w:rPr>
                <w:rFonts w:ascii="Calibri" w:hAnsi="Calibri"/>
                <w:b w:val="0"/>
                <w:i w:val="0"/>
                <w:color w:val="212121"/>
                <w:sz w:val="16"/>
              </w:rPr>
              <w:t>ICP &lt; 20–22 mmHg; CPP ≥ 60 mmHg</w:t>
            </w:r>
          </w:p>
        </w:tc>
        <w:tc>
          <w:tcPr>
            <w:tcW w:type="dxa" w:w="950"/>
            <w:vAlign w:val="top"/>
          </w:tcPr>
          <w:p>
            <w:pPr>
              <w:spacing w:after="40" w:before="0" w:line="259" w:lineRule="auto"/>
            </w:pPr>
            <w:r>
              <w:rPr>
                <w:rFonts w:ascii="Calibri" w:hAnsi="Calibri"/>
                <w:b w:val="0"/>
                <w:i w:val="0"/>
                <w:color w:val="212121"/>
                <w:sz w:val="16"/>
              </w:rPr>
              <w:t>Sustained ICP &gt; 22 mmHg / falling CPP</w:t>
            </w:r>
          </w:p>
        </w:tc>
        <w:tc>
          <w:tcPr>
            <w:tcW w:type="dxa" w:w="1036"/>
            <w:vAlign w:val="top"/>
          </w:tcPr>
          <w:p>
            <w:pPr>
              <w:spacing w:after="40" w:before="0" w:line="259" w:lineRule="auto"/>
            </w:pPr>
            <w:r>
              <w:rPr>
                <w:rFonts w:ascii="Calibri" w:hAnsi="Calibri"/>
                <w:b w:val="0"/>
                <w:i w:val="0"/>
                <w:color w:val="212121"/>
                <w:sz w:val="16"/>
              </w:rPr>
              <w:t>Guides tiered therapy in severe TBI to prevent secondary ischaemic injury and herniation</w:t>
            </w:r>
          </w:p>
        </w:tc>
        <w:tc>
          <w:tcPr>
            <w:tcW w:type="dxa" w:w="1036"/>
            <w:vAlign w:val="top"/>
          </w:tcPr>
          <w:p>
            <w:pPr>
              <w:spacing w:after="40" w:before="0" w:line="259" w:lineRule="auto"/>
            </w:pPr>
            <w:r>
              <w:rPr>
                <w:rFonts w:ascii="Calibri" w:hAnsi="Calibri"/>
                <w:b w:val="0"/>
                <w:i w:val="0"/>
                <w:color w:val="212121"/>
                <w:sz w:val="16"/>
              </w:rPr>
              <w:t>Severe TBI (GCS ≤ 8) with abnormal CT</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Combine with head elevation, sedation, osmotherapy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(associated injury)</w:t>
            </w:r>
          </w:p>
        </w:tc>
        <w:tc>
          <w:tcPr>
            <w:tcW w:type="dxa" w:w="1036"/>
            <w:vAlign w:val="top"/>
          </w:tcPr>
          <w:p>
            <w:pPr>
              <w:spacing w:after="40" w:before="0" w:line="259" w:lineRule="auto"/>
            </w:pPr>
            <w:r>
              <w:rPr>
                <w:rFonts w:ascii="Calibri" w:hAnsi="Calibri"/>
                <w:b w:val="0"/>
                <w:i w:val="0"/>
                <w:color w:val="212121"/>
                <w:sz w:val="16"/>
              </w:rPr>
              <w:t>CT cervical spine ± chest/abdomen</w:t>
            </w:r>
          </w:p>
        </w:tc>
        <w:tc>
          <w:tcPr>
            <w:tcW w:type="dxa" w:w="892"/>
            <w:vAlign w:val="top"/>
          </w:tcPr>
          <w:p>
            <w:pPr>
              <w:spacing w:after="40" w:before="0" w:line="259" w:lineRule="auto"/>
            </w:pPr>
            <w:r>
              <w:rPr>
                <w:rFonts w:ascii="Calibri" w:hAnsi="Calibri"/>
                <w:b w:val="0"/>
                <w:i w:val="0"/>
                <w:color w:val="212121"/>
                <w:sz w:val="16"/>
              </w:rPr>
              <w:t>Trauma CT / FAST</w:t>
            </w:r>
          </w:p>
        </w:tc>
        <w:tc>
          <w:tcPr>
            <w:tcW w:type="dxa" w:w="950"/>
            <w:vAlign w:val="top"/>
          </w:tcPr>
          <w:p>
            <w:pPr>
              <w:spacing w:after="40" w:before="0" w:line="259" w:lineRule="auto"/>
            </w:pPr>
            <w:r>
              <w:rPr>
                <w:rFonts w:ascii="Calibri" w:hAnsi="Calibri"/>
                <w:b w:val="0"/>
                <w:i w:val="0"/>
                <w:color w:val="212121"/>
                <w:sz w:val="16"/>
              </w:rPr>
              <w:t>No associated injury</w:t>
            </w:r>
          </w:p>
        </w:tc>
        <w:tc>
          <w:tcPr>
            <w:tcW w:type="dxa" w:w="950"/>
            <w:vAlign w:val="top"/>
          </w:tcPr>
          <w:p>
            <w:pPr>
              <w:spacing w:after="40" w:before="0" w:line="259" w:lineRule="auto"/>
            </w:pPr>
            <w:r>
              <w:rPr>
                <w:rFonts w:ascii="Calibri" w:hAnsi="Calibri"/>
                <w:b w:val="0"/>
                <w:i w:val="0"/>
                <w:color w:val="212121"/>
                <w:sz w:val="16"/>
              </w:rPr>
              <w:t>C-spine fracture, chest/abdominal or pelvic injury</w:t>
            </w:r>
          </w:p>
        </w:tc>
        <w:tc>
          <w:tcPr>
            <w:tcW w:type="dxa" w:w="1036"/>
            <w:vAlign w:val="top"/>
          </w:tcPr>
          <w:p>
            <w:pPr>
              <w:spacing w:after="40" w:before="0" w:line="259" w:lineRule="auto"/>
            </w:pPr>
            <w:r>
              <w:rPr>
                <w:rFonts w:ascii="Calibri" w:hAnsi="Calibri"/>
                <w:b w:val="0"/>
                <w:i w:val="0"/>
                <w:color w:val="212121"/>
                <w:sz w:val="16"/>
              </w:rPr>
              <w:t>TBI is frequently part of polytrauma; hypoxia and hypotension from other injuries drive secondary brain injury</w:t>
            </w:r>
          </w:p>
        </w:tc>
        <w:tc>
          <w:tcPr>
            <w:tcW w:type="dxa" w:w="1036"/>
            <w:vAlign w:val="top"/>
          </w:tcPr>
          <w:p>
            <w:pPr>
              <w:spacing w:after="40" w:before="0" w:line="259" w:lineRule="auto"/>
            </w:pPr>
            <w:r>
              <w:rPr>
                <w:rFonts w:ascii="Calibri" w:hAnsi="Calibri"/>
                <w:b w:val="0"/>
                <w:i w:val="0"/>
                <w:color w:val="212121"/>
                <w:sz w:val="16"/>
              </w:rPr>
              <w:t>High-energy crashes, falls from height, polytrauma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Maintain spinal precautions until C-spine cleared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Mechanism, LOC &amp; amnesia</w:t>
            </w:r>
          </w:p>
        </w:tc>
        <w:tc>
          <w:tcPr>
            <w:tcW w:type="dxa" w:w="979"/>
            <w:vAlign w:val="top"/>
          </w:tcPr>
          <w:p>
            <w:pPr>
              <w:spacing w:after="40" w:before="0" w:line="259" w:lineRule="auto"/>
            </w:pPr>
            <w:r>
              <w:rPr>
                <w:rFonts w:ascii="Calibri" w:hAnsi="Calibri"/>
                <w:b w:val="0"/>
                <w:i w:val="0"/>
                <w:color w:val="212121"/>
                <w:sz w:val="16"/>
              </w:rPr>
              <w:t>Force, loss of consciousness, post-traumatic amnesia duration</w:t>
            </w:r>
          </w:p>
        </w:tc>
        <w:tc>
          <w:tcPr>
            <w:tcW w:type="dxa" w:w="950"/>
            <w:vAlign w:val="top"/>
          </w:tcPr>
          <w:p>
            <w:pPr>
              <w:spacing w:after="40" w:before="0" w:line="259" w:lineRule="auto"/>
            </w:pPr>
            <w:r>
              <w:rPr>
                <w:rFonts w:ascii="Calibri" w:hAnsi="Calibri"/>
                <w:b w:val="0"/>
                <w:i w:val="0"/>
                <w:color w:val="212121"/>
                <w:sz w:val="16"/>
              </w:rPr>
              <w:t>No LOC/amnesia, trivial mechanism</w:t>
            </w:r>
          </w:p>
        </w:tc>
        <w:tc>
          <w:tcPr>
            <w:tcW w:type="dxa" w:w="950"/>
            <w:vAlign w:val="top"/>
          </w:tcPr>
          <w:p>
            <w:pPr>
              <w:spacing w:after="40" w:before="0" w:line="259" w:lineRule="auto"/>
            </w:pPr>
            <w:r>
              <w:rPr>
                <w:rFonts w:ascii="Calibri" w:hAnsi="Calibri"/>
                <w:b w:val="0"/>
                <w:i w:val="0"/>
                <w:color w:val="212121"/>
                <w:sz w:val="16"/>
              </w:rPr>
              <w:t>LOC, amnesia, dangerous mechanism, anticoagulant use</w:t>
            </w:r>
          </w:p>
        </w:tc>
        <w:tc>
          <w:tcPr>
            <w:tcW w:type="dxa" w:w="1036"/>
            <w:vAlign w:val="top"/>
          </w:tcPr>
          <w:p>
            <w:pPr>
              <w:spacing w:after="40" w:before="0" w:line="259" w:lineRule="auto"/>
            </w:pPr>
            <w:r>
              <w:rPr>
                <w:rFonts w:ascii="Calibri" w:hAnsi="Calibri"/>
                <w:b w:val="0"/>
                <w:i w:val="0"/>
                <w:color w:val="212121"/>
                <w:sz w:val="16"/>
              </w:rPr>
              <w:t>Defines injury severity, concussion criteria and CT-rule triggers</w:t>
            </w:r>
          </w:p>
        </w:tc>
        <w:tc>
          <w:tcPr>
            <w:tcW w:type="dxa" w:w="1036"/>
            <w:vAlign w:val="top"/>
          </w:tcPr>
          <w:p>
            <w:pPr>
              <w:spacing w:after="40" w:before="0" w:line="259" w:lineRule="auto"/>
            </w:pPr>
            <w:r>
              <w:rPr>
                <w:rFonts w:ascii="Calibri" w:hAnsi="Calibri"/>
                <w:b w:val="0"/>
                <w:i w:val="0"/>
                <w:color w:val="212121"/>
                <w:sz w:val="16"/>
              </w:rPr>
              <w:t>All head-injury patients</w:t>
            </w:r>
          </w:p>
        </w:tc>
        <w:tc>
          <w:tcPr>
            <w:tcW w:type="dxa" w:w="720"/>
            <w:vAlign w:val="top"/>
          </w:tcPr>
          <w:p>
            <w:pPr>
              <w:spacing w:after="40" w:before="0" w:line="259" w:lineRule="auto"/>
            </w:pPr>
            <w:r>
              <w:rPr>
                <w:rFonts w:ascii="Calibri" w:hAnsi="Calibri"/>
                <w:b w:val="0"/>
                <w:i w:val="0"/>
                <w:color w:val="212121"/>
                <w:sz w:val="16"/>
              </w:rPr>
              <w:t>Provoking factors; 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Corroborate with witnesses; note anticoagulants and alcohol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w:t>
            </w:r>
          </w:p>
        </w:tc>
        <w:tc>
          <w:tcPr>
            <w:tcW w:type="dxa" w:w="950"/>
            <w:vAlign w:val="top"/>
          </w:tcPr>
          <w:p>
            <w:pPr>
              <w:spacing w:after="40" w:before="0" w:line="259" w:lineRule="auto"/>
            </w:pPr>
            <w:r>
              <w:rPr>
                <w:rFonts w:ascii="Calibri" w:hAnsi="Calibri"/>
                <w:b w:val="0"/>
                <w:i w:val="0"/>
                <w:color w:val="212121"/>
                <w:sz w:val="16"/>
              </w:rPr>
              <w:t>Glasgow Coma Scale</w:t>
            </w:r>
          </w:p>
        </w:tc>
        <w:tc>
          <w:tcPr>
            <w:tcW w:type="dxa" w:w="979"/>
            <w:vAlign w:val="top"/>
          </w:tcPr>
          <w:p>
            <w:pPr>
              <w:spacing w:after="40" w:before="0" w:line="259" w:lineRule="auto"/>
            </w:pPr>
            <w:r>
              <w:rPr>
                <w:rFonts w:ascii="Calibri" w:hAnsi="Calibri"/>
                <w:b w:val="0"/>
                <w:i w:val="0"/>
                <w:color w:val="212121"/>
                <w:sz w:val="16"/>
              </w:rPr>
              <w:t>Eye (1–4), Verbal (1–5), Motor (1–6)</w:t>
            </w:r>
          </w:p>
        </w:tc>
        <w:tc>
          <w:tcPr>
            <w:tcW w:type="dxa" w:w="950"/>
            <w:vAlign w:val="top"/>
          </w:tcPr>
          <w:p>
            <w:pPr>
              <w:spacing w:after="40" w:before="0" w:line="259" w:lineRule="auto"/>
            </w:pPr>
            <w:r>
              <w:rPr>
                <w:rFonts w:ascii="Calibri" w:hAnsi="Calibri"/>
                <w:b w:val="0"/>
                <w:i w:val="0"/>
                <w:color w:val="212121"/>
                <w:sz w:val="16"/>
              </w:rPr>
              <w:t>15/15</w:t>
            </w:r>
          </w:p>
        </w:tc>
        <w:tc>
          <w:tcPr>
            <w:tcW w:type="dxa" w:w="950"/>
            <w:vAlign w:val="top"/>
          </w:tcPr>
          <w:p>
            <w:pPr>
              <w:spacing w:after="40" w:before="0" w:line="259" w:lineRule="auto"/>
            </w:pPr>
            <w:r>
              <w:rPr>
                <w:rFonts w:ascii="Calibri" w:hAnsi="Calibri"/>
                <w:b w:val="0"/>
                <w:i w:val="0"/>
                <w:color w:val="212121"/>
                <w:sz w:val="16"/>
              </w:rPr>
              <w:t>≤ 14, and trend over time</w:t>
            </w:r>
          </w:p>
        </w:tc>
        <w:tc>
          <w:tcPr>
            <w:tcW w:type="dxa" w:w="1036"/>
            <w:vAlign w:val="top"/>
          </w:tcPr>
          <w:p>
            <w:pPr>
              <w:spacing w:after="40" w:before="0" w:line="259" w:lineRule="auto"/>
            </w:pPr>
            <w:r>
              <w:rPr>
                <w:rFonts w:ascii="Calibri" w:hAnsi="Calibri"/>
                <w:b w:val="0"/>
                <w:i w:val="0"/>
                <w:color w:val="212121"/>
                <w:sz w:val="16"/>
              </w:rPr>
              <w:t>Standard severity grade and the key parameter to detect deterioration</w:t>
            </w:r>
          </w:p>
        </w:tc>
        <w:tc>
          <w:tcPr>
            <w:tcW w:type="dxa" w:w="1036"/>
            <w:vAlign w:val="top"/>
          </w:tcPr>
          <w:p>
            <w:pPr>
              <w:spacing w:after="40" w:before="0" w:line="259" w:lineRule="auto"/>
            </w:pPr>
            <w:r>
              <w:rPr>
                <w:rFonts w:ascii="Calibri" w:hAnsi="Calibri"/>
                <w:b w:val="0"/>
                <w:i w:val="0"/>
                <w:color w:val="212121"/>
                <w:sz w:val="16"/>
              </w:rPr>
              <w:t>All TBI; serial in admitted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A falling GCS is a neurosurgical emergency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w:t>
            </w:r>
          </w:p>
        </w:tc>
        <w:tc>
          <w:tcPr>
            <w:tcW w:type="dxa" w:w="950"/>
            <w:vAlign w:val="top"/>
          </w:tcPr>
          <w:p>
            <w:pPr>
              <w:spacing w:after="40" w:before="0" w:line="259" w:lineRule="auto"/>
            </w:pPr>
            <w:r>
              <w:rPr>
                <w:rFonts w:ascii="Calibri" w:hAnsi="Calibri"/>
                <w:b w:val="0"/>
                <w:i w:val="0"/>
                <w:color w:val="212121"/>
                <w:sz w:val="16"/>
              </w:rPr>
              <w:t>Pupillary examination</w:t>
            </w:r>
          </w:p>
        </w:tc>
        <w:tc>
          <w:tcPr>
            <w:tcW w:type="dxa" w:w="979"/>
            <w:vAlign w:val="top"/>
          </w:tcPr>
          <w:p>
            <w:pPr>
              <w:spacing w:after="40" w:before="0" w:line="259" w:lineRule="auto"/>
            </w:pPr>
            <w:r>
              <w:rPr>
                <w:rFonts w:ascii="Calibri" w:hAnsi="Calibri"/>
                <w:b w:val="0"/>
                <w:i w:val="0"/>
                <w:color w:val="212121"/>
                <w:sz w:val="16"/>
              </w:rPr>
              <w:t>Size, symmetry, light reaction</w:t>
            </w:r>
          </w:p>
        </w:tc>
        <w:tc>
          <w:tcPr>
            <w:tcW w:type="dxa" w:w="950"/>
            <w:vAlign w:val="top"/>
          </w:tcPr>
          <w:p>
            <w:pPr>
              <w:spacing w:after="40" w:before="0" w:line="259" w:lineRule="auto"/>
            </w:pPr>
            <w:r>
              <w:rPr>
                <w:rFonts w:ascii="Calibri" w:hAnsi="Calibri"/>
                <w:b w:val="0"/>
                <w:i w:val="0"/>
                <w:color w:val="212121"/>
                <w:sz w:val="16"/>
              </w:rPr>
              <w:t>Equal, reactive</w:t>
            </w:r>
          </w:p>
        </w:tc>
        <w:tc>
          <w:tcPr>
            <w:tcW w:type="dxa" w:w="950"/>
            <w:vAlign w:val="top"/>
          </w:tcPr>
          <w:p>
            <w:pPr>
              <w:spacing w:after="40" w:before="0" w:line="259" w:lineRule="auto"/>
            </w:pPr>
            <w:r>
              <w:rPr>
                <w:rFonts w:ascii="Calibri" w:hAnsi="Calibri"/>
                <w:b w:val="0"/>
                <w:i w:val="0"/>
                <w:color w:val="212121"/>
                <w:sz w:val="16"/>
              </w:rPr>
              <w:t>Fixed/dilated or asymmetric pupil</w:t>
            </w:r>
          </w:p>
        </w:tc>
        <w:tc>
          <w:tcPr>
            <w:tcW w:type="dxa" w:w="1036"/>
            <w:vAlign w:val="top"/>
          </w:tcPr>
          <w:p>
            <w:pPr>
              <w:spacing w:after="40" w:before="0" w:line="259" w:lineRule="auto"/>
            </w:pPr>
            <w:r>
              <w:rPr>
                <w:rFonts w:ascii="Calibri" w:hAnsi="Calibri"/>
                <w:b w:val="0"/>
                <w:i w:val="0"/>
                <w:color w:val="212121"/>
                <w:sz w:val="16"/>
              </w:rPr>
              <w:t>A blown pupil signals uncal herniation/CN III compression — needs emergency decompression</w:t>
            </w:r>
          </w:p>
        </w:tc>
        <w:tc>
          <w:tcPr>
            <w:tcW w:type="dxa" w:w="1036"/>
            <w:vAlign w:val="top"/>
          </w:tcPr>
          <w:p>
            <w:pPr>
              <w:spacing w:after="40" w:before="0" w:line="259" w:lineRule="auto"/>
            </w:pPr>
            <w:r>
              <w:rPr>
                <w:rFonts w:ascii="Calibri" w:hAnsi="Calibri"/>
                <w:b w:val="0"/>
                <w:i w:val="0"/>
                <w:color w:val="212121"/>
                <w:sz w:val="16"/>
              </w:rPr>
              <w:t>Severe TBI, expanding haematoma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Document trend; new anisocoria = urgent CT/theatre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w:t>
            </w:r>
          </w:p>
        </w:tc>
        <w:tc>
          <w:tcPr>
            <w:tcW w:type="dxa" w:w="950"/>
            <w:vAlign w:val="top"/>
          </w:tcPr>
          <w:p>
            <w:pPr>
              <w:spacing w:after="40" w:before="0" w:line="259" w:lineRule="auto"/>
            </w:pPr>
            <w:r>
              <w:rPr>
                <w:rFonts w:ascii="Calibri" w:hAnsi="Calibri"/>
                <w:b w:val="0"/>
                <w:i w:val="0"/>
                <w:color w:val="212121"/>
                <w:sz w:val="16"/>
              </w:rPr>
              <w:t>Focal deficit &amp; posturing</w:t>
            </w:r>
          </w:p>
        </w:tc>
        <w:tc>
          <w:tcPr>
            <w:tcW w:type="dxa" w:w="979"/>
            <w:vAlign w:val="top"/>
          </w:tcPr>
          <w:p>
            <w:pPr>
              <w:spacing w:after="40" w:before="0" w:line="259" w:lineRule="auto"/>
            </w:pPr>
            <w:r>
              <w:rPr>
                <w:rFonts w:ascii="Calibri" w:hAnsi="Calibri"/>
                <w:b w:val="0"/>
                <w:i w:val="0"/>
                <w:color w:val="212121"/>
                <w:sz w:val="16"/>
              </w:rPr>
              <w:t>Limb power, sensation, reflexes, decorticate/decerebrate posturing</w:t>
            </w:r>
          </w:p>
        </w:tc>
        <w:tc>
          <w:tcPr>
            <w:tcW w:type="dxa" w:w="950"/>
            <w:vAlign w:val="top"/>
          </w:tcPr>
          <w:p>
            <w:pPr>
              <w:spacing w:after="40" w:before="0" w:line="259" w:lineRule="auto"/>
            </w:pPr>
            <w:r>
              <w:rPr>
                <w:rFonts w:ascii="Calibri" w:hAnsi="Calibri"/>
                <w:b w:val="0"/>
                <w:i w:val="0"/>
                <w:color w:val="212121"/>
                <w:sz w:val="16"/>
              </w:rPr>
              <w:t>No deficit</w:t>
            </w:r>
          </w:p>
        </w:tc>
        <w:tc>
          <w:tcPr>
            <w:tcW w:type="dxa" w:w="950"/>
            <w:vAlign w:val="top"/>
          </w:tcPr>
          <w:p>
            <w:pPr>
              <w:spacing w:after="40" w:before="0" w:line="259" w:lineRule="auto"/>
            </w:pPr>
            <w:r>
              <w:rPr>
                <w:rFonts w:ascii="Calibri" w:hAnsi="Calibri"/>
                <w:b w:val="0"/>
                <w:i w:val="0"/>
                <w:color w:val="212121"/>
                <w:sz w:val="16"/>
              </w:rPr>
              <w:t>Hemiparesis, aphasia, abnormal posturing</w:t>
            </w:r>
          </w:p>
        </w:tc>
        <w:tc>
          <w:tcPr>
            <w:tcW w:type="dxa" w:w="1036"/>
            <w:vAlign w:val="top"/>
          </w:tcPr>
          <w:p>
            <w:pPr>
              <w:spacing w:after="40" w:before="0" w:line="259" w:lineRule="auto"/>
            </w:pPr>
            <w:r>
              <w:rPr>
                <w:rFonts w:ascii="Calibri" w:hAnsi="Calibri"/>
                <w:b w:val="0"/>
                <w:i w:val="0"/>
                <w:color w:val="212121"/>
                <w:sz w:val="16"/>
              </w:rPr>
              <w:t>Localises the lesion and grades brainstem involvement/prognosis</w:t>
            </w:r>
          </w:p>
        </w:tc>
        <w:tc>
          <w:tcPr>
            <w:tcW w:type="dxa" w:w="1036"/>
            <w:vAlign w:val="top"/>
          </w:tcPr>
          <w:p>
            <w:pPr>
              <w:spacing w:after="40" w:before="0" w:line="259" w:lineRule="auto"/>
            </w:pPr>
            <w:r>
              <w:rPr>
                <w:rFonts w:ascii="Calibri" w:hAnsi="Calibri"/>
                <w:b w:val="0"/>
                <w:i w:val="0"/>
                <w:color w:val="212121"/>
                <w:sz w:val="16"/>
              </w:rPr>
              <w:t>Moderate/severe TBI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Abnormal posturing implies deep/brainstem injury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General/ENT</w:t>
            </w:r>
          </w:p>
        </w:tc>
        <w:tc>
          <w:tcPr>
            <w:tcW w:type="dxa" w:w="950"/>
            <w:vAlign w:val="top"/>
          </w:tcPr>
          <w:p>
            <w:pPr>
              <w:spacing w:after="40" w:before="0" w:line="259" w:lineRule="auto"/>
            </w:pPr>
            <w:r>
              <w:rPr>
                <w:rFonts w:ascii="Calibri" w:hAnsi="Calibri"/>
                <w:b w:val="0"/>
                <w:i w:val="0"/>
                <w:color w:val="212121"/>
                <w:sz w:val="16"/>
              </w:rPr>
              <w:t>Basal skull fracture signs</w:t>
            </w:r>
          </w:p>
        </w:tc>
        <w:tc>
          <w:tcPr>
            <w:tcW w:type="dxa" w:w="979"/>
            <w:vAlign w:val="top"/>
          </w:tcPr>
          <w:p>
            <w:pPr>
              <w:spacing w:after="40" w:before="0" w:line="259" w:lineRule="auto"/>
            </w:pPr>
            <w:r>
              <w:rPr>
                <w:rFonts w:ascii="Calibri" w:hAnsi="Calibri"/>
                <w:b w:val="0"/>
                <w:i w:val="0"/>
                <w:color w:val="212121"/>
                <w:sz w:val="16"/>
              </w:rPr>
              <w:t>Raccoon eyes, Battle's sign, haemotympanum, CSF rhino-/otorrhoea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Indicate basal skull fracture with meningitis and cranial-nerve risk</w:t>
            </w:r>
          </w:p>
        </w:tc>
        <w:tc>
          <w:tcPr>
            <w:tcW w:type="dxa" w:w="1036"/>
            <w:vAlign w:val="top"/>
          </w:tcPr>
          <w:p>
            <w:pPr>
              <w:spacing w:after="40" w:before="0" w:line="259" w:lineRule="auto"/>
            </w:pPr>
            <w:r>
              <w:rPr>
                <w:rFonts w:ascii="Calibri" w:hAnsi="Calibri"/>
                <w:b w:val="0"/>
                <w:i w:val="0"/>
                <w:color w:val="212121"/>
                <w:sz w:val="16"/>
              </w:rPr>
              <w:t>High-impact head trauma</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Avoid nasogastric tube if cribriform fracture suspected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Vital signs</w:t>
            </w:r>
          </w:p>
        </w:tc>
        <w:tc>
          <w:tcPr>
            <w:tcW w:type="dxa" w:w="950"/>
            <w:vAlign w:val="top"/>
          </w:tcPr>
          <w:p>
            <w:pPr>
              <w:spacing w:after="40" w:before="0" w:line="259" w:lineRule="auto"/>
            </w:pPr>
            <w:r>
              <w:rPr>
                <w:rFonts w:ascii="Calibri" w:hAnsi="Calibri"/>
                <w:b w:val="0"/>
                <w:i w:val="0"/>
                <w:color w:val="212121"/>
                <w:sz w:val="16"/>
              </w:rPr>
              <w:t>Cushing response &amp; oxygenation</w:t>
            </w:r>
          </w:p>
        </w:tc>
        <w:tc>
          <w:tcPr>
            <w:tcW w:type="dxa" w:w="979"/>
            <w:vAlign w:val="top"/>
          </w:tcPr>
          <w:p>
            <w:pPr>
              <w:spacing w:after="40" w:before="0" w:line="259" w:lineRule="auto"/>
            </w:pPr>
            <w:r>
              <w:rPr>
                <w:rFonts w:ascii="Calibri" w:hAnsi="Calibri"/>
                <w:b w:val="0"/>
                <w:i w:val="0"/>
                <w:color w:val="212121"/>
                <w:sz w:val="16"/>
              </w:rPr>
              <w:t>BP, pulse, respiratory pattern, SpO₂</w:t>
            </w:r>
          </w:p>
        </w:tc>
        <w:tc>
          <w:tcPr>
            <w:tcW w:type="dxa" w:w="950"/>
            <w:vAlign w:val="top"/>
          </w:tcPr>
          <w:p>
            <w:pPr>
              <w:spacing w:after="40" w:before="0" w:line="259" w:lineRule="auto"/>
            </w:pPr>
            <w:r>
              <w:rPr>
                <w:rFonts w:ascii="Calibri" w:hAnsi="Calibri"/>
                <w:b w:val="0"/>
                <w:i w:val="0"/>
                <w:color w:val="212121"/>
                <w:sz w:val="16"/>
              </w:rPr>
              <w:t>Normal, SpO₂ ≥ 94%</w:t>
            </w:r>
          </w:p>
        </w:tc>
        <w:tc>
          <w:tcPr>
            <w:tcW w:type="dxa" w:w="950"/>
            <w:vAlign w:val="top"/>
          </w:tcPr>
          <w:p>
            <w:pPr>
              <w:spacing w:after="40" w:before="0" w:line="259" w:lineRule="auto"/>
            </w:pPr>
            <w:r>
              <w:rPr>
                <w:rFonts w:ascii="Calibri" w:hAnsi="Calibri"/>
                <w:b w:val="0"/>
                <w:i w:val="0"/>
                <w:color w:val="212121"/>
                <w:sz w:val="16"/>
              </w:rPr>
              <w:t>Hypertension + bradycardia + irregular breathing; hypoxia/hypotension</w:t>
            </w:r>
          </w:p>
        </w:tc>
        <w:tc>
          <w:tcPr>
            <w:tcW w:type="dxa" w:w="1036"/>
            <w:vAlign w:val="top"/>
          </w:tcPr>
          <w:p>
            <w:pPr>
              <w:spacing w:after="40" w:before="0" w:line="259" w:lineRule="auto"/>
            </w:pPr>
            <w:r>
              <w:rPr>
                <w:rFonts w:ascii="Calibri" w:hAnsi="Calibri"/>
                <w:b w:val="0"/>
                <w:i w:val="0"/>
                <w:color w:val="212121"/>
                <w:sz w:val="16"/>
              </w:rPr>
              <w:t>Cushing's triad signals critically raised ICP; hypoxia/hypotension are the chief drivers of secondary injury</w:t>
            </w:r>
          </w:p>
        </w:tc>
        <w:tc>
          <w:tcPr>
            <w:tcW w:type="dxa" w:w="1036"/>
            <w:vAlign w:val="top"/>
          </w:tcPr>
          <w:p>
            <w:pPr>
              <w:spacing w:after="40" w:before="0" w:line="259" w:lineRule="auto"/>
            </w:pPr>
            <w:r>
              <w:rPr>
                <w:rFonts w:ascii="Calibri" w:hAnsi="Calibri"/>
                <w:b w:val="0"/>
                <w:i w:val="0"/>
                <w:color w:val="212121"/>
                <w:sz w:val="16"/>
              </w:rPr>
              <w:t>Severe TBI</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Target normoxia, normotension, normocapnia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Concussion assessment</w:t>
            </w:r>
          </w:p>
        </w:tc>
        <w:tc>
          <w:tcPr>
            <w:tcW w:type="dxa" w:w="950"/>
            <w:vAlign w:val="top"/>
          </w:tcPr>
          <w:p>
            <w:pPr>
              <w:spacing w:after="40" w:before="0" w:line="259" w:lineRule="auto"/>
            </w:pPr>
            <w:r>
              <w:rPr>
                <w:rFonts w:ascii="Calibri" w:hAnsi="Calibri"/>
                <w:b w:val="0"/>
                <w:i w:val="0"/>
                <w:color w:val="212121"/>
                <w:sz w:val="16"/>
              </w:rPr>
              <w:t>Symptom &amp; cognitive screen</w:t>
            </w:r>
          </w:p>
        </w:tc>
        <w:tc>
          <w:tcPr>
            <w:tcW w:type="dxa" w:w="979"/>
            <w:vAlign w:val="top"/>
          </w:tcPr>
          <w:p>
            <w:pPr>
              <w:spacing w:after="40" w:before="0" w:line="259" w:lineRule="auto"/>
            </w:pPr>
            <w:r>
              <w:rPr>
                <w:rFonts w:ascii="Calibri" w:hAnsi="Calibri"/>
                <w:b w:val="0"/>
                <w:i w:val="0"/>
                <w:color w:val="212121"/>
                <w:sz w:val="16"/>
              </w:rPr>
              <w:t>SCAT/post-concussion symptom scale, orientation, memory, balance</w:t>
            </w:r>
          </w:p>
        </w:tc>
        <w:tc>
          <w:tcPr>
            <w:tcW w:type="dxa" w:w="950"/>
            <w:vAlign w:val="top"/>
          </w:tcPr>
          <w:p>
            <w:pPr>
              <w:spacing w:after="40" w:before="0" w:line="259" w:lineRule="auto"/>
            </w:pPr>
            <w:r>
              <w:rPr>
                <w:rFonts w:ascii="Calibri" w:hAnsi="Calibri"/>
                <w:b w:val="0"/>
                <w:i w:val="0"/>
                <w:color w:val="212121"/>
                <w:sz w:val="16"/>
              </w:rPr>
              <w:t>No symptoms; normal cognition/balance</w:t>
            </w:r>
          </w:p>
        </w:tc>
        <w:tc>
          <w:tcPr>
            <w:tcW w:type="dxa" w:w="950"/>
            <w:vAlign w:val="top"/>
          </w:tcPr>
          <w:p>
            <w:pPr>
              <w:spacing w:after="40" w:before="0" w:line="259" w:lineRule="auto"/>
            </w:pPr>
            <w:r>
              <w:rPr>
                <w:rFonts w:ascii="Calibri" w:hAnsi="Calibri"/>
                <w:b w:val="0"/>
                <w:i w:val="0"/>
                <w:color w:val="212121"/>
                <w:sz w:val="16"/>
              </w:rPr>
              <w:t>Headache, dizziness, 'fogginess', memory/balance deficit</w:t>
            </w:r>
          </w:p>
        </w:tc>
        <w:tc>
          <w:tcPr>
            <w:tcW w:type="dxa" w:w="1036"/>
            <w:vAlign w:val="top"/>
          </w:tcPr>
          <w:p>
            <w:pPr>
              <w:spacing w:after="40" w:before="0" w:line="259" w:lineRule="auto"/>
            </w:pPr>
            <w:r>
              <w:rPr>
                <w:rFonts w:ascii="Calibri" w:hAnsi="Calibri"/>
                <w:b w:val="0"/>
                <w:i w:val="0"/>
                <w:color w:val="212121"/>
                <w:sz w:val="16"/>
              </w:rPr>
              <w:t>Confirms concussion, sets a symptom baseline and guides return-to-play/learn</w:t>
            </w:r>
          </w:p>
        </w:tc>
        <w:tc>
          <w:tcPr>
            <w:tcW w:type="dxa" w:w="1036"/>
            <w:vAlign w:val="top"/>
          </w:tcPr>
          <w:p>
            <w:pPr>
              <w:spacing w:after="40" w:before="0" w:line="259" w:lineRule="auto"/>
            </w:pPr>
            <w:r>
              <w:rPr>
                <w:rFonts w:ascii="Calibri" w:hAnsi="Calibri"/>
                <w:b w:val="0"/>
                <w:i w:val="0"/>
                <w:color w:val="212121"/>
                <w:sz w:val="16"/>
              </w:rPr>
              <w:t>Mild TBI, athletes, students</w:t>
            </w:r>
          </w:p>
        </w:tc>
        <w:tc>
          <w:tcPr>
            <w:tcW w:type="dxa" w:w="720"/>
            <w:vAlign w:val="top"/>
          </w:tcPr>
          <w:p>
            <w:pPr>
              <w:spacing w:after="40" w:before="0" w:line="259" w:lineRule="auto"/>
            </w:pPr>
            <w:r>
              <w:rPr>
                <w:rFonts w:ascii="Calibri" w:hAnsi="Calibri"/>
                <w:b w:val="0"/>
                <w:i w:val="0"/>
                <w:color w:val="212121"/>
                <w:sz w:val="16"/>
              </w:rPr>
              <w:t>Physical activity; Sleep</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Do not return to play while symptomatic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Mental state</w:t>
            </w:r>
          </w:p>
        </w:tc>
        <w:tc>
          <w:tcPr>
            <w:tcW w:type="dxa" w:w="950"/>
            <w:vAlign w:val="top"/>
          </w:tcPr>
          <w:p>
            <w:pPr>
              <w:spacing w:after="40" w:before="0" w:line="259" w:lineRule="auto"/>
            </w:pPr>
            <w:r>
              <w:rPr>
                <w:rFonts w:ascii="Calibri" w:hAnsi="Calibri"/>
                <w:b w:val="0"/>
                <w:i w:val="0"/>
                <w:color w:val="212121"/>
                <w:sz w:val="16"/>
              </w:rPr>
              <w:t>Mood &amp; PTSD screen</w:t>
            </w:r>
          </w:p>
        </w:tc>
        <w:tc>
          <w:tcPr>
            <w:tcW w:type="dxa" w:w="979"/>
            <w:vAlign w:val="top"/>
          </w:tcPr>
          <w:p>
            <w:pPr>
              <w:spacing w:after="40" w:before="0" w:line="259" w:lineRule="auto"/>
            </w:pPr>
            <w:r>
              <w:rPr>
                <w:rFonts w:ascii="Calibri" w:hAnsi="Calibri"/>
                <w:b w:val="0"/>
                <w:i w:val="0"/>
                <w:color w:val="212121"/>
                <w:sz w:val="16"/>
              </w:rPr>
              <w:t>Depression, anxiety, PTSD, irritability, suicidality</w:t>
            </w:r>
          </w:p>
        </w:tc>
        <w:tc>
          <w:tcPr>
            <w:tcW w:type="dxa" w:w="950"/>
            <w:vAlign w:val="top"/>
          </w:tcPr>
          <w:p>
            <w:pPr>
              <w:spacing w:after="40" w:before="0" w:line="259" w:lineRule="auto"/>
            </w:pPr>
            <w:r>
              <w:rPr>
                <w:rFonts w:ascii="Calibri" w:hAnsi="Calibri"/>
                <w:b w:val="0"/>
                <w:i w:val="0"/>
                <w:color w:val="212121"/>
                <w:sz w:val="16"/>
              </w:rPr>
              <w:t>Euthymic, no PTSD features</w:t>
            </w:r>
          </w:p>
        </w:tc>
        <w:tc>
          <w:tcPr>
            <w:tcW w:type="dxa" w:w="950"/>
            <w:vAlign w:val="top"/>
          </w:tcPr>
          <w:p>
            <w:pPr>
              <w:spacing w:after="40" w:before="0" w:line="259" w:lineRule="auto"/>
            </w:pPr>
            <w:r>
              <w:rPr>
                <w:rFonts w:ascii="Calibri" w:hAnsi="Calibri"/>
                <w:b w:val="0"/>
                <w:i w:val="0"/>
                <w:color w:val="212121"/>
                <w:sz w:val="16"/>
              </w:rPr>
              <w:t>Depressed mood, PTSD symptoms, suicidal ideation</w:t>
            </w:r>
          </w:p>
        </w:tc>
        <w:tc>
          <w:tcPr>
            <w:tcW w:type="dxa" w:w="1036"/>
            <w:vAlign w:val="top"/>
          </w:tcPr>
          <w:p>
            <w:pPr>
              <w:spacing w:after="40" w:before="0" w:line="259" w:lineRule="auto"/>
            </w:pPr>
            <w:r>
              <w:rPr>
                <w:rFonts w:ascii="Calibri" w:hAnsi="Calibri"/>
                <w:b w:val="0"/>
                <w:i w:val="0"/>
                <w:color w:val="212121"/>
                <w:sz w:val="16"/>
              </w:rPr>
              <w:t>Psychiatric sequelae are common after TBI, impair recovery and are frequently missed</w:t>
            </w:r>
          </w:p>
        </w:tc>
        <w:tc>
          <w:tcPr>
            <w:tcW w:type="dxa" w:w="1036"/>
            <w:vAlign w:val="top"/>
          </w:tcPr>
          <w:p>
            <w:pPr>
              <w:spacing w:after="40" w:before="0" w:line="259" w:lineRule="auto"/>
            </w:pPr>
            <w:r>
              <w:rPr>
                <w:rFonts w:ascii="Calibri" w:hAnsi="Calibri"/>
                <w:b w:val="0"/>
                <w:i w:val="0"/>
                <w:color w:val="212121"/>
                <w:sz w:val="16"/>
              </w:rPr>
              <w:t>TBI survivors, repetitive concussion</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Screen routinely; link to psychological support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most frequent symptom of concussion and of raised intracranial pressure; a progressively worsening headache is a red flag.</w:t>
            </w:r>
          </w:p>
        </w:tc>
      </w:tr>
      <w:tr>
        <w:trPr>
          <w:cantSplit/>
        </w:trPr>
        <w:tc>
          <w:tcPr>
            <w:tcW w:type="dxa" w:w="2304"/>
            <w:vAlign w:val="top"/>
          </w:tcPr>
          <w:p>
            <w:pPr>
              <w:spacing w:after="40" w:before="0" w:line="259" w:lineRule="auto"/>
            </w:pPr>
            <w:r>
              <w:rPr>
                <w:rFonts w:ascii="Calibri" w:hAnsi="Calibri"/>
                <w:b/>
                <w:i w:val="0"/>
                <w:color w:val="212121"/>
                <w:sz w:val="19"/>
              </w:rPr>
              <w:t>Dizziness / imbalance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Vestibular disturbance after concussion; contributes to falls and difficulty returning to activity.</w:t>
            </w:r>
          </w:p>
        </w:tc>
      </w:tr>
      <w:tr>
        <w:trPr>
          <w:cantSplit/>
        </w:trPr>
        <w:tc>
          <w:tcPr>
            <w:tcW w:type="dxa" w:w="2304"/>
            <w:vAlign w:val="top"/>
          </w:tcPr>
          <w:p>
            <w:pPr>
              <w:spacing w:after="40" w:before="0" w:line="259" w:lineRule="auto"/>
            </w:pPr>
            <w:r>
              <w:rPr>
                <w:rFonts w:ascii="Calibri" w:hAnsi="Calibri"/>
                <w:b/>
                <w:i w:val="0"/>
                <w:color w:val="212121"/>
                <w:sz w:val="19"/>
              </w:rPr>
              <w:t>Confusion / disorientation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awareness of time, place or events; hallmark of concussion and of evolving intracranial injury.</w:t>
            </w:r>
          </w:p>
        </w:tc>
      </w:tr>
      <w:tr>
        <w:trPr>
          <w:cantSplit/>
        </w:trPr>
        <w:tc>
          <w:tcPr>
            <w:tcW w:type="dxa" w:w="2304"/>
            <w:vAlign w:val="top"/>
          </w:tcPr>
          <w:p>
            <w:pPr>
              <w:spacing w:after="40" w:before="0" w:line="259" w:lineRule="auto"/>
            </w:pPr>
            <w:r>
              <w:rPr>
                <w:rFonts w:ascii="Calibri" w:hAnsi="Calibri"/>
                <w:b/>
                <w:i w:val="0"/>
                <w:color w:val="212121"/>
                <w:sz w:val="19"/>
              </w:rPr>
              <w:t>Brief loss of consciousness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Transient (≤ 30 min in mild TBI); longer or deepening unconsciousness indicates more severe injury.</w:t>
            </w:r>
          </w:p>
        </w:tc>
      </w:tr>
      <w:tr>
        <w:trPr>
          <w:cantSplit/>
        </w:trPr>
        <w:tc>
          <w:tcPr>
            <w:tcW w:type="dxa" w:w="2304"/>
            <w:vAlign w:val="top"/>
          </w:tcPr>
          <w:p>
            <w:pPr>
              <w:spacing w:after="40" w:before="0" w:line="259" w:lineRule="auto"/>
            </w:pPr>
            <w:r>
              <w:rPr>
                <w:rFonts w:ascii="Calibri" w:hAnsi="Calibri"/>
                <w:b/>
                <w:i w:val="0"/>
                <w:color w:val="212121"/>
                <w:sz w:val="19"/>
              </w:rPr>
              <w:t>Amnesia (retrograde / anterograde)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memory for events before or after impact; post-traumatic amnesia duration tracks severity.</w:t>
            </w:r>
          </w:p>
        </w:tc>
      </w:tr>
      <w:tr>
        <w:trPr>
          <w:cantSplit/>
        </w:trPr>
        <w:tc>
          <w:tcPr>
            <w:tcW w:type="dxa" w:w="2304"/>
            <w:vAlign w:val="top"/>
          </w:tcPr>
          <w:p>
            <w:pPr>
              <w:spacing w:after="40" w:before="0" w:line="259" w:lineRule="auto"/>
            </w:pPr>
            <w:r>
              <w:rPr>
                <w:rFonts w:ascii="Calibri" w:hAnsi="Calibri"/>
                <w:b/>
                <w:i w:val="0"/>
                <w:color w:val="212121"/>
                <w:sz w:val="19"/>
              </w:rPr>
              <w:t>Nausea and 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Common after concussion; ≥ 2 episodes is a CT-rule trigger and may indicate raised ICP.</w:t>
            </w:r>
          </w:p>
        </w:tc>
      </w:tr>
      <w:tr>
        <w:trPr>
          <w:cantSplit/>
        </w:trPr>
        <w:tc>
          <w:tcPr>
            <w:tcW w:type="dxa" w:w="2304"/>
            <w:vAlign w:val="top"/>
          </w:tcPr>
          <w:p>
            <w:pPr>
              <w:spacing w:after="40" w:before="0" w:line="259" w:lineRule="auto"/>
            </w:pPr>
            <w:r>
              <w:rPr>
                <w:rFonts w:ascii="Calibri" w:hAnsi="Calibri"/>
                <w:b/>
                <w:i w:val="0"/>
                <w:color w:val="212121"/>
                <w:sz w:val="19"/>
              </w:rPr>
              <w:t>Fatigue / drowsiness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Excessive sleepiness; difficulty rousing is a warning sign of deterioration needing urgent review.</w:t>
            </w:r>
          </w:p>
        </w:tc>
      </w:tr>
      <w:tr>
        <w:trPr>
          <w:cantSplit/>
        </w:trPr>
        <w:tc>
          <w:tcPr>
            <w:tcW w:type="dxa" w:w="2304"/>
            <w:vAlign w:val="top"/>
          </w:tcPr>
          <w:p>
            <w:pPr>
              <w:spacing w:after="40" w:before="0" w:line="259" w:lineRule="auto"/>
            </w:pPr>
            <w:r>
              <w:rPr>
                <w:rFonts w:ascii="Calibri" w:hAnsi="Calibri"/>
                <w:b/>
                <w:i w:val="0"/>
                <w:color w:val="212121"/>
                <w:sz w:val="19"/>
              </w:rPr>
              <w:t>Difficulty concentrating / 'foggy' feeling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Core cognitive symptom of concussion and post-concussion syndrome; affects work and study.</w:t>
            </w:r>
          </w:p>
        </w:tc>
      </w:tr>
      <w:tr>
        <w:trPr>
          <w:cantSplit/>
        </w:trPr>
        <w:tc>
          <w:tcPr>
            <w:tcW w:type="dxa" w:w="2304"/>
            <w:vAlign w:val="top"/>
          </w:tcPr>
          <w:p>
            <w:pPr>
              <w:spacing w:after="40" w:before="0" w:line="259" w:lineRule="auto"/>
            </w:pPr>
            <w:r>
              <w:rPr>
                <w:rFonts w:ascii="Calibri" w:hAnsi="Calibri"/>
                <w:b/>
                <w:i w:val="0"/>
                <w:color w:val="212121"/>
                <w:sz w:val="19"/>
              </w:rPr>
              <w:t>Sensitivity to light and noise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Photophobia and phonophobia are typical of concussion and post-traumatic headache.</w:t>
            </w:r>
          </w:p>
        </w:tc>
      </w:tr>
      <w:tr>
        <w:trPr>
          <w:cantSplit/>
        </w:trPr>
        <w:tc>
          <w:tcPr>
            <w:tcW w:type="dxa" w:w="2304"/>
            <w:vAlign w:val="top"/>
          </w:tcPr>
          <w:p>
            <w:pPr>
              <w:spacing w:after="40" w:before="0" w:line="259" w:lineRule="auto"/>
            </w:pPr>
            <w:r>
              <w:rPr>
                <w:rFonts w:ascii="Calibri" w:hAnsi="Calibri"/>
                <w:b/>
                <w:i w:val="0"/>
                <w:color w:val="212121"/>
                <w:sz w:val="19"/>
              </w:rPr>
              <w:t>Sleep disturbance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Insomnia or hypersomnia after concussion; poor sleep prolongs recovery.</w:t>
            </w:r>
          </w:p>
        </w:tc>
      </w:tr>
      <w:tr>
        <w:trPr>
          <w:cantSplit/>
        </w:trPr>
        <w:tc>
          <w:tcPr>
            <w:tcW w:type="dxa" w:w="2304"/>
            <w:vAlign w:val="top"/>
          </w:tcPr>
          <w:p>
            <w:pPr>
              <w:spacing w:after="40" w:before="0" w:line="259" w:lineRule="auto"/>
            </w:pPr>
            <w:r>
              <w:rPr>
                <w:rFonts w:ascii="Calibri" w:hAnsi="Calibri"/>
                <w:b/>
                <w:i w:val="0"/>
                <w:color w:val="212121"/>
                <w:sz w:val="19"/>
              </w:rPr>
              <w:t>Irritability / mood change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Emotional lability, anxiety or low mood; may persist as part of post-concussion syndrome.</w:t>
            </w:r>
          </w:p>
        </w:tc>
      </w:tr>
      <w:tr>
        <w:trPr>
          <w:cantSplit/>
        </w:trPr>
        <w:tc>
          <w:tcPr>
            <w:tcW w:type="dxa" w:w="2304"/>
            <w:vAlign w:val="top"/>
          </w:tcPr>
          <w:p>
            <w:pPr>
              <w:spacing w:after="40" w:before="0" w:line="259" w:lineRule="auto"/>
            </w:pPr>
            <w:r>
              <w:rPr>
                <w:rFonts w:ascii="Calibri" w:hAnsi="Calibri"/>
                <w:b/>
                <w:i w:val="0"/>
                <w:color w:val="212121"/>
                <w:sz w:val="19"/>
              </w:rPr>
              <w:t>Blurred or double vision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oculomotor/vestibular dysfunction or, if progressive, raised ICP or cranial-nerve injury.</w:t>
            </w:r>
          </w:p>
        </w:tc>
      </w:tr>
      <w:tr>
        <w:trPr>
          <w:cantSplit/>
        </w:trPr>
        <w:tc>
          <w:tcPr>
            <w:tcW w:type="dxa" w:w="2304"/>
            <w:vAlign w:val="top"/>
          </w:tcPr>
          <w:p>
            <w:pPr>
              <w:spacing w:after="40" w:before="0" w:line="259" w:lineRule="auto"/>
            </w:pPr>
            <w:r>
              <w:rPr>
                <w:rFonts w:ascii="Calibri" w:hAnsi="Calibri"/>
                <w:b/>
                <w:i w:val="0"/>
                <w:color w:val="212121"/>
                <w:sz w:val="19"/>
              </w:rPr>
              <w:t>Seizure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 immediate/early post-traumatic seizure; more frequent with severe injury and penetrating trauma.</w:t>
            </w:r>
          </w:p>
        </w:tc>
      </w:tr>
      <w:tr>
        <w:trPr>
          <w:cantSplit/>
        </w:trPr>
        <w:tc>
          <w:tcPr>
            <w:tcW w:type="dxa" w:w="2304"/>
            <w:vAlign w:val="top"/>
          </w:tcPr>
          <w:p>
            <w:pPr>
              <w:spacing w:after="40" w:before="0" w:line="259" w:lineRule="auto"/>
            </w:pPr>
            <w:r>
              <w:rPr>
                <w:rFonts w:ascii="Calibri" w:hAnsi="Calibri"/>
                <w:b/>
                <w:i w:val="0"/>
                <w:color w:val="212121"/>
                <w:sz w:val="19"/>
              </w:rPr>
              <w:t>Clear fluid from the nose or ear (CSF leak)</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a basal skull fracture with dural tear and risk of meningitis.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Depressed / falling Glasgow Coma Scale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measure of consciousness; a downward trend is a neurosurgical emergency.</w:t>
            </w:r>
          </w:p>
        </w:tc>
      </w:tr>
      <w:tr>
        <w:trPr>
          <w:cantSplit/>
        </w:trPr>
        <w:tc>
          <w:tcPr>
            <w:tcW w:type="dxa" w:w="3456"/>
            <w:vAlign w:val="top"/>
          </w:tcPr>
          <w:p>
            <w:pPr>
              <w:spacing w:after="40" w:before="0" w:line="259" w:lineRule="auto"/>
            </w:pPr>
            <w:r>
              <w:rPr>
                <w:rFonts w:ascii="Calibri" w:hAnsi="Calibri"/>
                <w:b/>
                <w:i w:val="0"/>
                <w:color w:val="212121"/>
                <w:sz w:val="19"/>
              </w:rPr>
              <w:t>Scalp laceration, boggy swelling or palpable skull deformity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External evidence of impact; a depressed or compound fracture may underlie it.</w:t>
            </w:r>
          </w:p>
        </w:tc>
      </w:tr>
      <w:tr>
        <w:trPr>
          <w:cantSplit/>
        </w:trPr>
        <w:tc>
          <w:tcPr>
            <w:tcW w:type="dxa" w:w="3456"/>
            <w:vAlign w:val="top"/>
          </w:tcPr>
          <w:p>
            <w:pPr>
              <w:spacing w:after="40" w:before="0" w:line="259" w:lineRule="auto"/>
            </w:pPr>
            <w:r>
              <w:rPr>
                <w:rFonts w:ascii="Calibri" w:hAnsi="Calibri"/>
                <w:b/>
                <w:i w:val="0"/>
                <w:color w:val="212121"/>
                <w:sz w:val="19"/>
              </w:rPr>
              <w:t>Pupillary asymmetry / fixed dilated pupil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Signals uncal herniation with third-nerve compression — requires emergency decompression.</w:t>
            </w:r>
          </w:p>
        </w:tc>
      </w:tr>
      <w:tr>
        <w:trPr>
          <w:cantSplit/>
        </w:trPr>
        <w:tc>
          <w:tcPr>
            <w:tcW w:type="dxa" w:w="3456"/>
            <w:vAlign w:val="top"/>
          </w:tcPr>
          <w:p>
            <w:pPr>
              <w:spacing w:after="40" w:before="0" w:line="259" w:lineRule="auto"/>
            </w:pPr>
            <w:r>
              <w:rPr>
                <w:rFonts w:ascii="Calibri" w:hAnsi="Calibri"/>
                <w:b/>
                <w:i w:val="0"/>
                <w:color w:val="212121"/>
                <w:sz w:val="19"/>
              </w:rPr>
              <w:t>Focal neurological deficit (e.g., hemiparesis, aphasia)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Localises an intracranial lesion such as contusion or haematoma.</w:t>
            </w:r>
          </w:p>
        </w:tc>
      </w:tr>
      <w:tr>
        <w:trPr>
          <w:cantSplit/>
        </w:trPr>
        <w:tc>
          <w:tcPr>
            <w:tcW w:type="dxa" w:w="3456"/>
            <w:vAlign w:val="top"/>
          </w:tcPr>
          <w:p>
            <w:pPr>
              <w:spacing w:after="40" w:before="0" w:line="259" w:lineRule="auto"/>
            </w:pPr>
            <w:r>
              <w:rPr>
                <w:rFonts w:ascii="Calibri" w:hAnsi="Calibri"/>
                <w:b/>
                <w:i w:val="0"/>
                <w:color w:val="212121"/>
                <w:sz w:val="19"/>
              </w:rPr>
              <w:t>Basal skull fracture signs (raccoon eyes, Battle's sign, haemotympanum)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Periorbital and mastoid bruising with blood behind the eardrum indicate a skull-base fracture.</w:t>
            </w:r>
          </w:p>
        </w:tc>
      </w:tr>
      <w:tr>
        <w:trPr>
          <w:cantSplit/>
        </w:trPr>
        <w:tc>
          <w:tcPr>
            <w:tcW w:type="dxa" w:w="3456"/>
            <w:vAlign w:val="top"/>
          </w:tcPr>
          <w:p>
            <w:pPr>
              <w:spacing w:after="40" w:before="0" w:line="259" w:lineRule="auto"/>
            </w:pPr>
            <w:r>
              <w:rPr>
                <w:rFonts w:ascii="Calibri" w:hAnsi="Calibri"/>
                <w:b/>
                <w:i w:val="0"/>
                <w:color w:val="212121"/>
                <w:sz w:val="19"/>
              </w:rPr>
              <w:t>CSF rhinorrhoea / otorrhoea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Clear or blood-tinged fluid leak from a dural tear; positive for beta-2 transferrin.</w:t>
            </w:r>
          </w:p>
        </w:tc>
      </w:tr>
      <w:tr>
        <w:trPr>
          <w:cantSplit/>
        </w:trPr>
        <w:tc>
          <w:tcPr>
            <w:tcW w:type="dxa" w:w="3456"/>
            <w:vAlign w:val="top"/>
          </w:tcPr>
          <w:p>
            <w:pPr>
              <w:spacing w:after="40" w:before="0" w:line="259" w:lineRule="auto"/>
            </w:pPr>
            <w:r>
              <w:rPr>
                <w:rFonts w:ascii="Calibri" w:hAnsi="Calibri"/>
                <w:b/>
                <w:i w:val="0"/>
                <w:color w:val="212121"/>
                <w:sz w:val="19"/>
              </w:rPr>
              <w:t>Cushing's triad (hypertension, bradycardia, irregular respiration)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late sign of critically raised intracranial pressure and impending herniation.</w:t>
            </w:r>
          </w:p>
        </w:tc>
      </w:tr>
      <w:tr>
        <w:trPr>
          <w:cantSplit/>
        </w:trPr>
        <w:tc>
          <w:tcPr>
            <w:tcW w:type="dxa" w:w="3456"/>
            <w:vAlign w:val="top"/>
          </w:tcPr>
          <w:p>
            <w:pPr>
              <w:spacing w:after="40" w:before="0" w:line="259" w:lineRule="auto"/>
            </w:pPr>
            <w:r>
              <w:rPr>
                <w:rFonts w:ascii="Calibri" w:hAnsi="Calibri"/>
                <w:b/>
                <w:i w:val="0"/>
                <w:color w:val="212121"/>
                <w:sz w:val="19"/>
              </w:rPr>
              <w:t>Abnormal (decorticate / decerebrate) posturing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Reflects severe deep cerebral or brainstem injury and poor prognosis.</w:t>
            </w:r>
          </w:p>
        </w:tc>
      </w:tr>
      <w:tr>
        <w:trPr>
          <w:cantSplit/>
        </w:trPr>
        <w:tc>
          <w:tcPr>
            <w:tcW w:type="dxa" w:w="3456"/>
            <w:vAlign w:val="top"/>
          </w:tcPr>
          <w:p>
            <w:pPr>
              <w:spacing w:after="40" w:before="0" w:line="259" w:lineRule="auto"/>
            </w:pPr>
            <w:r>
              <w:rPr>
                <w:rFonts w:ascii="Calibri" w:hAnsi="Calibri"/>
                <w:b/>
                <w:i w:val="0"/>
                <w:color w:val="212121"/>
                <w:sz w:val="19"/>
              </w:rPr>
              <w:t>Papilloedema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 of sustained raised intracranial pressure; often absent acutely.</w:t>
            </w:r>
          </w:p>
        </w:tc>
      </w:tr>
      <w:tr>
        <w:trPr>
          <w:cantSplit/>
        </w:trPr>
        <w:tc>
          <w:tcPr>
            <w:tcW w:type="dxa" w:w="3456"/>
            <w:vAlign w:val="top"/>
          </w:tcPr>
          <w:p>
            <w:pPr>
              <w:spacing w:after="40" w:before="0" w:line="259" w:lineRule="auto"/>
            </w:pPr>
            <w:r>
              <w:rPr>
                <w:rFonts w:ascii="Calibri" w:hAnsi="Calibri"/>
                <w:b/>
                <w:i w:val="0"/>
                <w:color w:val="212121"/>
                <w:sz w:val="19"/>
              </w:rPr>
              <w:t>Post-traumatic seizure (witnessed)</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Early seizure after impact; commoner with severe and penetrating injury.</w:t>
            </w:r>
          </w:p>
        </w:tc>
      </w:tr>
      <w:tr>
        <w:trPr>
          <w:cantSplit/>
        </w:trPr>
        <w:tc>
          <w:tcPr>
            <w:tcW w:type="dxa" w:w="3456"/>
            <w:vAlign w:val="top"/>
          </w:tcPr>
          <w:p>
            <w:pPr>
              <w:spacing w:after="40" w:before="0" w:line="259" w:lineRule="auto"/>
            </w:pPr>
            <w:r>
              <w:rPr>
                <w:rFonts w:ascii="Calibri" w:hAnsi="Calibri"/>
                <w:b/>
                <w:i w:val="0"/>
                <w:color w:val="212121"/>
                <w:sz w:val="19"/>
              </w:rPr>
              <w:t>Gait ataxia / positive Romberg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Vestibular/cerebellar dysfunction detectable on bedside balance testing after concussion.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Intracranial haematoma — extradural, acute subdural, intracerebral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Cerebral contusion and traumatic subarachnoid haemorrhage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Diffuse axonal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Cerebral oedema with raised intracranial pressure and brain herniation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Skull fracture (depressed/compound) and basal skull fracture with CSF leak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Early post-traumatic seizure</w:t>
            </w:r>
          </w:p>
        </w:tc>
        <w:tc>
          <w:tcPr>
            <w:tcW w:type="dxa" w:w="2980"/>
            <w:vAlign w:val="top"/>
          </w:tcPr>
          <w:p>
            <w:pPr>
              <w:spacing w:after="40" w:before="0" w:line="259" w:lineRule="auto"/>
            </w:pPr>
            <w:r>
              <w:rPr>
                <w:rFonts w:ascii="Calibri" w:hAnsi="Calibri"/>
                <w:b w:val="0"/>
                <w:i w:val="0"/>
                <w:color w:val="212121"/>
                <w:sz w:val="19"/>
              </w:rPr>
              <w:t>Direct early consequences of the impact and the evolving secondary-injury cascade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Post-concussion syndrome (persistent headache, dizziness, cognitive and mood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Post-traumatic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subdural haematoma (especially elderly/alcoholics)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Post-traumatic hydrocephalus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Neuroendocrine dysfunction / hypopituitarism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Cranial-nerve palsies (anosmia, diplopia, facial weakness, deafness)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Sodium disturbance (SIADH, cerebral salt wasting, diabetes insipidus) and, in open injury, meningitis/abscess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Second-impact syndrome after premature return to play</w:t>
            </w:r>
          </w:p>
        </w:tc>
        <w:tc>
          <w:tcPr>
            <w:tcW w:type="dxa" w:w="2980"/>
            <w:vAlign w:val="top"/>
          </w:tcPr>
          <w:p>
            <w:pPr>
              <w:spacing w:after="40" w:before="0" w:line="259" w:lineRule="auto"/>
            </w:pPr>
            <w:r>
              <w:rPr>
                <w:rFonts w:ascii="Calibri" w:hAnsi="Calibri"/>
                <w:b w:val="0"/>
                <w:i w:val="0"/>
                <w:color w:val="212121"/>
                <w:sz w:val="19"/>
              </w:rPr>
              <w:t>Evolve over days to months from oedema, scarring, CSF-flow disturbance and repeat injury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vegetative or minimally conscious state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physical, cognitive and behavioural disability with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traumatic encephalopathy and increased dementia risk (esp. APOE ε4)</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PTSD and elevated suicide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Drug-resistant post-traumatic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 TBI is a leading cause of trauma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 burden, loss of livelihood and economic hardship</w:t>
            </w:r>
          </w:p>
        </w:tc>
        <w:tc>
          <w:tcPr>
            <w:tcW w:type="dxa" w:w="2980"/>
            <w:vAlign w:val="top"/>
          </w:tcPr>
          <w:p>
            <w:pPr>
              <w:spacing w:after="40" w:before="0" w:line="259" w:lineRule="auto"/>
            </w:pPr>
            <w:r>
              <w:rPr>
                <w:rFonts w:ascii="Calibri" w:hAnsi="Calibri"/>
                <w:b w:val="0"/>
                <w:i w:val="0"/>
                <w:color w:val="212121"/>
                <w:sz w:val="19"/>
              </w:rPr>
              <w:t>Irreversible, disabling outcomes of severe or repetitive injury and their long-term sequelae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Post-traumatic epilepsy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Cortical scarring and iron deposition after contusion, haematoma or penetrating injury create an epileptogenic focus; risk rises with injury severity and is highest after penetrating TBI, altering long-term antiseizure management.</w:t>
            </w:r>
          </w:p>
          <w:p>
            <w:pPr>
              <w:spacing w:after="40" w:before="0" w:line="259" w:lineRule="auto"/>
            </w:pPr>
            <w:r>
              <w:rPr>
                <w:rFonts w:ascii="Calibri" w:hAnsi="Calibri"/>
                <w:b/>
                <w:i w:val="0"/>
                <w:color w:val="212121"/>
                <w:sz w:val="19"/>
              </w:rPr>
              <w:t>Post-traumatic seizures in 12.5% of severe head injuries (central-India series)</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Depression is the commonest psychiatric sequela of TBI, arising from frontal-limbic injury plus disability and loss of role; it impairs rehabilitation and is bidirectionally linked with poor outcome.</w:t>
            </w:r>
          </w:p>
        </w:tc>
      </w:tr>
      <w:tr>
        <w:trPr>
          <w:cantSplit/>
        </w:trPr>
        <w:tc>
          <w:tcPr>
            <w:tcW w:type="dxa" w:w="2232"/>
            <w:vAlign w:val="top"/>
          </w:tcPr>
          <w:p>
            <w:pPr>
              <w:spacing w:after="40" w:before="0" w:line="259" w:lineRule="auto"/>
            </w:pPr>
            <w:r>
              <w:rPr>
                <w:rFonts w:ascii="Calibri" w:hAnsi="Calibri"/>
                <w:b/>
                <w:i w:val="0"/>
                <w:color w:val="212121"/>
                <w:sz w:val="19"/>
              </w:rPr>
              <w:t>Post-traumatic stress disorder (PTSD)</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traumatic event (crash, assault) can produce PTSD; symptom overlap with post-concussion syndrome complicates diagnosis and both worsen recovery.</w:t>
            </w:r>
          </w:p>
        </w:tc>
      </w:tr>
      <w:tr>
        <w:trPr>
          <w:cantSplit/>
        </w:trPr>
        <w:tc>
          <w:tcPr>
            <w:tcW w:type="dxa" w:w="2232"/>
            <w:vAlign w:val="top"/>
          </w:tcPr>
          <w:p>
            <w:pPr>
              <w:spacing w:after="40" w:before="0" w:line="259" w:lineRule="auto"/>
            </w:pPr>
            <w:r>
              <w:rPr>
                <w:rFonts w:ascii="Calibri" w:hAnsi="Calibri"/>
                <w:b/>
                <w:i w:val="0"/>
                <w:color w:val="212121"/>
                <w:sz w:val="19"/>
              </w:rPr>
              <w:t>Alcohol / substance-use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Intoxication precipitates the crashes, falls and assaults that cause TBI (15–20% of injuries) and also emerges or worsens afterwards, impairing rehabilitation and adherence.</w:t>
            </w:r>
          </w:p>
          <w:p>
            <w:pPr>
              <w:spacing w:after="40" w:before="0" w:line="259" w:lineRule="auto"/>
            </w:pPr>
            <w:r>
              <w:rPr>
                <w:rFonts w:ascii="Calibri" w:hAnsi="Calibri"/>
                <w:b/>
                <w:i w:val="0"/>
                <w:color w:val="212121"/>
                <w:sz w:val="19"/>
              </w:rPr>
              <w:t>Alcohol involved in 15–20% of TBIs</w:t>
            </w:r>
          </w:p>
        </w:tc>
      </w:tr>
      <w:tr>
        <w:trPr>
          <w:cantSplit/>
        </w:trPr>
        <w:tc>
          <w:tcPr>
            <w:tcW w:type="dxa" w:w="2232"/>
            <w:vAlign w:val="top"/>
          </w:tcPr>
          <w:p>
            <w:pPr>
              <w:spacing w:after="40" w:before="0" w:line="259" w:lineRule="auto"/>
            </w:pPr>
            <w:r>
              <w:rPr>
                <w:rFonts w:ascii="Calibri" w:hAnsi="Calibri"/>
                <w:b/>
                <w:i w:val="0"/>
                <w:color w:val="212121"/>
                <w:sz w:val="19"/>
              </w:rPr>
              <w:t>Dementia / chronic traumatic encephalopathy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Single moderate–severe and repetitive mild TBI raise the long-term risk of neurodegeneration and dementia through tau pathology and neuroinflammation, modulated by APOE ε4.</w:t>
            </w:r>
          </w:p>
        </w:tc>
      </w:tr>
      <w:tr>
        <w:trPr>
          <w:cantSplit/>
        </w:trPr>
        <w:tc>
          <w:tcPr>
            <w:tcW w:type="dxa" w:w="2232"/>
            <w:vAlign w:val="top"/>
          </w:tcPr>
          <w:p>
            <w:pPr>
              <w:spacing w:after="40" w:before="0" w:line="259" w:lineRule="auto"/>
            </w:pPr>
            <w:r>
              <w:rPr>
                <w:rFonts w:ascii="Calibri" w:hAnsi="Calibri"/>
                <w:b/>
                <w:i w:val="0"/>
                <w:color w:val="212121"/>
                <w:sz w:val="19"/>
              </w:rPr>
              <w:t>Chronic subdural haematoma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Bridging-vein tears from minor trauma in the elderly and alcoholics produce a slowly enlarging collection presenting weeks later with headache, cognitive decline or focal deficit — often surgically drainable.</w:t>
            </w:r>
          </w:p>
        </w:tc>
      </w:tr>
      <w:tr>
        <w:trPr>
          <w:cantSplit/>
        </w:trPr>
        <w:tc>
          <w:tcPr>
            <w:tcW w:type="dxa" w:w="2232"/>
            <w:vAlign w:val="top"/>
          </w:tcPr>
          <w:p>
            <w:pPr>
              <w:spacing w:after="40" w:before="0" w:line="259" w:lineRule="auto"/>
            </w:pPr>
            <w:r>
              <w:rPr>
                <w:rFonts w:ascii="Calibri" w:hAnsi="Calibri"/>
                <w:b/>
                <w:i w:val="0"/>
                <w:color w:val="212121"/>
                <w:sz w:val="19"/>
              </w:rPr>
              <w:t>Hypopituitarism / neuroendocrine dysfunction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Injury to the hypothalamic–pituitary axis can cause growth-hormone, gonadal, thyroid or cortisol deficiency and post-TBI fatigue/cognitive symptoms; it is under-recognised and warrants screening after moderate/severe TBI.</w:t>
            </w:r>
          </w:p>
        </w:tc>
      </w:tr>
      <w:tr>
        <w:trPr>
          <w:cantSplit/>
        </w:trPr>
        <w:tc>
          <w:tcPr>
            <w:tcW w:type="dxa" w:w="2232"/>
            <w:vAlign w:val="top"/>
          </w:tcPr>
          <w:p>
            <w:pPr>
              <w:spacing w:after="40" w:before="0" w:line="259" w:lineRule="auto"/>
            </w:pPr>
            <w:r>
              <w:rPr>
                <w:rFonts w:ascii="Calibri" w:hAnsi="Calibri"/>
                <w:b/>
                <w:i w:val="0"/>
                <w:color w:val="212121"/>
                <w:sz w:val="19"/>
              </w:rPr>
              <w:t>Cervical spine &amp; polytrauma injuries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same high-energy mechanism frequently injures the cervical spine, chest, abdomen and limbs; associated hypoxia and hypotension drive secondary brain injury, and spinal precautions are mandatory until cleared.</w:t>
            </w:r>
          </w:p>
        </w:tc>
      </w:tr>
      <w:tr>
        <w:trPr>
          <w:cantSplit/>
        </w:trPr>
        <w:tc>
          <w:tcPr>
            <w:tcW w:type="dxa" w:w="2232"/>
            <w:vAlign w:val="top"/>
          </w:tcPr>
          <w:p>
            <w:pPr>
              <w:spacing w:after="40" w:before="0" w:line="259" w:lineRule="auto"/>
            </w:pPr>
            <w:r>
              <w:rPr>
                <w:rFonts w:ascii="Calibri" w:hAnsi="Calibri"/>
                <w:b/>
                <w:i w:val="0"/>
                <w:color w:val="212121"/>
                <w:sz w:val="19"/>
              </w:rPr>
              <w:t>Chronic post-traumatic headache / migraine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Persistent headache is among the commonest post-concussion symptoms, can meet migraine criteria, and may continue independently, complicating attribution of ongoing symptoms.</w:t>
            </w:r>
          </w:p>
        </w:tc>
      </w:tr>
      <w:tr>
        <w:trPr>
          <w:cantSplit/>
        </w:trPr>
        <w:tc>
          <w:tcPr>
            <w:tcW w:type="dxa" w:w="2232"/>
            <w:vAlign w:val="top"/>
          </w:tcPr>
          <w:p>
            <w:pPr>
              <w:spacing w:after="40" w:before="0" w:line="259" w:lineRule="auto"/>
            </w:pPr>
            <w:r>
              <w:rPr>
                <w:rFonts w:ascii="Calibri" w:hAnsi="Calibri"/>
                <w:b/>
                <w:i w:val="0"/>
                <w:color w:val="212121"/>
                <w:sz w:val="19"/>
              </w:rPr>
              <w:t>Obstructive sleep apnoea &amp; sleep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Sleep–wake disturbance and OSA are common after TBI and further impair cognition, mood and recovery, so they should be screened for and treated.</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wear a standards-compliant (ISI/BIS) helmet, correctly fastened, on every two-wheeler trip — for riders and pillions, including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seatbelts on every car journey and use age-appropriate child restraints; never carry a child on the lap.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drink (or use sedating drugs) and drive or ride; obey speed limits and avoid distracted or drowsy driving.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Fall-proof homes for elders and toddlers: good lighting, grab-bars, non-slip mats, guarded stairs, and no unsecured heights at worksites.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any suspected head/neck injury, do not shake or move the person unnecessarily and keep the neck still until help arrives.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 flags after a head knock — worsening headache, repeated vomiting, drowsiness, confusion, one-sided weakness, seizure, unequal pupils, or clear fluid from nose/ear — and seek emergency care immediately.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rapid transport to a centre with CT/neurosurgery within the 'golden hour', as delay worsens outcome.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road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Two-wheeler riders &amp;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&amp; their carers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Construction &amp; height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a concussion, rest for 24–48 hours then reintroduce activity gradually; do not return to sport or driving while still symptomatic.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stepwise return-to-learn and return-to-play protocol and get medical clearance before contact sport, to avoid second-impact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or anticoagulated patients should attend even after a minor head injury and follow advice on observation and possible repeat scanning for delayed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prescribed antiseizure or other medications exactly as directed and attend neurosurgical/neurology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any new or worsening headache, vomiting, drowsiness, confusion or weakness in the days after injury without delay.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Concussion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&amp;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Anticoagulated/elderly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TBI survivors in follow-up</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 should do regular balance and strength/resistance training (e.g., Tai Chi, supervised programmes) to reduce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appropriate protective gear (helmets, headguards) for cycling and contact/combat sports and learn safe technique.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vision, footwear and home hazards that contribute to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Coach children and young athletes in safe play and enforce concussion rules on the field.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&amp; cyclists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sport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 fallers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 concussion recovery through a graded, symptom-limited return-to-activity programme rather than complete prolonged rest.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vestibular and balance rehabilitation for persistent dizziness or imbalance.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any activity with a fall or collision risk until cleared, to prevent re-injury/second-impact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structured neuro-rehabilitation (physiotherapy, occupational therapy) after moderate/severe TBI.</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Concussion &amp; post-concussion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Moderate/severe TBI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returning to play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drink and drive or ride — alcohol is involved in 15–20% of head injuries; India's legal limit is 30 mg/100 mL, but zero is safest.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around swimming, heights, machinery and night travel where a fall or crash could cause head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responsible-serving, sober-transport and enforcement measures in the community.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Drivers &amp; riders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binge drink</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from alcohol during concussion/TBI recovery, as it worsens symptoms and lowers the seizure threshold.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TBI patients for alcohol-use disorder and offer brief intervention or de-addiction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heavy drinking increases the risk of subdural haematoma from even minor future head injury.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TBI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alcohol-use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drinkers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adequate sleep (7–9 hours) before long or night-time driving, and never drive when drowsy.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rest breaks on long journeys and share driving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shift-work fatigue to reduce crash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Drivers, especially long-haul &amp;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during concussion recovery; sleep disturbance is common and prolongs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(limit screens, caffeine and daytime naps) and treat post-TBI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which is common after TBI and impairs cognition.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Concussion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TBI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post-TBI sleep problems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support cerebral vascular health, bone/wound healing and overall recovery after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the tobacco–alcohol combination that clusters with risk-taking and crashes.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TBI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 risk-takers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depression, anxiety, PTSD and irritability after TBI and treat them, as they impair recovery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cognitive rehabilitation and realistic education about the usually good prognosis of concussion to reduce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Ask directly about suicidal thoughts — suicide risk is elevated after TBI — and arrange prompt psychiatric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and support for patients and caregivers, and coordinate psychiatric care with neurology as some drugs affect the seizure threshold.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TBI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post-concussion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Repetitive-concussion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&amp; families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alcohol intake and avoid binge drinking, the main dietary-behavioural driver of head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balanced nutrition with adequate protein and micronutrients to support brain recovery after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safe fluid/sodium balance under medical guidance during recovery from severe TBI.</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at risk of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TBI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ieme-connect.com/products/ejournals/html/10.1055/s-0044-1789260" TargetMode="External"/><Relationship Id="rId10" Type="http://schemas.openxmlformats.org/officeDocument/2006/relationships/hyperlink" Target="https://www.ijnonline.org/html-article/9586" TargetMode="External"/><Relationship Id="rId11" Type="http://schemas.openxmlformats.org/officeDocument/2006/relationships/hyperlink" Target="https://www.deccanherald.com/india/karnataka/bengaluru/road-crashes-account-for-50-80-of-head-injuries-nimhans-experts-1202050.html" TargetMode="External"/><Relationship Id="rId12" Type="http://schemas.openxmlformats.org/officeDocument/2006/relationships/hyperlink" Target="https://pubmed.ncbi.nlm.nih.gov/11783750/" TargetMode="External"/><Relationship Id="rId13" Type="http://schemas.openxmlformats.org/officeDocument/2006/relationships/hyperlink" Target="https://www.cdc.gov/traumatic-brain-injury/about/index.html" TargetMode="External"/><Relationship Id="rId14" Type="http://schemas.openxmlformats.org/officeDocument/2006/relationships/hyperlink" Target="https://my.clevelandclinic.org/health/diagnostics/24848-glasgow-coma-scale-g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