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Narcolepsy</w:t>
      </w:r>
    </w:p>
    <w:p>
      <w:pPr>
        <w:spacing w:before="0" w:after="160"/>
      </w:pPr>
      <w:r>
        <w:rPr>
          <w:rFonts w:ascii="Calibri" w:hAnsi="Calibri"/>
          <w:b/>
          <w:i w:val="0"/>
          <w:color w:val="212121"/>
          <w:sz w:val="22"/>
        </w:rPr>
        <w:t xml:space="preserve">AKA </w:t>
      </w:r>
      <w:r>
        <w:rPr>
          <w:rFonts w:ascii="Calibri" w:hAnsi="Calibri"/>
          <w:b w:val="0"/>
          <w:i w:val="0"/>
          <w:color w:val="212121"/>
          <w:sz w:val="22"/>
        </w:rPr>
        <w:t>i.e., Narcolepsy type 1 (with cataplexy) / type 2 (without cataplexy), Hypocretin (orexin) deficiency syndrome, Gelineau's syndrome, Sleep-attack disorder, Daytime sleep disorder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Narcolepsy is a chronic neurological disorder of sleep-wake regulation in which the brain cannot reliably maintain the boundaries between wakefulness and rapid-eye-movement (REM) sleep, producing overwhelming daytime sleepiness and the intrusion of REM phenomena into wakefulness. The cardinal feature is excessive daytime sleepiness with irresistible sleep attacks; type 1 narcolepsy additionally features cataplexy - a sudden, emotion-triggered loss of muscle tone with preserved consciousness - and is caused by loss of the hypothalamic hypocretin (orexin)-producing neurons, widely believed to be autoimmune. Type 2 narcolepsy shows the same sleepiness but without cataplexy and with preserved hypocretin. It is a lifelong, frequently disabling and markedly under-recognised condition in which diagnosis is often delayed by several years.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Narcolepsy is rare and substantially under-recognised in India, where there are no large population-based prevalence studies and most recognised cases come from tertiary-care sleep clinics. Global estimates place overall prevalence at roughly 25-50 per 100,000 people, with narcolepsy type 1 around 14 per 100,000 and type 2 around 65 per 100,000 in Western data. In a South Indian tertiary-centre series of central disorders of hypersomnolence, narcolepsy type 1 accounted for 21% and type 2 for 9% of cases (idiopathic hypersomnia 68%), with mean symptom onset at 29 years and an average diagnostic delay of about six years (71 months). Worldwide the delay from first symptom to diagnosis can average up to 15 years, so the true burden is almost certainly underestimated.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Narcolepsy is diagnosed using the International Classification of Sleep Disorders, 3rd edition (ICSD-3), which requires daily excessive daytime sleepiness for at least three months plus objective sleep-study or biomarker confirmation, after excluding other causes of sleepiness (insufficient sleep, obstructive sleep apnoea, shift work, sedating drugs):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Excessive daytime sleepiness - an irrepressible need to sleep or daytime lapses into sleep occurring daily for at least 3 months, quantified with the Epworth Sleepiness Scale (score &gt; 10 abnormal, often 15-24);</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Multiple Sleep Latency Test (MSLT) - a mean sleep-onset latency of 8 minutes or less together with two or more sleep-onset REM periods (SOREMPs); a SOREMP on the preceding overnight polysomnogram may count as one of the two;</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Preceding overnight polysomnography - performed the night before the MSLT to document at least 6 hours of sleep and to exclude other sleep disorders (especially obstructive sleep apnoea) that mimic narcolepsy;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Type 1 narcolepsy - either cataplexy plus a positive MSLT, or a low cerebrospinal fluid hypocretin-1 level (110 pg/mL or less, or under one third of normal mean values);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Type 2 narcolepsy - a positive MSLT (mean latency &lt;= 8 min with &gt;= 2 SOREMPs) in the absence of cataplexy and with normal or unmeasured CSF hypocretin-1;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tests - HLA-DQB1*06:02 typing (present in about 95% of type 1 patients but also in about 20% of the general population, so not diagnostic alone) and a 1-2 week sleep diary or actigraphy to exclude chronic sleep deprivation.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Narcolepsy is classified by the presence or absence of cataplexy and hypocretin deficiency, and by whether it is primary or secondary to another neurological process:</w:t>
      </w:r>
    </w:p>
    <w:p>
      <w:pPr>
        <w:spacing w:before="0" w:after="80"/>
      </w:pPr>
      <w:r>
        <w:rPr>
          <w:rFonts w:ascii="Calibri" w:hAnsi="Calibri"/>
          <w:b w:val="0"/>
          <w:i w:val="0"/>
          <w:color w:val="212121"/>
          <w:sz w:val="21"/>
        </w:rPr>
        <w:t>(1) Narcolepsy type 1 (NT1, formerly narcolepsy with cataplexy) - excessive daytime sleepiness with cataplexy and/or cerebrospinal fluid hypocretin-1 deficiency (&lt;= 110 pg/mL); it reflects near-total loss of hypothalamic hypocretin (orexin) neurons and carries the strongest HLA-DQB1*06:02 association;</w:t>
      </w:r>
    </w:p>
    <w:p>
      <w:pPr>
        <w:spacing w:before="0" w:after="80"/>
      </w:pPr>
      <w:r>
        <w:rPr>
          <w:rFonts w:ascii="Calibri" w:hAnsi="Calibri"/>
          <w:b w:val="0"/>
          <w:i w:val="0"/>
          <w:color w:val="212121"/>
          <w:sz w:val="21"/>
        </w:rPr>
        <w:t>(2) Narcolepsy type 2 (NT2, formerly narcolepsy without cataplexy) - excessive daytime sleepiness with a positive MSLT but no cataplexy and normal CSF hypocretin; a proportion later develop cataplexy or low hypocretin and are reclassified as type 1;</w:t>
      </w:r>
    </w:p>
    <w:p>
      <w:pPr>
        <w:spacing w:before="0" w:after="80"/>
      </w:pPr>
      <w:r>
        <w:rPr>
          <w:rFonts w:ascii="Calibri" w:hAnsi="Calibri"/>
          <w:b w:val="0"/>
          <w:i w:val="0"/>
          <w:color w:val="212121"/>
          <w:sz w:val="21"/>
        </w:rPr>
        <w:t>(3) Secondary (symptomatic) narcolepsy - narcolepsy due to a medical condition that damages the hypothalamus/hypocretin system, such as tumours, sarcoidosis, multiple sclerosis, stroke, head trauma, paraneoplastic anti-Ma2 encephalitis, Niemann-Pick type C, or Prader-Willi and other genetic syndromes;</w:t>
      </w:r>
    </w:p>
    <w:p>
      <w:pPr>
        <w:spacing w:before="0" w:after="80"/>
      </w:pPr>
      <w:r>
        <w:rPr>
          <w:rFonts w:ascii="Calibri" w:hAnsi="Calibri"/>
          <w:b w:val="0"/>
          <w:i w:val="0"/>
          <w:color w:val="212121"/>
          <w:sz w:val="21"/>
        </w:rPr>
        <w:t>(4) Historical and related terms - the older 'narcolepsy with/without cataplexy' nomenclature, the classic clinical 'tetrad' (sleepiness, cataplexy, sleep paralysis, hypnagogic hallucinations) or 'pentad' (adding disrupted night-time sleep), and idiopathic hypersomnia, which shares excessive sleepiness but lacks SOREMPs and cataplexy and is the main differential diagnosis.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Hypocretin (orexin) neuron loss: The core lesion in type 1 narcolepsy is destruction of the roughly 70,000 hypothalamic neurons that produce hypocretin, the neuropeptide that stabilises wakefulness and suppresses REM sleep; their loss destabilises sleep-wake and REM control.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Autoimmunity: An immune-mediated attack (CD4+ and CD8+ T cells, molecular mimicry) on hypocretin neurons is the leading mechanism, strongly linked to the HLA-DQB1*06:02 allele and to candidate autoantigens such as TRIB2.</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HLA-DQB1*06:02 is present in about 95% of NT1 patients; first-degree relatives have a 10-40 times higher risk than the general population, though most cases are sporadic.</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triggers: The 2009 pandemic H1N1 influenza infection and the AS03-adjuvanted Pandemrix vaccine were followed by a marked rise in childhood narcolepsy, and streptococcal infection and winter-spring onset patterns further implicate infection as a trigger in genetically susceptible people.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Secondary causes: Hypothalamic or brainstem lesions - tumours, multiple sclerosis, sarcoidosis, stroke, head injury or paraneoplastic anti-Ma2 encephalitis - can produce symptomatic narcolepsy.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Developmental and hormonal factors: Onset commonly clusters around puberty, and in children hypothalamic disruption is associated with precocious puberty and rapid weight gain.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Onset peaks in the teens and early twenties; the disorder classically emerges around puberty, when hypocretin-neuron loss and probable neuroinflammation first destabilise sleep-wake control.</w:t>
            </w:r>
          </w:p>
          <w:p>
            <w:pPr>
              <w:spacing w:after="40" w:before="60" w:line="259" w:lineRule="auto"/>
            </w:pPr>
            <w:r>
              <w:rPr>
                <w:rFonts w:ascii="Calibri" w:hAnsi="Calibri"/>
                <w:b w:val="0"/>
                <w:i w:val="0"/>
                <w:color w:val="212121"/>
                <w:sz w:val="19"/>
              </w:rPr>
              <w:t>Symptoms usually begin between ages 7 and 25, and nearly half of patients develop symptoms during their teenage years.</w:t>
            </w:r>
          </w:p>
          <w:p>
            <w:pPr>
              <w:spacing w:after="40" w:line="252" w:lineRule="auto"/>
            </w:pPr>
            <w:hyperlink r:id="rId9">
              <w:r>
                <w:rPr>
                  <w:rFonts w:ascii="Calibri" w:hAnsi="Calibri" w:cs="Calibri"/>
                  <w:sz w:val="18"/>
                  <w:color w:val="1155CC"/>
                  <w:u w:val="single"/>
                </w:rPr>
                <w:t xml:space="preserve">ncbi.nlm.nih.gov - StatPearls Narcolepsy (epidemiology)</w:t>
              </w:r>
            </w:hyperlink>
          </w:p>
          <w:p>
            <w:pPr>
              <w:spacing w:before="60" w:after="40"/>
            </w:pPr>
            <w:r>
              <w:rPr>
                <w:rFonts w:ascii="Calibri" w:hAnsi="Calibri"/>
                <w:b w:val="0"/>
                <w:i w:val="0"/>
                <w:color w:val="5A5A5A"/>
                <w:sz w:val="18"/>
              </w:rPr>
              <w:t>#narcolepsy  #adolescent  #puberty  #REMsleep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(second onset peak ~35)</w:t>
            </w:r>
          </w:p>
        </w:tc>
        <w:tc>
          <w:tcPr>
            <w:tcW w:type="dxa" w:w="4276"/>
            <w:vAlign w:val="top"/>
          </w:tcPr>
          <w:p>
            <w:pPr>
              <w:spacing w:after="60" w:line="259" w:lineRule="auto"/>
            </w:pPr>
            <w:r>
              <w:rPr>
                <w:rFonts w:ascii="Calibri" w:hAnsi="Calibri"/>
                <w:b w:val="0"/>
                <w:i w:val="0"/>
                <w:color w:val="212121"/>
                <w:sz w:val="19"/>
              </w:rPr>
              <w:t>A second, smaller onset peak occurs in the mid-thirties; adult-onset disease is often mistaken for depression, epilepsy or simple laziness, delaying diagnosis for years.</w:t>
            </w:r>
          </w:p>
          <w:p>
            <w:pPr>
              <w:spacing w:after="40" w:before="60" w:line="259" w:lineRule="auto"/>
            </w:pPr>
            <w:r>
              <w:rPr>
                <w:rFonts w:ascii="Calibri" w:hAnsi="Calibri"/>
                <w:b w:val="0"/>
                <w:i w:val="0"/>
                <w:color w:val="212121"/>
                <w:sz w:val="19"/>
              </w:rPr>
              <w:t>Incidence follows a bimodal pattern peaking near ages 15 and 35, and the average delay from onset to diagnosis can reach 15 years.</w:t>
            </w:r>
          </w:p>
          <w:p>
            <w:pPr>
              <w:spacing w:after="40" w:line="252" w:lineRule="auto"/>
            </w:pPr>
            <w:hyperlink r:id="rId9">
              <w:r>
                <w:rPr>
                  <w:rFonts w:ascii="Calibri" w:hAnsi="Calibri" w:cs="Calibri"/>
                  <w:sz w:val="18"/>
                  <w:color w:val="1155CC"/>
                  <w:u w:val="single"/>
                </w:rPr>
                <w:t xml:space="preserve">ncbi.nlm.nih.gov - StatPearls Narcolepsy (onset &amp; delay)</w:t>
              </w:r>
            </w:hyperlink>
          </w:p>
          <w:p>
            <w:pPr>
              <w:spacing w:before="60" w:after="40"/>
            </w:pPr>
            <w:r>
              <w:rPr>
                <w:rFonts w:ascii="Calibri" w:hAnsi="Calibri"/>
                <w:b w:val="0"/>
                <w:i w:val="0"/>
                <w:color w:val="5A5A5A"/>
                <w:sz w:val="18"/>
              </w:rPr>
              <w:t>#adultonset  #secondpeak  #diagnosticdelay  #misdiagnosis  #hypersomnolence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Narcolepsy is lifelong; in older adults core symptoms may attenuate slightly, but accumulated cardiometabolic comorbidity and the cardiovascular risks of long-term stimulant therapy become more important, and new diagnoses are frequently missed.</w:t>
            </w:r>
          </w:p>
          <w:p>
            <w:pPr>
              <w:spacing w:after="40" w:before="60" w:line="259" w:lineRule="auto"/>
            </w:pPr>
            <w:r>
              <w:rPr>
                <w:rFonts w:ascii="Calibri" w:hAnsi="Calibri"/>
                <w:b w:val="0"/>
                <w:i w:val="0"/>
                <w:color w:val="212121"/>
                <w:sz w:val="19"/>
              </w:rPr>
              <w:t>New onset after age 40 is uncommon, so sleepiness in the elderly is often wrongly attributed to ageing or other illness rather than narcolepsy.</w:t>
            </w:r>
          </w:p>
          <w:p>
            <w:pPr>
              <w:spacing w:before="60" w:after="40"/>
            </w:pPr>
            <w:r>
              <w:rPr>
                <w:rFonts w:ascii="Calibri" w:hAnsi="Calibri"/>
                <w:b w:val="0"/>
                <w:i w:val="0"/>
                <w:color w:val="5A5A5A"/>
                <w:sz w:val="18"/>
              </w:rPr>
              <w:t>#elderly  #lifelong  #comorbidity  #misseddiagnosis  #cardiometabolic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(near-equal)</w:t>
            </w:r>
          </w:p>
        </w:tc>
        <w:tc>
          <w:tcPr>
            <w:tcW w:type="dxa" w:w="4276"/>
            <w:vAlign w:val="top"/>
          </w:tcPr>
          <w:p>
            <w:pPr>
              <w:spacing w:after="60" w:line="259" w:lineRule="auto"/>
            </w:pPr>
            <w:r>
              <w:rPr>
                <w:rFonts w:ascii="Calibri" w:hAnsi="Calibri"/>
                <w:b w:val="0"/>
                <w:i w:val="0"/>
                <w:color w:val="212121"/>
                <w:sz w:val="19"/>
              </w:rPr>
              <w:t>Narcolepsy affects men and women fairly equally; population incidence data suggest a slight female predominance, while clinic-based series vary and onset age can differ between the sexes.</w:t>
            </w:r>
          </w:p>
          <w:p>
            <w:pPr>
              <w:spacing w:after="40" w:before="60" w:line="259" w:lineRule="auto"/>
            </w:pPr>
            <w:r>
              <w:rPr>
                <w:rFonts w:ascii="Calibri" w:hAnsi="Calibri"/>
                <w:b w:val="0"/>
                <w:i w:val="0"/>
                <w:color w:val="212121"/>
                <w:sz w:val="19"/>
              </w:rPr>
              <w:t>In a South Indian hypersomnolence series the sex split was near-equal (29 men, 27 women), with earlier mean onset in women (24 years) than men (34 years).</w:t>
            </w:r>
          </w:p>
          <w:p>
            <w:pPr>
              <w:spacing w:after="40" w:line="252" w:lineRule="auto"/>
            </w:pPr>
            <w:hyperlink r:id="rId10">
              <w:r>
                <w:rPr>
                  <w:rFonts w:ascii="Calibri" w:hAnsi="Calibri" w:cs="Calibri"/>
                  <w:sz w:val="18"/>
                  <w:color w:val="1155CC"/>
                  <w:u w:val="single"/>
                </w:rPr>
                <w:t xml:space="preserve">pubmed.ncbi.nlm.nih.gov/31736566 - South India series</w:t>
              </w:r>
            </w:hyperlink>
          </w:p>
          <w:p>
            <w:pPr>
              <w:spacing w:before="60" w:after="40"/>
            </w:pPr>
            <w:r>
              <w:rPr>
                <w:rFonts w:ascii="Calibri" w:hAnsi="Calibri"/>
                <w:b w:val="0"/>
                <w:i w:val="0"/>
                <w:color w:val="5A5A5A"/>
                <w:sz w:val="18"/>
              </w:rPr>
              <w:t>#sex  #nearequal  #onsetage  #femaleslight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HLA-DQB1*06:02 background populations</w:t>
            </w:r>
          </w:p>
        </w:tc>
        <w:tc>
          <w:tcPr>
            <w:tcW w:type="dxa" w:w="4276"/>
            <w:vAlign w:val="top"/>
          </w:tcPr>
          <w:p>
            <w:pPr>
              <w:spacing w:after="60" w:line="259" w:lineRule="auto"/>
            </w:pPr>
            <w:r>
              <w:rPr>
                <w:rFonts w:ascii="Calibri" w:hAnsi="Calibri"/>
                <w:b w:val="0"/>
                <w:i w:val="0"/>
                <w:color w:val="212121"/>
                <w:sz w:val="19"/>
              </w:rPr>
              <w:t>Susceptibility is tied to the HLA-DQB1*06:02 haplotype, whose background frequency varies by ethnicity; nearly all type 1 patients carry it, but so do many healthy people, so it confers risk rather than certainty.</w:t>
            </w:r>
          </w:p>
          <w:p>
            <w:pPr>
              <w:spacing w:after="40" w:before="60" w:line="259" w:lineRule="auto"/>
            </w:pPr>
            <w:r>
              <w:rPr>
                <w:rFonts w:ascii="Calibri" w:hAnsi="Calibri"/>
                <w:b w:val="0"/>
                <w:i w:val="0"/>
                <w:color w:val="212121"/>
                <w:sz w:val="19"/>
              </w:rPr>
              <w:t>HLA-DQB1*06:02 is present in about 95% of narcolepsy type 1 patients but also in roughly 20% of the general population.</w:t>
            </w:r>
          </w:p>
          <w:p>
            <w:pPr>
              <w:spacing w:after="40" w:line="252" w:lineRule="auto"/>
            </w:pPr>
            <w:hyperlink r:id="rId9">
              <w:r>
                <w:rPr>
                  <w:rFonts w:ascii="Calibri" w:hAnsi="Calibri" w:cs="Calibri"/>
                  <w:sz w:val="18"/>
                  <w:color w:val="1155CC"/>
                  <w:u w:val="single"/>
                </w:rPr>
                <w:t xml:space="preserve">ncbi.nlm.nih.gov - StatPearls Narcolepsy (HLA)</w:t>
              </w:r>
            </w:hyperlink>
          </w:p>
          <w:p>
            <w:pPr>
              <w:spacing w:before="60" w:after="40"/>
            </w:pPr>
            <w:r>
              <w:rPr>
                <w:rFonts w:ascii="Calibri" w:hAnsi="Calibri"/>
                <w:b w:val="0"/>
                <w:i w:val="0"/>
                <w:color w:val="5A5A5A"/>
                <w:sz w:val="18"/>
              </w:rPr>
              <w:t>#HLA  #DQB10602  #immunogenetics  #ethnicity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access to care</w:t>
            </w:r>
          </w:p>
        </w:tc>
        <w:tc>
          <w:tcPr>
            <w:tcW w:type="dxa" w:w="2160"/>
            <w:vAlign w:val="top"/>
          </w:tcPr>
          <w:p>
            <w:pPr>
              <w:spacing w:after="40" w:before="0" w:line="259" w:lineRule="auto"/>
            </w:pPr>
            <w:r>
              <w:rPr>
                <w:rFonts w:ascii="Calibri" w:hAnsi="Calibri"/>
                <w:b w:val="0"/>
                <w:i w:val="0"/>
                <w:color w:val="212121"/>
                <w:sz w:val="19"/>
              </w:rPr>
              <w:t>Indians (tertiary-care reliant)</w:t>
            </w:r>
          </w:p>
        </w:tc>
        <w:tc>
          <w:tcPr>
            <w:tcW w:type="dxa" w:w="4276"/>
            <w:vAlign w:val="top"/>
          </w:tcPr>
          <w:p>
            <w:pPr>
              <w:spacing w:after="60" w:line="259" w:lineRule="auto"/>
            </w:pPr>
            <w:r>
              <w:rPr>
                <w:rFonts w:ascii="Calibri" w:hAnsi="Calibri"/>
                <w:b w:val="0"/>
                <w:i w:val="0"/>
                <w:color w:val="212121"/>
                <w:sz w:val="19"/>
              </w:rPr>
              <w:t>In India narcolepsy is under-diagnosed because of low awareness, few sleep laboratories with MSLT capability and long diagnostic delays; most recognised cases surface only at tertiary sleep centres.</w:t>
            </w:r>
          </w:p>
          <w:p>
            <w:pPr>
              <w:spacing w:after="40" w:before="60" w:line="259" w:lineRule="auto"/>
            </w:pPr>
            <w:r>
              <w:rPr>
                <w:rFonts w:ascii="Calibri" w:hAnsi="Calibri"/>
                <w:b w:val="0"/>
                <w:i w:val="0"/>
                <w:color w:val="212121"/>
                <w:sz w:val="19"/>
              </w:rPr>
              <w:t>A South Indian series found narcolepsy type 1 in 21% and type 2 in 9% of hypersomnolence patients, with a mean diagnostic delay of about six years (71 months).</w:t>
            </w:r>
          </w:p>
          <w:p>
            <w:pPr>
              <w:spacing w:after="40" w:line="252" w:lineRule="auto"/>
            </w:pPr>
            <w:hyperlink r:id="rId10">
              <w:r>
                <w:rPr>
                  <w:rFonts w:ascii="Calibri" w:hAnsi="Calibri" w:cs="Calibri"/>
                  <w:sz w:val="18"/>
                  <w:color w:val="1155CC"/>
                  <w:u w:val="single"/>
                </w:rPr>
                <w:t xml:space="preserve">pubmed.ncbi.nlm.nih.gov/31736566 - India under-recognition</w:t>
              </w:r>
            </w:hyperlink>
          </w:p>
          <w:p>
            <w:pPr>
              <w:spacing w:before="60" w:after="40"/>
            </w:pPr>
            <w:r>
              <w:rPr>
                <w:rFonts w:ascii="Calibri" w:hAnsi="Calibri"/>
                <w:b w:val="0"/>
                <w:i w:val="0"/>
                <w:color w:val="5A5A5A"/>
                <w:sz w:val="18"/>
              </w:rPr>
              <w:t>#India  #underdiagnosed  #sleeplab  #tertiarycare  #awareness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weight gain</w:t>
            </w:r>
          </w:p>
        </w:tc>
        <w:tc>
          <w:tcPr>
            <w:tcW w:type="dxa" w:w="2160"/>
            <w:vAlign w:val="top"/>
          </w:tcPr>
          <w:p>
            <w:pPr>
              <w:spacing w:after="40" w:before="0" w:line="259" w:lineRule="auto"/>
            </w:pPr>
            <w:r>
              <w:rPr>
                <w:rFonts w:ascii="Calibri" w:hAnsi="Calibri"/>
                <w:b w:val="0"/>
                <w:i w:val="0"/>
                <w:color w:val="212121"/>
                <w:sz w:val="19"/>
              </w:rPr>
              <w:t>Patients with rapid post-onset weight gain</w:t>
            </w:r>
          </w:p>
        </w:tc>
        <w:tc>
          <w:tcPr>
            <w:tcW w:type="dxa" w:w="4276"/>
            <w:vAlign w:val="top"/>
          </w:tcPr>
          <w:p>
            <w:pPr>
              <w:spacing w:after="60" w:line="259" w:lineRule="auto"/>
            </w:pPr>
            <w:r>
              <w:rPr>
                <w:rFonts w:ascii="Calibri" w:hAnsi="Calibri"/>
                <w:b w:val="0"/>
                <w:i w:val="0"/>
                <w:color w:val="212121"/>
                <w:sz w:val="19"/>
              </w:rPr>
              <w:t>Rapid weight gain and reduced physical activity are common soon after onset, driven by hypocretin loss (which regulates energy balance and satiety) and by sleepiness that limits exercise.</w:t>
            </w:r>
          </w:p>
          <w:p>
            <w:pPr>
              <w:spacing w:after="40" w:before="60" w:line="259" w:lineRule="auto"/>
            </w:pPr>
            <w:r>
              <w:rPr>
                <w:rFonts w:ascii="Calibri" w:hAnsi="Calibri"/>
                <w:b w:val="0"/>
                <w:i w:val="0"/>
                <w:color w:val="212121"/>
                <w:sz w:val="19"/>
              </w:rPr>
              <w:t>Weight gain begins soon after NT1 onset; about 25% of NT1 children are obese, 29% overweight, and 19% have metabolic syndrome.</w:t>
            </w:r>
          </w:p>
          <w:p>
            <w:pPr>
              <w:spacing w:after="40" w:line="252" w:lineRule="auto"/>
            </w:pPr>
            <w:hyperlink r:id="rId11">
              <w:r>
                <w:rPr>
                  <w:rFonts w:ascii="Calibri" w:hAnsi="Calibri" w:cs="Calibri"/>
                  <w:sz w:val="18"/>
                  <w:color w:val="1155CC"/>
                  <w:u w:val="single"/>
                </w:rPr>
                <w:t xml:space="preserve">pubmed.ncbi.nlm.nih.gov/27707443 - anthropometric features of NT1</w:t>
              </w:r>
            </w:hyperlink>
          </w:p>
          <w:p>
            <w:pPr>
              <w:spacing w:before="60" w:after="40"/>
            </w:pPr>
            <w:r>
              <w:rPr>
                <w:rFonts w:ascii="Calibri" w:hAnsi="Calibri"/>
                <w:b w:val="0"/>
                <w:i w:val="0"/>
                <w:color w:val="5A5A5A"/>
                <w:sz w:val="18"/>
              </w:rPr>
              <w:t>#weightgain  #sedentary  #energybalance  #obesity  #hypocretin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Shift work / irregular sleep</w:t>
            </w:r>
          </w:p>
        </w:tc>
        <w:tc>
          <w:tcPr>
            <w:tcW w:type="dxa" w:w="2160"/>
            <w:vAlign w:val="top"/>
          </w:tcPr>
          <w:p>
            <w:pPr>
              <w:spacing w:after="40" w:before="0" w:line="259" w:lineRule="auto"/>
            </w:pPr>
            <w:r>
              <w:rPr>
                <w:rFonts w:ascii="Calibri" w:hAnsi="Calibri"/>
                <w:b w:val="0"/>
                <w:i w:val="0"/>
                <w:color w:val="212121"/>
                <w:sz w:val="19"/>
              </w:rPr>
              <w:t>Shift workers, students, irregular sleepers</w:t>
            </w:r>
          </w:p>
        </w:tc>
        <w:tc>
          <w:tcPr>
            <w:tcW w:type="dxa" w:w="4276"/>
            <w:vAlign w:val="top"/>
          </w:tcPr>
          <w:p>
            <w:pPr>
              <w:spacing w:after="60" w:line="259" w:lineRule="auto"/>
            </w:pPr>
            <w:r>
              <w:rPr>
                <w:rFonts w:ascii="Calibri" w:hAnsi="Calibri"/>
                <w:b w:val="0"/>
                <w:i w:val="0"/>
                <w:color w:val="212121"/>
                <w:sz w:val="19"/>
              </w:rPr>
              <w:t>Irregular schedules, shift work and sleep deprivation intensify daytime sleepiness and can precipitate sleep attacks and accidents; regular sleep-wake timing and planned naps are core management.</w:t>
            </w:r>
          </w:p>
          <w:p>
            <w:pPr>
              <w:spacing w:after="40" w:before="60" w:line="259" w:lineRule="auto"/>
            </w:pPr>
            <w:r>
              <w:rPr>
                <w:rFonts w:ascii="Calibri" w:hAnsi="Calibri"/>
                <w:b w:val="0"/>
                <w:i w:val="0"/>
                <w:color w:val="212121"/>
                <w:sz w:val="19"/>
              </w:rPr>
              <w:t>Insufficient or irregular sleep worsens the sleep pressure that narcoleptics already cannot regulate, raising the risk of dangerous lapses.</w:t>
            </w:r>
          </w:p>
          <w:p>
            <w:pPr>
              <w:spacing w:before="60" w:after="40"/>
            </w:pPr>
            <w:r>
              <w:rPr>
                <w:rFonts w:ascii="Calibri" w:hAnsi="Calibri"/>
                <w:b w:val="0"/>
                <w:i w:val="0"/>
                <w:color w:val="5A5A5A"/>
                <w:sz w:val="18"/>
              </w:rPr>
              <w:t>#shiftwork  #irregularsleep  #sleepdeprivation  #naps  #safety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with narcolepsy</w:t>
            </w:r>
          </w:p>
        </w:tc>
        <w:tc>
          <w:tcPr>
            <w:tcW w:type="dxa" w:w="4276"/>
            <w:vAlign w:val="top"/>
          </w:tcPr>
          <w:p>
            <w:pPr>
              <w:spacing w:after="60" w:line="259" w:lineRule="auto"/>
            </w:pPr>
            <w:r>
              <w:rPr>
                <w:rFonts w:ascii="Calibri" w:hAnsi="Calibri"/>
                <w:b w:val="0"/>
                <w:i w:val="0"/>
                <w:color w:val="212121"/>
                <w:sz w:val="19"/>
              </w:rPr>
              <w:t>Smokers with narcolepsy face compounded fire and burn risk from sudden sleep attacks and cataplexy, and nicotine further fragments an already-disrupted night-time sleep.</w:t>
            </w:r>
          </w:p>
          <w:p>
            <w:pPr>
              <w:spacing w:after="40" w:before="60" w:line="259" w:lineRule="auto"/>
            </w:pPr>
            <w:r>
              <w:rPr>
                <w:rFonts w:ascii="Calibri" w:hAnsi="Calibri"/>
                <w:b w:val="0"/>
                <w:i w:val="0"/>
                <w:color w:val="212121"/>
                <w:sz w:val="19"/>
              </w:rPr>
              <w:t>Unintentional sleep during smoking is a recognised burn and fire hazard in narcolepsy.</w:t>
            </w:r>
          </w:p>
          <w:p>
            <w:pPr>
              <w:spacing w:before="60" w:after="40"/>
            </w:pPr>
            <w:r>
              <w:rPr>
                <w:rFonts w:ascii="Calibri" w:hAnsi="Calibri"/>
                <w:b w:val="0"/>
                <w:i w:val="0"/>
                <w:color w:val="5A5A5A"/>
                <w:sz w:val="18"/>
              </w:rPr>
              <w:t>#smoking  #firerisk  #sleepattacks  #fragmentedsleep  #nicotine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evening drinkers</w:t>
            </w:r>
          </w:p>
        </w:tc>
        <w:tc>
          <w:tcPr>
            <w:tcW w:type="dxa" w:w="4276"/>
            <w:vAlign w:val="top"/>
          </w:tcPr>
          <w:p>
            <w:pPr>
              <w:spacing w:after="60" w:line="259" w:lineRule="auto"/>
            </w:pPr>
            <w:r>
              <w:rPr>
                <w:rFonts w:ascii="Calibri" w:hAnsi="Calibri"/>
                <w:b w:val="0"/>
                <w:i w:val="0"/>
                <w:color w:val="212121"/>
                <w:sz w:val="19"/>
              </w:rPr>
              <w:t>Alcohol and other sedatives deepen sleepiness, worsen sleep fragmentation and increase the danger of sleep attacks and falls; alcohol is specifically contraindicated with sodium oxybate therapy.</w:t>
            </w:r>
          </w:p>
          <w:p>
            <w:pPr>
              <w:spacing w:after="40" w:before="60" w:line="259" w:lineRule="auto"/>
            </w:pPr>
            <w:r>
              <w:rPr>
                <w:rFonts w:ascii="Calibri" w:hAnsi="Calibri"/>
                <w:b w:val="0"/>
                <w:i w:val="0"/>
                <w:color w:val="212121"/>
                <w:sz w:val="19"/>
              </w:rPr>
              <w:t>Combining alcohol or other CNS depressants with sodium oxybate can cause dangerous respiratory depression.</w:t>
            </w:r>
          </w:p>
          <w:p>
            <w:pPr>
              <w:spacing w:before="60" w:after="40"/>
            </w:pPr>
            <w:r>
              <w:rPr>
                <w:rFonts w:ascii="Calibri" w:hAnsi="Calibri"/>
                <w:b w:val="0"/>
                <w:i w:val="0"/>
                <w:color w:val="5A5A5A"/>
                <w:sz w:val="18"/>
              </w:rPr>
              <w:t>#alcohol  #sedatives  #sleepiness  #falls  #druginteraction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Heavy self-medicating caffeine users</w:t>
            </w:r>
          </w:p>
        </w:tc>
        <w:tc>
          <w:tcPr>
            <w:tcW w:type="dxa" w:w="4276"/>
            <w:vAlign w:val="top"/>
          </w:tcPr>
          <w:p>
            <w:pPr>
              <w:spacing w:after="60" w:line="259" w:lineRule="auto"/>
            </w:pPr>
            <w:r>
              <w:rPr>
                <w:rFonts w:ascii="Calibri" w:hAnsi="Calibri"/>
                <w:b w:val="0"/>
                <w:i w:val="0"/>
                <w:color w:val="212121"/>
                <w:sz w:val="19"/>
              </w:rPr>
              <w:t>Many undiagnosed patients self-medicate with heavy caffeine or energy drinks to stay awake, which only partially helps, masks the underlying disorder and further disrupts night-time sleep.</w:t>
            </w:r>
          </w:p>
          <w:p>
            <w:pPr>
              <w:spacing w:after="40" w:before="60" w:line="259" w:lineRule="auto"/>
            </w:pPr>
            <w:r>
              <w:rPr>
                <w:rFonts w:ascii="Calibri" w:hAnsi="Calibri"/>
                <w:b w:val="0"/>
                <w:i w:val="0"/>
                <w:color w:val="212121"/>
                <w:sz w:val="19"/>
              </w:rPr>
              <w:t>Caffeine is not an adequate substitute for disease-specific wake-promoting therapy and delays correct diagnosis.</w:t>
            </w:r>
          </w:p>
          <w:p>
            <w:pPr>
              <w:spacing w:before="60" w:after="40"/>
            </w:pPr>
            <w:r>
              <w:rPr>
                <w:rFonts w:ascii="Calibri" w:hAnsi="Calibri"/>
                <w:b w:val="0"/>
                <w:i w:val="0"/>
                <w:color w:val="5A5A5A"/>
                <w:sz w:val="18"/>
              </w:rPr>
              <w:t>#caffeine  #selfmedication  #energydrinks  #maskeddiagnosis  #sleepdisruption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Appetite / dietary pattern</w:t>
            </w:r>
          </w:p>
        </w:tc>
        <w:tc>
          <w:tcPr>
            <w:tcW w:type="dxa" w:w="2160"/>
            <w:vAlign w:val="top"/>
          </w:tcPr>
          <w:p>
            <w:pPr>
              <w:spacing w:after="40" w:before="0" w:line="259" w:lineRule="auto"/>
            </w:pPr>
            <w:r>
              <w:rPr>
                <w:rFonts w:ascii="Calibri" w:hAnsi="Calibri"/>
                <w:b w:val="0"/>
                <w:i w:val="0"/>
                <w:color w:val="212121"/>
                <w:sz w:val="19"/>
              </w:rPr>
              <w:t>High-calorie, disordered-eating patients</w:t>
            </w:r>
          </w:p>
        </w:tc>
        <w:tc>
          <w:tcPr>
            <w:tcW w:type="dxa" w:w="4276"/>
            <w:vAlign w:val="top"/>
          </w:tcPr>
          <w:p>
            <w:pPr>
              <w:spacing w:after="60" w:line="259" w:lineRule="auto"/>
            </w:pPr>
            <w:r>
              <w:rPr>
                <w:rFonts w:ascii="Calibri" w:hAnsi="Calibri"/>
                <w:b w:val="0"/>
                <w:i w:val="0"/>
                <w:color w:val="212121"/>
                <w:sz w:val="19"/>
              </w:rPr>
              <w:t>Hypocretin deficiency alters appetite and satiety signalling, promoting increased calorie intake and binge-type eating that compound weight gain and metabolic risk.</w:t>
            </w:r>
          </w:p>
          <w:p>
            <w:pPr>
              <w:spacing w:after="40" w:before="60" w:line="259" w:lineRule="auto"/>
            </w:pPr>
            <w:r>
              <w:rPr>
                <w:rFonts w:ascii="Calibri" w:hAnsi="Calibri"/>
                <w:b w:val="0"/>
                <w:i w:val="0"/>
                <w:color w:val="212121"/>
                <w:sz w:val="19"/>
              </w:rPr>
              <w:t>Up to 74% of children with narcolepsy-cataplexy are overweight or obese, far more than expected for age.</w:t>
            </w:r>
          </w:p>
          <w:p>
            <w:pPr>
              <w:spacing w:after="40" w:line="252" w:lineRule="auto"/>
            </w:pPr>
            <w:hyperlink r:id="rId12">
              <w:r>
                <w:rPr>
                  <w:rFonts w:ascii="Calibri" w:hAnsi="Calibri" w:cs="Calibri"/>
                  <w:sz w:val="18"/>
                  <w:color w:val="1155CC"/>
                  <w:u w:val="single"/>
                </w:rPr>
                <w:t xml:space="preserve">pubmed.ncbi.nlm.nih.gov/23372264 - obesity in childhood narcolepsy</w:t>
              </w:r>
            </w:hyperlink>
          </w:p>
          <w:p>
            <w:pPr>
              <w:spacing w:before="60" w:after="40"/>
            </w:pPr>
            <w:r>
              <w:rPr>
                <w:rFonts w:ascii="Calibri" w:hAnsi="Calibri"/>
                <w:b w:val="0"/>
                <w:i w:val="0"/>
                <w:color w:val="5A5A5A"/>
                <w:sz w:val="18"/>
              </w:rPr>
              <w:t>#appetite  #satiety  #bingeeating  #caloriedense  #weightgain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Immunogenetic risk</w:t>
            </w:r>
          </w:p>
        </w:tc>
        <w:tc>
          <w:tcPr>
            <w:tcW w:type="dxa" w:w="2160"/>
            <w:vAlign w:val="top"/>
          </w:tcPr>
          <w:p>
            <w:pPr>
              <w:spacing w:after="40" w:before="0" w:line="259" w:lineRule="auto"/>
            </w:pPr>
            <w:r>
              <w:rPr>
                <w:rFonts w:ascii="Calibri" w:hAnsi="Calibri"/>
                <w:b w:val="0"/>
                <w:i w:val="0"/>
                <w:color w:val="212121"/>
                <w:sz w:val="19"/>
              </w:rPr>
              <w:t>HLA-DQB1*06:02 positive individuals</w:t>
            </w:r>
          </w:p>
        </w:tc>
        <w:tc>
          <w:tcPr>
            <w:tcW w:type="dxa" w:w="4276"/>
            <w:vAlign w:val="top"/>
          </w:tcPr>
          <w:p>
            <w:pPr>
              <w:spacing w:after="60" w:line="259" w:lineRule="auto"/>
            </w:pPr>
            <w:r>
              <w:rPr>
                <w:rFonts w:ascii="Calibri" w:hAnsi="Calibri"/>
                <w:b w:val="0"/>
                <w:i w:val="0"/>
                <w:color w:val="212121"/>
                <w:sz w:val="19"/>
              </w:rPr>
              <w:t>Carrying HLA-DQB1*06:02, together with certain T-cell receptor variants, is the strongest known genetic risk and is almost universal in type 1 disease, supporting an autoimmune mechanism.</w:t>
            </w:r>
          </w:p>
          <w:p>
            <w:pPr>
              <w:spacing w:after="40" w:before="60" w:line="259" w:lineRule="auto"/>
            </w:pPr>
            <w:r>
              <w:rPr>
                <w:rFonts w:ascii="Calibri" w:hAnsi="Calibri"/>
                <w:b w:val="0"/>
                <w:i w:val="0"/>
                <w:color w:val="212121"/>
                <w:sz w:val="19"/>
              </w:rPr>
              <w:t>About 95% of narcolepsy type 1 patients are HLA-DQB1*06:02 positive, versus roughly 20% of the general population.</w:t>
            </w:r>
          </w:p>
          <w:p>
            <w:pPr>
              <w:spacing w:after="40" w:line="252" w:lineRule="auto"/>
            </w:pPr>
            <w:hyperlink r:id="rId9">
              <w:r>
                <w:rPr>
                  <w:rFonts w:ascii="Calibri" w:hAnsi="Calibri" w:cs="Calibri"/>
                  <w:sz w:val="18"/>
                  <w:color w:val="1155CC"/>
                  <w:u w:val="single"/>
                </w:rPr>
                <w:t xml:space="preserve">ncbi.nlm.nih.gov - StatPearls Narcolepsy (immunogenetics)</w:t>
              </w:r>
            </w:hyperlink>
          </w:p>
          <w:p>
            <w:pPr>
              <w:spacing w:before="60" w:after="40"/>
            </w:pPr>
            <w:r>
              <w:rPr>
                <w:rFonts w:ascii="Calibri" w:hAnsi="Calibri"/>
                <w:b w:val="0"/>
                <w:i w:val="0"/>
                <w:color w:val="5A5A5A"/>
                <w:sz w:val="18"/>
              </w:rPr>
              <w:t>#genetics  #HLA  #Tcell  #autoimmunity  #riskallele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patient</w:t>
            </w:r>
          </w:p>
        </w:tc>
        <w:tc>
          <w:tcPr>
            <w:tcW w:type="dxa" w:w="4276"/>
            <w:vAlign w:val="top"/>
          </w:tcPr>
          <w:p>
            <w:pPr>
              <w:spacing w:after="60" w:line="259" w:lineRule="auto"/>
            </w:pPr>
            <w:r>
              <w:rPr>
                <w:rFonts w:ascii="Calibri" w:hAnsi="Calibri"/>
                <w:b w:val="0"/>
                <w:i w:val="0"/>
                <w:color w:val="212121"/>
                <w:sz w:val="19"/>
              </w:rPr>
              <w:t>First-degree relatives of a person with narcolepsy have a substantially higher risk than the general population, although the great majority of cases are sporadic rather than familial.</w:t>
            </w:r>
          </w:p>
          <w:p>
            <w:pPr>
              <w:spacing w:after="40" w:before="60" w:line="259" w:lineRule="auto"/>
            </w:pPr>
            <w:r>
              <w:rPr>
                <w:rFonts w:ascii="Calibri" w:hAnsi="Calibri"/>
                <w:b w:val="0"/>
                <w:i w:val="0"/>
                <w:color w:val="212121"/>
                <w:sz w:val="19"/>
              </w:rPr>
              <w:t>First-degree relatives carry roughly a 10-40 times higher relative risk (about 1-2% absolute lifetime risk) than the general population.</w:t>
            </w:r>
          </w:p>
          <w:p>
            <w:pPr>
              <w:spacing w:before="60" w:after="40"/>
            </w:pPr>
            <w:r>
              <w:rPr>
                <w:rFonts w:ascii="Calibri" w:hAnsi="Calibri"/>
                <w:b w:val="0"/>
                <w:i w:val="0"/>
                <w:color w:val="5A5A5A"/>
                <w:sz w:val="18"/>
              </w:rPr>
              <w:t>#familyhistory  #firstdegree  #heritability  #sporadic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Patients with early weight gain</w:t>
            </w:r>
          </w:p>
        </w:tc>
        <w:tc>
          <w:tcPr>
            <w:tcW w:type="dxa" w:w="4276"/>
            <w:vAlign w:val="top"/>
          </w:tcPr>
          <w:p>
            <w:pPr>
              <w:spacing w:after="60" w:line="259" w:lineRule="auto"/>
            </w:pPr>
            <w:r>
              <w:rPr>
                <w:rFonts w:ascii="Calibri" w:hAnsi="Calibri"/>
                <w:b w:val="0"/>
                <w:i w:val="0"/>
                <w:color w:val="212121"/>
                <w:sz w:val="19"/>
              </w:rPr>
              <w:t>Obesity is a frequent early comorbidity from hypocretin-related metabolic dysregulation and reduced activity, and it in turn raises the risk of obstructive sleep apnoea and cardiometabolic disease.</w:t>
            </w:r>
          </w:p>
          <w:p>
            <w:pPr>
              <w:spacing w:after="40" w:before="60" w:line="259" w:lineRule="auto"/>
            </w:pPr>
            <w:r>
              <w:rPr>
                <w:rFonts w:ascii="Calibri" w:hAnsi="Calibri"/>
                <w:b w:val="0"/>
                <w:i w:val="0"/>
                <w:color w:val="212121"/>
                <w:sz w:val="19"/>
              </w:rPr>
              <w:t>More than 50% of adolescents with NT1 have a raised BMI, and about 25% of NT1 children meet criteria for obesity.</w:t>
            </w:r>
          </w:p>
          <w:p>
            <w:pPr>
              <w:spacing w:after="40" w:line="252" w:lineRule="auto"/>
            </w:pPr>
            <w:hyperlink r:id="rId13">
              <w:r>
                <w:rPr>
                  <w:rFonts w:ascii="Calibri" w:hAnsi="Calibri" w:cs="Calibri"/>
                  <w:sz w:val="18"/>
                  <w:color w:val="1155CC"/>
                  <w:u w:val="single"/>
                </w:rPr>
                <w:t xml:space="preserve">pubmed.ncbi.nlm.nih.gov/30574118 - fat distribution in NT1 adolescents</w:t>
              </w:r>
            </w:hyperlink>
          </w:p>
          <w:p>
            <w:pPr>
              <w:spacing w:before="60" w:after="40"/>
            </w:pPr>
            <w:r>
              <w:rPr>
                <w:rFonts w:ascii="Calibri" w:hAnsi="Calibri"/>
                <w:b w:val="0"/>
                <w:i w:val="0"/>
                <w:color w:val="5A5A5A"/>
                <w:sz w:val="18"/>
              </w:rPr>
              <w:t>#obesity  #metabolic  #hypocretin  #OSArisk  #weightgain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Precocious puberty</w:t>
            </w:r>
          </w:p>
        </w:tc>
        <w:tc>
          <w:tcPr>
            <w:tcW w:type="dxa" w:w="2160"/>
            <w:vAlign w:val="top"/>
          </w:tcPr>
          <w:p>
            <w:pPr>
              <w:spacing w:after="40" w:before="0" w:line="259" w:lineRule="auto"/>
            </w:pPr>
            <w:r>
              <w:rPr>
                <w:rFonts w:ascii="Calibri" w:hAnsi="Calibri"/>
                <w:b w:val="0"/>
                <w:i w:val="0"/>
                <w:color w:val="212121"/>
                <w:sz w:val="19"/>
              </w:rPr>
              <w:t>Prepubertal-onset children</w:t>
            </w:r>
          </w:p>
        </w:tc>
        <w:tc>
          <w:tcPr>
            <w:tcW w:type="dxa" w:w="4276"/>
            <w:vAlign w:val="top"/>
          </w:tcPr>
          <w:p>
            <w:pPr>
              <w:spacing w:after="60" w:line="259" w:lineRule="auto"/>
            </w:pPr>
            <w:r>
              <w:rPr>
                <w:rFonts w:ascii="Calibri" w:hAnsi="Calibri"/>
                <w:b w:val="0"/>
                <w:i w:val="0"/>
                <w:color w:val="212121"/>
                <w:sz w:val="19"/>
              </w:rPr>
              <w:t>Prepubertal-onset narcolepsy is linked to precocious puberty, reflecting broader hypothalamic dysfunction that extends beyond the hypocretin system.</w:t>
            </w:r>
          </w:p>
          <w:p>
            <w:pPr>
              <w:spacing w:after="40" w:before="60" w:line="259" w:lineRule="auto"/>
            </w:pPr>
            <w:r>
              <w:rPr>
                <w:rFonts w:ascii="Calibri" w:hAnsi="Calibri"/>
                <w:b w:val="0"/>
                <w:i w:val="0"/>
                <w:color w:val="212121"/>
                <w:sz w:val="19"/>
              </w:rPr>
              <w:t>Precocious puberty affects about 16-17% of children with narcolepsy-cataplexy, versus roughly 1.9% of obese controls.</w:t>
            </w:r>
          </w:p>
          <w:p>
            <w:pPr>
              <w:spacing w:after="40" w:line="252" w:lineRule="auto"/>
            </w:pPr>
            <w:hyperlink r:id="rId12">
              <w:r>
                <w:rPr>
                  <w:rFonts w:ascii="Calibri" w:hAnsi="Calibri" w:cs="Calibri"/>
                  <w:sz w:val="18"/>
                  <w:color w:val="1155CC"/>
                  <w:u w:val="single"/>
                </w:rPr>
                <w:t xml:space="preserve">pubmed.ncbi.nlm.nih.gov/23372264 - precocious puberty in children</w:t>
              </w:r>
            </w:hyperlink>
          </w:p>
          <w:p>
            <w:pPr>
              <w:spacing w:before="60" w:after="40"/>
            </w:pPr>
            <w:r>
              <w:rPr>
                <w:rFonts w:ascii="Calibri" w:hAnsi="Calibri"/>
                <w:b w:val="0"/>
                <w:i w:val="0"/>
                <w:color w:val="5A5A5A"/>
                <w:sz w:val="18"/>
              </w:rPr>
              <w:t>#precociouspuberty  #hypothalamus  #children  #endocrine  #NT1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Patients with mood or anxiety disorders</w:t>
            </w:r>
          </w:p>
        </w:tc>
        <w:tc>
          <w:tcPr>
            <w:tcW w:type="dxa" w:w="4276"/>
            <w:vAlign w:val="top"/>
          </w:tcPr>
          <w:p>
            <w:pPr>
              <w:spacing w:after="60" w:line="259" w:lineRule="auto"/>
            </w:pPr>
            <w:r>
              <w:rPr>
                <w:rFonts w:ascii="Calibri" w:hAnsi="Calibri"/>
                <w:b w:val="0"/>
                <w:i w:val="0"/>
                <w:color w:val="212121"/>
                <w:sz w:val="19"/>
              </w:rPr>
              <w:t>Mood and anxiety disorders are markedly over-represented, arising from shared neurobiology (hypocretin also modulates mood and reward) and the psychosocial burden of a disabling, misunderstood illness.</w:t>
            </w:r>
          </w:p>
          <w:p>
            <w:pPr>
              <w:spacing w:after="40" w:before="60" w:line="259" w:lineRule="auto"/>
            </w:pPr>
            <w:r>
              <w:rPr>
                <w:rFonts w:ascii="Calibri" w:hAnsi="Calibri"/>
                <w:b w:val="0"/>
                <w:i w:val="0"/>
                <w:color w:val="212121"/>
                <w:sz w:val="19"/>
              </w:rPr>
              <w:t>Depression affects about 35.8% and anxiety about 25.1% of narcolepsy patients, versus 13.0% and 11.9% of matched controls.</w:t>
            </w:r>
          </w:p>
          <w:p>
            <w:pPr>
              <w:spacing w:after="40" w:line="252" w:lineRule="auto"/>
            </w:pPr>
            <w:hyperlink r:id="rId14">
              <w:r>
                <w:rPr>
                  <w:rFonts w:ascii="Calibri" w:hAnsi="Calibri" w:cs="Calibri"/>
                  <w:sz w:val="18"/>
                  <w:color w:val="1155CC"/>
                  <w:u w:val="single"/>
                </w:rPr>
                <w:t xml:space="preserve">pubmed.ncbi.nlm.nih.gov/27835717 - psychiatric comorbidity (n=9,312)</w:t>
              </w:r>
            </w:hyperlink>
          </w:p>
          <w:p>
            <w:pPr>
              <w:spacing w:before="60" w:after="40"/>
            </w:pPr>
            <w:r>
              <w:rPr>
                <w:rFonts w:ascii="Calibri" w:hAnsi="Calibri"/>
                <w:b w:val="0"/>
                <w:i w:val="0"/>
                <w:color w:val="5A5A5A"/>
                <w:sz w:val="18"/>
              </w:rPr>
              <w:t>#depression  #anxiety  #mood  #psychosocial  #hypocretin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apnoea</w:t>
            </w:r>
          </w:p>
        </w:tc>
        <w:tc>
          <w:tcPr>
            <w:tcW w:type="dxa" w:w="2160"/>
            <w:vAlign w:val="top"/>
          </w:tcPr>
          <w:p>
            <w:pPr>
              <w:spacing w:after="40" w:before="0" w:line="259" w:lineRule="auto"/>
            </w:pPr>
            <w:r>
              <w:rPr>
                <w:rFonts w:ascii="Calibri" w:hAnsi="Calibri"/>
                <w:b w:val="0"/>
                <w:i w:val="0"/>
                <w:color w:val="212121"/>
                <w:sz w:val="19"/>
              </w:rPr>
              <w:t>Overweight patients with OSA</w:t>
            </w:r>
          </w:p>
        </w:tc>
        <w:tc>
          <w:tcPr>
            <w:tcW w:type="dxa" w:w="4276"/>
            <w:vAlign w:val="top"/>
          </w:tcPr>
          <w:p>
            <w:pPr>
              <w:spacing w:after="60" w:line="259" w:lineRule="auto"/>
            </w:pPr>
            <w:r>
              <w:rPr>
                <w:rFonts w:ascii="Calibri" w:hAnsi="Calibri"/>
                <w:b w:val="0"/>
                <w:i w:val="0"/>
                <w:color w:val="212121"/>
                <w:sz w:val="19"/>
              </w:rPr>
              <w:t>Coexisting obstructive sleep apnoea is common, promoted by weight gain, and it both worsens sleepiness and complicates interpretation of the MSLT.</w:t>
            </w:r>
          </w:p>
          <w:p>
            <w:pPr>
              <w:spacing w:after="40" w:before="60" w:line="259" w:lineRule="auto"/>
            </w:pPr>
            <w:r>
              <w:rPr>
                <w:rFonts w:ascii="Calibri" w:hAnsi="Calibri"/>
                <w:b w:val="0"/>
                <w:i w:val="0"/>
                <w:color w:val="212121"/>
                <w:sz w:val="19"/>
              </w:rPr>
              <w:t>Obstructive sleep apnoea occurs in up to 33% of people with narcolepsy.</w:t>
            </w:r>
          </w:p>
          <w:p>
            <w:pPr>
              <w:spacing w:after="40" w:line="252" w:lineRule="auto"/>
            </w:pPr>
            <w:hyperlink r:id="rId9">
              <w:r>
                <w:rPr>
                  <w:rFonts w:ascii="Calibri" w:hAnsi="Calibri" w:cs="Calibri"/>
                  <w:sz w:val="18"/>
                  <w:color w:val="1155CC"/>
                  <w:u w:val="single"/>
                </w:rPr>
                <w:t xml:space="preserve">ncbi.nlm.nih.gov - StatPearls Narcolepsy (comorbid OSA)</w:t>
              </w:r>
            </w:hyperlink>
          </w:p>
          <w:p>
            <w:pPr>
              <w:spacing w:before="60" w:after="40"/>
            </w:pPr>
            <w:r>
              <w:rPr>
                <w:rFonts w:ascii="Calibri" w:hAnsi="Calibri"/>
                <w:b w:val="0"/>
                <w:i w:val="0"/>
                <w:color w:val="5A5A5A"/>
                <w:sz w:val="18"/>
              </w:rPr>
              <w:t>#OSA  #comorbidsleep  #obesity  #MSLTconfounder  #hypersomnia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Long-standing NT1 patients</w:t>
            </w:r>
          </w:p>
        </w:tc>
        <w:tc>
          <w:tcPr>
            <w:tcW w:type="dxa" w:w="4276"/>
            <w:vAlign w:val="top"/>
          </w:tcPr>
          <w:p>
            <w:pPr>
              <w:spacing w:after="60" w:line="259" w:lineRule="auto"/>
            </w:pPr>
            <w:r>
              <w:rPr>
                <w:rFonts w:ascii="Calibri" w:hAnsi="Calibri"/>
                <w:b w:val="0"/>
                <w:i w:val="0"/>
                <w:color w:val="212121"/>
                <w:sz w:val="19"/>
              </w:rPr>
              <w:t>Narcolepsy type 1 is associated with higher blood pressure (loss of the normal night-time blood pressure dip) and increased cardiovascular events, partly independent of stimulant therapy.</w:t>
            </w:r>
          </w:p>
          <w:p>
            <w:pPr>
              <w:spacing w:after="40" w:before="60" w:line="259" w:lineRule="auto"/>
            </w:pPr>
            <w:r>
              <w:rPr>
                <w:rFonts w:ascii="Calibri" w:hAnsi="Calibri"/>
                <w:b w:val="0"/>
                <w:i w:val="0"/>
                <w:color w:val="212121"/>
                <w:sz w:val="19"/>
              </w:rPr>
              <w:t>In a real-world cohort narcolepsy raised the risk of any stroke (HR 1.71), heart failure (HR 1.35) and overall cardiovascular disease (HR 1.30) versus matched controls.</w:t>
            </w:r>
          </w:p>
          <w:p>
            <w:pPr>
              <w:spacing w:after="40" w:line="252" w:lineRule="auto"/>
            </w:pPr>
            <w:hyperlink r:id="rId15">
              <w:r>
                <w:rPr>
                  <w:rFonts w:ascii="Calibri" w:hAnsi="Calibri" w:cs="Calibri"/>
                  <w:sz w:val="18"/>
                  <w:color w:val="1155CC"/>
                  <w:u w:val="single"/>
                </w:rPr>
                <w:t xml:space="preserve">pubmed.ncbi.nlm.nih.gov/37305967 - CV-BOND cardiovascular risk</w:t>
              </w:r>
            </w:hyperlink>
          </w:p>
          <w:p>
            <w:pPr>
              <w:spacing w:before="60" w:after="40"/>
            </w:pPr>
            <w:r>
              <w:rPr>
                <w:rFonts w:ascii="Calibri" w:hAnsi="Calibri"/>
                <w:b w:val="0"/>
                <w:i w:val="0"/>
                <w:color w:val="5A5A5A"/>
                <w:sz w:val="18"/>
              </w:rPr>
              <w:t>#cardiovascular  #stroke  #heartfailure  #nondipping  #hypertension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sleepiness after onset promote rapid weight gain and metabolic syndrome (obesity ~25%, metabolic syndrome ~19% in NT1 children); regular activity and short scheduled naps improve daytime alertness and weight, though exercise does not prevent or cure the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Hypocretin loss dysregulates appetite and satiety, and up to 74% of children with narcolepsy-cataplexy are overweight or obese; calorie control and avoiding heavy, high-glycaemic meals (which deepen post-prandial sleepiness) support weight and metabolic health.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behaviour is central: irregular schedules, shift work and insufficient sleep worsen excessive daytime sleepiness, while a regular sleep-wake routine plus 2-3 planned short naps per day are first-line non-drug therapy that reduces sleep attacks.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fragments already-disrupted night-time sleep, and unintentional sleep while smoking is a recognised burn and fire hazard; cessation is advised for safety and sleep quality.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 CNS depressant that compounds sleepiness, worsens sleep fragmentation and increases the risk of sleep attacks and falls; it is specifically contraindicated with sodium oxybate because of dangerous respiratory depression.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(~35.8%) and anxiety (~25.1%) are far more common than in controls, are bidirectionally linked to narcolepsy through shared hypocretin biology and psychosocial burden, and strongly affect quality of life and treatment.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direct role in narcolepsy; adequate fluid intake matters only for general health and to offset dry mouth from some wake-promoting or anticataplectic medicines.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is widely used by undiagnosed patients to self-treat sleepiness; it offers only partial, short-lived benefit, disrupts night-time sleep and masks the disorder, and is not a substitute for wake-promoting therapy.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has little direct effect, but good sleep hygiene - a dark, quiet bedroom, consistent timing and avoidance of screens and stimulants before bed - helps consolidate the fragmented night-time sleep of narcolepsy.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Cataplexy is provoked by strong emotions, especially laughter, surprise and anger; sleep deprivation and monotonous, sedentary situations precipitate sleep attacks; and pandemic H1N1 infection and Pandemrix vaccination triggered a surge of childhood narcolepsy in susceptible people.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is a minor factor, but cataplexy characteristically causes postural collapse - head drop, jaw sag, buckling knees or falls - and prolonged sitting in monotonous settings precipitates sleep attacks.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Epworth Sleepiness Scale (ESS)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0-10</w:t>
            </w:r>
          </w:p>
        </w:tc>
        <w:tc>
          <w:tcPr>
            <w:tcW w:type="dxa" w:w="1512"/>
            <w:vAlign w:val="top"/>
          </w:tcPr>
          <w:p>
            <w:pPr>
              <w:spacing w:after="40" w:before="0" w:line="259" w:lineRule="auto"/>
            </w:pPr>
            <w:r>
              <w:rPr>
                <w:rFonts w:ascii="Calibri" w:hAnsi="Calibri"/>
                <w:b w:val="0"/>
                <w:i w:val="0"/>
                <w:color w:val="212121"/>
                <w:sz w:val="19"/>
              </w:rPr>
              <w:t>&gt; 10 (often 15-24)</w:t>
            </w:r>
          </w:p>
        </w:tc>
        <w:tc>
          <w:tcPr>
            <w:tcW w:type="dxa" w:w="1468"/>
            <w:vAlign w:val="top"/>
          </w:tcPr>
          <w:p>
            <w:pPr>
              <w:spacing w:after="60" w:line="259" w:lineRule="auto"/>
            </w:pPr>
            <w:r>
              <w:rPr>
                <w:rFonts w:ascii="Calibri" w:hAnsi="Calibri"/>
                <w:b w:val="0"/>
                <w:i w:val="0"/>
                <w:color w:val="212121"/>
                <w:sz w:val="19"/>
              </w:rPr>
              <w:t>Screens and monitors subjective daytime sleepiness</w:t>
            </w:r>
          </w:p>
          <w:p>
            <w:pPr>
              <w:spacing w:after="40" w:line="252" w:lineRule="auto"/>
            </w:pPr>
            <w:hyperlink r:id="rId9">
              <w:r>
                <w:rPr>
                  <w:rFonts w:ascii="Calibri" w:hAnsi="Calibri" w:cs="Calibri"/>
                  <w:sz w:val="18"/>
                  <w:color w:val="1155CC"/>
                  <w:u w:val="single"/>
                </w:rPr>
                <w:t xml:space="preserve">https://www.ncbi.nlm.nih.gov/books/NBK459236/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MSLT mean sleep-onset latency</w:t>
            </w:r>
          </w:p>
        </w:tc>
        <w:tc>
          <w:tcPr>
            <w:tcW w:type="dxa" w:w="1655"/>
            <w:vAlign w:val="top"/>
          </w:tcPr>
          <w:p>
            <w:pPr>
              <w:spacing w:after="40" w:before="0" w:line="259" w:lineRule="auto"/>
            </w:pPr>
            <w:r>
              <w:rPr>
                <w:rFonts w:ascii="Calibri" w:hAnsi="Calibri"/>
                <w:b w:val="0"/>
                <w:i w:val="0"/>
                <w:color w:val="212121"/>
                <w:sz w:val="19"/>
              </w:rPr>
              <w:t>Adults, children (age-adjusted)</w:t>
            </w:r>
          </w:p>
        </w:tc>
        <w:tc>
          <w:tcPr>
            <w:tcW w:type="dxa" w:w="1512"/>
            <w:vAlign w:val="top"/>
          </w:tcPr>
          <w:p>
            <w:pPr>
              <w:spacing w:after="40" w:before="0" w:line="259" w:lineRule="auto"/>
            </w:pPr>
            <w:r>
              <w:rPr>
                <w:rFonts w:ascii="Calibri" w:hAnsi="Calibri"/>
                <w:b w:val="0"/>
                <w:i w:val="0"/>
                <w:color w:val="212121"/>
                <w:sz w:val="19"/>
              </w:rPr>
              <w:t>&gt; 8 minutes</w:t>
            </w:r>
          </w:p>
        </w:tc>
        <w:tc>
          <w:tcPr>
            <w:tcW w:type="dxa" w:w="1512"/>
            <w:vAlign w:val="top"/>
          </w:tcPr>
          <w:p>
            <w:pPr>
              <w:spacing w:after="40" w:before="0" w:line="259" w:lineRule="auto"/>
            </w:pPr>
            <w:r>
              <w:rPr>
                <w:rFonts w:ascii="Calibri" w:hAnsi="Calibri"/>
                <w:b w:val="0"/>
                <w:i w:val="0"/>
                <w:color w:val="212121"/>
                <w:sz w:val="19"/>
              </w:rPr>
              <w:t>&lt;= 8 minutes</w:t>
            </w:r>
          </w:p>
        </w:tc>
        <w:tc>
          <w:tcPr>
            <w:tcW w:type="dxa" w:w="1468"/>
            <w:vAlign w:val="top"/>
          </w:tcPr>
          <w:p>
            <w:pPr>
              <w:spacing w:after="60" w:line="259" w:lineRule="auto"/>
            </w:pPr>
            <w:r>
              <w:rPr>
                <w:rFonts w:ascii="Calibri" w:hAnsi="Calibri"/>
                <w:b w:val="0"/>
                <w:i w:val="0"/>
                <w:color w:val="212121"/>
                <w:sz w:val="19"/>
              </w:rPr>
              <w:t>Core objective criterion for narcolepsy</w:t>
            </w:r>
          </w:p>
          <w:p>
            <w:pPr>
              <w:spacing w:after="40" w:line="252" w:lineRule="auto"/>
            </w:pPr>
            <w:hyperlink r:id="rId9">
              <w:r>
                <w:rPr>
                  <w:rFonts w:ascii="Calibri" w:hAnsi="Calibri" w:cs="Calibri"/>
                  <w:sz w:val="18"/>
                  <w:color w:val="1155CC"/>
                  <w:u w:val="single"/>
                </w:rPr>
                <w:t xml:space="preserve">https://www.ncbi.nlm.nih.gov/books/NBK459236/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Sleep-onset REM periods (SOREMPs) on MSLT</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0-1</w:t>
            </w:r>
          </w:p>
        </w:tc>
        <w:tc>
          <w:tcPr>
            <w:tcW w:type="dxa" w:w="1512"/>
            <w:vAlign w:val="top"/>
          </w:tcPr>
          <w:p>
            <w:pPr>
              <w:spacing w:after="40" w:before="0" w:line="259" w:lineRule="auto"/>
            </w:pPr>
            <w:r>
              <w:rPr>
                <w:rFonts w:ascii="Calibri" w:hAnsi="Calibri"/>
                <w:b w:val="0"/>
                <w:i w:val="0"/>
                <w:color w:val="212121"/>
                <w:sz w:val="19"/>
              </w:rPr>
              <w:t>&gt;= 2 SOREMPs</w:t>
            </w:r>
          </w:p>
        </w:tc>
        <w:tc>
          <w:tcPr>
            <w:tcW w:type="dxa" w:w="1468"/>
            <w:vAlign w:val="top"/>
          </w:tcPr>
          <w:p>
            <w:pPr>
              <w:spacing w:after="60" w:line="259" w:lineRule="auto"/>
            </w:pPr>
            <w:r>
              <w:rPr>
                <w:rFonts w:ascii="Calibri" w:hAnsi="Calibri"/>
                <w:b w:val="0"/>
                <w:i w:val="0"/>
                <w:color w:val="212121"/>
                <w:sz w:val="19"/>
              </w:rPr>
              <w:t>Reflects REM dysregulation; a PSG SOREMP may count as one</w:t>
            </w:r>
          </w:p>
          <w:p>
            <w:pPr>
              <w:spacing w:after="40" w:line="252" w:lineRule="auto"/>
            </w:pPr>
            <w:hyperlink r:id="rId9">
              <w:r>
                <w:rPr>
                  <w:rFonts w:ascii="Calibri" w:hAnsi="Calibri" w:cs="Calibri"/>
                  <w:sz w:val="18"/>
                  <w:color w:val="1155CC"/>
                  <w:u w:val="single"/>
                </w:rPr>
                <w:t xml:space="preserve">https://www.ncbi.nlm.nih.gov/books/NBK459236/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CSF hypocretin-1</w:t>
            </w:r>
          </w:p>
        </w:tc>
        <w:tc>
          <w:tcPr>
            <w:tcW w:type="dxa" w:w="1655"/>
            <w:vAlign w:val="top"/>
          </w:tcPr>
          <w:p>
            <w:pPr>
              <w:spacing w:after="40" w:before="0" w:line="259" w:lineRule="auto"/>
            </w:pPr>
            <w:r>
              <w:rPr>
                <w:rFonts w:ascii="Calibri" w:hAnsi="Calibri"/>
                <w:b w:val="0"/>
                <w:i w:val="0"/>
                <w:color w:val="212121"/>
                <w:sz w:val="19"/>
              </w:rPr>
              <w:t>Suspected NT1, equivocal MSLT</w:t>
            </w:r>
          </w:p>
        </w:tc>
        <w:tc>
          <w:tcPr>
            <w:tcW w:type="dxa" w:w="1512"/>
            <w:vAlign w:val="top"/>
          </w:tcPr>
          <w:p>
            <w:pPr>
              <w:spacing w:after="40" w:before="0" w:line="259" w:lineRule="auto"/>
            </w:pPr>
            <w:r>
              <w:rPr>
                <w:rFonts w:ascii="Calibri" w:hAnsi="Calibri"/>
                <w:b w:val="0"/>
                <w:i w:val="0"/>
                <w:color w:val="212121"/>
                <w:sz w:val="19"/>
              </w:rPr>
              <w:t>&gt; 200 pg/mL</w:t>
            </w:r>
          </w:p>
        </w:tc>
        <w:tc>
          <w:tcPr>
            <w:tcW w:type="dxa" w:w="1512"/>
            <w:vAlign w:val="top"/>
          </w:tcPr>
          <w:p>
            <w:pPr>
              <w:spacing w:after="40" w:before="0" w:line="259" w:lineRule="auto"/>
            </w:pPr>
            <w:r>
              <w:rPr>
                <w:rFonts w:ascii="Calibri" w:hAnsi="Calibri"/>
                <w:b w:val="0"/>
                <w:i w:val="0"/>
                <w:color w:val="212121"/>
                <w:sz w:val="19"/>
              </w:rPr>
              <w:t>&lt;= 110 pg/mL (or &lt; 1/3 normal mean)</w:t>
            </w:r>
          </w:p>
        </w:tc>
        <w:tc>
          <w:tcPr>
            <w:tcW w:type="dxa" w:w="1468"/>
            <w:vAlign w:val="top"/>
          </w:tcPr>
          <w:p>
            <w:pPr>
              <w:spacing w:after="60" w:line="259" w:lineRule="auto"/>
            </w:pPr>
            <w:r>
              <w:rPr>
                <w:rFonts w:ascii="Calibri" w:hAnsi="Calibri"/>
                <w:b w:val="0"/>
                <w:i w:val="0"/>
                <w:color w:val="212121"/>
                <w:sz w:val="19"/>
              </w:rPr>
              <w:t>Confirmatory biomarker of type 1 narcolepsy</w:t>
            </w:r>
          </w:p>
          <w:p>
            <w:pPr>
              <w:spacing w:after="40" w:line="252" w:lineRule="auto"/>
            </w:pPr>
            <w:hyperlink r:id="rId9">
              <w:r>
                <w:rPr>
                  <w:rFonts w:ascii="Calibri" w:hAnsi="Calibri" w:cs="Calibri"/>
                  <w:sz w:val="18"/>
                  <w:color w:val="1155CC"/>
                  <w:u w:val="single"/>
                </w:rPr>
                <w:t xml:space="preserve">https://www.ncbi.nlm.nih.gov/books/NBK459236/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Scheduled daytime naps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2-3 planned naps of 15-20 min/day</w:t>
            </w:r>
          </w:p>
        </w:tc>
        <w:tc>
          <w:tcPr>
            <w:tcW w:type="dxa" w:w="1512"/>
            <w:vAlign w:val="top"/>
          </w:tcPr>
          <w:p>
            <w:pPr>
              <w:spacing w:after="40" w:before="0" w:line="259" w:lineRule="auto"/>
            </w:pPr>
            <w:r>
              <w:rPr>
                <w:rFonts w:ascii="Calibri" w:hAnsi="Calibri"/>
                <w:b w:val="0"/>
                <w:i w:val="0"/>
                <w:color w:val="212121"/>
                <w:sz w:val="19"/>
              </w:rPr>
              <w:t>No planned naps; frequent unplanned sleep attacks</w:t>
            </w:r>
          </w:p>
        </w:tc>
        <w:tc>
          <w:tcPr>
            <w:tcW w:type="dxa" w:w="1468"/>
            <w:vAlign w:val="top"/>
          </w:tcPr>
          <w:p>
            <w:pPr>
              <w:spacing w:after="40" w:before="0" w:line="259" w:lineRule="auto"/>
            </w:pPr>
            <w:r>
              <w:rPr>
                <w:rFonts w:ascii="Calibri" w:hAnsi="Calibri"/>
                <w:b w:val="0"/>
                <w:i w:val="0"/>
                <w:color w:val="212121"/>
                <w:sz w:val="19"/>
              </w:rPr>
              <w:t>Structured napping reduces sleep pressure and attacks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Sleep-wake schedule regularity</w:t>
            </w:r>
          </w:p>
        </w:tc>
        <w:tc>
          <w:tcPr>
            <w:tcW w:type="dxa" w:w="1655"/>
            <w:vAlign w:val="top"/>
          </w:tcPr>
          <w:p>
            <w:pPr>
              <w:spacing w:after="40" w:before="0" w:line="259" w:lineRule="auto"/>
            </w:pPr>
            <w:r>
              <w:rPr>
                <w:rFonts w:ascii="Calibri" w:hAnsi="Calibri"/>
                <w:b w:val="0"/>
                <w:i w:val="0"/>
                <w:color w:val="212121"/>
                <w:sz w:val="19"/>
              </w:rPr>
              <w:t>Adults, students, shift workers</w:t>
            </w:r>
          </w:p>
        </w:tc>
        <w:tc>
          <w:tcPr>
            <w:tcW w:type="dxa" w:w="1512"/>
            <w:vAlign w:val="top"/>
          </w:tcPr>
          <w:p>
            <w:pPr>
              <w:spacing w:after="40" w:before="0" w:line="259" w:lineRule="auto"/>
            </w:pPr>
            <w:r>
              <w:rPr>
                <w:rFonts w:ascii="Calibri" w:hAnsi="Calibri"/>
                <w:b w:val="0"/>
                <w:i w:val="0"/>
                <w:color w:val="212121"/>
                <w:sz w:val="19"/>
              </w:rPr>
              <w:t>Consistent bed/wake times, &gt;= 7-8 h night sleep</w:t>
            </w:r>
          </w:p>
        </w:tc>
        <w:tc>
          <w:tcPr>
            <w:tcW w:type="dxa" w:w="1512"/>
            <w:vAlign w:val="top"/>
          </w:tcPr>
          <w:p>
            <w:pPr>
              <w:spacing w:after="40" w:before="0" w:line="259" w:lineRule="auto"/>
            </w:pPr>
            <w:r>
              <w:rPr>
                <w:rFonts w:ascii="Calibri" w:hAnsi="Calibri"/>
                <w:b w:val="0"/>
                <w:i w:val="0"/>
                <w:color w:val="212121"/>
                <w:sz w:val="19"/>
              </w:rPr>
              <w:t>Irregular timing or chronic short sleep</w:t>
            </w:r>
          </w:p>
        </w:tc>
        <w:tc>
          <w:tcPr>
            <w:tcW w:type="dxa" w:w="1468"/>
            <w:vAlign w:val="top"/>
          </w:tcPr>
          <w:p>
            <w:pPr>
              <w:spacing w:after="40" w:before="0" w:line="259" w:lineRule="auto"/>
            </w:pPr>
            <w:r>
              <w:rPr>
                <w:rFonts w:ascii="Calibri" w:hAnsi="Calibri"/>
                <w:b w:val="0"/>
                <w:i w:val="0"/>
                <w:color w:val="212121"/>
                <w:sz w:val="19"/>
              </w:rPr>
              <w:t>Irregular sleep worsens excessive daytime sleepiness</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(BMI)</w:t>
            </w:r>
          </w:p>
        </w:tc>
        <w:tc>
          <w:tcPr>
            <w:tcW w:type="dxa" w:w="1655"/>
            <w:vAlign w:val="top"/>
          </w:tcPr>
          <w:p>
            <w:pPr>
              <w:spacing w:after="40" w:before="0" w:line="259" w:lineRule="auto"/>
            </w:pPr>
            <w:r>
              <w:rPr>
                <w:rFonts w:ascii="Calibri" w:hAnsi="Calibri"/>
                <w:b w:val="0"/>
                <w:i w:val="0"/>
                <w:color w:val="212121"/>
                <w:sz w:val="19"/>
              </w:rPr>
              <w:t>Adults; children by centile</w:t>
            </w:r>
          </w:p>
        </w:tc>
        <w:tc>
          <w:tcPr>
            <w:tcW w:type="dxa" w:w="1512"/>
            <w:vAlign w:val="top"/>
          </w:tcPr>
          <w:p>
            <w:pPr>
              <w:spacing w:after="40" w:before="0" w:line="259" w:lineRule="auto"/>
            </w:pPr>
            <w:r>
              <w:rPr>
                <w:rFonts w:ascii="Calibri" w:hAnsi="Calibri"/>
                <w:b w:val="0"/>
                <w:i w:val="0"/>
                <w:color w:val="212121"/>
                <w:sz w:val="19"/>
              </w:rPr>
              <w:t>18.5-24.9 kg/m2 (adults)</w:t>
            </w:r>
          </w:p>
        </w:tc>
        <w:tc>
          <w:tcPr>
            <w:tcW w:type="dxa" w:w="1512"/>
            <w:vAlign w:val="top"/>
          </w:tcPr>
          <w:p>
            <w:pPr>
              <w:spacing w:after="40" w:before="0" w:line="259" w:lineRule="auto"/>
            </w:pPr>
            <w:r>
              <w:rPr>
                <w:rFonts w:ascii="Calibri" w:hAnsi="Calibri"/>
                <w:b w:val="0"/>
                <w:i w:val="0"/>
                <w:color w:val="212121"/>
                <w:sz w:val="19"/>
              </w:rPr>
              <w:t>&gt;= 25 kg/m2 (adults); &gt;= 95th centile (children)</w:t>
            </w:r>
          </w:p>
        </w:tc>
        <w:tc>
          <w:tcPr>
            <w:tcW w:type="dxa" w:w="1468"/>
            <w:vAlign w:val="top"/>
          </w:tcPr>
          <w:p>
            <w:pPr>
              <w:spacing w:after="60" w:line="259" w:lineRule="auto"/>
            </w:pPr>
            <w:r>
              <w:rPr>
                <w:rFonts w:ascii="Calibri" w:hAnsi="Calibri"/>
                <w:b w:val="0"/>
                <w:i w:val="0"/>
                <w:color w:val="212121"/>
                <w:sz w:val="19"/>
              </w:rPr>
              <w:t>Weight gain begins soon after NT1 onset</w:t>
            </w:r>
          </w:p>
          <w:p>
            <w:pPr>
              <w:spacing w:after="40" w:line="252" w:lineRule="auto"/>
            </w:pPr>
            <w:hyperlink r:id="rId11">
              <w:r>
                <w:rPr>
                  <w:rFonts w:ascii="Calibri" w:hAnsi="Calibri" w:cs="Calibri"/>
                  <w:sz w:val="18"/>
                  <w:color w:val="1155CC"/>
                  <w:u w:val="single"/>
                </w:rPr>
                <w:t xml:space="preserve">https://pubmed.ncbi.nlm.nih.gov/27707443/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Aerobic activity</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&gt;= 150 min/week moderate activity</w:t>
            </w:r>
          </w:p>
        </w:tc>
        <w:tc>
          <w:tcPr>
            <w:tcW w:type="dxa" w:w="1512"/>
            <w:vAlign w:val="top"/>
          </w:tcPr>
          <w:p>
            <w:pPr>
              <w:spacing w:after="40" w:before="0" w:line="259" w:lineRule="auto"/>
            </w:pPr>
            <w:r>
              <w:rPr>
                <w:rFonts w:ascii="Calibri" w:hAnsi="Calibri"/>
                <w:b w:val="0"/>
                <w:i w:val="0"/>
                <w:color w:val="212121"/>
                <w:sz w:val="19"/>
              </w:rPr>
              <w:t>Largely sedentary</w:t>
            </w:r>
          </w:p>
        </w:tc>
        <w:tc>
          <w:tcPr>
            <w:tcW w:type="dxa" w:w="1468"/>
            <w:vAlign w:val="top"/>
          </w:tcPr>
          <w:p>
            <w:pPr>
              <w:spacing w:after="40" w:before="0" w:line="259" w:lineRule="auto"/>
            </w:pPr>
            <w:r>
              <w:rPr>
                <w:rFonts w:ascii="Calibri" w:hAnsi="Calibri"/>
                <w:b w:val="0"/>
                <w:i w:val="0"/>
                <w:color w:val="212121"/>
                <w:sz w:val="19"/>
              </w:rPr>
              <w:t>Counters post-onset weight gain and metabolic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Evening alcohol</w:t>
            </w:r>
          </w:p>
        </w:tc>
        <w:tc>
          <w:tcPr>
            <w:tcW w:type="dxa" w:w="1655"/>
            <w:vAlign w:val="top"/>
          </w:tcPr>
          <w:p>
            <w:pPr>
              <w:spacing w:after="40" w:before="0" w:line="259" w:lineRule="auto"/>
            </w:pPr>
            <w:r>
              <w:rPr>
                <w:rFonts w:ascii="Calibri" w:hAnsi="Calibri"/>
                <w:b w:val="0"/>
                <w:i w:val="0"/>
                <w:color w:val="212121"/>
                <w:sz w:val="19"/>
              </w:rPr>
              <w:t>All patients (esp. on sodium oxybate)</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and any with sodium oxybate</w:t>
            </w:r>
          </w:p>
        </w:tc>
        <w:tc>
          <w:tcPr>
            <w:tcW w:type="dxa" w:w="1468"/>
            <w:vAlign w:val="top"/>
          </w:tcPr>
          <w:p>
            <w:pPr>
              <w:spacing w:after="40" w:before="0" w:line="259" w:lineRule="auto"/>
            </w:pPr>
            <w:r>
              <w:rPr>
                <w:rFonts w:ascii="Calibri" w:hAnsi="Calibri"/>
                <w:b w:val="0"/>
                <w:i w:val="0"/>
                <w:color w:val="212121"/>
                <w:sz w:val="19"/>
              </w:rPr>
              <w:t>Deepens sleepiness; dangerous with oxybate/sedatives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dose and timing</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400 mg/day, none late in the day</w:t>
            </w:r>
          </w:p>
        </w:tc>
        <w:tc>
          <w:tcPr>
            <w:tcW w:type="dxa" w:w="1512"/>
            <w:vAlign w:val="top"/>
          </w:tcPr>
          <w:p>
            <w:pPr>
              <w:spacing w:after="40" w:before="0" w:line="259" w:lineRule="auto"/>
            </w:pPr>
            <w:r>
              <w:rPr>
                <w:rFonts w:ascii="Calibri" w:hAnsi="Calibri"/>
                <w:b w:val="0"/>
                <w:i w:val="0"/>
                <w:color w:val="212121"/>
                <w:sz w:val="19"/>
              </w:rPr>
              <w:t>High intake or late-day use to mask sleepiness</w:t>
            </w:r>
          </w:p>
        </w:tc>
        <w:tc>
          <w:tcPr>
            <w:tcW w:type="dxa" w:w="1468"/>
            <w:vAlign w:val="top"/>
          </w:tcPr>
          <w:p>
            <w:pPr>
              <w:spacing w:after="40" w:before="0" w:line="259" w:lineRule="auto"/>
            </w:pPr>
            <w:r>
              <w:rPr>
                <w:rFonts w:ascii="Calibri" w:hAnsi="Calibri"/>
                <w:b w:val="0"/>
                <w:i w:val="0"/>
                <w:color w:val="212121"/>
                <w:sz w:val="19"/>
              </w:rPr>
              <w:t>Masks diagnosis and disrupts night-time sleep</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Fire/burn hazard during sleep attacks; fragments sleep</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Overnight polysomnography (PSG)</w:t>
            </w:r>
          </w:p>
        </w:tc>
        <w:tc>
          <w:tcPr>
            <w:tcW w:type="dxa" w:w="892"/>
            <w:vAlign w:val="top"/>
          </w:tcPr>
          <w:p>
            <w:pPr>
              <w:spacing w:after="40" w:before="0" w:line="259" w:lineRule="auto"/>
            </w:pPr>
            <w:r>
              <w:rPr>
                <w:rFonts w:ascii="Calibri" w:hAnsi="Calibri"/>
                <w:b w:val="0"/>
                <w:i w:val="0"/>
                <w:color w:val="212121"/>
                <w:sz w:val="16"/>
              </w:rPr>
              <w:t>Attended in-laboratory PSG</w:t>
            </w:r>
          </w:p>
        </w:tc>
        <w:tc>
          <w:tcPr>
            <w:tcW w:type="dxa" w:w="950"/>
            <w:vAlign w:val="top"/>
          </w:tcPr>
          <w:p>
            <w:pPr>
              <w:spacing w:after="40" w:before="0" w:line="259" w:lineRule="auto"/>
            </w:pPr>
            <w:r>
              <w:rPr>
                <w:rFonts w:ascii="Calibri" w:hAnsi="Calibri"/>
                <w:b w:val="0"/>
                <w:i w:val="0"/>
                <w:color w:val="212121"/>
                <w:sz w:val="16"/>
              </w:rPr>
              <w:t>Normal architecture, AHI &lt; 5, adequate total sleep</w:t>
            </w:r>
          </w:p>
        </w:tc>
        <w:tc>
          <w:tcPr>
            <w:tcW w:type="dxa" w:w="950"/>
            <w:vAlign w:val="top"/>
          </w:tcPr>
          <w:p>
            <w:pPr>
              <w:spacing w:after="40" w:before="0" w:line="259" w:lineRule="auto"/>
            </w:pPr>
            <w:r>
              <w:rPr>
                <w:rFonts w:ascii="Calibri" w:hAnsi="Calibri"/>
                <w:b w:val="0"/>
                <w:i w:val="0"/>
                <w:color w:val="212121"/>
                <w:sz w:val="16"/>
              </w:rPr>
              <w:t>Short REM latency / SOREMP; excludes OSA or other disorder</w:t>
            </w:r>
          </w:p>
        </w:tc>
        <w:tc>
          <w:tcPr>
            <w:tcW w:type="dxa" w:w="1036"/>
            <w:vAlign w:val="top"/>
          </w:tcPr>
          <w:p>
            <w:pPr>
              <w:spacing w:after="40" w:before="0" w:line="259" w:lineRule="auto"/>
            </w:pPr>
            <w:r>
              <w:rPr>
                <w:rFonts w:ascii="Calibri" w:hAnsi="Calibri"/>
                <w:b w:val="0"/>
                <w:i w:val="0"/>
                <w:color w:val="212121"/>
                <w:sz w:val="16"/>
              </w:rPr>
              <w:t>Documents &gt;= 6 h sleep and rules out mimics the night before the MSLT</w:t>
            </w:r>
          </w:p>
        </w:tc>
        <w:tc>
          <w:tcPr>
            <w:tcW w:type="dxa" w:w="1036"/>
            <w:vAlign w:val="top"/>
          </w:tcPr>
          <w:p>
            <w:pPr>
              <w:spacing w:after="40" w:before="0" w:line="259" w:lineRule="auto"/>
            </w:pPr>
            <w:r>
              <w:rPr>
                <w:rFonts w:ascii="Calibri" w:hAnsi="Calibri"/>
                <w:b w:val="0"/>
                <w:i w:val="0"/>
                <w:color w:val="212121"/>
                <w:sz w:val="16"/>
              </w:rPr>
              <w:t>All suspected narcolepsy, snorers, obese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Mandatory pre-MSLT</w:t>
            </w:r>
          </w:p>
        </w:tc>
        <w:tc>
          <w:tcPr>
            <w:tcW w:type="dxa" w:w="720"/>
            <w:vAlign w:val="top"/>
          </w:tcPr>
          <w:p>
            <w:pPr>
              <w:spacing w:after="40" w:before="0" w:line="259" w:lineRule="auto"/>
            </w:pPr>
            <w:r>
              <w:rPr>
                <w:rFonts w:ascii="Calibri" w:hAnsi="Calibri"/>
                <w:b w:val="0"/>
                <w:i w:val="0"/>
                <w:color w:val="212121"/>
                <w:sz w:val="16"/>
              </w:rPr>
              <w:t>Must precede a valid MSLT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Multiple Sleep Latency Test (MSLT)</w:t>
            </w:r>
          </w:p>
        </w:tc>
        <w:tc>
          <w:tcPr>
            <w:tcW w:type="dxa" w:w="892"/>
            <w:vAlign w:val="top"/>
          </w:tcPr>
          <w:p>
            <w:pPr>
              <w:spacing w:after="40" w:before="0" w:line="259" w:lineRule="auto"/>
            </w:pPr>
            <w:r>
              <w:rPr>
                <w:rFonts w:ascii="Calibri" w:hAnsi="Calibri"/>
                <w:b w:val="0"/>
                <w:i w:val="0"/>
                <w:color w:val="212121"/>
                <w:sz w:val="16"/>
              </w:rPr>
              <w:t>Five-nap daytime MSLT</w:t>
            </w:r>
          </w:p>
        </w:tc>
        <w:tc>
          <w:tcPr>
            <w:tcW w:type="dxa" w:w="950"/>
            <w:vAlign w:val="top"/>
          </w:tcPr>
          <w:p>
            <w:pPr>
              <w:spacing w:after="40" w:before="0" w:line="259" w:lineRule="auto"/>
            </w:pPr>
            <w:r>
              <w:rPr>
                <w:rFonts w:ascii="Calibri" w:hAnsi="Calibri"/>
                <w:b w:val="0"/>
                <w:i w:val="0"/>
                <w:color w:val="212121"/>
                <w:sz w:val="16"/>
              </w:rPr>
              <w:t>Mean latency &gt; 8 min, &lt; 2 SOREMPs</w:t>
            </w:r>
          </w:p>
        </w:tc>
        <w:tc>
          <w:tcPr>
            <w:tcW w:type="dxa" w:w="950"/>
            <w:vAlign w:val="top"/>
          </w:tcPr>
          <w:p>
            <w:pPr>
              <w:spacing w:after="40" w:before="0" w:line="259" w:lineRule="auto"/>
            </w:pPr>
            <w:r>
              <w:rPr>
                <w:rFonts w:ascii="Calibri" w:hAnsi="Calibri"/>
                <w:b w:val="0"/>
                <w:i w:val="0"/>
                <w:color w:val="212121"/>
                <w:sz w:val="16"/>
              </w:rPr>
              <w:t>Mean latency &lt;= 8 min with &gt;= 2 SOREMPs</w:t>
            </w:r>
          </w:p>
        </w:tc>
        <w:tc>
          <w:tcPr>
            <w:tcW w:type="dxa" w:w="1036"/>
            <w:vAlign w:val="top"/>
          </w:tcPr>
          <w:p>
            <w:pPr>
              <w:spacing w:after="40" w:before="0" w:line="259" w:lineRule="auto"/>
            </w:pPr>
            <w:r>
              <w:rPr>
                <w:rFonts w:ascii="Calibri" w:hAnsi="Calibri"/>
                <w:b w:val="0"/>
                <w:i w:val="0"/>
                <w:color w:val="212121"/>
                <w:sz w:val="16"/>
              </w:rPr>
              <w:t>Objective confirmation of pathological sleepiness and REM intrusion</w:t>
            </w:r>
          </w:p>
        </w:tc>
        <w:tc>
          <w:tcPr>
            <w:tcW w:type="dxa" w:w="1036"/>
            <w:vAlign w:val="top"/>
          </w:tcPr>
          <w:p>
            <w:pPr>
              <w:spacing w:after="40" w:before="0" w:line="259" w:lineRule="auto"/>
            </w:pPr>
            <w:r>
              <w:rPr>
                <w:rFonts w:ascii="Calibri" w:hAnsi="Calibri"/>
                <w:b w:val="0"/>
                <w:i w:val="0"/>
                <w:color w:val="212121"/>
                <w:sz w:val="16"/>
              </w:rPr>
              <w:t>Suspected NT1 and NT2</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Stop REM-suppressing drugs ~2 weeks before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(CSF)</w:t>
            </w:r>
          </w:p>
        </w:tc>
        <w:tc>
          <w:tcPr>
            <w:tcW w:type="dxa" w:w="1036"/>
            <w:vAlign w:val="top"/>
          </w:tcPr>
          <w:p>
            <w:pPr>
              <w:spacing w:after="40" w:before="0" w:line="259" w:lineRule="auto"/>
            </w:pPr>
            <w:r>
              <w:rPr>
                <w:rFonts w:ascii="Calibri" w:hAnsi="Calibri"/>
                <w:b w:val="0"/>
                <w:i w:val="0"/>
                <w:color w:val="212121"/>
                <w:sz w:val="16"/>
              </w:rPr>
              <w:t>CSF hypocretin-1 (orexin-A)</w:t>
            </w:r>
          </w:p>
        </w:tc>
        <w:tc>
          <w:tcPr>
            <w:tcW w:type="dxa" w:w="892"/>
            <w:vAlign w:val="top"/>
          </w:tcPr>
          <w:p>
            <w:pPr>
              <w:spacing w:after="40" w:before="0" w:line="259" w:lineRule="auto"/>
            </w:pPr>
            <w:r>
              <w:rPr>
                <w:rFonts w:ascii="Calibri" w:hAnsi="Calibri"/>
                <w:b w:val="0"/>
                <w:i w:val="0"/>
                <w:color w:val="212121"/>
                <w:sz w:val="16"/>
              </w:rPr>
              <w:t>Lumbar puncture assay</w:t>
            </w:r>
          </w:p>
        </w:tc>
        <w:tc>
          <w:tcPr>
            <w:tcW w:type="dxa" w:w="950"/>
            <w:vAlign w:val="top"/>
          </w:tcPr>
          <w:p>
            <w:pPr>
              <w:spacing w:after="40" w:before="0" w:line="259" w:lineRule="auto"/>
            </w:pPr>
            <w:r>
              <w:rPr>
                <w:rFonts w:ascii="Calibri" w:hAnsi="Calibri"/>
                <w:b w:val="0"/>
                <w:i w:val="0"/>
                <w:color w:val="212121"/>
                <w:sz w:val="16"/>
              </w:rPr>
              <w:t>&gt; 200 pg/mL</w:t>
            </w:r>
          </w:p>
        </w:tc>
        <w:tc>
          <w:tcPr>
            <w:tcW w:type="dxa" w:w="950"/>
            <w:vAlign w:val="top"/>
          </w:tcPr>
          <w:p>
            <w:pPr>
              <w:spacing w:after="40" w:before="0" w:line="259" w:lineRule="auto"/>
            </w:pPr>
            <w:r>
              <w:rPr>
                <w:rFonts w:ascii="Calibri" w:hAnsi="Calibri"/>
                <w:b w:val="0"/>
                <w:i w:val="0"/>
                <w:color w:val="212121"/>
                <w:sz w:val="16"/>
              </w:rPr>
              <w:t>&lt;= 110 pg/mL (or &lt; 1/3 normal mean)</w:t>
            </w:r>
          </w:p>
        </w:tc>
        <w:tc>
          <w:tcPr>
            <w:tcW w:type="dxa" w:w="1036"/>
            <w:vAlign w:val="top"/>
          </w:tcPr>
          <w:p>
            <w:pPr>
              <w:spacing w:after="40" w:before="0" w:line="259" w:lineRule="auto"/>
            </w:pPr>
            <w:r>
              <w:rPr>
                <w:rFonts w:ascii="Calibri" w:hAnsi="Calibri"/>
                <w:b w:val="0"/>
                <w:i w:val="0"/>
                <w:color w:val="212121"/>
                <w:sz w:val="16"/>
              </w:rPr>
              <w:t>Low level confirms type 1 narcolepsy even without a clear MSLT</w:t>
            </w:r>
          </w:p>
        </w:tc>
        <w:tc>
          <w:tcPr>
            <w:tcW w:type="dxa" w:w="1036"/>
            <w:vAlign w:val="top"/>
          </w:tcPr>
          <w:p>
            <w:pPr>
              <w:spacing w:after="40" w:before="0" w:line="259" w:lineRule="auto"/>
            </w:pPr>
            <w:r>
              <w:rPr>
                <w:rFonts w:ascii="Calibri" w:hAnsi="Calibri"/>
                <w:b w:val="0"/>
                <w:i w:val="0"/>
                <w:color w:val="212121"/>
                <w:sz w:val="16"/>
              </w:rPr>
              <w:t>Cataplexy, equivocal MSLT, children</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Most specific biomarker for NT1</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Immunogenetics</w:t>
            </w:r>
          </w:p>
        </w:tc>
        <w:tc>
          <w:tcPr>
            <w:tcW w:type="dxa" w:w="1036"/>
            <w:vAlign w:val="top"/>
          </w:tcPr>
          <w:p>
            <w:pPr>
              <w:spacing w:after="40" w:before="0" w:line="259" w:lineRule="auto"/>
            </w:pPr>
            <w:r>
              <w:rPr>
                <w:rFonts w:ascii="Calibri" w:hAnsi="Calibri"/>
                <w:b w:val="0"/>
                <w:i w:val="0"/>
                <w:color w:val="212121"/>
                <w:sz w:val="16"/>
              </w:rPr>
              <w:t>HLA-DQB1*06:02 typing</w:t>
            </w:r>
          </w:p>
        </w:tc>
        <w:tc>
          <w:tcPr>
            <w:tcW w:type="dxa" w:w="892"/>
            <w:vAlign w:val="top"/>
          </w:tcPr>
          <w:p>
            <w:pPr>
              <w:spacing w:after="40" w:before="0" w:line="259" w:lineRule="auto"/>
            </w:pPr>
            <w:r>
              <w:rPr>
                <w:rFonts w:ascii="Calibri" w:hAnsi="Calibri"/>
                <w:b w:val="0"/>
                <w:i w:val="0"/>
                <w:color w:val="212121"/>
                <w:sz w:val="16"/>
              </w:rPr>
              <w:t>HLA blood typing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(~95% of NT1)</w:t>
            </w:r>
          </w:p>
        </w:tc>
        <w:tc>
          <w:tcPr>
            <w:tcW w:type="dxa" w:w="1036"/>
            <w:vAlign w:val="top"/>
          </w:tcPr>
          <w:p>
            <w:pPr>
              <w:spacing w:after="40" w:before="0" w:line="259" w:lineRule="auto"/>
            </w:pPr>
            <w:r>
              <w:rPr>
                <w:rFonts w:ascii="Calibri" w:hAnsi="Calibri"/>
                <w:b w:val="0"/>
                <w:i w:val="0"/>
                <w:color w:val="212121"/>
                <w:sz w:val="16"/>
              </w:rPr>
              <w:t>Supports susceptibility but is not diagnostic (20% of healthy people positive)</w:t>
            </w:r>
          </w:p>
        </w:tc>
        <w:tc>
          <w:tcPr>
            <w:tcW w:type="dxa" w:w="1036"/>
            <w:vAlign w:val="top"/>
          </w:tcPr>
          <w:p>
            <w:pPr>
              <w:spacing w:after="40" w:before="0" w:line="259" w:lineRule="auto"/>
            </w:pPr>
            <w:r>
              <w:rPr>
                <w:rFonts w:ascii="Calibri" w:hAnsi="Calibri"/>
                <w:b w:val="0"/>
                <w:i w:val="0"/>
                <w:color w:val="212121"/>
                <w:sz w:val="16"/>
              </w:rPr>
              <w:t>Suspected NT1</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negative result makes NT1 unlikely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Rating scale</w:t>
            </w:r>
          </w:p>
        </w:tc>
        <w:tc>
          <w:tcPr>
            <w:tcW w:type="dxa" w:w="1036"/>
            <w:vAlign w:val="top"/>
          </w:tcPr>
          <w:p>
            <w:pPr>
              <w:spacing w:after="40" w:before="0" w:line="259" w:lineRule="auto"/>
            </w:pPr>
            <w:r>
              <w:rPr>
                <w:rFonts w:ascii="Calibri" w:hAnsi="Calibri"/>
                <w:b w:val="0"/>
                <w:i w:val="0"/>
                <w:color w:val="212121"/>
                <w:sz w:val="16"/>
              </w:rPr>
              <w:t>Epworth Sleepiness Scale</w:t>
            </w:r>
          </w:p>
        </w:tc>
        <w:tc>
          <w:tcPr>
            <w:tcW w:type="dxa" w:w="892"/>
            <w:vAlign w:val="top"/>
          </w:tcPr>
          <w:p>
            <w:pPr>
              <w:spacing w:after="40" w:before="0" w:line="259" w:lineRule="auto"/>
            </w:pPr>
            <w:r>
              <w:rPr>
                <w:rFonts w:ascii="Calibri" w:hAnsi="Calibri"/>
                <w:b w:val="0"/>
                <w:i w:val="0"/>
                <w:color w:val="212121"/>
                <w:sz w:val="16"/>
              </w:rPr>
              <w:t>Validated questionnaire</w:t>
            </w:r>
          </w:p>
        </w:tc>
        <w:tc>
          <w:tcPr>
            <w:tcW w:type="dxa" w:w="950"/>
            <w:vAlign w:val="top"/>
          </w:tcPr>
          <w:p>
            <w:pPr>
              <w:spacing w:after="40" w:before="0" w:line="259" w:lineRule="auto"/>
            </w:pPr>
            <w:r>
              <w:rPr>
                <w:rFonts w:ascii="Calibri" w:hAnsi="Calibri"/>
                <w:b w:val="0"/>
                <w:i w:val="0"/>
                <w:color w:val="212121"/>
                <w:sz w:val="16"/>
              </w:rPr>
              <w:t>0-10</w:t>
            </w:r>
          </w:p>
        </w:tc>
        <w:tc>
          <w:tcPr>
            <w:tcW w:type="dxa" w:w="950"/>
            <w:vAlign w:val="top"/>
          </w:tcPr>
          <w:p>
            <w:pPr>
              <w:spacing w:after="40" w:before="0" w:line="259" w:lineRule="auto"/>
            </w:pPr>
            <w:r>
              <w:rPr>
                <w:rFonts w:ascii="Calibri" w:hAnsi="Calibri"/>
                <w:b w:val="0"/>
                <w:i w:val="0"/>
                <w:color w:val="212121"/>
                <w:sz w:val="16"/>
              </w:rPr>
              <w:t>&gt; 10 (often 15-24)</w:t>
            </w:r>
          </w:p>
        </w:tc>
        <w:tc>
          <w:tcPr>
            <w:tcW w:type="dxa" w:w="1036"/>
            <w:vAlign w:val="top"/>
          </w:tcPr>
          <w:p>
            <w:pPr>
              <w:spacing w:after="40" w:before="0" w:line="259" w:lineRule="auto"/>
            </w:pPr>
            <w:r>
              <w:rPr>
                <w:rFonts w:ascii="Calibri" w:hAnsi="Calibri"/>
                <w:b w:val="0"/>
                <w:i w:val="0"/>
                <w:color w:val="212121"/>
                <w:sz w:val="16"/>
              </w:rPr>
              <w:t>Quantifies subjective sleepiness and tracks treatment response</w:t>
            </w:r>
          </w:p>
        </w:tc>
        <w:tc>
          <w:tcPr>
            <w:tcW w:type="dxa" w:w="1036"/>
            <w:vAlign w:val="top"/>
          </w:tcPr>
          <w:p>
            <w:pPr>
              <w:spacing w:after="40" w:before="0" w:line="259" w:lineRule="auto"/>
            </w:pPr>
            <w:r>
              <w:rPr>
                <w:rFonts w:ascii="Calibri" w:hAnsi="Calibri"/>
                <w:b w:val="0"/>
                <w:i w:val="0"/>
                <w:color w:val="212121"/>
                <w:sz w:val="16"/>
              </w:rPr>
              <w:t>All patients at baseline and follow-up</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Complements, not replaces, objective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Metabolic &amp; thyroid panel (glucose/HbA1c, lipids, TSH)</w:t>
            </w:r>
          </w:p>
        </w:tc>
        <w:tc>
          <w:tcPr>
            <w:tcW w:type="dxa" w:w="892"/>
            <w:vAlign w:val="top"/>
          </w:tcPr>
          <w:p>
            <w:pPr>
              <w:spacing w:after="40" w:before="0" w:line="259" w:lineRule="auto"/>
            </w:pPr>
            <w:r>
              <w:rPr>
                <w:rFonts w:ascii="Calibri" w:hAnsi="Calibri"/>
                <w:b w:val="0"/>
                <w:i w:val="0"/>
                <w:color w:val="212121"/>
                <w:sz w:val="16"/>
              </w:rPr>
              <w:t>Fasting bloods</w:t>
            </w:r>
          </w:p>
        </w:tc>
        <w:tc>
          <w:tcPr>
            <w:tcW w:type="dxa" w:w="950"/>
            <w:vAlign w:val="top"/>
          </w:tcPr>
          <w:p>
            <w:pPr>
              <w:spacing w:after="40" w:before="0" w:line="259" w:lineRule="auto"/>
            </w:pPr>
            <w:r>
              <w:rPr>
                <w:rFonts w:ascii="Calibri" w:hAnsi="Calibri"/>
                <w:b w:val="0"/>
                <w:i w:val="0"/>
                <w:color w:val="212121"/>
                <w:sz w:val="16"/>
              </w:rPr>
              <w:t>FPG &lt; 100 mg/dL; HbA1c &lt; 5.7%; normal lipids/TSH</w:t>
            </w:r>
          </w:p>
        </w:tc>
        <w:tc>
          <w:tcPr>
            <w:tcW w:type="dxa" w:w="950"/>
            <w:vAlign w:val="top"/>
          </w:tcPr>
          <w:p>
            <w:pPr>
              <w:spacing w:after="40" w:before="0" w:line="259" w:lineRule="auto"/>
            </w:pPr>
            <w:r>
              <w:rPr>
                <w:rFonts w:ascii="Calibri" w:hAnsi="Calibri"/>
                <w:b w:val="0"/>
                <w:i w:val="0"/>
                <w:color w:val="212121"/>
                <w:sz w:val="16"/>
              </w:rPr>
              <w:t>Dysglycaemia, dyslipidaemia or thyroid dysfunction</w:t>
            </w:r>
          </w:p>
        </w:tc>
        <w:tc>
          <w:tcPr>
            <w:tcW w:type="dxa" w:w="1036"/>
            <w:vAlign w:val="top"/>
          </w:tcPr>
          <w:p>
            <w:pPr>
              <w:spacing w:after="40" w:before="0" w:line="259" w:lineRule="auto"/>
            </w:pPr>
            <w:r>
              <w:rPr>
                <w:rFonts w:ascii="Calibri" w:hAnsi="Calibri"/>
                <w:b w:val="0"/>
                <w:i w:val="0"/>
                <w:color w:val="212121"/>
                <w:sz w:val="16"/>
              </w:rPr>
              <w:t>Detects comorbid metabolic disease and baselines cardiometabolic risk before stimulants</w:t>
            </w:r>
          </w:p>
        </w:tc>
        <w:tc>
          <w:tcPr>
            <w:tcW w:type="dxa" w:w="1036"/>
            <w:vAlign w:val="top"/>
          </w:tcPr>
          <w:p>
            <w:pPr>
              <w:spacing w:after="40" w:before="0" w:line="259" w:lineRule="auto"/>
            </w:pPr>
            <w:r>
              <w:rPr>
                <w:rFonts w:ascii="Calibri" w:hAnsi="Calibri"/>
                <w:b w:val="0"/>
                <w:i w:val="0"/>
                <w:color w:val="212121"/>
                <w:sz w:val="16"/>
              </w:rPr>
              <w:t>Obese patients, long-term therapy, cardiovascular risk</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 / safety</w:t>
            </w:r>
          </w:p>
        </w:tc>
        <w:tc>
          <w:tcPr>
            <w:tcW w:type="dxa" w:w="720"/>
            <w:vAlign w:val="top"/>
          </w:tcPr>
          <w:p>
            <w:pPr>
              <w:spacing w:after="40" w:before="0" w:line="259" w:lineRule="auto"/>
            </w:pPr>
            <w:r>
              <w:rPr>
                <w:rFonts w:ascii="Calibri" w:hAnsi="Calibri"/>
                <w:b w:val="0"/>
                <w:i w:val="0"/>
                <w:color w:val="212121"/>
                <w:sz w:val="16"/>
              </w:rPr>
              <w:t>Repeat periodically on wake-promoting drugs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Actigraphy</w:t>
            </w:r>
          </w:p>
        </w:tc>
        <w:tc>
          <w:tcPr>
            <w:tcW w:type="dxa" w:w="1036"/>
            <w:vAlign w:val="top"/>
          </w:tcPr>
          <w:p>
            <w:pPr>
              <w:spacing w:after="40" w:before="0" w:line="259" w:lineRule="auto"/>
            </w:pPr>
            <w:r>
              <w:rPr>
                <w:rFonts w:ascii="Calibri" w:hAnsi="Calibri"/>
                <w:b w:val="0"/>
                <w:i w:val="0"/>
                <w:color w:val="212121"/>
                <w:sz w:val="16"/>
              </w:rPr>
              <w:t>Actigraphy with sleep diary (1-2 weeks)</w:t>
            </w:r>
          </w:p>
        </w:tc>
        <w:tc>
          <w:tcPr>
            <w:tcW w:type="dxa" w:w="892"/>
            <w:vAlign w:val="top"/>
          </w:tcPr>
          <w:p>
            <w:pPr>
              <w:spacing w:after="40" w:before="0" w:line="259" w:lineRule="auto"/>
            </w:pPr>
            <w:r>
              <w:rPr>
                <w:rFonts w:ascii="Calibri" w:hAnsi="Calibri"/>
                <w:b w:val="0"/>
                <w:i w:val="0"/>
                <w:color w:val="212121"/>
                <w:sz w:val="16"/>
              </w:rPr>
              <w:t>Wrist actigraphy</w:t>
            </w:r>
          </w:p>
        </w:tc>
        <w:tc>
          <w:tcPr>
            <w:tcW w:type="dxa" w:w="950"/>
            <w:vAlign w:val="top"/>
          </w:tcPr>
          <w:p>
            <w:pPr>
              <w:spacing w:after="40" w:before="0" w:line="259" w:lineRule="auto"/>
            </w:pPr>
            <w:r>
              <w:rPr>
                <w:rFonts w:ascii="Calibri" w:hAnsi="Calibri"/>
                <w:b w:val="0"/>
                <w:i w:val="0"/>
                <w:color w:val="212121"/>
                <w:sz w:val="16"/>
              </w:rPr>
              <w:t>Adequate, regular sleep</w:t>
            </w:r>
          </w:p>
        </w:tc>
        <w:tc>
          <w:tcPr>
            <w:tcW w:type="dxa" w:w="950"/>
            <w:vAlign w:val="top"/>
          </w:tcPr>
          <w:p>
            <w:pPr>
              <w:spacing w:after="40" w:before="0" w:line="259" w:lineRule="auto"/>
            </w:pPr>
            <w:r>
              <w:rPr>
                <w:rFonts w:ascii="Calibri" w:hAnsi="Calibri"/>
                <w:b w:val="0"/>
                <w:i w:val="0"/>
                <w:color w:val="212121"/>
                <w:sz w:val="16"/>
              </w:rPr>
              <w:t>Chronic short or irregular sleep</w:t>
            </w:r>
          </w:p>
        </w:tc>
        <w:tc>
          <w:tcPr>
            <w:tcW w:type="dxa" w:w="1036"/>
            <w:vAlign w:val="top"/>
          </w:tcPr>
          <w:p>
            <w:pPr>
              <w:spacing w:after="40" w:before="0" w:line="259" w:lineRule="auto"/>
            </w:pPr>
            <w:r>
              <w:rPr>
                <w:rFonts w:ascii="Calibri" w:hAnsi="Calibri"/>
                <w:b w:val="0"/>
                <w:i w:val="0"/>
                <w:color w:val="212121"/>
                <w:sz w:val="16"/>
              </w:rPr>
              <w:t>Excludes insufficient-sleep syndrome mimicking narcolepsy before the MSLT</w:t>
            </w:r>
          </w:p>
        </w:tc>
        <w:tc>
          <w:tcPr>
            <w:tcW w:type="dxa" w:w="1036"/>
            <w:vAlign w:val="top"/>
          </w:tcPr>
          <w:p>
            <w:pPr>
              <w:spacing w:after="40" w:before="0" w:line="259" w:lineRule="auto"/>
            </w:pPr>
            <w:r>
              <w:rPr>
                <w:rFonts w:ascii="Calibri" w:hAnsi="Calibri"/>
                <w:b w:val="0"/>
                <w:i w:val="0"/>
                <w:color w:val="212121"/>
                <w:sz w:val="16"/>
              </w:rPr>
              <w:t>Shift workers, adolescents, uncertain history</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Ensures the MSLT is not confounded by sleep deprivation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Sleepiness characterisation</w:t>
            </w:r>
          </w:p>
        </w:tc>
        <w:tc>
          <w:tcPr>
            <w:tcW w:type="dxa" w:w="979"/>
            <w:vAlign w:val="top"/>
          </w:tcPr>
          <w:p>
            <w:pPr>
              <w:spacing w:after="40" w:before="0" w:line="259" w:lineRule="auto"/>
            </w:pPr>
            <w:r>
              <w:rPr>
                <w:rFonts w:ascii="Calibri" w:hAnsi="Calibri"/>
                <w:b w:val="0"/>
                <w:i w:val="0"/>
                <w:color w:val="212121"/>
                <w:sz w:val="16"/>
              </w:rPr>
              <w:t>Onset, timing and irresistibility of daytime sleep; Epworth score</w:t>
            </w:r>
          </w:p>
        </w:tc>
        <w:tc>
          <w:tcPr>
            <w:tcW w:type="dxa" w:w="950"/>
            <w:vAlign w:val="top"/>
          </w:tcPr>
          <w:p>
            <w:pPr>
              <w:spacing w:after="40" w:before="0" w:line="259" w:lineRule="auto"/>
            </w:pPr>
            <w:r>
              <w:rPr>
                <w:rFonts w:ascii="Calibri" w:hAnsi="Calibri"/>
                <w:b w:val="0"/>
                <w:i w:val="0"/>
                <w:color w:val="212121"/>
                <w:sz w:val="16"/>
              </w:rPr>
              <w:t>No pathological sleepiness</w:t>
            </w:r>
          </w:p>
        </w:tc>
        <w:tc>
          <w:tcPr>
            <w:tcW w:type="dxa" w:w="950"/>
            <w:vAlign w:val="top"/>
          </w:tcPr>
          <w:p>
            <w:pPr>
              <w:spacing w:after="40" w:before="0" w:line="259" w:lineRule="auto"/>
            </w:pPr>
            <w:r>
              <w:rPr>
                <w:rFonts w:ascii="Calibri" w:hAnsi="Calibri"/>
                <w:b w:val="0"/>
                <w:i w:val="0"/>
                <w:color w:val="212121"/>
                <w:sz w:val="16"/>
              </w:rPr>
              <w:t>Daily irresistible sleepiness &gt;= 3 months</w:t>
            </w:r>
          </w:p>
        </w:tc>
        <w:tc>
          <w:tcPr>
            <w:tcW w:type="dxa" w:w="1036"/>
            <w:vAlign w:val="top"/>
          </w:tcPr>
          <w:p>
            <w:pPr>
              <w:spacing w:after="40" w:before="0" w:line="259" w:lineRule="auto"/>
            </w:pPr>
            <w:r>
              <w:rPr>
                <w:rFonts w:ascii="Calibri" w:hAnsi="Calibri"/>
                <w:b w:val="0"/>
                <w:i w:val="0"/>
                <w:color w:val="212121"/>
                <w:sz w:val="16"/>
              </w:rPr>
              <w:t>Establishes the mandatory core symptom of narcolepsy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from ordinary tiredness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Cataplexy history</w:t>
            </w:r>
          </w:p>
        </w:tc>
        <w:tc>
          <w:tcPr>
            <w:tcW w:type="dxa" w:w="979"/>
            <w:vAlign w:val="top"/>
          </w:tcPr>
          <w:p>
            <w:pPr>
              <w:spacing w:after="40" w:before="0" w:line="259" w:lineRule="auto"/>
            </w:pPr>
            <w:r>
              <w:rPr>
                <w:rFonts w:ascii="Calibri" w:hAnsi="Calibri"/>
                <w:b w:val="0"/>
                <w:i w:val="0"/>
                <w:color w:val="212121"/>
                <w:sz w:val="16"/>
              </w:rPr>
              <w:t>Sudden emotion-triggered muscle weakness with preserved awareness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(esp. with laughter, surprise, anger)</w:t>
            </w:r>
          </w:p>
        </w:tc>
        <w:tc>
          <w:tcPr>
            <w:tcW w:type="dxa" w:w="1036"/>
            <w:vAlign w:val="top"/>
          </w:tcPr>
          <w:p>
            <w:pPr>
              <w:spacing w:after="40" w:before="0" w:line="259" w:lineRule="auto"/>
            </w:pPr>
            <w:r>
              <w:rPr>
                <w:rFonts w:ascii="Calibri" w:hAnsi="Calibri"/>
                <w:b w:val="0"/>
                <w:i w:val="0"/>
                <w:color w:val="212121"/>
                <w:sz w:val="16"/>
              </w:rPr>
              <w:t>Cataplexy is essentially pathognomonic of type 1 narcolepsy</w:t>
            </w:r>
          </w:p>
        </w:tc>
        <w:tc>
          <w:tcPr>
            <w:tcW w:type="dxa" w:w="1036"/>
            <w:vAlign w:val="top"/>
          </w:tcPr>
          <w:p>
            <w:pPr>
              <w:spacing w:after="40" w:before="0" w:line="259" w:lineRule="auto"/>
            </w:pPr>
            <w:r>
              <w:rPr>
                <w:rFonts w:ascii="Calibri" w:hAnsi="Calibri"/>
                <w:b w:val="0"/>
                <w:i w:val="0"/>
                <w:color w:val="212121"/>
                <w:sz w:val="16"/>
              </w:rPr>
              <w:t>Suspected NT1</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Partial/subtle cataplexy is easily missed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REM-intrusion &amp; night-sleep review</w:t>
            </w:r>
          </w:p>
        </w:tc>
        <w:tc>
          <w:tcPr>
            <w:tcW w:type="dxa" w:w="979"/>
            <w:vAlign w:val="top"/>
          </w:tcPr>
          <w:p>
            <w:pPr>
              <w:spacing w:after="40" w:before="0" w:line="259" w:lineRule="auto"/>
            </w:pPr>
            <w:r>
              <w:rPr>
                <w:rFonts w:ascii="Calibri" w:hAnsi="Calibri"/>
                <w:b w:val="0"/>
                <w:i w:val="0"/>
                <w:color w:val="212121"/>
                <w:sz w:val="16"/>
              </w:rPr>
              <w:t>Sleep paralysis, hypnagogic/hypnopompic hallucinations, disrupted night sleep, automatic behaviours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REM-intrusion phenomena</w:t>
            </w:r>
          </w:p>
        </w:tc>
        <w:tc>
          <w:tcPr>
            <w:tcW w:type="dxa" w:w="1036"/>
            <w:vAlign w:val="top"/>
          </w:tcPr>
          <w:p>
            <w:pPr>
              <w:spacing w:after="40" w:before="0" w:line="259" w:lineRule="auto"/>
            </w:pPr>
            <w:r>
              <w:rPr>
                <w:rFonts w:ascii="Calibri" w:hAnsi="Calibri"/>
                <w:b w:val="0"/>
                <w:i w:val="0"/>
                <w:color w:val="212121"/>
                <w:sz w:val="16"/>
              </w:rPr>
              <w:t>Supports the diagnosis and defines the classic tetrad/pentad</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Hallucinations may be mistaken for psychosis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substance review</w:t>
            </w:r>
          </w:p>
        </w:tc>
        <w:tc>
          <w:tcPr>
            <w:tcW w:type="dxa" w:w="979"/>
            <w:vAlign w:val="top"/>
          </w:tcPr>
          <w:p>
            <w:pPr>
              <w:spacing w:after="40" w:before="0" w:line="259" w:lineRule="auto"/>
            </w:pPr>
            <w:r>
              <w:rPr>
                <w:rFonts w:ascii="Calibri" w:hAnsi="Calibri"/>
                <w:b w:val="0"/>
                <w:i w:val="0"/>
                <w:color w:val="212121"/>
                <w:sz w:val="16"/>
              </w:rPr>
              <w:t>Sedatives, prior stimulants, and REM-suppressing antidepressants</w:t>
            </w:r>
          </w:p>
        </w:tc>
        <w:tc>
          <w:tcPr>
            <w:tcW w:type="dxa" w:w="950"/>
            <w:vAlign w:val="top"/>
          </w:tcPr>
          <w:p>
            <w:pPr>
              <w:spacing w:after="40" w:before="0" w:line="259" w:lineRule="auto"/>
            </w:pPr>
            <w:r>
              <w:rPr>
                <w:rFonts w:ascii="Calibri" w:hAnsi="Calibri"/>
                <w:b w:val="0"/>
                <w:i w:val="0"/>
                <w:color w:val="212121"/>
                <w:sz w:val="16"/>
              </w:rPr>
              <w:t>No confounding agents</w:t>
            </w:r>
          </w:p>
        </w:tc>
        <w:tc>
          <w:tcPr>
            <w:tcW w:type="dxa" w:w="950"/>
            <w:vAlign w:val="top"/>
          </w:tcPr>
          <w:p>
            <w:pPr>
              <w:spacing w:after="40" w:before="0" w:line="259" w:lineRule="auto"/>
            </w:pPr>
            <w:r>
              <w:rPr>
                <w:rFonts w:ascii="Calibri" w:hAnsi="Calibri"/>
                <w:b w:val="0"/>
                <w:i w:val="0"/>
                <w:color w:val="212121"/>
                <w:sz w:val="16"/>
              </w:rPr>
              <w:t>REM-suppressant or sedative use near testing</w:t>
            </w:r>
          </w:p>
        </w:tc>
        <w:tc>
          <w:tcPr>
            <w:tcW w:type="dxa" w:w="1036"/>
            <w:vAlign w:val="top"/>
          </w:tcPr>
          <w:p>
            <w:pPr>
              <w:spacing w:after="40" w:before="0" w:line="259" w:lineRule="auto"/>
            </w:pPr>
            <w:r>
              <w:rPr>
                <w:rFonts w:ascii="Calibri" w:hAnsi="Calibri"/>
                <w:b w:val="0"/>
                <w:i w:val="0"/>
                <w:color w:val="212121"/>
                <w:sz w:val="16"/>
              </w:rPr>
              <w:t>Identifies drugs that must be withdrawn before a valid MSLT and reversible contributors</w:t>
            </w:r>
          </w:p>
        </w:tc>
        <w:tc>
          <w:tcPr>
            <w:tcW w:type="dxa" w:w="1036"/>
            <w:vAlign w:val="top"/>
          </w:tcPr>
          <w:p>
            <w:pPr>
              <w:spacing w:after="40" w:before="0" w:line="259" w:lineRule="auto"/>
            </w:pPr>
            <w:r>
              <w:rPr>
                <w:rFonts w:ascii="Calibri" w:hAnsi="Calibri"/>
                <w:b w:val="0"/>
                <w:i w:val="0"/>
                <w:color w:val="212121"/>
                <w:sz w:val="16"/>
              </w:rPr>
              <w:t>Patients on antidepressants, sedatives, heavy caffeine</w:t>
            </w:r>
          </w:p>
        </w:tc>
        <w:tc>
          <w:tcPr>
            <w:tcW w:type="dxa" w:w="720"/>
            <w:vAlign w:val="top"/>
          </w:tcPr>
          <w:p>
            <w:pPr>
              <w:spacing w:after="40" w:before="0" w:line="259" w:lineRule="auto"/>
            </w:pPr>
            <w:r>
              <w:rPr>
                <w:rFonts w:ascii="Calibri" w:hAnsi="Calibri"/>
                <w:b w:val="0"/>
                <w:i w:val="0"/>
                <w:color w:val="212121"/>
                <w:sz w:val="16"/>
              </w:rPr>
              <w:t>Caffeine; Alcohol;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Antidepressants suppress REM and can hide SOREMPs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&amp; neurological exam</w:t>
            </w:r>
          </w:p>
        </w:tc>
        <w:tc>
          <w:tcPr>
            <w:tcW w:type="dxa" w:w="979"/>
            <w:vAlign w:val="top"/>
          </w:tcPr>
          <w:p>
            <w:pPr>
              <w:spacing w:after="40" w:before="0" w:line="259" w:lineRule="auto"/>
            </w:pPr>
            <w:r>
              <w:rPr>
                <w:rFonts w:ascii="Calibri" w:hAnsi="Calibri"/>
                <w:b w:val="0"/>
                <w:i w:val="0"/>
                <w:color w:val="212121"/>
                <w:sz w:val="16"/>
              </w:rPr>
              <w:t>BMI/weight, cataplectic facies, neurological screen</w:t>
            </w:r>
          </w:p>
        </w:tc>
        <w:tc>
          <w:tcPr>
            <w:tcW w:type="dxa" w:w="950"/>
            <w:vAlign w:val="top"/>
          </w:tcPr>
          <w:p>
            <w:pPr>
              <w:spacing w:after="40" w:before="0" w:line="259" w:lineRule="auto"/>
            </w:pPr>
            <w:r>
              <w:rPr>
                <w:rFonts w:ascii="Calibri" w:hAnsi="Calibri"/>
                <w:b w:val="0"/>
                <w:i w:val="0"/>
                <w:color w:val="212121"/>
                <w:sz w:val="16"/>
              </w:rPr>
              <w:t>Normal exam, healthy BMI</w:t>
            </w:r>
          </w:p>
        </w:tc>
        <w:tc>
          <w:tcPr>
            <w:tcW w:type="dxa" w:w="950"/>
            <w:vAlign w:val="top"/>
          </w:tcPr>
          <w:p>
            <w:pPr>
              <w:spacing w:after="40" w:before="0" w:line="259" w:lineRule="auto"/>
            </w:pPr>
            <w:r>
              <w:rPr>
                <w:rFonts w:ascii="Calibri" w:hAnsi="Calibri"/>
                <w:b w:val="0"/>
                <w:i w:val="0"/>
                <w:color w:val="212121"/>
                <w:sz w:val="16"/>
              </w:rPr>
              <w:t>Raised BMI; head drop, ptosis, jaw sag or tongue movements; focal neurology suggesting a secondary cause</w:t>
            </w:r>
          </w:p>
        </w:tc>
        <w:tc>
          <w:tcPr>
            <w:tcW w:type="dxa" w:w="1036"/>
            <w:vAlign w:val="top"/>
          </w:tcPr>
          <w:p>
            <w:pPr>
              <w:spacing w:after="40" w:before="0" w:line="259" w:lineRule="auto"/>
            </w:pPr>
            <w:r>
              <w:rPr>
                <w:rFonts w:ascii="Calibri" w:hAnsi="Calibri"/>
                <w:b w:val="0"/>
                <w:i w:val="0"/>
                <w:color w:val="212121"/>
                <w:sz w:val="16"/>
              </w:rPr>
              <w:t>Assesses comorbid obesity and screens for symptomatic (secondary) narcolepsy</w:t>
            </w:r>
          </w:p>
        </w:tc>
        <w:tc>
          <w:tcPr>
            <w:tcW w:type="dxa" w:w="1036"/>
            <w:vAlign w:val="top"/>
          </w:tcPr>
          <w:p>
            <w:pPr>
              <w:spacing w:after="40" w:before="0" w:line="259" w:lineRule="auto"/>
            </w:pPr>
            <w:r>
              <w:rPr>
                <w:rFonts w:ascii="Calibri" w:hAnsi="Calibri"/>
                <w:b w:val="0"/>
                <w:i w:val="0"/>
                <w:color w:val="212121"/>
                <w:sz w:val="16"/>
              </w:rPr>
              <w:t>Children, obese patients, atypical cases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Focal signs warrant brain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Psychiatric &amp; comorbidity screen</w:t>
            </w:r>
          </w:p>
        </w:tc>
        <w:tc>
          <w:tcPr>
            <w:tcW w:type="dxa" w:w="979"/>
            <w:vAlign w:val="top"/>
          </w:tcPr>
          <w:p>
            <w:pPr>
              <w:spacing w:after="40" w:before="0" w:line="259" w:lineRule="auto"/>
            </w:pPr>
            <w:r>
              <w:rPr>
                <w:rFonts w:ascii="Calibri" w:hAnsi="Calibri"/>
                <w:b w:val="0"/>
                <w:i w:val="0"/>
                <w:color w:val="212121"/>
                <w:sz w:val="16"/>
              </w:rPr>
              <w:t>PHQ-9, GAD-7; OSA risk; cardiometabolic history</w:t>
            </w:r>
          </w:p>
        </w:tc>
        <w:tc>
          <w:tcPr>
            <w:tcW w:type="dxa" w:w="950"/>
            <w:vAlign w:val="top"/>
          </w:tcPr>
          <w:p>
            <w:pPr>
              <w:spacing w:after="40" w:before="0" w:line="259" w:lineRule="auto"/>
            </w:pPr>
            <w:r>
              <w:rPr>
                <w:rFonts w:ascii="Calibri" w:hAnsi="Calibri"/>
                <w:b w:val="0"/>
                <w:i w:val="0"/>
                <w:color w:val="212121"/>
                <w:sz w:val="16"/>
              </w:rPr>
              <w:t>Negative screens</w:t>
            </w:r>
          </w:p>
        </w:tc>
        <w:tc>
          <w:tcPr>
            <w:tcW w:type="dxa" w:w="950"/>
            <w:vAlign w:val="top"/>
          </w:tcPr>
          <w:p>
            <w:pPr>
              <w:spacing w:after="40" w:before="0" w:line="259" w:lineRule="auto"/>
            </w:pPr>
            <w:r>
              <w:rPr>
                <w:rFonts w:ascii="Calibri" w:hAnsi="Calibri"/>
                <w:b w:val="0"/>
                <w:i w:val="0"/>
                <w:color w:val="212121"/>
                <w:sz w:val="16"/>
              </w:rPr>
              <w:t>Positive depression/anxiety screen or comorbid disease</w:t>
            </w:r>
          </w:p>
        </w:tc>
        <w:tc>
          <w:tcPr>
            <w:tcW w:type="dxa" w:w="1036"/>
            <w:vAlign w:val="top"/>
          </w:tcPr>
          <w:p>
            <w:pPr>
              <w:spacing w:after="40" w:before="0" w:line="259" w:lineRule="auto"/>
            </w:pPr>
            <w:r>
              <w:rPr>
                <w:rFonts w:ascii="Calibri" w:hAnsi="Calibri"/>
                <w:b w:val="0"/>
                <w:i w:val="0"/>
                <w:color w:val="212121"/>
                <w:sz w:val="16"/>
              </w:rPr>
              <w:t>Detects the frequent mood, sleep-apnoea and cardiometabolic comorbidities that alter management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Comorbidity strongly affects quality of life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Excessive daytime sleepiness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Universal, defining symptom - an irrepressible daily need to sleep despite adequate night-time sleep.</w:t>
            </w:r>
          </w:p>
        </w:tc>
      </w:tr>
      <w:tr>
        <w:trPr>
          <w:cantSplit/>
        </w:trPr>
        <w:tc>
          <w:tcPr>
            <w:tcW w:type="dxa" w:w="2304"/>
            <w:vAlign w:val="top"/>
          </w:tcPr>
          <w:p>
            <w:pPr>
              <w:spacing w:after="40" w:before="0" w:line="259" w:lineRule="auto"/>
            </w:pPr>
            <w:r>
              <w:rPr>
                <w:rFonts w:ascii="Calibri" w:hAnsi="Calibri"/>
                <w:b/>
                <w:i w:val="0"/>
                <w:color w:val="212121"/>
                <w:sz w:val="19"/>
              </w:rPr>
              <w:t>Sleep attacks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involuntary lapses into sleep in monotonous or even active situations (eating, talking, driving).</w:t>
            </w:r>
          </w:p>
        </w:tc>
      </w:tr>
      <w:tr>
        <w:trPr>
          <w:cantSplit/>
        </w:trPr>
        <w:tc>
          <w:tcPr>
            <w:tcW w:type="dxa" w:w="2304"/>
            <w:vAlign w:val="top"/>
          </w:tcPr>
          <w:p>
            <w:pPr>
              <w:spacing w:after="40" w:before="0" w:line="259" w:lineRule="auto"/>
            </w:pPr>
            <w:r>
              <w:rPr>
                <w:rFonts w:ascii="Calibri" w:hAnsi="Calibri"/>
                <w:b/>
                <w:i w:val="0"/>
                <w:color w:val="212121"/>
                <w:sz w:val="19"/>
              </w:rPr>
              <w:t>Cataplexy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bilateral loss of muscle tone triggered by strong emotion (especially laughter), with consciousness preserved - specific to type 1.</w:t>
            </w:r>
          </w:p>
        </w:tc>
      </w:tr>
      <w:tr>
        <w:trPr>
          <w:cantSplit/>
        </w:trPr>
        <w:tc>
          <w:tcPr>
            <w:tcW w:type="dxa" w:w="2304"/>
            <w:vAlign w:val="top"/>
          </w:tcPr>
          <w:p>
            <w:pPr>
              <w:spacing w:after="40" w:before="0" w:line="259" w:lineRule="auto"/>
            </w:pPr>
            <w:r>
              <w:rPr>
                <w:rFonts w:ascii="Calibri" w:hAnsi="Calibri"/>
                <w:b/>
                <w:i w:val="0"/>
                <w:color w:val="212121"/>
                <w:sz w:val="19"/>
              </w:rPr>
              <w:t>Sleep paralysis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Transient inability to move or speak while falling asleep or waking, a REM-intrusion phenomenon.</w:t>
            </w:r>
          </w:p>
        </w:tc>
      </w:tr>
      <w:tr>
        <w:trPr>
          <w:cantSplit/>
        </w:trPr>
        <w:tc>
          <w:tcPr>
            <w:tcW w:type="dxa" w:w="2304"/>
            <w:vAlign w:val="top"/>
          </w:tcPr>
          <w:p>
            <w:pPr>
              <w:spacing w:after="40" w:before="0" w:line="259" w:lineRule="auto"/>
            </w:pPr>
            <w:r>
              <w:rPr>
                <w:rFonts w:ascii="Calibri" w:hAnsi="Calibri"/>
                <w:b/>
                <w:i w:val="0"/>
                <w:color w:val="212121"/>
                <w:sz w:val="19"/>
              </w:rPr>
              <w:t>Hypnagogic / hypnopompic hallucinations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Vivid, often frightening dream-like visual or auditory perceptions at sleep-wake transitions.</w:t>
            </w:r>
          </w:p>
        </w:tc>
      </w:tr>
      <w:tr>
        <w:trPr>
          <w:cantSplit/>
        </w:trPr>
        <w:tc>
          <w:tcPr>
            <w:tcW w:type="dxa" w:w="2304"/>
            <w:vAlign w:val="top"/>
          </w:tcPr>
          <w:p>
            <w:pPr>
              <w:spacing w:after="40" w:before="0" w:line="259" w:lineRule="auto"/>
            </w:pPr>
            <w:r>
              <w:rPr>
                <w:rFonts w:ascii="Calibri" w:hAnsi="Calibri"/>
                <w:b/>
                <w:i w:val="0"/>
                <w:color w:val="212121"/>
                <w:sz w:val="19"/>
              </w:rPr>
              <w:t>Disrupted nocturnal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awakenings and fragmented, non-restorative night sleep despite severe daytime sleepiness.</w:t>
            </w:r>
          </w:p>
        </w:tc>
      </w:tr>
      <w:tr>
        <w:trPr>
          <w:cantSplit/>
        </w:trPr>
        <w:tc>
          <w:tcPr>
            <w:tcW w:type="dxa" w:w="2304"/>
            <w:vAlign w:val="top"/>
          </w:tcPr>
          <w:p>
            <w:pPr>
              <w:spacing w:after="40" w:before="0" w:line="259" w:lineRule="auto"/>
            </w:pPr>
            <w:r>
              <w:rPr>
                <w:rFonts w:ascii="Calibri" w:hAnsi="Calibri"/>
                <w:b/>
                <w:i w:val="0"/>
                <w:color w:val="212121"/>
                <w:sz w:val="19"/>
              </w:rPr>
              <w:t>Poor concentration and memory / 'brain fog'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Cognitive slowing, inattention and forgetfulness from constant sleep pressure and micro-sleeps.</w:t>
            </w:r>
          </w:p>
        </w:tc>
      </w:tr>
      <w:tr>
        <w:trPr>
          <w:cantSplit/>
        </w:trPr>
        <w:tc>
          <w:tcPr>
            <w:tcW w:type="dxa" w:w="2304"/>
            <w:vAlign w:val="top"/>
          </w:tcPr>
          <w:p>
            <w:pPr>
              <w:spacing w:after="40" w:before="0" w:line="259" w:lineRule="auto"/>
            </w:pPr>
            <w:r>
              <w:rPr>
                <w:rFonts w:ascii="Calibri" w:hAnsi="Calibri"/>
                <w:b/>
                <w:i w:val="0"/>
                <w:color w:val="212121"/>
                <w:sz w:val="19"/>
              </w:rPr>
              <w:t>Increased appetite and weight gain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early in type 1, reflecting hypocretin-related appetite and metabolic dysregulation.</w:t>
            </w:r>
          </w:p>
        </w:tc>
      </w:tr>
      <w:tr>
        <w:trPr>
          <w:cantSplit/>
        </w:trPr>
        <w:tc>
          <w:tcPr>
            <w:tcW w:type="dxa" w:w="2304"/>
            <w:vAlign w:val="top"/>
          </w:tcPr>
          <w:p>
            <w:pPr>
              <w:spacing w:after="40" w:before="0" w:line="259" w:lineRule="auto"/>
            </w:pPr>
            <w:r>
              <w:rPr>
                <w:rFonts w:ascii="Calibri" w:hAnsi="Calibri"/>
                <w:b/>
                <w:i w:val="0"/>
                <w:color w:val="212121"/>
                <w:sz w:val="19"/>
              </w:rPr>
              <w:t>Low mood and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Depressed or anxious mood, partly biological and partly from the disability and stigma of the illness.</w:t>
            </w:r>
          </w:p>
        </w:tc>
      </w:tr>
      <w:tr>
        <w:trPr>
          <w:cantSplit/>
        </w:trPr>
        <w:tc>
          <w:tcPr>
            <w:tcW w:type="dxa" w:w="2304"/>
            <w:vAlign w:val="top"/>
          </w:tcPr>
          <w:p>
            <w:pPr>
              <w:spacing w:after="40" w:before="0" w:line="259" w:lineRule="auto"/>
            </w:pPr>
            <w:r>
              <w:rPr>
                <w:rFonts w:ascii="Calibri" w:hAnsi="Calibri"/>
                <w:b/>
                <w:i w:val="0"/>
                <w:color w:val="212121"/>
                <w:sz w:val="19"/>
              </w:rPr>
              <w:t>Automatic behaviours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Performing routine tasks (writing, driving) during brief micro-sleeps, with amnesia for the episode.</w:t>
            </w:r>
          </w:p>
        </w:tc>
      </w:tr>
      <w:tr>
        <w:trPr>
          <w:cantSplit/>
        </w:trPr>
        <w:tc>
          <w:tcPr>
            <w:tcW w:type="dxa" w:w="2304"/>
            <w:vAlign w:val="top"/>
          </w:tcPr>
          <w:p>
            <w:pPr>
              <w:spacing w:after="40" w:before="0" w:line="259" w:lineRule="auto"/>
            </w:pPr>
            <w:r>
              <w:rPr>
                <w:rFonts w:ascii="Calibri" w:hAnsi="Calibri"/>
                <w:b/>
                <w:i w:val="0"/>
                <w:color w:val="212121"/>
                <w:sz w:val="19"/>
              </w:rPr>
              <w:t>Motor restlessness or 'active' cataplexy (children)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Young children may show facial hypotonia, tongue protrusion, gait unsteadiness or a restless, hyperactive picture.</w:t>
            </w:r>
          </w:p>
        </w:tc>
      </w:tr>
      <w:tr>
        <w:trPr>
          <w:cantSplit/>
        </w:trPr>
        <w:tc>
          <w:tcPr>
            <w:tcW w:type="dxa" w:w="2304"/>
            <w:vAlign w:val="top"/>
          </w:tcPr>
          <w:p>
            <w:pPr>
              <w:spacing w:after="40" w:before="0" w:line="259" w:lineRule="auto"/>
            </w:pPr>
            <w:r>
              <w:rPr>
                <w:rFonts w:ascii="Calibri" w:hAnsi="Calibri"/>
                <w:b/>
                <w:i w:val="0"/>
                <w:color w:val="212121"/>
                <w:sz w:val="19"/>
              </w:rPr>
              <w:t>Vivid nightmares / REM behaviour features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Intense dreaming and, in some, dream-enactment reflecting REM-sleep dysregulation.</w:t>
            </w:r>
          </w:p>
        </w:tc>
      </w:tr>
      <w:tr>
        <w:trPr>
          <w:cantSplit/>
        </w:trPr>
        <w:tc>
          <w:tcPr>
            <w:tcW w:type="dxa" w:w="2304"/>
            <w:vAlign w:val="top"/>
          </w:tcPr>
          <w:p>
            <w:pPr>
              <w:spacing w:after="40" w:before="0" w:line="259" w:lineRule="auto"/>
            </w:pPr>
            <w:r>
              <w:rPr>
                <w:rFonts w:ascii="Calibri" w:hAnsi="Calibri"/>
                <w:b/>
                <w:i w:val="0"/>
                <w:color w:val="212121"/>
                <w:sz w:val="19"/>
              </w:rPr>
              <w:t>Blurred vision or diplopia with sleepiness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Transient visual disturbance or ptosis accompanying overwhelming drowsiness.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Observed excessive sleepiness / falling asleep in clinic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Patient dozes during history-taking or monotonous tasks - a visible marker of pathological sleepiness.</w:t>
            </w:r>
          </w:p>
        </w:tc>
      </w:tr>
      <w:tr>
        <w:trPr>
          <w:cantSplit/>
        </w:trPr>
        <w:tc>
          <w:tcPr>
            <w:tcW w:type="dxa" w:w="3456"/>
            <w:vAlign w:val="top"/>
          </w:tcPr>
          <w:p>
            <w:pPr>
              <w:spacing w:after="40" w:before="0" w:line="259" w:lineRule="auto"/>
            </w:pPr>
            <w:r>
              <w:rPr>
                <w:rFonts w:ascii="Calibri" w:hAnsi="Calibri"/>
                <w:b/>
                <w:i w:val="0"/>
                <w:color w:val="212121"/>
                <w:sz w:val="19"/>
              </w:rPr>
              <w:t>Cataplectic facies during laughter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Head drop, jaw sag, ptosis and perioral or facial twitching on emotion - characteristic partial cataplexy, especially in children.</w:t>
            </w:r>
          </w:p>
        </w:tc>
      </w:tr>
      <w:tr>
        <w:trPr>
          <w:cantSplit/>
        </w:trPr>
        <w:tc>
          <w:tcPr>
            <w:tcW w:type="dxa" w:w="3456"/>
            <w:vAlign w:val="top"/>
          </w:tcPr>
          <w:p>
            <w:pPr>
              <w:spacing w:after="40" w:before="0" w:line="259" w:lineRule="auto"/>
            </w:pPr>
            <w:r>
              <w:rPr>
                <w:rFonts w:ascii="Calibri" w:hAnsi="Calibri"/>
                <w:b/>
                <w:i w:val="0"/>
                <w:color w:val="212121"/>
                <w:sz w:val="19"/>
              </w:rPr>
              <w:t>Short mean sleep latency (&lt;= 8 min) on MSLT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demonstration of pathological sleep pressure.</w:t>
            </w:r>
          </w:p>
        </w:tc>
      </w:tr>
      <w:tr>
        <w:trPr>
          <w:cantSplit/>
        </w:trPr>
        <w:tc>
          <w:tcPr>
            <w:tcW w:type="dxa" w:w="3456"/>
            <w:vAlign w:val="top"/>
          </w:tcPr>
          <w:p>
            <w:pPr>
              <w:spacing w:after="40" w:before="0" w:line="259" w:lineRule="auto"/>
            </w:pPr>
            <w:r>
              <w:rPr>
                <w:rFonts w:ascii="Calibri" w:hAnsi="Calibri"/>
                <w:b/>
                <w:i w:val="0"/>
                <w:color w:val="212121"/>
                <w:sz w:val="19"/>
              </w:rPr>
              <w:t>Two or more SOREMPs on MSLT/PSG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transition into REM sleep - the hallmark of REM dysregulation in narcolepsy.</w:t>
            </w:r>
          </w:p>
        </w:tc>
      </w:tr>
      <w:tr>
        <w:trPr>
          <w:cantSplit/>
        </w:trPr>
        <w:tc>
          <w:tcPr>
            <w:tcW w:type="dxa" w:w="3456"/>
            <w:vAlign w:val="top"/>
          </w:tcPr>
          <w:p>
            <w:pPr>
              <w:spacing w:after="40" w:before="0" w:line="259" w:lineRule="auto"/>
            </w:pPr>
            <w:r>
              <w:rPr>
                <w:rFonts w:ascii="Calibri" w:hAnsi="Calibri"/>
                <w:b/>
                <w:i w:val="0"/>
                <w:color w:val="212121"/>
                <w:sz w:val="19"/>
              </w:rPr>
              <w:t>Low CSF hypocretin-1 (&lt;= 110 pg/mL)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Confirmatory biomarker of type 1 narcolepsy on lumbar puncture.</w:t>
            </w:r>
          </w:p>
        </w:tc>
      </w:tr>
      <w:tr>
        <w:trPr>
          <w:cantSplit/>
        </w:trPr>
        <w:tc>
          <w:tcPr>
            <w:tcW w:type="dxa" w:w="3456"/>
            <w:vAlign w:val="top"/>
          </w:tcPr>
          <w:p>
            <w:pPr>
              <w:spacing w:after="40" w:before="0" w:line="259" w:lineRule="auto"/>
            </w:pPr>
            <w:r>
              <w:rPr>
                <w:rFonts w:ascii="Calibri" w:hAnsi="Calibri"/>
                <w:b/>
                <w:i w:val="0"/>
                <w:color w:val="212121"/>
                <w:sz w:val="19"/>
              </w:rPr>
              <w:t>Elevated BMI / central weight gain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Frequent early finding, particularly in type 1 and in children.</w:t>
            </w:r>
          </w:p>
        </w:tc>
      </w:tr>
      <w:tr>
        <w:trPr>
          <w:cantSplit/>
        </w:trPr>
        <w:tc>
          <w:tcPr>
            <w:tcW w:type="dxa" w:w="3456"/>
            <w:vAlign w:val="top"/>
          </w:tcPr>
          <w:p>
            <w:pPr>
              <w:spacing w:after="40" w:before="0" w:line="259" w:lineRule="auto"/>
            </w:pPr>
            <w:r>
              <w:rPr>
                <w:rFonts w:ascii="Calibri" w:hAnsi="Calibri"/>
                <w:b/>
                <w:i w:val="0"/>
                <w:color w:val="212121"/>
                <w:sz w:val="19"/>
              </w:rPr>
              <w:t>HLA-DQB1*06:02 positivity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~95% of type 1 but also ~20% of healthy people - supportive, not diagnostic.</w:t>
            </w:r>
          </w:p>
        </w:tc>
      </w:tr>
      <w:tr>
        <w:trPr>
          <w:cantSplit/>
        </w:trPr>
        <w:tc>
          <w:tcPr>
            <w:tcW w:type="dxa" w:w="3456"/>
            <w:vAlign w:val="top"/>
          </w:tcPr>
          <w:p>
            <w:pPr>
              <w:spacing w:after="40" w:before="0" w:line="259" w:lineRule="auto"/>
            </w:pPr>
            <w:r>
              <w:rPr>
                <w:rFonts w:ascii="Calibri" w:hAnsi="Calibri"/>
                <w:b/>
                <w:i w:val="0"/>
                <w:color w:val="212121"/>
                <w:sz w:val="19"/>
              </w:rPr>
              <w:t>Preserved consciousness during a cataplexy attack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cataplexy from seizure or syncope - the patient is aware throughout.</w:t>
            </w:r>
          </w:p>
        </w:tc>
      </w:tr>
      <w:tr>
        <w:trPr>
          <w:cantSplit/>
        </w:trPr>
        <w:tc>
          <w:tcPr>
            <w:tcW w:type="dxa" w:w="3456"/>
            <w:vAlign w:val="top"/>
          </w:tcPr>
          <w:p>
            <w:pPr>
              <w:spacing w:after="40" w:before="0" w:line="259" w:lineRule="auto"/>
            </w:pPr>
            <w:r>
              <w:rPr>
                <w:rFonts w:ascii="Calibri" w:hAnsi="Calibri"/>
                <w:b/>
                <w:i w:val="0"/>
                <w:color w:val="212121"/>
                <w:sz w:val="19"/>
              </w:rPr>
              <w:t>REM sleep without atonia / REM behaviour features on PSG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Electromyographic REM without normal muscle atonia, reflecting REM instability.</w:t>
            </w:r>
          </w:p>
        </w:tc>
      </w:tr>
      <w:tr>
        <w:trPr>
          <w:cantSplit/>
        </w:trPr>
        <w:tc>
          <w:tcPr>
            <w:tcW w:type="dxa" w:w="3456"/>
            <w:vAlign w:val="top"/>
          </w:tcPr>
          <w:p>
            <w:pPr>
              <w:spacing w:after="40" w:before="0" w:line="259" w:lineRule="auto"/>
            </w:pPr>
            <w:r>
              <w:rPr>
                <w:rFonts w:ascii="Calibri" w:hAnsi="Calibri"/>
                <w:b/>
                <w:i w:val="0"/>
                <w:color w:val="212121"/>
                <w:sz w:val="19"/>
              </w:rPr>
              <w:t>Normal neurological examination (primary narcolepsy)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normal exam is typical; focal deficits suggest a secondary (symptomatic) cause needing imaging.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excessive daytime sleepiness and irresistible sleep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Cataplexy with falls and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paralysis and frightening hypnagogic/hypnopompic hallucinations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Fragmented, non-restorative night-time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Automatic behaviours with amnesia</w:t>
            </w:r>
          </w:p>
        </w:tc>
        <w:tc>
          <w:tcPr>
            <w:tcW w:type="dxa" w:w="2980"/>
            <w:vAlign w:val="top"/>
          </w:tcPr>
          <w:p>
            <w:pPr>
              <w:spacing w:after="40" w:before="0" w:line="259" w:lineRule="auto"/>
            </w:pPr>
            <w:r>
              <w:rPr>
                <w:rFonts w:ascii="Calibri" w:hAnsi="Calibri"/>
                <w:b w:val="0"/>
                <w:i w:val="0"/>
                <w:color w:val="212121"/>
                <w:sz w:val="19"/>
              </w:rPr>
              <w:t>Direct consequences of dysregulated sleep-wake control and intrusion of REM sleep into wakefulness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Motor-vehicle and occupational accidents from sleep attacks and cataplexy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Obesity, metabolic syndrome and 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school and work performance, unemployment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Precocious puberty in prepubertal-onset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Status cataplecticus (rare, often on abrupt withdrawal of anticataplectic drugs)</w:t>
            </w:r>
          </w:p>
        </w:tc>
        <w:tc>
          <w:tcPr>
            <w:tcW w:type="dxa" w:w="2980"/>
            <w:vAlign w:val="top"/>
          </w:tcPr>
          <w:p>
            <w:pPr>
              <w:spacing w:after="40" w:before="0" w:line="259" w:lineRule="auto"/>
            </w:pPr>
            <w:r>
              <w:rPr>
                <w:rFonts w:ascii="Calibri" w:hAnsi="Calibri"/>
                <w:b w:val="0"/>
                <w:i w:val="0"/>
                <w:color w:val="212121"/>
                <w:sz w:val="19"/>
              </w:rPr>
              <w:t>Arise from chronic symptoms, hypothalamic and metabolic dysregulation, and the psychosocial burden of the illness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 hypertension, stroke and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lost productivity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Stimulant-related complications (tolerance, cardiovascular strain,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Sodium oxybate-related risks if misused (respiratory depression with alcohol or sedatives)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psychiatric morbidity</w:t>
            </w:r>
          </w:p>
        </w:tc>
        <w:tc>
          <w:tcPr>
            <w:tcW w:type="dxa" w:w="2980"/>
            <w:vAlign w:val="top"/>
          </w:tcPr>
          <w:p>
            <w:pPr>
              <w:spacing w:after="40" w:before="0" w:line="259" w:lineRule="auto"/>
            </w:pPr>
            <w:r>
              <w:rPr>
                <w:rFonts w:ascii="Calibri" w:hAnsi="Calibri"/>
                <w:b w:val="0"/>
                <w:i w:val="0"/>
                <w:color w:val="212121"/>
                <w:sz w:val="19"/>
              </w:rPr>
              <w:t>Long-term, disabling or partly irreversible outcomes of untreated disease and its comorbidities and treatments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Hypocretin loss and reduced activity drive early weight gain; &gt;50% of NT1 adolescents have a raised BMI and ~25% of NT1 children are obese.</w:t>
            </w:r>
          </w:p>
          <w:p>
            <w:pPr>
              <w:spacing w:after="40" w:before="0" w:line="259" w:lineRule="auto"/>
            </w:pPr>
            <w:r>
              <w:rPr>
                <w:rFonts w:ascii="Calibri" w:hAnsi="Calibri"/>
                <w:b/>
                <w:i w:val="0"/>
                <w:color w:val="212121"/>
                <w:sz w:val="19"/>
              </w:rPr>
              <w:t>~25% (NT1 children)</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link via shared hypocretin biology and disease burden; depression far exceeds control rates.</w:t>
            </w:r>
          </w:p>
          <w:p>
            <w:pPr>
              <w:spacing w:after="40" w:before="0" w:line="259" w:lineRule="auto"/>
            </w:pPr>
            <w:r>
              <w:rPr>
                <w:rFonts w:ascii="Calibri" w:hAnsi="Calibri"/>
                <w:b/>
                <w:i w:val="0"/>
                <w:color w:val="212121"/>
                <w:sz w:val="19"/>
              </w:rPr>
              <w:t>~35.8%</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comorbidity that overlaps with sleep paralysis and hallucinations and worsens quality of life.</w:t>
            </w:r>
          </w:p>
          <w:p>
            <w:pPr>
              <w:spacing w:after="40" w:before="0" w:line="259" w:lineRule="auto"/>
            </w:pPr>
            <w:r>
              <w:rPr>
                <w:rFonts w:ascii="Calibri" w:hAnsi="Calibri"/>
                <w:b/>
                <w:i w:val="0"/>
                <w:color w:val="212121"/>
                <w:sz w:val="19"/>
              </w:rPr>
              <w:t>~25.1%</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Promoted by weight gain; worsens sleepiness and confounds MSLT interpretation.</w:t>
            </w:r>
          </w:p>
          <w:p>
            <w:pPr>
              <w:spacing w:after="40" w:before="0" w:line="259" w:lineRule="auto"/>
            </w:pPr>
            <w:r>
              <w:rPr>
                <w:rFonts w:ascii="Calibri" w:hAnsi="Calibri"/>
                <w:b/>
                <w:i w:val="0"/>
                <w:color w:val="212121"/>
                <w:sz w:val="19"/>
              </w:rPr>
              <w:t>Up to 33%</w:t>
            </w:r>
          </w:p>
        </w:tc>
      </w:tr>
      <w:tr>
        <w:trPr>
          <w:cantSplit/>
        </w:trPr>
        <w:tc>
          <w:tcPr>
            <w:tcW w:type="dxa" w:w="2232"/>
            <w:vAlign w:val="top"/>
          </w:tcPr>
          <w:p>
            <w:pPr>
              <w:spacing w:after="40" w:before="0" w:line="259" w:lineRule="auto"/>
            </w:pPr>
            <w:r>
              <w:rPr>
                <w:rFonts w:ascii="Calibri" w:hAnsi="Calibri"/>
                <w:b/>
                <w:i w:val="0"/>
                <w:color w:val="212121"/>
                <w:sz w:val="19"/>
              </w:rPr>
              <w:t>Metabolic syndrome / Type 2 diabetes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Hypothalamic-metabolic dysregulation and obesity raise cardiometabolic risk, especially in NT1.</w:t>
            </w:r>
          </w:p>
          <w:p>
            <w:pPr>
              <w:spacing w:after="40" w:before="0" w:line="259" w:lineRule="auto"/>
            </w:pPr>
            <w:r>
              <w:rPr>
                <w:rFonts w:ascii="Calibri" w:hAnsi="Calibri"/>
                <w:b/>
                <w:i w:val="0"/>
                <w:color w:val="212121"/>
                <w:sz w:val="19"/>
              </w:rPr>
              <w:t>~18.8% (metabolic syndrome, NT1)</w:t>
            </w:r>
          </w:p>
        </w:tc>
      </w:tr>
      <w:tr>
        <w:trPr>
          <w:cantSplit/>
        </w:trPr>
        <w:tc>
          <w:tcPr>
            <w:tcW w:type="dxa" w:w="2232"/>
            <w:vAlign w:val="top"/>
          </w:tcPr>
          <w:p>
            <w:pPr>
              <w:spacing w:after="40" w:before="0" w:line="259" w:lineRule="auto"/>
            </w:pPr>
            <w:r>
              <w:rPr>
                <w:rFonts w:ascii="Calibri" w:hAnsi="Calibri"/>
                <w:b/>
                <w:i w:val="0"/>
                <w:color w:val="212121"/>
                <w:sz w:val="19"/>
              </w:rPr>
              <w:t>Cardiovascular disease (hypertension, stroke, heart failure)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night-time BP dipping plus stimulant therapy raises cardiovascular risk (stroke HR 1.71, heart failure HR 1.35).</w:t>
            </w:r>
          </w:p>
        </w:tc>
      </w:tr>
      <w:tr>
        <w:trPr>
          <w:cantSplit/>
        </w:trPr>
        <w:tc>
          <w:tcPr>
            <w:tcW w:type="dxa" w:w="2232"/>
            <w:vAlign w:val="top"/>
          </w:tcPr>
          <w:p>
            <w:pPr>
              <w:spacing w:after="40" w:before="0" w:line="259" w:lineRule="auto"/>
            </w:pPr>
            <w:r>
              <w:rPr>
                <w:rFonts w:ascii="Calibri" w:hAnsi="Calibri"/>
                <w:b/>
                <w:i w:val="0"/>
                <w:color w:val="212121"/>
                <w:sz w:val="19"/>
              </w:rPr>
              <w:t>Precocious puberty (children)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Prepubertal-onset narcolepsy is associated with precocious puberty, reflecting wider hypothalamic dysfunction.</w:t>
            </w:r>
          </w:p>
          <w:p>
            <w:pPr>
              <w:spacing w:after="40" w:before="0" w:line="259" w:lineRule="auto"/>
            </w:pPr>
            <w:r>
              <w:rPr>
                <w:rFonts w:ascii="Calibri" w:hAnsi="Calibri"/>
                <w:b/>
                <w:i w:val="0"/>
                <w:color w:val="212121"/>
                <w:sz w:val="19"/>
              </w:rPr>
              <w:t>~16-17% (children)</w:t>
            </w:r>
          </w:p>
        </w:tc>
      </w:tr>
      <w:tr>
        <w:trPr>
          <w:cantSplit/>
        </w:trPr>
        <w:tc>
          <w:tcPr>
            <w:tcW w:type="dxa" w:w="2232"/>
            <w:vAlign w:val="top"/>
          </w:tcPr>
          <w:p>
            <w:pPr>
              <w:spacing w:after="40" w:before="0" w:line="259" w:lineRule="auto"/>
            </w:pPr>
            <w:r>
              <w:rPr>
                <w:rFonts w:ascii="Calibri" w:hAnsi="Calibri"/>
                <w:b/>
                <w:i w:val="0"/>
                <w:color w:val="212121"/>
                <w:sz w:val="19"/>
              </w:rPr>
              <w:t>Attention-deficit / hyperactivity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Daytime sleepiness and inattention overlap with ADHD, and stimulant treatments overlap, complicating diagnosis in children.</w:t>
            </w:r>
          </w:p>
        </w:tc>
      </w:tr>
      <w:tr>
        <w:trPr>
          <w:cantSplit/>
        </w:trPr>
        <w:tc>
          <w:tcPr>
            <w:tcW w:type="dxa" w:w="2232"/>
            <w:vAlign w:val="top"/>
          </w:tcPr>
          <w:p>
            <w:pPr>
              <w:spacing w:after="40" w:before="0" w:line="259" w:lineRule="auto"/>
            </w:pPr>
            <w:r>
              <w:rPr>
                <w:rFonts w:ascii="Calibri" w:hAnsi="Calibri"/>
                <w:b/>
                <w:i w:val="0"/>
                <w:color w:val="212121"/>
                <w:sz w:val="19"/>
              </w:rPr>
              <w:t>REM sleep behaviour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REM instability underlying narcolepsy predisposes to dream-enactment, especially in type 1.</w:t>
            </w:r>
          </w:p>
        </w:tc>
      </w:tr>
      <w:tr>
        <w:trPr>
          <w:cantSplit/>
        </w:trPr>
        <w:tc>
          <w:tcPr>
            <w:tcW w:type="dxa" w:w="2232"/>
            <w:vAlign w:val="top"/>
          </w:tcPr>
          <w:p>
            <w:pPr>
              <w:spacing w:after="40" w:before="0" w:line="259" w:lineRule="auto"/>
            </w:pPr>
            <w:r>
              <w:rPr>
                <w:rFonts w:ascii="Calibri" w:hAnsi="Calibri"/>
                <w:b/>
                <w:i w:val="0"/>
                <w:color w:val="212121"/>
                <w:sz w:val="19"/>
              </w:rPr>
              <w:t>Restless legs syndrome / periodic limb movements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 and further fragment the already-disrupted night-time sleep.</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narcolepsy is a lifelong neurological disorder of sleep-wake control, not laziness or a lack of willpower.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core features - overwhelming daytime sleepiness and, in type 1, emotion-triggered muscle weakness (cataplexy) - and seek referral to a sleep specialist for MSLT-based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driving and machinery safety seriously: avoid driving when sleepy, use planned naps before travel, and follow local fitness-to-drive rules.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wake-promoting and anticataplectic medicines and never stop anticataplectic drugs abruptly (risk of status cataplecticus).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the diagnosis to school or employer to obtain reasonable accommodations (nap breaks, flexible timing).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 and machine operators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children with narcolepsy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2-3 short (15-20 minute) planned naps spread across the day to reduce sleep pressure and sleep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with a fixed bedtime and wake time, including weekends.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night-time sleep and practise good sleep hygiene (dark, quiet, cool room; no screens or stimulants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chronic sleep deprivation, rotating shifts and long monotonous tasks where feasible.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measures with medication rather than relying on either alone.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Poorly controlled sleepiness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activity (about 150 minutes/week) to counter the weight gain that begins soon after onset.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activity earlier in the day and pair it with a planned nap to manage post-exertion sleepiness.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safer exercise forms and settings given the risk of cataplexy or sudden sleepiness (e.g. avoid unsupervised swimming or heights).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as part of a weight-management plan to lower obstructive sleep apnoea and cardiometabolic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post-onset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calorie-controlled diet, as hypocretin loss increases appetite and up to 74% of affected children become overweight or obese.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high-glycaemic and large meals that worsen post-prandial sleepiness.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dietary sodium and follow heart-healthy eating, since narcolepsy carries added hypertension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weight, glucose and lipids regularly, especially while on wake-promoting stimulants.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narcolepsy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stimulants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Cardiometabolic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which deepens sleepiness, fragments sleep and increases the danger of sleep attacks and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combine alcohol with sodium oxybate or other sedatives because of the risk of severe respiratory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a sleep aid; it worsens the fragmented night-time sleep of narcolepsy.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misuse, which compounds accident and cardiometabolic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sodium oxybate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Regular/evening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unintentional sleep during a sleep attack while smoking is a serious burn and fire hazard.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in bed or when drowsy or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nicotine also fragments night-time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second-hand smoke exposure for children with narcolepsy.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sleep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a child with narcolepsy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depression and anxiety, which affect roughly a third and a quarter of patients respectively.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cognitive behavioural strategies and patient support groups to address stigma and the psychosocial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cataplexy coexists with low mood, consider antidepressants (e.g. venlafaxine or an SSRI) that also suppress cataplexy, under specialist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care between sleep medicine and mental-health services, and monitor for medication interactions.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Reassess mood and quality of life at each review, as psychiatric comorbidity strongly affects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1 narcolepsy with cataplexy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59236/" TargetMode="External"/><Relationship Id="rId10" Type="http://schemas.openxmlformats.org/officeDocument/2006/relationships/hyperlink" Target="https://pubmed.ncbi.nlm.nih.gov/31736566/" TargetMode="External"/><Relationship Id="rId11" Type="http://schemas.openxmlformats.org/officeDocument/2006/relationships/hyperlink" Target="https://pubmed.ncbi.nlm.nih.gov/27707443/" TargetMode="External"/><Relationship Id="rId12" Type="http://schemas.openxmlformats.org/officeDocument/2006/relationships/hyperlink" Target="https://pubmed.ncbi.nlm.nih.gov/23372264/" TargetMode="External"/><Relationship Id="rId13" Type="http://schemas.openxmlformats.org/officeDocument/2006/relationships/hyperlink" Target="https://pubmed.ncbi.nlm.nih.gov/30574118/" TargetMode="External"/><Relationship Id="rId14" Type="http://schemas.openxmlformats.org/officeDocument/2006/relationships/hyperlink" Target="https://pubmed.ncbi.nlm.nih.gov/27835717/" TargetMode="External"/><Relationship Id="rId15" Type="http://schemas.openxmlformats.org/officeDocument/2006/relationships/hyperlink" Target="https://pubmed.ncbi.nlm.nih.gov/373059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