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Any Mental Disorder (current)</w:t>
      </w:r>
    </w:p>
    <w:p>
      <w:pPr>
        <w:spacing w:before="0" w:after="160"/>
      </w:pPr>
      <w:r>
        <w:rPr>
          <w:rFonts w:ascii="Calibri" w:hAnsi="Calibri"/>
          <w:b/>
          <w:i w:val="0"/>
          <w:color w:val="212121"/>
          <w:sz w:val="22"/>
        </w:rPr>
        <w:t xml:space="preserve">AKA </w:t>
      </w:r>
      <w:r>
        <w:rPr>
          <w:rFonts w:ascii="Calibri" w:hAnsi="Calibri"/>
          <w:b w:val="0"/>
          <w:i w:val="0"/>
          <w:color w:val="212121"/>
          <w:sz w:val="22"/>
        </w:rPr>
        <w:t>i.e., Current mental morbidity, Any mental illness (AMI), Psychiatric disorder (any/current), Common &amp; severe mental disorders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“Any mental disorder (current)” is an umbrella epidemiological indicator denoting the presence, at the time of assessment, of one or more clinically significant mental or behavioural disorders as classified under ICD-10 (F00–F99) or DSM-5. A mental disorder is characterised by a clinically significant disturbance in an individual's cognition, emotional regulation, or behaviour, usually associated with distress or impairment in personal, social or occupational functioning. The category is a composite that spans mood (affective) disorders, neurotic/anxiety/stress-related disorders, substance-use disorders, psychotic disorders and organic mental disorders, and is the core metric used by population surveys such as India's National Mental Health Survey (NMHS).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India's National Mental Health Survey (NMHS) 2015–16 estimated the current (point) prevalence of any mental morbidity in adults at 10.6% (10.56%), with a lifetime prevalence of 13.7% — equating to nearly 150 million Indians needing active mental-health intervention at any given time. Prevalence was higher among men, middle-aged adults and urban-metro residents, and the treatment gap for mental disorders exceeded 80% (about 85% for common mental disorders). Mental disorders account for roughly 2,443 disability-adjusted life years (DALYs) per 100,000 population in India, and mental-health conditions are projected to cost the country about USD 1.03 trillion between 2012 and 2030.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Because this is a composite category, a person is counted as having a current mental disorder when they meet standardised criteria for at least one specific condition on structured assessment. In the NMHS the Mini International Neuropsychiatric Interview (MINI 6.0) was used; in clinical practice ICD-10 DCR, DSM-5 or structured tools (SCID) are applied.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clinically significant disturbance in cognition, emotional regulation or behaviour is present (ICD-10 / DSM-5);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presentation fulfils diagnostic criteria for at least one specific disorder (ICD-10 F00–F99 or DSM-5 equivalent);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symptoms are present currently or within the defined recency window (point/current prevalence, e.g., the preceding month) — distinguishing “current” from “lifetime” morbidity;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associated with distress or with impairment in social, occupational or other important areas of functioning;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picture is not merely an expected/culturally sanctioned response to a stressor and is not fully attributable to another medical condition (unless a substance-use or organic disorder is itself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assessment uses a validated structured instrument (MINI 6.0, SCID, or ICD-10 DCR) with corroborating history where available.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“Any mental disorder” aggregates the major ICD-10 diagnostic blocks; for service planning these are often collapsed into common mental disorders (CMD) versus severe mental disorders (SMD). The principal groupings are:</w:t>
      </w:r>
    </w:p>
    <w:p>
      <w:pPr>
        <w:spacing w:before="0" w:after="80"/>
      </w:pPr>
      <w:r>
        <w:rPr>
          <w:rFonts w:ascii="Calibri" w:hAnsi="Calibri"/>
          <w:b w:val="0"/>
          <w:i w:val="0"/>
          <w:color w:val="212121"/>
          <w:sz w:val="21"/>
        </w:rPr>
        <w:t>(1) Mood [affective] disorders (F30–F39) — depressive disorder, recurrent depression and bipolar affective disorder; among the largest single contributors to current morbidity;</w:t>
      </w:r>
    </w:p>
    <w:p>
      <w:pPr>
        <w:spacing w:before="0" w:after="80"/>
      </w:pPr>
      <w:r>
        <w:rPr>
          <w:rFonts w:ascii="Calibri" w:hAnsi="Calibri"/>
          <w:b w:val="0"/>
          <w:i w:val="0"/>
          <w:color w:val="212121"/>
          <w:sz w:val="21"/>
        </w:rPr>
        <w:t>(2) Neurotic, stress-related and somatoform disorders (F40–F48) — generalized anxiety, panic, phobias, OCD, PTSD and somatoform/dissociative disorders (the “common mental disorders”, frequently presenting with somatic complaints in India);</w:t>
      </w:r>
    </w:p>
    <w:p>
      <w:pPr>
        <w:spacing w:before="0" w:after="80"/>
      </w:pPr>
      <w:r>
        <w:rPr>
          <w:rFonts w:ascii="Calibri" w:hAnsi="Calibri"/>
          <w:b w:val="0"/>
          <w:i w:val="0"/>
          <w:color w:val="212121"/>
          <w:sz w:val="21"/>
        </w:rPr>
        <w:t>(3) Mental &amp; behavioural disorders due to psychoactive substance use (F10–F19) — alcohol-, tobacco- and drug-use disorders, a major and male-predominant contributor to Indian mental morbidity;</w:t>
      </w:r>
    </w:p>
    <w:p>
      <w:pPr>
        <w:spacing w:before="0" w:after="80"/>
      </w:pPr>
      <w:r>
        <w:rPr>
          <w:rFonts w:ascii="Calibri" w:hAnsi="Calibri"/>
          <w:b w:val="0"/>
          <w:i w:val="0"/>
          <w:color w:val="212121"/>
          <w:sz w:val="21"/>
        </w:rPr>
        <w:t>(4) Schizophrenia, schizotypal and delusional disorders (F20–F29) — the core “severe mental disorders” with high disability and mortality;</w:t>
      </w:r>
    </w:p>
    <w:p>
      <w:pPr>
        <w:spacing w:before="0" w:after="80"/>
      </w:pPr>
      <w:r>
        <w:rPr>
          <w:rFonts w:ascii="Calibri" w:hAnsi="Calibri"/>
          <w:b w:val="0"/>
          <w:i w:val="0"/>
          <w:color w:val="212121"/>
          <w:sz w:val="21"/>
        </w:rPr>
        <w:t>(5) Organic, including symptomatic, mental disorders (F00–F09) — dementias and delirium, rising with population ageing; and</w:t>
      </w:r>
    </w:p>
    <w:p>
      <w:pPr>
        <w:spacing w:before="0" w:after="80"/>
      </w:pPr>
      <w:r>
        <w:rPr>
          <w:rFonts w:ascii="Calibri" w:hAnsi="Calibri"/>
          <w:b w:val="0"/>
          <w:i w:val="0"/>
          <w:color w:val="212121"/>
          <w:sz w:val="21"/>
        </w:rPr>
        <w:t>(6) Other specified groups — behavioural syndromes (eating and sleep disorders, F50–F59), personality disorders (F60–F69), intellectual disability (F70–F79) and childhood/adolescent-onset disorders (F80–F98).</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 heritable predisposition: Mental disorders cluster in families; heritability is high for schizophrenia and bipolar disorder and moderate for depression and anxiety, reflecting polygenic risk interacting with environment.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dysregulation: Disturbances in monoamine (serotonin, dopamine, noradrenaline), glutamate/GABA and stress (HPA-axis) systems, plus neuro-inflammation, underlie mood, anxiety and psychotic disorders.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Psychosocial adversity &amp; stress: Adverse childhood experiences, trauma, bereavement, violence, unemployment, debt and social exclusion strongly raise risk and can precipitate episodes.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Substance use: Alcohol, tobacco and drug use both constitute mental/behavioural disorders and worsen or trigger mood, anxiety and psychotic conditions.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Chronic physical illness &amp; disability: Diabetes, cardiovascular disease, chronic pain, epilepsy, HIV/TB and disability share risk factors with, and bidirectionally increase, mental morbidity.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Socio-demographic &amp; structural factors: Poverty, low education, female disadvantage, urban migration and a treatment gap above 80% amplify onset, chronicity and disability in the Indian context.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30–49 yrs)</w:t>
            </w:r>
          </w:p>
        </w:tc>
        <w:tc>
          <w:tcPr>
            <w:tcW w:type="dxa" w:w="4276"/>
            <w:vAlign w:val="top"/>
          </w:tcPr>
          <w:p>
            <w:pPr>
              <w:spacing w:after="60" w:line="259" w:lineRule="auto"/>
            </w:pPr>
            <w:r>
              <w:rPr>
                <w:rFonts w:ascii="Calibri" w:hAnsi="Calibri"/>
                <w:b w:val="0"/>
                <w:i w:val="0"/>
                <w:color w:val="212121"/>
                <w:sz w:val="19"/>
              </w:rPr>
              <w:t>Prevalence of current mental morbidity peaks in middle adulthood, when occupational, financial and family pressures, urban migration and cumulative substance use converge with peak incidence of mood, anxiety and substance-use disorders.</w:t>
            </w:r>
          </w:p>
          <w:p>
            <w:pPr>
              <w:spacing w:after="40" w:before="60" w:line="259" w:lineRule="auto"/>
            </w:pPr>
            <w:r>
              <w:rPr>
                <w:rFonts w:ascii="Calibri" w:hAnsi="Calibri"/>
                <w:b w:val="0"/>
                <w:i w:val="0"/>
                <w:color w:val="212121"/>
                <w:sz w:val="19"/>
              </w:rPr>
              <w:t>NMHS 2015–16: current prevalence of any mental morbidity in Indian adults 10.6% (10.56%); highest in the productive middle-aged group.</w:t>
            </w:r>
          </w:p>
          <w:p>
            <w:pPr>
              <w:spacing w:after="40" w:line="252" w:lineRule="auto"/>
            </w:pPr>
            <w:hyperlink r:id="rId9">
              <w:r>
                <w:rPr>
                  <w:rFonts w:ascii="Calibri" w:hAnsi="Calibri" w:cs="Calibri"/>
                  <w:sz w:val="18"/>
                  <w:color w:val="1155CC"/>
                  <w:u w:val="single"/>
                </w:rPr>
                <w:t xml:space="preserve">journals.sagepub.com — NMHS 2016 prevalence &amp; treatment gap</w:t>
              </w:r>
            </w:hyperlink>
          </w:p>
          <w:p>
            <w:pPr>
              <w:spacing w:before="60" w:after="40"/>
            </w:pPr>
            <w:r>
              <w:rPr>
                <w:rFonts w:ascii="Calibri" w:hAnsi="Calibri"/>
                <w:b w:val="0"/>
                <w:i w:val="0"/>
                <w:color w:val="5A5A5A"/>
                <w:sz w:val="18"/>
              </w:rPr>
              <w:t>#mentalmorbidity  #workingage  #urbanstress  #treatmentgap  #NMHS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yrs)</w:t>
            </w:r>
          </w:p>
        </w:tc>
        <w:tc>
          <w:tcPr>
            <w:tcW w:type="dxa" w:w="4276"/>
            <w:vAlign w:val="top"/>
          </w:tcPr>
          <w:p>
            <w:pPr>
              <w:spacing w:after="60" w:line="259" w:lineRule="auto"/>
            </w:pPr>
            <w:r>
              <w:rPr>
                <w:rFonts w:ascii="Calibri" w:hAnsi="Calibri"/>
                <w:b w:val="0"/>
                <w:i w:val="0"/>
                <w:color w:val="212121"/>
                <w:sz w:val="19"/>
              </w:rPr>
              <w:t>Late life brings a rising burden of organic disorders (dementia, delirium) and late-onset depression, driven by neurodegeneration, sensory decline, bereavement, isolation and multimorbidity/polypharmacy.</w:t>
            </w:r>
          </w:p>
          <w:p>
            <w:pPr>
              <w:spacing w:after="40" w:before="60" w:line="259" w:lineRule="auto"/>
            </w:pPr>
            <w:r>
              <w:rPr>
                <w:rFonts w:ascii="Calibri" w:hAnsi="Calibri"/>
                <w:b w:val="0"/>
                <w:i w:val="0"/>
                <w:color w:val="212121"/>
                <w:sz w:val="19"/>
              </w:rPr>
              <w:t>India's mental-health burden is about 2,443 DALYs per 100,000 population and is rising with population ageing (WHO India).</w:t>
            </w:r>
          </w:p>
          <w:p>
            <w:pPr>
              <w:spacing w:after="40" w:line="252" w:lineRule="auto"/>
            </w:pPr>
            <w:hyperlink r:id="rId10">
              <w:r>
                <w:rPr>
                  <w:rFonts w:ascii="Calibri" w:hAnsi="Calibri" w:cs="Calibri"/>
                  <w:sz w:val="18"/>
                  <w:color w:val="1155CC"/>
                  <w:u w:val="single"/>
                </w:rPr>
                <w:t xml:space="preserve">who.int/india — mental health burden (DALYs)</w:t>
              </w:r>
            </w:hyperlink>
          </w:p>
          <w:p>
            <w:pPr>
              <w:spacing w:before="60" w:after="40"/>
            </w:pPr>
            <w:r>
              <w:rPr>
                <w:rFonts w:ascii="Calibri" w:hAnsi="Calibri"/>
                <w:b w:val="0"/>
                <w:i w:val="0"/>
                <w:color w:val="5A5A5A"/>
                <w:sz w:val="18"/>
              </w:rPr>
              <w:t>#latelifedepression  #dementia  #ageing  #isolation  #multimorbidity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Overall current morbidity is higher in Indian men, largely driven by alcohol-, tobacco- and other substance-use disorders and by higher suicide rates, compounded by help-seeking stigma.</w:t>
            </w:r>
          </w:p>
          <w:p>
            <w:pPr>
              <w:spacing w:after="40" w:before="60" w:line="259" w:lineRule="auto"/>
            </w:pPr>
            <w:r>
              <w:rPr>
                <w:rFonts w:ascii="Calibri" w:hAnsi="Calibri"/>
                <w:b w:val="0"/>
                <w:i w:val="0"/>
                <w:color w:val="212121"/>
                <w:sz w:val="19"/>
              </w:rPr>
              <w:t>NMHS 2015–16 found higher overall prevalence of mental morbidity among males than females, with substance-use disorders a major male-predominant contributor.</w:t>
            </w:r>
          </w:p>
          <w:p>
            <w:pPr>
              <w:spacing w:after="40" w:line="252" w:lineRule="auto"/>
            </w:pPr>
            <w:hyperlink r:id="rId9">
              <w:r>
                <w:rPr>
                  <w:rFonts w:ascii="Calibri" w:hAnsi="Calibri" w:cs="Calibri"/>
                  <w:sz w:val="18"/>
                  <w:color w:val="1155CC"/>
                  <w:u w:val="single"/>
                </w:rPr>
                <w:t xml:space="preserve">journals.sagepub.com — NMHS sex differences</w:t>
              </w:r>
            </w:hyperlink>
          </w:p>
          <w:p>
            <w:pPr>
              <w:spacing w:before="60" w:after="40"/>
            </w:pPr>
            <w:r>
              <w:rPr>
                <w:rFonts w:ascii="Calibri" w:hAnsi="Calibri"/>
                <w:b w:val="0"/>
                <w:i w:val="0"/>
                <w:color w:val="5A5A5A"/>
                <w:sz w:val="18"/>
              </w:rPr>
              <w:t>#males  #substanceuse  #alcohol  #suicide  #stigma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carry a disproportionate burden of depression and anxiety, reflecting hormonal transitions (perinatal, perimenopausal), gender-based violence, caregiving load and social disadvantage.</w:t>
            </w:r>
          </w:p>
          <w:p>
            <w:pPr>
              <w:spacing w:after="40" w:before="60" w:line="259" w:lineRule="auto"/>
            </w:pPr>
            <w:r>
              <w:rPr>
                <w:rFonts w:ascii="Calibri" w:hAnsi="Calibri"/>
                <w:b w:val="0"/>
                <w:i w:val="0"/>
                <w:color w:val="212121"/>
                <w:sz w:val="19"/>
              </w:rPr>
              <w:t>Depression is about 1.5× more common in women (6.9%) than men (4.6%); &gt;10% of pregnant and postpartum women experience depression (WHO).</w:t>
            </w:r>
          </w:p>
          <w:p>
            <w:pPr>
              <w:spacing w:after="40" w:line="252" w:lineRule="auto"/>
            </w:pPr>
            <w:hyperlink r:id="rId11">
              <w:r>
                <w:rPr>
                  <w:rFonts w:ascii="Calibri" w:hAnsi="Calibri" w:cs="Calibri"/>
                  <w:sz w:val="18"/>
                  <w:color w:val="1155CC"/>
                  <w:u w:val="single"/>
                </w:rPr>
                <w:t xml:space="preserve">who.int — depression fact sheet (sex differences)</w:t>
              </w:r>
            </w:hyperlink>
          </w:p>
          <w:p>
            <w:pPr>
              <w:spacing w:before="60" w:after="40"/>
            </w:pPr>
            <w:r>
              <w:rPr>
                <w:rFonts w:ascii="Calibri" w:hAnsi="Calibri"/>
                <w:b w:val="0"/>
                <w:i w:val="0"/>
                <w:color w:val="5A5A5A"/>
                <w:sz w:val="18"/>
              </w:rPr>
              <w:t>#women  #depression  #perinatal  #anxiety  #GBV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 low education households</w:t>
            </w:r>
          </w:p>
        </w:tc>
        <w:tc>
          <w:tcPr>
            <w:tcW w:type="dxa" w:w="4276"/>
            <w:vAlign w:val="top"/>
          </w:tcPr>
          <w:p>
            <w:pPr>
              <w:spacing w:after="60" w:line="259" w:lineRule="auto"/>
            </w:pPr>
            <w:r>
              <w:rPr>
                <w:rFonts w:ascii="Calibri" w:hAnsi="Calibri"/>
                <w:b w:val="0"/>
                <w:i w:val="0"/>
                <w:color w:val="212121"/>
                <w:sz w:val="19"/>
              </w:rPr>
              <w:t>Poverty, indebtedness, food insecurity and low education operate bidirectionally with mental illness — deprivation raises onset and chronicity while illness erodes earning capacity (‘drift’).</w:t>
            </w:r>
          </w:p>
          <w:p>
            <w:pPr>
              <w:spacing w:after="40" w:before="60" w:line="259" w:lineRule="auto"/>
            </w:pPr>
            <w:r>
              <w:rPr>
                <w:rFonts w:ascii="Calibri" w:hAnsi="Calibri"/>
                <w:b w:val="0"/>
                <w:i w:val="0"/>
                <w:color w:val="212121"/>
                <w:sz w:val="19"/>
              </w:rPr>
              <w:t>NMHS 2015–16: mental morbidity was higher among those with lower household income and lower education.</w:t>
            </w:r>
          </w:p>
          <w:p>
            <w:pPr>
              <w:spacing w:after="40" w:line="252" w:lineRule="auto"/>
            </w:pPr>
            <w:hyperlink r:id="rId9">
              <w:r>
                <w:rPr>
                  <w:rFonts w:ascii="Calibri" w:hAnsi="Calibri" w:cs="Calibri"/>
                  <w:sz w:val="18"/>
                  <w:color w:val="1155CC"/>
                  <w:u w:val="single"/>
                </w:rPr>
                <w:t xml:space="preserve">journals.sagepub.com — NMHS socio-economic correlates</w:t>
              </w:r>
            </w:hyperlink>
          </w:p>
          <w:p>
            <w:pPr>
              <w:spacing w:before="60" w:after="40"/>
            </w:pPr>
            <w:r>
              <w:rPr>
                <w:rFonts w:ascii="Calibri" w:hAnsi="Calibri"/>
                <w:b w:val="0"/>
                <w:i w:val="0"/>
                <w:color w:val="5A5A5A"/>
                <w:sz w:val="18"/>
              </w:rPr>
              <w:t>#poverty  #loweducation  #socialdrift  #inequity  #debt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Urban-metropolitan residents</w:t>
            </w:r>
          </w:p>
        </w:tc>
        <w:tc>
          <w:tcPr>
            <w:tcW w:type="dxa" w:w="4276"/>
            <w:vAlign w:val="top"/>
          </w:tcPr>
          <w:p>
            <w:pPr>
              <w:spacing w:after="60" w:line="259" w:lineRule="auto"/>
            </w:pPr>
            <w:r>
              <w:rPr>
                <w:rFonts w:ascii="Calibri" w:hAnsi="Calibri"/>
                <w:b w:val="0"/>
                <w:i w:val="0"/>
                <w:color w:val="212121"/>
                <w:sz w:val="19"/>
              </w:rPr>
              <w:t>Metro living concentrates migration, social fragmentation, long work hours, financial pressure and substance availability, while nuclear-family living reduces traditional social support.</w:t>
            </w:r>
          </w:p>
          <w:p>
            <w:pPr>
              <w:spacing w:after="40" w:before="60" w:line="259" w:lineRule="auto"/>
            </w:pPr>
            <w:r>
              <w:rPr>
                <w:rFonts w:ascii="Calibri" w:hAnsi="Calibri"/>
                <w:b w:val="0"/>
                <w:i w:val="0"/>
                <w:color w:val="212121"/>
                <w:sz w:val="19"/>
              </w:rPr>
              <w:t>NMHS 2015–16: prevalence of mental morbidity was highest in urban-metro areas compared with urban non-metro and rural areas.</w:t>
            </w:r>
          </w:p>
          <w:p>
            <w:pPr>
              <w:spacing w:after="40" w:line="252" w:lineRule="auto"/>
            </w:pPr>
            <w:hyperlink r:id="rId9">
              <w:r>
                <w:rPr>
                  <w:rFonts w:ascii="Calibri" w:hAnsi="Calibri" w:cs="Calibri"/>
                  <w:sz w:val="18"/>
                  <w:color w:val="1155CC"/>
                  <w:u w:val="single"/>
                </w:rPr>
                <w:t xml:space="preserve">journals.sagepub.com — NMHS urban-metro gradient</w:t>
              </w:r>
            </w:hyperlink>
          </w:p>
          <w:p>
            <w:pPr>
              <w:spacing w:before="60" w:after="40"/>
            </w:pPr>
            <w:r>
              <w:rPr>
                <w:rFonts w:ascii="Calibri" w:hAnsi="Calibri"/>
                <w:b w:val="0"/>
                <w:i w:val="0"/>
                <w:color w:val="5A5A5A"/>
                <w:sz w:val="18"/>
              </w:rPr>
              <w:t>#urbanmetro  #migration  #worklife  #socialisolation  #citystress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Disaster-, conflict- and high-suicide-belt districts</w:t>
            </w:r>
          </w:p>
        </w:tc>
        <w:tc>
          <w:tcPr>
            <w:tcW w:type="dxa" w:w="4276"/>
            <w:vAlign w:val="top"/>
          </w:tcPr>
          <w:p>
            <w:pPr>
              <w:spacing w:after="60" w:line="259" w:lineRule="auto"/>
            </w:pPr>
            <w:r>
              <w:rPr>
                <w:rFonts w:ascii="Calibri" w:hAnsi="Calibri"/>
                <w:b w:val="0"/>
                <w:i w:val="0"/>
                <w:color w:val="212121"/>
                <w:sz w:val="19"/>
              </w:rPr>
              <w:t>Mental morbidity varies markedly across Indian states and settings; agrarian distress belts, disaster-affected and conflict-affected regions show elevated depression, PTSD, alcohol use and suicide.</w:t>
            </w:r>
          </w:p>
          <w:p>
            <w:pPr>
              <w:spacing w:after="40" w:before="60" w:line="259" w:lineRule="auto"/>
            </w:pPr>
            <w:r>
              <w:rPr>
                <w:rFonts w:ascii="Calibri" w:hAnsi="Calibri"/>
                <w:b w:val="0"/>
                <w:i w:val="0"/>
                <w:color w:val="212121"/>
                <w:sz w:val="19"/>
              </w:rPr>
              <w:t>Globally about 1 in 7 people (over 1.1 billion) live with a mental disorder, underscoring the scale of unmet need across settings (WHO, 2021).</w:t>
            </w:r>
          </w:p>
          <w:p>
            <w:pPr>
              <w:spacing w:after="40" w:line="252" w:lineRule="auto"/>
            </w:pPr>
            <w:hyperlink r:id="rId12">
              <w:r>
                <w:rPr>
                  <w:rFonts w:ascii="Calibri" w:hAnsi="Calibri" w:cs="Calibri"/>
                  <w:sz w:val="18"/>
                  <w:color w:val="1155CC"/>
                  <w:u w:val="single"/>
                </w:rPr>
                <w:t xml:space="preserve">who.int — mental disorders fact sheet</w:t>
              </w:r>
            </w:hyperlink>
          </w:p>
          <w:p>
            <w:pPr>
              <w:spacing w:before="60" w:after="40"/>
            </w:pPr>
            <w:r>
              <w:rPr>
                <w:rFonts w:ascii="Calibri" w:hAnsi="Calibri"/>
                <w:b w:val="0"/>
                <w:i w:val="0"/>
                <w:color w:val="5A5A5A"/>
                <w:sz w:val="18"/>
              </w:rPr>
              <w:t>#interstatevariation  #agrariandistress  #disaster  #PTSD  #suicidebelt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physically inactive</w:t>
            </w:r>
          </w:p>
        </w:tc>
        <w:tc>
          <w:tcPr>
            <w:tcW w:type="dxa" w:w="2160"/>
            <w:vAlign w:val="top"/>
          </w:tcPr>
          <w:p>
            <w:pPr>
              <w:spacing w:after="40" w:before="0" w:line="259" w:lineRule="auto"/>
            </w:pPr>
            <w:r>
              <w:rPr>
                <w:rFonts w:ascii="Calibri" w:hAnsi="Calibri"/>
                <w:b w:val="0"/>
                <w:i w:val="0"/>
                <w:color w:val="212121"/>
                <w:sz w:val="19"/>
              </w:rPr>
              <w:t>Screen-bound, sedentary adults</w:t>
            </w:r>
          </w:p>
        </w:tc>
        <w:tc>
          <w:tcPr>
            <w:tcW w:type="dxa" w:w="4276"/>
            <w:vAlign w:val="top"/>
          </w:tcPr>
          <w:p>
            <w:pPr>
              <w:spacing w:after="60" w:line="259" w:lineRule="auto"/>
            </w:pPr>
            <w:r>
              <w:rPr>
                <w:rFonts w:ascii="Calibri" w:hAnsi="Calibri"/>
                <w:b w:val="0"/>
                <w:i w:val="0"/>
                <w:color w:val="212121"/>
                <w:sz w:val="19"/>
              </w:rPr>
              <w:t>Physical inactivity is a modifiable risk factor for depression and anxiety; exercise improves mood, sleep and cognition via endorphin, BDNF and HPA-axis pathways.</w:t>
            </w:r>
          </w:p>
          <w:p>
            <w:pPr>
              <w:spacing w:after="40" w:before="60" w:line="259" w:lineRule="auto"/>
            </w:pPr>
            <w:r>
              <w:rPr>
                <w:rFonts w:ascii="Calibri" w:hAnsi="Calibri"/>
                <w:b w:val="0"/>
                <w:i w:val="0"/>
                <w:color w:val="212121"/>
                <w:sz w:val="19"/>
              </w:rPr>
              <w:t>WHO: regular physical activity reduces symptoms of depression and anxiety; adults need ≥150 min/week of moderate activity, and inactivity raises all-cause mortality risk 20–30%.</w:t>
            </w:r>
          </w:p>
          <w:p>
            <w:pPr>
              <w:spacing w:after="40" w:line="252" w:lineRule="auto"/>
            </w:pPr>
            <w:hyperlink r:id="rId13">
              <w:r>
                <w:rPr>
                  <w:rFonts w:ascii="Calibri" w:hAnsi="Calibri" w:cs="Calibri"/>
                  <w:sz w:val="18"/>
                  <w:color w:val="1155CC"/>
                  <w:u w:val="single"/>
                </w:rPr>
                <w:t xml:space="preserve">who.int — physical activity &amp; mental health</w:t>
              </w:r>
            </w:hyperlink>
          </w:p>
          <w:p>
            <w:pPr>
              <w:spacing w:before="60" w:after="40"/>
            </w:pPr>
            <w:r>
              <w:rPr>
                <w:rFonts w:ascii="Calibri" w:hAnsi="Calibri"/>
                <w:b w:val="0"/>
                <w:i w:val="0"/>
                <w:color w:val="5A5A5A"/>
                <w:sz w:val="18"/>
              </w:rPr>
              <w:t>#sedentary  #exercise  #endorphins  #lowactivity  #screentime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 use</w:t>
            </w:r>
          </w:p>
        </w:tc>
        <w:tc>
          <w:tcPr>
            <w:tcW w:type="dxa" w:w="2160"/>
            <w:vAlign w:val="top"/>
          </w:tcPr>
          <w:p>
            <w:pPr>
              <w:spacing w:after="40" w:before="0" w:line="259" w:lineRule="auto"/>
            </w:pPr>
            <w:r>
              <w:rPr>
                <w:rFonts w:ascii="Calibri" w:hAnsi="Calibri"/>
                <w:b w:val="0"/>
                <w:i w:val="0"/>
                <w:color w:val="212121"/>
                <w:sz w:val="19"/>
              </w:rPr>
              <w:t>Alcohol, tobacco &amp; drug users</w:t>
            </w:r>
          </w:p>
        </w:tc>
        <w:tc>
          <w:tcPr>
            <w:tcW w:type="dxa" w:w="4276"/>
            <w:vAlign w:val="top"/>
          </w:tcPr>
          <w:p>
            <w:pPr>
              <w:spacing w:after="60" w:line="259" w:lineRule="auto"/>
            </w:pPr>
            <w:r>
              <w:rPr>
                <w:rFonts w:ascii="Calibri" w:hAnsi="Calibri"/>
                <w:b w:val="0"/>
                <w:i w:val="0"/>
                <w:color w:val="212121"/>
                <w:sz w:val="19"/>
              </w:rPr>
              <w:t>Substance-use disorders are themselves mental/behavioural disorders and strongly co-occur with mood, anxiety and psychotic disorders, worsening course, adherence and suicide risk.</w:t>
            </w:r>
          </w:p>
          <w:p>
            <w:pPr>
              <w:spacing w:after="40" w:before="60" w:line="259" w:lineRule="auto"/>
            </w:pPr>
            <w:r>
              <w:rPr>
                <w:rFonts w:ascii="Calibri" w:hAnsi="Calibri"/>
                <w:b w:val="0"/>
                <w:i w:val="0"/>
                <w:color w:val="212121"/>
                <w:sz w:val="19"/>
              </w:rPr>
              <w:t>NMHS 2015–16 identified psychoactive substance-use disorders as one of the largest contributors to India's current mental morbidity, predominantly in men.</w:t>
            </w:r>
          </w:p>
          <w:p>
            <w:pPr>
              <w:spacing w:after="40" w:line="252" w:lineRule="auto"/>
            </w:pPr>
            <w:hyperlink r:id="rId9">
              <w:r>
                <w:rPr>
                  <w:rFonts w:ascii="Calibri" w:hAnsi="Calibri" w:cs="Calibri"/>
                  <w:sz w:val="18"/>
                  <w:color w:val="1155CC"/>
                  <w:u w:val="single"/>
                </w:rPr>
                <w:t xml:space="preserve">journals.sagepub.com — NMHS substance-use burden</w:t>
              </w:r>
            </w:hyperlink>
          </w:p>
          <w:p>
            <w:pPr>
              <w:spacing w:before="60" w:after="40"/>
            </w:pPr>
            <w:r>
              <w:rPr>
                <w:rFonts w:ascii="Calibri" w:hAnsi="Calibri"/>
                <w:b w:val="0"/>
                <w:i w:val="0"/>
                <w:color w:val="5A5A5A"/>
                <w:sz w:val="18"/>
              </w:rPr>
              <w:t>#alcohol  #tobacco  #substanceuse  #dualdiagnosis  #dependence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 shift work</w:t>
            </w:r>
          </w:p>
        </w:tc>
        <w:tc>
          <w:tcPr>
            <w:tcW w:type="dxa" w:w="2160"/>
            <w:vAlign w:val="top"/>
          </w:tcPr>
          <w:p>
            <w:pPr>
              <w:spacing w:after="40" w:before="0" w:line="259" w:lineRule="auto"/>
            </w:pPr>
            <w:r>
              <w:rPr>
                <w:rFonts w:ascii="Calibri" w:hAnsi="Calibri"/>
                <w:b w:val="0"/>
                <w:i w:val="0"/>
                <w:color w:val="212121"/>
                <w:sz w:val="19"/>
              </w:rPr>
              <w:t>Shift workers &amp; the chronically sleep-deprived</w:t>
            </w:r>
          </w:p>
        </w:tc>
        <w:tc>
          <w:tcPr>
            <w:tcW w:type="dxa" w:w="4276"/>
            <w:vAlign w:val="top"/>
          </w:tcPr>
          <w:p>
            <w:pPr>
              <w:spacing w:after="60" w:line="259" w:lineRule="auto"/>
            </w:pPr>
            <w:r>
              <w:rPr>
                <w:rFonts w:ascii="Calibri" w:hAnsi="Calibri"/>
                <w:b w:val="0"/>
                <w:i w:val="0"/>
                <w:color w:val="212121"/>
                <w:sz w:val="19"/>
              </w:rPr>
              <w:t>Insomnia and circadian disruption are bidirectionally linked with virtually all mental disorders; short or fragmented sleep predicts new-onset depression, anxiety and relapse of bipolar/psychotic illness.</w:t>
            </w:r>
          </w:p>
          <w:p>
            <w:pPr>
              <w:spacing w:after="40" w:before="60" w:line="259" w:lineRule="auto"/>
            </w:pPr>
            <w:r>
              <w:rPr>
                <w:rFonts w:ascii="Calibri" w:hAnsi="Calibri"/>
                <w:b w:val="0"/>
                <w:i w:val="0"/>
                <w:color w:val="212121"/>
                <w:sz w:val="19"/>
              </w:rPr>
              <w:t>Persistent insomnia is among the strongest modifiable predictors of new-onset and relapsing mood and anxiety disorders.</w:t>
            </w:r>
          </w:p>
          <w:p>
            <w:pPr>
              <w:spacing w:before="60" w:after="40"/>
            </w:pPr>
            <w:r>
              <w:rPr>
                <w:rFonts w:ascii="Calibri" w:hAnsi="Calibri"/>
                <w:b w:val="0"/>
                <w:i w:val="0"/>
                <w:color w:val="5A5A5A"/>
                <w:sz w:val="18"/>
              </w:rPr>
              <w:t>#insomnia  #shiftwork  #circadian  #sleeploss  #relapse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 quality</w:t>
            </w:r>
          </w:p>
        </w:tc>
        <w:tc>
          <w:tcPr>
            <w:tcW w:type="dxa" w:w="2160"/>
            <w:vAlign w:val="top"/>
          </w:tcPr>
          <w:p>
            <w:pPr>
              <w:spacing w:after="40" w:before="0" w:line="259" w:lineRule="auto"/>
            </w:pPr>
            <w:r>
              <w:rPr>
                <w:rFonts w:ascii="Calibri" w:hAnsi="Calibri"/>
                <w:b w:val="0"/>
                <w:i w:val="0"/>
                <w:color w:val="212121"/>
                <w:sz w:val="19"/>
              </w:rPr>
              <w:t>High ultra-processed / high-sugar diet consumers</w:t>
            </w:r>
          </w:p>
        </w:tc>
        <w:tc>
          <w:tcPr>
            <w:tcW w:type="dxa" w:w="4276"/>
            <w:vAlign w:val="top"/>
          </w:tcPr>
          <w:p>
            <w:pPr>
              <w:spacing w:after="60" w:line="259" w:lineRule="auto"/>
            </w:pPr>
            <w:r>
              <w:rPr>
                <w:rFonts w:ascii="Calibri" w:hAnsi="Calibri"/>
                <w:b w:val="0"/>
                <w:i w:val="0"/>
                <w:color w:val="212121"/>
                <w:sz w:val="19"/>
              </w:rPr>
              <w:t>Diets high in refined carbohydrates, sugar and ultra-processed foods and low in fruit, vegetables and omega-3s are associated with higher depression and anxiety, plausibly via inflammation and gut-brain signalling.</w:t>
            </w:r>
          </w:p>
          <w:p>
            <w:pPr>
              <w:spacing w:after="40" w:before="60" w:line="259" w:lineRule="auto"/>
            </w:pPr>
            <w:r>
              <w:rPr>
                <w:rFonts w:ascii="Calibri" w:hAnsi="Calibri"/>
                <w:b w:val="0"/>
                <w:i w:val="0"/>
                <w:color w:val="212121"/>
                <w:sz w:val="19"/>
              </w:rPr>
              <w:t>Poor diet quality co-travels with sedentary behaviour and obesity, compounding the metabolic and mental-health burden.</w:t>
            </w:r>
          </w:p>
          <w:p>
            <w:pPr>
              <w:spacing w:before="60" w:after="40"/>
            </w:pPr>
            <w:r>
              <w:rPr>
                <w:rFonts w:ascii="Calibri" w:hAnsi="Calibri"/>
                <w:b w:val="0"/>
                <w:i w:val="0"/>
                <w:color w:val="5A5A5A"/>
                <w:sz w:val="18"/>
              </w:rPr>
              <w:t>#ultraprocessed  #refinedsugar  #gutbrain  #inflammation  #dietquality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B12 / folate / vitamin-D / iron deficient</w:t>
            </w:r>
          </w:p>
        </w:tc>
        <w:tc>
          <w:tcPr>
            <w:tcW w:type="dxa" w:w="4276"/>
            <w:vAlign w:val="top"/>
          </w:tcPr>
          <w:p>
            <w:pPr>
              <w:spacing w:after="60" w:line="259" w:lineRule="auto"/>
            </w:pPr>
            <w:r>
              <w:rPr>
                <w:rFonts w:ascii="Calibri" w:hAnsi="Calibri"/>
                <w:b w:val="0"/>
                <w:i w:val="0"/>
                <w:color w:val="212121"/>
                <w:sz w:val="19"/>
              </w:rPr>
              <w:t>Deficiencies of vitamin B12, folate, vitamin D and iron — common in Indian vegetarian and low-income diets — can cause or mimic depression, fatigue and cognitive impairment and impair treatment response.</w:t>
            </w:r>
          </w:p>
          <w:p>
            <w:pPr>
              <w:spacing w:after="40" w:before="60" w:line="259" w:lineRule="auto"/>
            </w:pPr>
            <w:r>
              <w:rPr>
                <w:rFonts w:ascii="Calibri" w:hAnsi="Calibri"/>
                <w:b w:val="0"/>
                <w:i w:val="0"/>
                <w:color w:val="212121"/>
                <w:sz w:val="19"/>
              </w:rPr>
              <w:t>Correcting B12, folate, iron and vitamin-D deficiency is a reversible contributor to depressive and cognitive symptoms, especially in vegetarian and elderly Indians.</w:t>
            </w:r>
          </w:p>
          <w:p>
            <w:pPr>
              <w:spacing w:before="60" w:after="40"/>
            </w:pPr>
            <w:r>
              <w:rPr>
                <w:rFonts w:ascii="Calibri" w:hAnsi="Calibri"/>
                <w:b w:val="0"/>
                <w:i w:val="0"/>
                <w:color w:val="5A5A5A"/>
                <w:sz w:val="18"/>
              </w:rPr>
              <w:t>#B12  #folate  #vitaminD  #iron  #vegetariandiet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mental illness</w:t>
            </w:r>
          </w:p>
        </w:tc>
        <w:tc>
          <w:tcPr>
            <w:tcW w:type="dxa" w:w="4276"/>
            <w:vAlign w:val="top"/>
          </w:tcPr>
          <w:p>
            <w:pPr>
              <w:spacing w:after="60" w:line="259" w:lineRule="auto"/>
            </w:pPr>
            <w:r>
              <w:rPr>
                <w:rFonts w:ascii="Calibri" w:hAnsi="Calibri"/>
                <w:b w:val="0"/>
                <w:i w:val="0"/>
                <w:color w:val="212121"/>
                <w:sz w:val="19"/>
              </w:rPr>
              <w:t>A first-degree relative with a mood, psychotic or substance-use disorder markedly raises risk; heritability is high for schizophrenia and bipolar disorder and moderate for depression and anxiety.</w:t>
            </w:r>
          </w:p>
          <w:p>
            <w:pPr>
              <w:spacing w:after="40" w:before="60" w:line="259" w:lineRule="auto"/>
            </w:pPr>
            <w:r>
              <w:rPr>
                <w:rFonts w:ascii="Calibri" w:hAnsi="Calibri"/>
                <w:b w:val="0"/>
                <w:i w:val="0"/>
                <w:color w:val="212121"/>
                <w:sz w:val="19"/>
              </w:rPr>
              <w:t>Familial aggregation is strongest for schizophrenia and bipolar disorder, reflecting polygenic risk interacting with environmental exposures.</w:t>
            </w:r>
          </w:p>
          <w:p>
            <w:pPr>
              <w:spacing w:before="60" w:after="40"/>
            </w:pPr>
            <w:r>
              <w:rPr>
                <w:rFonts w:ascii="Calibri" w:hAnsi="Calibri"/>
                <w:b w:val="0"/>
                <w:i w:val="0"/>
                <w:color w:val="5A5A5A"/>
                <w:sz w:val="18"/>
              </w:rPr>
              <w:t>#familyhistory  #heritability  #polygenic  #schizophrenia  #bipolar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Chronic physical illness</w:t>
            </w:r>
          </w:p>
        </w:tc>
        <w:tc>
          <w:tcPr>
            <w:tcW w:type="dxa" w:w="2160"/>
            <w:vAlign w:val="top"/>
          </w:tcPr>
          <w:p>
            <w:pPr>
              <w:spacing w:after="40" w:before="0" w:line="259" w:lineRule="auto"/>
            </w:pPr>
            <w:r>
              <w:rPr>
                <w:rFonts w:ascii="Calibri" w:hAnsi="Calibri"/>
                <w:b w:val="0"/>
                <w:i w:val="0"/>
                <w:color w:val="212121"/>
                <w:sz w:val="19"/>
              </w:rPr>
              <w:t>Diabetes / cardiovascular / chronic-pain patients</w:t>
            </w:r>
          </w:p>
        </w:tc>
        <w:tc>
          <w:tcPr>
            <w:tcW w:type="dxa" w:w="4276"/>
            <w:vAlign w:val="top"/>
          </w:tcPr>
          <w:p>
            <w:pPr>
              <w:spacing w:after="60" w:line="259" w:lineRule="auto"/>
            </w:pPr>
            <w:r>
              <w:rPr>
                <w:rFonts w:ascii="Calibri" w:hAnsi="Calibri"/>
                <w:b w:val="0"/>
                <w:i w:val="0"/>
                <w:color w:val="212121"/>
                <w:sz w:val="19"/>
              </w:rPr>
              <w:t>Chronic non-communicable diseases and mental disorders are bidirectionally linked and share risk factors (inactivity, harmful alcohol use, poor diet); depression worsens self-care, adherence and outcomes.</w:t>
            </w:r>
          </w:p>
          <w:p>
            <w:pPr>
              <w:spacing w:after="40" w:before="60" w:line="259" w:lineRule="auto"/>
            </w:pPr>
            <w:r>
              <w:rPr>
                <w:rFonts w:ascii="Calibri" w:hAnsi="Calibri"/>
                <w:b w:val="0"/>
                <w:i w:val="0"/>
                <w:color w:val="212121"/>
                <w:sz w:val="19"/>
              </w:rPr>
              <w:t>WHO notes depression's risk factors overlap with, and outcomes are worsened by, cardiovascular disease, diabetes, cancer and respiratory disease — a two-way relationship.</w:t>
            </w:r>
          </w:p>
          <w:p>
            <w:pPr>
              <w:spacing w:after="40" w:line="252" w:lineRule="auto"/>
            </w:pPr>
            <w:hyperlink r:id="rId11">
              <w:r>
                <w:rPr>
                  <w:rFonts w:ascii="Calibri" w:hAnsi="Calibri" w:cs="Calibri"/>
                  <w:sz w:val="18"/>
                  <w:color w:val="1155CC"/>
                  <w:u w:val="single"/>
                </w:rPr>
                <w:t xml:space="preserve">who.int — depression &amp; physical illness</w:t>
              </w:r>
            </w:hyperlink>
          </w:p>
          <w:p>
            <w:pPr>
              <w:spacing w:before="60" w:after="40"/>
            </w:pPr>
            <w:r>
              <w:rPr>
                <w:rFonts w:ascii="Calibri" w:hAnsi="Calibri"/>
                <w:b w:val="0"/>
                <w:i w:val="0"/>
                <w:color w:val="5A5A5A"/>
                <w:sz w:val="18"/>
              </w:rPr>
              <w:t>#diabetes  #cardiovascular  #chronicpain  #bidirectional  #adherence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Comorbid common mental disorder</w:t>
            </w:r>
          </w:p>
        </w:tc>
        <w:tc>
          <w:tcPr>
            <w:tcW w:type="dxa" w:w="2160"/>
            <w:vAlign w:val="top"/>
          </w:tcPr>
          <w:p>
            <w:pPr>
              <w:spacing w:after="40" w:before="0" w:line="259" w:lineRule="auto"/>
            </w:pPr>
            <w:r>
              <w:rPr>
                <w:rFonts w:ascii="Calibri" w:hAnsi="Calibri"/>
                <w:b w:val="0"/>
                <w:i w:val="0"/>
                <w:color w:val="212121"/>
                <w:sz w:val="19"/>
              </w:rPr>
              <w:t>Coexisting depression + anxiety</w:t>
            </w:r>
          </w:p>
        </w:tc>
        <w:tc>
          <w:tcPr>
            <w:tcW w:type="dxa" w:w="4276"/>
            <w:vAlign w:val="top"/>
          </w:tcPr>
          <w:p>
            <w:pPr>
              <w:spacing w:after="60" w:line="259" w:lineRule="auto"/>
            </w:pPr>
            <w:r>
              <w:rPr>
                <w:rFonts w:ascii="Calibri" w:hAnsi="Calibri"/>
                <w:b w:val="0"/>
                <w:i w:val="0"/>
                <w:color w:val="212121"/>
                <w:sz w:val="19"/>
              </w:rPr>
              <w:t>Depression and anxiety frequently co-occur and inflate disability, somatic presentation and suicide risk; comorbidity is the rule rather than the exception within the ‘any mental disorder’ category.</w:t>
            </w:r>
          </w:p>
          <w:p>
            <w:pPr>
              <w:spacing w:after="40" w:before="60" w:line="259" w:lineRule="auto"/>
            </w:pPr>
            <w:r>
              <w:rPr>
                <w:rFonts w:ascii="Calibri" w:hAnsi="Calibri"/>
                <w:b w:val="0"/>
                <w:i w:val="0"/>
                <w:color w:val="212121"/>
                <w:sz w:val="19"/>
              </w:rPr>
              <w:t>Anxiety disorders are the most common mental disorders worldwide (about 359 million people, 4.4% of the population), and only ~27.6% of those needing care receive it (WHO).</w:t>
            </w:r>
          </w:p>
          <w:p>
            <w:pPr>
              <w:spacing w:after="40" w:line="252" w:lineRule="auto"/>
            </w:pPr>
            <w:hyperlink r:id="rId14">
              <w:r>
                <w:rPr>
                  <w:rFonts w:ascii="Calibri" w:hAnsi="Calibri" w:cs="Calibri"/>
                  <w:sz w:val="18"/>
                  <w:color w:val="1155CC"/>
                  <w:u w:val="single"/>
                </w:rPr>
                <w:t xml:space="preserve">who.int — anxiety disorders fact sheet</w:t>
              </w:r>
            </w:hyperlink>
          </w:p>
          <w:p>
            <w:pPr>
              <w:spacing w:before="60" w:after="40"/>
            </w:pPr>
            <w:r>
              <w:rPr>
                <w:rFonts w:ascii="Calibri" w:hAnsi="Calibri"/>
                <w:b w:val="0"/>
                <w:i w:val="0"/>
                <w:color w:val="5A5A5A"/>
                <w:sz w:val="18"/>
              </w:rPr>
              <w:t>#comorbidity  #anxiety  #depression  #disability  #somaticpresentation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Substance-use disorder</w:t>
            </w:r>
          </w:p>
        </w:tc>
        <w:tc>
          <w:tcPr>
            <w:tcW w:type="dxa" w:w="2160"/>
            <w:vAlign w:val="top"/>
          </w:tcPr>
          <w:p>
            <w:pPr>
              <w:spacing w:after="40" w:before="0" w:line="259" w:lineRule="auto"/>
            </w:pPr>
            <w:r>
              <w:rPr>
                <w:rFonts w:ascii="Calibri" w:hAnsi="Calibri"/>
                <w:b w:val="0"/>
                <w:i w:val="0"/>
                <w:color w:val="212121"/>
                <w:sz w:val="19"/>
              </w:rPr>
              <w:t>Alcohol / drug dependence (dual diagnosis)</w:t>
            </w:r>
          </w:p>
        </w:tc>
        <w:tc>
          <w:tcPr>
            <w:tcW w:type="dxa" w:w="4276"/>
            <w:vAlign w:val="top"/>
          </w:tcPr>
          <w:p>
            <w:pPr>
              <w:spacing w:after="60" w:line="259" w:lineRule="auto"/>
            </w:pPr>
            <w:r>
              <w:rPr>
                <w:rFonts w:ascii="Calibri" w:hAnsi="Calibri"/>
                <w:b w:val="0"/>
                <w:i w:val="0"/>
                <w:color w:val="212121"/>
                <w:sz w:val="19"/>
              </w:rPr>
              <w:t>Co-occurring substance-use and other mental disorders (‘dual diagnosis’) reciprocally worsen severity, treatment adherence, relapse and suicide risk and complicate management.</w:t>
            </w:r>
          </w:p>
          <w:p>
            <w:pPr>
              <w:spacing w:after="40" w:before="60" w:line="259" w:lineRule="auto"/>
            </w:pPr>
            <w:r>
              <w:rPr>
                <w:rFonts w:ascii="Calibri" w:hAnsi="Calibri"/>
                <w:b w:val="0"/>
                <w:i w:val="0"/>
                <w:color w:val="212121"/>
                <w:sz w:val="19"/>
              </w:rPr>
              <w:t>NMHS 2015–16: substance-use disorders were a leading component of current mental morbidity and frequently coexist with mood and psychotic disorders.</w:t>
            </w:r>
          </w:p>
          <w:p>
            <w:pPr>
              <w:spacing w:after="40" w:line="252" w:lineRule="auto"/>
            </w:pPr>
            <w:hyperlink r:id="rId9">
              <w:r>
                <w:rPr>
                  <w:rFonts w:ascii="Calibri" w:hAnsi="Calibri" w:cs="Calibri"/>
                  <w:sz w:val="18"/>
                  <w:color w:val="1155CC"/>
                  <w:u w:val="single"/>
                </w:rPr>
                <w:t xml:space="preserve">journals.sagepub.com — NMHS substance-use disorders</w:t>
              </w:r>
            </w:hyperlink>
          </w:p>
          <w:p>
            <w:pPr>
              <w:spacing w:before="60" w:after="40"/>
            </w:pPr>
            <w:r>
              <w:rPr>
                <w:rFonts w:ascii="Calibri" w:hAnsi="Calibri"/>
                <w:b w:val="0"/>
                <w:i w:val="0"/>
                <w:color w:val="5A5A5A"/>
                <w:sz w:val="18"/>
              </w:rPr>
              <w:t>#dualdiagnosis  #alcoholusedisorder  #relapse  #adherence  #comorbid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pain / disability</w:t>
            </w:r>
          </w:p>
        </w:tc>
        <w:tc>
          <w:tcPr>
            <w:tcW w:type="dxa" w:w="2160"/>
            <w:vAlign w:val="top"/>
          </w:tcPr>
          <w:p>
            <w:pPr>
              <w:spacing w:after="40" w:before="0" w:line="259" w:lineRule="auto"/>
            </w:pPr>
            <w:r>
              <w:rPr>
                <w:rFonts w:ascii="Calibri" w:hAnsi="Calibri"/>
                <w:b w:val="0"/>
                <w:i w:val="0"/>
                <w:color w:val="212121"/>
                <w:sz w:val="19"/>
              </w:rPr>
              <w:t>Patients with chronic pain or physical disability</w:t>
            </w:r>
          </w:p>
        </w:tc>
        <w:tc>
          <w:tcPr>
            <w:tcW w:type="dxa" w:w="4276"/>
            <w:vAlign w:val="top"/>
          </w:tcPr>
          <w:p>
            <w:pPr>
              <w:spacing w:after="60" w:line="259" w:lineRule="auto"/>
            </w:pPr>
            <w:r>
              <w:rPr>
                <w:rFonts w:ascii="Calibri" w:hAnsi="Calibri"/>
                <w:b w:val="0"/>
                <w:i w:val="0"/>
                <w:color w:val="212121"/>
                <w:sz w:val="19"/>
              </w:rPr>
              <w:t>Chronic pain, epilepsy, stroke and physical disability share neuro-inflammatory and psychosocial pathways with mood disorders and independently predict depression and anxiety.</w:t>
            </w:r>
          </w:p>
          <w:p>
            <w:pPr>
              <w:spacing w:after="40" w:before="60" w:line="259" w:lineRule="auto"/>
            </w:pPr>
            <w:r>
              <w:rPr>
                <w:rFonts w:ascii="Calibri" w:hAnsi="Calibri"/>
                <w:b w:val="0"/>
                <w:i w:val="0"/>
                <w:color w:val="212121"/>
                <w:sz w:val="19"/>
              </w:rPr>
              <w:t>Depression and anxiety are markedly over-represented in people living with chronic pain and physical disability, worsening rehabilitation outcomes.</w:t>
            </w:r>
          </w:p>
          <w:p>
            <w:pPr>
              <w:spacing w:before="60" w:after="40"/>
            </w:pPr>
            <w:r>
              <w:rPr>
                <w:rFonts w:ascii="Calibri" w:hAnsi="Calibri"/>
                <w:b w:val="0"/>
                <w:i w:val="0"/>
                <w:color w:val="5A5A5A"/>
                <w:sz w:val="18"/>
              </w:rPr>
              <w:t>#chronicpain  #disability  #epilepsy  #poststroke  #rehabilitation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WHO confirms regular physical activity reduces symptoms of depression and anxiety and improves cognition; ≥150 min/week of moderate activity is protective, while inactivity raises risk of depression and all-cause mortality (20–30%).</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high in refined sugar and ultra-processed foods and low in fruit, vegetables, fibre and omega-3s are associated with higher depression/anxiety; B12, folate, iron and vitamin-D deficiency (common in Indian diets) can cause or mimic depressive and cognitive symptoms.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Insomnia and circadian disruption are bidirectionally linked with nearly all mental disorders; short/fragmented sleep predicts new-onset and relapsing depression, anxiety and bipolar/psychotic episodes.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Tobacco-use disorder is itself a mental/behavioural disorder and is strongly comorbid with depression, anxiety and schizophrenia in a bidirectional relationship that worsens course and mortality.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Alcohol-use disorder is a major, male-predominant contributor to India's mental morbidity (NMHS) and reciprocally worsens mood, anxiety, suicide risk and treatment adherence.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Prior episodes, adverse childhood experiences, chronic stress, trauma and low resilience are the strongest predictors of current mental morbidity and of relapse across diagnoses.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and cognitive function; dehydration can transiently worsen mood and concentration, but direct links to mental-disorder prevention are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High caffeine intake can precipitate or worsen anxiety, panic and insomnia and interact with psychotropic metabolism; moderate intake is generally neutral.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Self-neglect and declining personal/sleep hygiene are markers and consequences of worsening mental illness; good routines and sleep hygiene support recovery.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stressors — bereavement, job or financial loss, relationship breakdown, trauma/violence, childbirth (postpartum) and substance intoxication/withdrawal — commonly precipitate onset or relapse of episodes.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Adults, elderly, sedentary</w:t>
            </w:r>
          </w:p>
        </w:tc>
        <w:tc>
          <w:tcPr>
            <w:tcW w:type="dxa" w:w="1512"/>
            <w:vAlign w:val="top"/>
          </w:tcPr>
          <w:p>
            <w:pPr>
              <w:spacing w:after="40" w:before="0" w:line="259" w:lineRule="auto"/>
            </w:pPr>
            <w:r>
              <w:rPr>
                <w:rFonts w:ascii="Calibri" w:hAnsi="Calibri"/>
                <w:b w:val="0"/>
                <w:i w:val="0"/>
                <w:color w:val="212121"/>
                <w:sz w:val="19"/>
              </w:rPr>
              <w:t>≥150 min/week moderate (or 75 min vigorous)</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60" w:line="259" w:lineRule="auto"/>
            </w:pPr>
            <w:r>
              <w:rPr>
                <w:rFonts w:ascii="Calibri" w:hAnsi="Calibri"/>
                <w:b w:val="0"/>
                <w:i w:val="0"/>
                <w:color w:val="212121"/>
                <w:sz w:val="19"/>
              </w:rPr>
              <w:t>Meeting WHO targets lowers depression and anxiety symptoms</w:t>
            </w:r>
          </w:p>
          <w:p>
            <w:pPr>
              <w:spacing w:after="40" w:line="252" w:lineRule="auto"/>
            </w:pPr>
            <w:hyperlink r:id="rId13">
              <w:r>
                <w:rPr>
                  <w:rFonts w:ascii="Calibri" w:hAnsi="Calibri" w:cs="Calibri"/>
                  <w:sz w:val="18"/>
                  <w:color w:val="1155CC"/>
                  <w:u w:val="single"/>
                </w:rPr>
                <w:t xml:space="preserve">https://www.who.int/news-room/fact-sheets/detail/physical-activity</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 or &gt;9 h, or persistent insomnia</w:t>
            </w:r>
          </w:p>
        </w:tc>
        <w:tc>
          <w:tcPr>
            <w:tcW w:type="dxa" w:w="1468"/>
            <w:vAlign w:val="top"/>
          </w:tcPr>
          <w:p>
            <w:pPr>
              <w:spacing w:after="40" w:before="0" w:line="259" w:lineRule="auto"/>
            </w:pPr>
            <w:r>
              <w:rPr>
                <w:rFonts w:ascii="Calibri" w:hAnsi="Calibri"/>
                <w:b w:val="0"/>
                <w:i w:val="0"/>
                <w:color w:val="212121"/>
                <w:sz w:val="19"/>
              </w:rPr>
              <w:t>Short/fragmented sleep predicts new-onset and relapsing mood/anxiety disorders</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screen)</w:t>
            </w:r>
          </w:p>
        </w:tc>
        <w:tc>
          <w:tcPr>
            <w:tcW w:type="dxa" w:w="1655"/>
            <w:vAlign w:val="top"/>
          </w:tcPr>
          <w:p>
            <w:pPr>
              <w:spacing w:after="40" w:before="0" w:line="259" w:lineRule="auto"/>
            </w:pPr>
            <w:r>
              <w:rPr>
                <w:rFonts w:ascii="Calibri" w:hAnsi="Calibri"/>
                <w:b w:val="0"/>
                <w:i w:val="0"/>
                <w:color w:val="212121"/>
                <w:sz w:val="19"/>
              </w:rPr>
              <w:t>Adults in primary care</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 ≥20 (severe)</w:t>
            </w:r>
          </w:p>
        </w:tc>
        <w:tc>
          <w:tcPr>
            <w:tcW w:type="dxa" w:w="1468"/>
            <w:vAlign w:val="top"/>
          </w:tcPr>
          <w:p>
            <w:pPr>
              <w:spacing w:after="40" w:before="0" w:line="259" w:lineRule="auto"/>
            </w:pPr>
            <w:r>
              <w:rPr>
                <w:rFonts w:ascii="Calibri" w:hAnsi="Calibri"/>
                <w:b w:val="0"/>
                <w:i w:val="0"/>
                <w:color w:val="212121"/>
                <w:sz w:val="19"/>
              </w:rPr>
              <w:t>Validated in India; item 9 flags suicidal ideation — escalate urgently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GAD-7 (anxiety screen)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0–4 (minimal)</w:t>
            </w:r>
          </w:p>
        </w:tc>
        <w:tc>
          <w:tcPr>
            <w:tcW w:type="dxa" w:w="1512"/>
            <w:vAlign w:val="top"/>
          </w:tcPr>
          <w:p>
            <w:pPr>
              <w:spacing w:after="40" w:before="0" w:line="259" w:lineRule="auto"/>
            </w:pPr>
            <w:r>
              <w:rPr>
                <w:rFonts w:ascii="Calibri" w:hAnsi="Calibri"/>
                <w:b w:val="0"/>
                <w:i w:val="0"/>
                <w:color w:val="212121"/>
                <w:sz w:val="19"/>
              </w:rPr>
              <w:t>≥10 (moderate–severe)</w:t>
            </w:r>
          </w:p>
        </w:tc>
        <w:tc>
          <w:tcPr>
            <w:tcW w:type="dxa" w:w="1468"/>
            <w:vAlign w:val="top"/>
          </w:tcPr>
          <w:p>
            <w:pPr>
              <w:spacing w:after="40" w:before="0" w:line="259" w:lineRule="auto"/>
            </w:pPr>
            <w:r>
              <w:rPr>
                <w:rFonts w:ascii="Calibri" w:hAnsi="Calibri"/>
                <w:b w:val="0"/>
                <w:i w:val="0"/>
                <w:color w:val="212121"/>
                <w:sz w:val="19"/>
              </w:rPr>
              <w:t>Complements PHQ-9 for common mental disorders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WHO-5 Well-Being Index</w:t>
            </w:r>
          </w:p>
        </w:tc>
        <w:tc>
          <w:tcPr>
            <w:tcW w:type="dxa" w:w="1655"/>
            <w:vAlign w:val="top"/>
          </w:tcPr>
          <w:p>
            <w:pPr>
              <w:spacing w:after="40" w:before="0" w:line="259" w:lineRule="auto"/>
            </w:pPr>
            <w:r>
              <w:rPr>
                <w:rFonts w:ascii="Calibri" w:hAnsi="Calibri"/>
                <w:b w:val="0"/>
                <w:i w:val="0"/>
                <w:color w:val="212121"/>
                <w:sz w:val="19"/>
              </w:rPr>
              <w:t>General &amp; primary-care adults</w:t>
            </w:r>
          </w:p>
        </w:tc>
        <w:tc>
          <w:tcPr>
            <w:tcW w:type="dxa" w:w="1512"/>
            <w:vAlign w:val="top"/>
          </w:tcPr>
          <w:p>
            <w:pPr>
              <w:spacing w:after="40" w:before="0" w:line="259" w:lineRule="auto"/>
            </w:pPr>
            <w:r>
              <w:rPr>
                <w:rFonts w:ascii="Calibri" w:hAnsi="Calibri"/>
                <w:b w:val="0"/>
                <w:i w:val="0"/>
                <w:color w:val="212121"/>
                <w:sz w:val="19"/>
              </w:rPr>
              <w:t>&gt;50 (of 100)</w:t>
            </w:r>
          </w:p>
        </w:tc>
        <w:tc>
          <w:tcPr>
            <w:tcW w:type="dxa" w:w="1512"/>
            <w:vAlign w:val="top"/>
          </w:tcPr>
          <w:p>
            <w:pPr>
              <w:spacing w:after="40" w:before="0" w:line="259" w:lineRule="auto"/>
            </w:pPr>
            <w:r>
              <w:rPr>
                <w:rFonts w:ascii="Calibri" w:hAnsi="Calibri"/>
                <w:b w:val="0"/>
                <w:i w:val="0"/>
                <w:color w:val="212121"/>
                <w:sz w:val="19"/>
              </w:rPr>
              <w:t>≤50 (screen for depression; ≤28 likely depression)</w:t>
            </w:r>
          </w:p>
        </w:tc>
        <w:tc>
          <w:tcPr>
            <w:tcW w:type="dxa" w:w="1468"/>
            <w:vAlign w:val="top"/>
          </w:tcPr>
          <w:p>
            <w:pPr>
              <w:spacing w:after="40" w:before="0" w:line="259" w:lineRule="auto"/>
            </w:pPr>
            <w:r>
              <w:rPr>
                <w:rFonts w:ascii="Calibri" w:hAnsi="Calibri"/>
                <w:b w:val="0"/>
                <w:i w:val="0"/>
                <w:color w:val="212121"/>
                <w:sz w:val="19"/>
              </w:rPr>
              <w:t>Brief positive-wellbeing screen for opportunistic case-finding</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AUDIT score</w:t>
            </w:r>
          </w:p>
        </w:tc>
        <w:tc>
          <w:tcPr>
            <w:tcW w:type="dxa" w:w="1655"/>
            <w:vAlign w:val="top"/>
          </w:tcPr>
          <w:p>
            <w:pPr>
              <w:spacing w:after="40" w:before="0" w:line="259" w:lineRule="auto"/>
            </w:pPr>
            <w:r>
              <w:rPr>
                <w:rFonts w:ascii="Calibri" w:hAnsi="Calibri"/>
                <w:b w:val="0"/>
                <w:i w:val="0"/>
                <w:color w:val="212121"/>
                <w:sz w:val="19"/>
              </w:rPr>
              <w:t>Adults, men, heavy drinkers</w:t>
            </w:r>
          </w:p>
        </w:tc>
        <w:tc>
          <w:tcPr>
            <w:tcW w:type="dxa" w:w="1512"/>
            <w:vAlign w:val="top"/>
          </w:tcPr>
          <w:p>
            <w:pPr>
              <w:spacing w:after="40" w:before="0" w:line="259" w:lineRule="auto"/>
            </w:pPr>
            <w:r>
              <w:rPr>
                <w:rFonts w:ascii="Calibri" w:hAnsi="Calibri"/>
                <w:b w:val="0"/>
                <w:i w:val="0"/>
                <w:color w:val="212121"/>
                <w:sz w:val="19"/>
              </w:rPr>
              <w:t>0–7 (low risk)</w:t>
            </w:r>
          </w:p>
        </w:tc>
        <w:tc>
          <w:tcPr>
            <w:tcW w:type="dxa" w:w="1512"/>
            <w:vAlign w:val="top"/>
          </w:tcPr>
          <w:p>
            <w:pPr>
              <w:spacing w:after="40" w:before="0" w:line="259" w:lineRule="auto"/>
            </w:pPr>
            <w:r>
              <w:rPr>
                <w:rFonts w:ascii="Calibri" w:hAnsi="Calibri"/>
                <w:b w:val="0"/>
                <w:i w:val="0"/>
                <w:color w:val="212121"/>
                <w:sz w:val="19"/>
              </w:rPr>
              <w:t>≥8 (hazardous); ≥20 (likely dependence)</w:t>
            </w:r>
          </w:p>
        </w:tc>
        <w:tc>
          <w:tcPr>
            <w:tcW w:type="dxa" w:w="1468"/>
            <w:vAlign w:val="top"/>
          </w:tcPr>
          <w:p>
            <w:pPr>
              <w:spacing w:after="40" w:before="0" w:line="259" w:lineRule="auto"/>
            </w:pPr>
            <w:r>
              <w:rPr>
                <w:rFonts w:ascii="Calibri" w:hAnsi="Calibri"/>
                <w:b w:val="0"/>
                <w:i w:val="0"/>
                <w:color w:val="212121"/>
                <w:sz w:val="19"/>
              </w:rPr>
              <w:t>Hazardous drinking co-occurs with, and worsens, mood/anxiety disorders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Tobacco use (any form/day)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(no tobacco)</w:t>
            </w:r>
          </w:p>
        </w:tc>
        <w:tc>
          <w:tcPr>
            <w:tcW w:type="dxa" w:w="1512"/>
            <w:vAlign w:val="top"/>
          </w:tcPr>
          <w:p>
            <w:pPr>
              <w:spacing w:after="40" w:before="0" w:line="259" w:lineRule="auto"/>
            </w:pPr>
            <w:r>
              <w:rPr>
                <w:rFonts w:ascii="Calibri" w:hAnsi="Calibri"/>
                <w:b w:val="0"/>
                <w:i w:val="0"/>
                <w:color w:val="212121"/>
                <w:sz w:val="19"/>
              </w:rPr>
              <w:t>≥1 use/day or Fagerstrom ≥4</w:t>
            </w:r>
          </w:p>
        </w:tc>
        <w:tc>
          <w:tcPr>
            <w:tcW w:type="dxa" w:w="1468"/>
            <w:vAlign w:val="top"/>
          </w:tcPr>
          <w:p>
            <w:pPr>
              <w:spacing w:after="40" w:before="0" w:line="259" w:lineRule="auto"/>
            </w:pPr>
            <w:r>
              <w:rPr>
                <w:rFonts w:ascii="Calibri" w:hAnsi="Calibri"/>
                <w:b w:val="0"/>
                <w:i w:val="0"/>
                <w:color w:val="212121"/>
                <w:sz w:val="19"/>
              </w:rPr>
              <w:t>Tobacco dependence is comorbid with and worsens most mental disorders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Perceived stress / recent life events</w:t>
            </w:r>
          </w:p>
        </w:tc>
        <w:tc>
          <w:tcPr>
            <w:tcW w:type="dxa" w:w="1655"/>
            <w:vAlign w:val="top"/>
          </w:tcPr>
          <w:p>
            <w:pPr>
              <w:spacing w:after="40" w:before="0" w:line="259" w:lineRule="auto"/>
            </w:pPr>
            <w:r>
              <w:rPr>
                <w:rFonts w:ascii="Calibri" w:hAnsi="Calibri"/>
                <w:b w:val="0"/>
                <w:i w:val="0"/>
                <w:color w:val="212121"/>
                <w:sz w:val="19"/>
              </w:rPr>
              <w:t>Adults under psychosocial stress</w:t>
            </w:r>
          </w:p>
        </w:tc>
        <w:tc>
          <w:tcPr>
            <w:tcW w:type="dxa" w:w="1512"/>
            <w:vAlign w:val="top"/>
          </w:tcPr>
          <w:p>
            <w:pPr>
              <w:spacing w:after="40" w:before="0" w:line="259" w:lineRule="auto"/>
            </w:pPr>
            <w:r>
              <w:rPr>
                <w:rFonts w:ascii="Calibri" w:hAnsi="Calibri"/>
                <w:b w:val="0"/>
                <w:i w:val="0"/>
                <w:color w:val="212121"/>
                <w:sz w:val="19"/>
              </w:rPr>
              <w:t>Low perceived stress, no major recent loss</w:t>
            </w:r>
          </w:p>
        </w:tc>
        <w:tc>
          <w:tcPr>
            <w:tcW w:type="dxa" w:w="1512"/>
            <w:vAlign w:val="top"/>
          </w:tcPr>
          <w:p>
            <w:pPr>
              <w:spacing w:after="40" w:before="0" w:line="259" w:lineRule="auto"/>
            </w:pPr>
            <w:r>
              <w:rPr>
                <w:rFonts w:ascii="Calibri" w:hAnsi="Calibri"/>
                <w:b w:val="0"/>
                <w:i w:val="0"/>
                <w:color w:val="212121"/>
                <w:sz w:val="19"/>
              </w:rPr>
              <w:t>Major recent loss/trauma or high perceived stress</w:t>
            </w:r>
          </w:p>
        </w:tc>
        <w:tc>
          <w:tcPr>
            <w:tcW w:type="dxa" w:w="1468"/>
            <w:vAlign w:val="top"/>
          </w:tcPr>
          <w:p>
            <w:pPr>
              <w:spacing w:after="40" w:before="0" w:line="259" w:lineRule="auto"/>
            </w:pPr>
            <w:r>
              <w:rPr>
                <w:rFonts w:ascii="Calibri" w:hAnsi="Calibri"/>
                <w:b w:val="0"/>
                <w:i w:val="0"/>
                <w:color w:val="212121"/>
                <w:sz w:val="19"/>
              </w:rPr>
              <w:t>Stressful life events precipitate onset and relapse; prompts early support</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Adults with anxiety/insomnia</w:t>
            </w:r>
          </w:p>
        </w:tc>
        <w:tc>
          <w:tcPr>
            <w:tcW w:type="dxa" w:w="1512"/>
            <w:vAlign w:val="top"/>
          </w:tcPr>
          <w:p>
            <w:pPr>
              <w:spacing w:after="40" w:before="0" w:line="259" w:lineRule="auto"/>
            </w:pPr>
            <w:r>
              <w:rPr>
                <w:rFonts w:ascii="Calibri" w:hAnsi="Calibri"/>
                <w:b w:val="0"/>
                <w:i w:val="0"/>
                <w:color w:val="212121"/>
                <w:sz w:val="19"/>
              </w:rPr>
              <w:t>&lt;400 mg/day</w:t>
            </w:r>
          </w:p>
        </w:tc>
        <w:tc>
          <w:tcPr>
            <w:tcW w:type="dxa" w:w="1512"/>
            <w:vAlign w:val="top"/>
          </w:tcPr>
          <w:p>
            <w:pPr>
              <w:spacing w:after="40" w:before="0" w:line="259" w:lineRule="auto"/>
            </w:pPr>
            <w:r>
              <w:rPr>
                <w:rFonts w:ascii="Calibri" w:hAnsi="Calibri"/>
                <w:b w:val="0"/>
                <w:i w:val="0"/>
                <w:color w:val="212121"/>
                <w:sz w:val="19"/>
              </w:rPr>
              <w:t>&gt;400 mg/day (or evening intake)</w:t>
            </w:r>
          </w:p>
        </w:tc>
        <w:tc>
          <w:tcPr>
            <w:tcW w:type="dxa" w:w="1468"/>
            <w:vAlign w:val="top"/>
          </w:tcPr>
          <w:p>
            <w:pPr>
              <w:spacing w:after="40" w:before="0" w:line="259" w:lineRule="auto"/>
            </w:pPr>
            <w:r>
              <w:rPr>
                <w:rFonts w:ascii="Calibri" w:hAnsi="Calibri"/>
                <w:b w:val="0"/>
                <w:i w:val="0"/>
                <w:color w:val="212121"/>
                <w:sz w:val="19"/>
              </w:rPr>
              <w:t>Excess caffeine worsens anxiety, panic and insomnia</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Thyroid-stimulating hormone (TSH)</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0.4–4.0 mIU/L</w:t>
            </w:r>
          </w:p>
        </w:tc>
        <w:tc>
          <w:tcPr>
            <w:tcW w:type="dxa" w:w="950"/>
            <w:vAlign w:val="top"/>
          </w:tcPr>
          <w:p>
            <w:pPr>
              <w:spacing w:after="40" w:before="0" w:line="259" w:lineRule="auto"/>
            </w:pPr>
            <w:r>
              <w:rPr>
                <w:rFonts w:ascii="Calibri" w:hAnsi="Calibri"/>
                <w:b w:val="0"/>
                <w:i w:val="0"/>
                <w:color w:val="212121"/>
                <w:sz w:val="16"/>
              </w:rPr>
              <w:t>&lt;0.4 or &gt;4.0 mIU/L</w:t>
            </w:r>
          </w:p>
        </w:tc>
        <w:tc>
          <w:tcPr>
            <w:tcW w:type="dxa" w:w="1036"/>
            <w:vAlign w:val="top"/>
          </w:tcPr>
          <w:p>
            <w:pPr>
              <w:spacing w:after="40" w:before="0" w:line="259" w:lineRule="auto"/>
            </w:pPr>
            <w:r>
              <w:rPr>
                <w:rFonts w:ascii="Calibri" w:hAnsi="Calibri"/>
                <w:b w:val="0"/>
                <w:i w:val="0"/>
                <w:color w:val="212121"/>
                <w:sz w:val="16"/>
              </w:rPr>
              <w:t>Hypo-/hyperthyroidism can cause depression, anxiety, cognitive change or mania</w:t>
            </w:r>
          </w:p>
        </w:tc>
        <w:tc>
          <w:tcPr>
            <w:tcW w:type="dxa" w:w="1036"/>
            <w:vAlign w:val="top"/>
          </w:tcPr>
          <w:p>
            <w:pPr>
              <w:spacing w:after="40" w:before="0" w:line="259" w:lineRule="auto"/>
            </w:pPr>
            <w:r>
              <w:rPr>
                <w:rFonts w:ascii="Calibri" w:hAnsi="Calibri"/>
                <w:b w:val="0"/>
                <w:i w:val="0"/>
                <w:color w:val="212121"/>
                <w:sz w:val="16"/>
              </w:rPr>
              <w:t>New mood/anxiety presentation, elderly, treatment-resistant</w:t>
            </w:r>
          </w:p>
        </w:tc>
        <w:tc>
          <w:tcPr>
            <w:tcW w:type="dxa" w:w="720"/>
            <w:vAlign w:val="top"/>
          </w:tcPr>
          <w:p>
            <w:pPr>
              <w:spacing w:after="40" w:before="0" w:line="259" w:lineRule="auto"/>
            </w:pPr>
            <w:r>
              <w:rPr>
                <w:rFonts w:ascii="Calibri" w:hAnsi="Calibri"/>
                <w:b w:val="0"/>
                <w:i w:val="0"/>
                <w:color w:val="212121"/>
                <w:sz w:val="16"/>
              </w:rPr>
              <w:t>Food; Mental health</w:t>
            </w:r>
          </w:p>
        </w:tc>
        <w:tc>
          <w:tcPr>
            <w:tcW w:type="dxa" w:w="720"/>
            <w:vAlign w:val="top"/>
          </w:tcPr>
          <w:p>
            <w:pPr>
              <w:spacing w:after="40" w:before="0" w:line="259" w:lineRule="auto"/>
            </w:pPr>
            <w:r>
              <w:rPr>
                <w:rFonts w:ascii="Calibri" w:hAnsi="Calibri"/>
                <w:b w:val="0"/>
                <w:i w:val="0"/>
                <w:color w:val="212121"/>
                <w:sz w:val="16"/>
              </w:rPr>
              <w:t>Screening (exclude organic)</w:t>
            </w:r>
          </w:p>
        </w:tc>
        <w:tc>
          <w:tcPr>
            <w:tcW w:type="dxa" w:w="720"/>
            <w:vAlign w:val="top"/>
          </w:tcPr>
          <w:p>
            <w:pPr>
              <w:spacing w:after="40" w:before="0" w:line="259" w:lineRule="auto"/>
            </w:pPr>
            <w:r>
              <w:rPr>
                <w:rFonts w:ascii="Calibri" w:hAnsi="Calibri"/>
                <w:b w:val="0"/>
                <w:i w:val="0"/>
                <w:color w:val="212121"/>
                <w:sz w:val="16"/>
              </w:rPr>
              <w:t>Reversible mimic; check before/with psychotropics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&amp; folate</w:t>
            </w:r>
          </w:p>
        </w:tc>
        <w:tc>
          <w:tcPr>
            <w:tcW w:type="dxa" w:w="892"/>
            <w:vAlign w:val="top"/>
          </w:tcPr>
          <w:p>
            <w:pPr>
              <w:spacing w:after="40" w:before="0" w:line="259" w:lineRule="auto"/>
            </w:pPr>
            <w:r>
              <w:rPr>
                <w:rFonts w:ascii="Calibri" w:hAnsi="Calibri"/>
                <w:b w:val="0"/>
                <w:i w:val="0"/>
                <w:color w:val="212121"/>
                <w:sz w:val="16"/>
              </w:rPr>
              <w:t>Serum B12 / folate</w:t>
            </w:r>
          </w:p>
        </w:tc>
        <w:tc>
          <w:tcPr>
            <w:tcW w:type="dxa" w:w="950"/>
            <w:vAlign w:val="top"/>
          </w:tcPr>
          <w:p>
            <w:pPr>
              <w:spacing w:after="40" w:before="0" w:line="259" w:lineRule="auto"/>
            </w:pPr>
            <w:r>
              <w:rPr>
                <w:rFonts w:ascii="Calibri" w:hAnsi="Calibri"/>
                <w:b w:val="0"/>
                <w:i w:val="0"/>
                <w:color w:val="212121"/>
                <w:sz w:val="16"/>
              </w:rPr>
              <w:t>B12 200–900 pg/mL; folate &gt;3 ng/mL</w:t>
            </w:r>
          </w:p>
        </w:tc>
        <w:tc>
          <w:tcPr>
            <w:tcW w:type="dxa" w:w="950"/>
            <w:vAlign w:val="top"/>
          </w:tcPr>
          <w:p>
            <w:pPr>
              <w:spacing w:after="40" w:before="0" w:line="259" w:lineRule="auto"/>
            </w:pPr>
            <w:r>
              <w:rPr>
                <w:rFonts w:ascii="Calibri" w:hAnsi="Calibri"/>
                <w:b w:val="0"/>
                <w:i w:val="0"/>
                <w:color w:val="212121"/>
                <w:sz w:val="16"/>
              </w:rPr>
              <w:t>B12 &lt;200 pg/mL; folate &lt;3 ng/mL</w:t>
            </w:r>
          </w:p>
        </w:tc>
        <w:tc>
          <w:tcPr>
            <w:tcW w:type="dxa" w:w="1036"/>
            <w:vAlign w:val="top"/>
          </w:tcPr>
          <w:p>
            <w:pPr>
              <w:spacing w:after="40" w:before="0" w:line="259" w:lineRule="auto"/>
            </w:pPr>
            <w:r>
              <w:rPr>
                <w:rFonts w:ascii="Calibri" w:hAnsi="Calibri"/>
                <w:b w:val="0"/>
                <w:i w:val="0"/>
                <w:color w:val="212121"/>
                <w:sz w:val="16"/>
              </w:rPr>
              <w:t>Deficiency causes depression, fatigue and cognitive impairment; common in vegetarian/elderly Indians</w:t>
            </w:r>
          </w:p>
        </w:tc>
        <w:tc>
          <w:tcPr>
            <w:tcW w:type="dxa" w:w="1036"/>
            <w:vAlign w:val="top"/>
          </w:tcPr>
          <w:p>
            <w:pPr>
              <w:spacing w:after="40" w:before="0" w:line="259" w:lineRule="auto"/>
            </w:pPr>
            <w:r>
              <w:rPr>
                <w:rFonts w:ascii="Calibri" w:hAnsi="Calibri"/>
                <w:b w:val="0"/>
                <w:i w:val="0"/>
                <w:color w:val="212121"/>
                <w:sz w:val="16"/>
              </w:rPr>
              <w:t>Vegetarians, elderly, low-income, alcohol users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Reversible contributor</w:t>
            </w:r>
          </w:p>
        </w:tc>
        <w:tc>
          <w:tcPr>
            <w:tcW w:type="dxa" w:w="720"/>
            <w:vAlign w:val="top"/>
          </w:tcPr>
          <w:p>
            <w:pPr>
              <w:spacing w:after="40" w:before="0" w:line="259" w:lineRule="auto"/>
            </w:pPr>
            <w:r>
              <w:rPr>
                <w:rFonts w:ascii="Calibri" w:hAnsi="Calibri"/>
                <w:b w:val="0"/>
                <w:i w:val="0"/>
                <w:color w:val="212121"/>
                <w:sz w:val="16"/>
              </w:rPr>
              <w:t>Correct before attributing solely to primary psychiatric illness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25-hydroxy vitamin D</w:t>
            </w:r>
          </w:p>
        </w:tc>
        <w:tc>
          <w:tcPr>
            <w:tcW w:type="dxa" w:w="892"/>
            <w:vAlign w:val="top"/>
          </w:tcPr>
          <w:p>
            <w:pPr>
              <w:spacing w:after="40" w:before="0" w:line="259" w:lineRule="auto"/>
            </w:pPr>
            <w:r>
              <w:rPr>
                <w:rFonts w:ascii="Calibri" w:hAnsi="Calibri"/>
                <w:b w:val="0"/>
                <w:i w:val="0"/>
                <w:color w:val="212121"/>
                <w:sz w:val="16"/>
              </w:rPr>
              <w:t>Serum vitamin D</w:t>
            </w:r>
          </w:p>
        </w:tc>
        <w:tc>
          <w:tcPr>
            <w:tcW w:type="dxa" w:w="950"/>
            <w:vAlign w:val="top"/>
          </w:tcPr>
          <w:p>
            <w:pPr>
              <w:spacing w:after="40" w:before="0" w:line="259" w:lineRule="auto"/>
            </w:pPr>
            <w:r>
              <w:rPr>
                <w:rFonts w:ascii="Calibri" w:hAnsi="Calibri"/>
                <w:b w:val="0"/>
                <w:i w:val="0"/>
                <w:color w:val="212121"/>
                <w:sz w:val="16"/>
              </w:rPr>
              <w:t>≥20 ng/mL (30–50 optimal)</w:t>
            </w:r>
          </w:p>
        </w:tc>
        <w:tc>
          <w:tcPr>
            <w:tcW w:type="dxa" w:w="950"/>
            <w:vAlign w:val="top"/>
          </w:tcPr>
          <w:p>
            <w:pPr>
              <w:spacing w:after="40" w:before="0" w:line="259" w:lineRule="auto"/>
            </w:pPr>
            <w:r>
              <w:rPr>
                <w:rFonts w:ascii="Calibri" w:hAnsi="Calibri"/>
                <w:b w:val="0"/>
                <w:i w:val="0"/>
                <w:color w:val="212121"/>
                <w:sz w:val="16"/>
              </w:rPr>
              <w:t>&lt;20 ng/mL (deficient)</w:t>
            </w:r>
          </w:p>
        </w:tc>
        <w:tc>
          <w:tcPr>
            <w:tcW w:type="dxa" w:w="1036"/>
            <w:vAlign w:val="top"/>
          </w:tcPr>
          <w:p>
            <w:pPr>
              <w:spacing w:after="40" w:before="0" w:line="259" w:lineRule="auto"/>
            </w:pPr>
            <w:r>
              <w:rPr>
                <w:rFonts w:ascii="Calibri" w:hAnsi="Calibri"/>
                <w:b w:val="0"/>
                <w:i w:val="0"/>
                <w:color w:val="212121"/>
                <w:sz w:val="16"/>
              </w:rPr>
              <w:t>Low vitamin D is associated with depression and cognitive symptoms; highly prevalent in India</w:t>
            </w:r>
          </w:p>
        </w:tc>
        <w:tc>
          <w:tcPr>
            <w:tcW w:type="dxa" w:w="1036"/>
            <w:vAlign w:val="top"/>
          </w:tcPr>
          <w:p>
            <w:pPr>
              <w:spacing w:after="40" w:before="0" w:line="259" w:lineRule="auto"/>
            </w:pPr>
            <w:r>
              <w:rPr>
                <w:rFonts w:ascii="Calibri" w:hAnsi="Calibri"/>
                <w:b w:val="0"/>
                <w:i w:val="0"/>
                <w:color w:val="212121"/>
                <w:sz w:val="16"/>
              </w:rPr>
              <w:t>Elderly, housebound, deficient diet</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Adjunctive</w:t>
            </w:r>
          </w:p>
        </w:tc>
        <w:tc>
          <w:tcPr>
            <w:tcW w:type="dxa" w:w="720"/>
            <w:vAlign w:val="top"/>
          </w:tcPr>
          <w:p>
            <w:pPr>
              <w:spacing w:after="40" w:before="0" w:line="259" w:lineRule="auto"/>
            </w:pPr>
            <w:r>
              <w:rPr>
                <w:rFonts w:ascii="Calibri" w:hAnsi="Calibri"/>
                <w:b w:val="0"/>
                <w:i w:val="0"/>
                <w:color w:val="212121"/>
                <w:sz w:val="16"/>
              </w:rPr>
              <w:t>Correct deficiency alongside primary treatment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(CBC)</w:t>
            </w:r>
          </w:p>
        </w:tc>
        <w:tc>
          <w:tcPr>
            <w:tcW w:type="dxa" w:w="892"/>
            <w:vAlign w:val="top"/>
          </w:tcPr>
          <w:p>
            <w:pPr>
              <w:spacing w:after="40" w:before="0" w:line="259" w:lineRule="auto"/>
            </w:pPr>
            <w:r>
              <w:rPr>
                <w:rFonts w:ascii="Calibri" w:hAnsi="Calibri"/>
                <w:b w:val="0"/>
                <w:i w:val="0"/>
                <w:color w:val="212121"/>
                <w:sz w:val="16"/>
              </w:rPr>
              <w:t>Haemogram</w:t>
            </w:r>
          </w:p>
        </w:tc>
        <w:tc>
          <w:tcPr>
            <w:tcW w:type="dxa" w:w="950"/>
            <w:vAlign w:val="top"/>
          </w:tcPr>
          <w:p>
            <w:pPr>
              <w:spacing w:after="40" w:before="0" w:line="259" w:lineRule="auto"/>
            </w:pPr>
            <w:r>
              <w:rPr>
                <w:rFonts w:ascii="Calibri" w:hAnsi="Calibri"/>
                <w:b w:val="0"/>
                <w:i w:val="0"/>
                <w:color w:val="212121"/>
                <w:sz w:val="16"/>
              </w:rPr>
              <w:t>Hb M 13–17, F 12–15 g/dL</w:t>
            </w:r>
          </w:p>
        </w:tc>
        <w:tc>
          <w:tcPr>
            <w:tcW w:type="dxa" w:w="950"/>
            <w:vAlign w:val="top"/>
          </w:tcPr>
          <w:p>
            <w:pPr>
              <w:spacing w:after="40" w:before="0" w:line="259" w:lineRule="auto"/>
            </w:pPr>
            <w:r>
              <w:rPr>
                <w:rFonts w:ascii="Calibri" w:hAnsi="Calibri"/>
                <w:b w:val="0"/>
                <w:i w:val="0"/>
                <w:color w:val="212121"/>
                <w:sz w:val="16"/>
              </w:rPr>
              <w:t>Anaemia; leucocytosis</w:t>
            </w:r>
          </w:p>
        </w:tc>
        <w:tc>
          <w:tcPr>
            <w:tcW w:type="dxa" w:w="1036"/>
            <w:vAlign w:val="top"/>
          </w:tcPr>
          <w:p>
            <w:pPr>
              <w:spacing w:after="40" w:before="0" w:line="259" w:lineRule="auto"/>
            </w:pPr>
            <w:r>
              <w:rPr>
                <w:rFonts w:ascii="Calibri" w:hAnsi="Calibri"/>
                <w:b w:val="0"/>
                <w:i w:val="0"/>
                <w:color w:val="212121"/>
                <w:sz w:val="16"/>
              </w:rPr>
              <w:t>Anaemia causes fatigue/low mood; infection/inflammation may mimic or worsen symptoms</w:t>
            </w:r>
          </w:p>
        </w:tc>
        <w:tc>
          <w:tcPr>
            <w:tcW w:type="dxa" w:w="1036"/>
            <w:vAlign w:val="top"/>
          </w:tcPr>
          <w:p>
            <w:pPr>
              <w:spacing w:after="40" w:before="0" w:line="259" w:lineRule="auto"/>
            </w:pPr>
            <w:r>
              <w:rPr>
                <w:rFonts w:ascii="Calibri" w:hAnsi="Calibri"/>
                <w:b w:val="0"/>
                <w:i w:val="0"/>
                <w:color w:val="212121"/>
                <w:sz w:val="16"/>
              </w:rPr>
              <w:t>Women, low-income,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 / exclude organic</w:t>
            </w:r>
          </w:p>
        </w:tc>
        <w:tc>
          <w:tcPr>
            <w:tcW w:type="dxa" w:w="720"/>
            <w:vAlign w:val="top"/>
          </w:tcPr>
          <w:p>
            <w:pPr>
              <w:spacing w:after="40" w:before="0" w:line="259" w:lineRule="auto"/>
            </w:pPr>
            <w:r>
              <w:rPr>
                <w:rFonts w:ascii="Calibri" w:hAnsi="Calibri"/>
                <w:b w:val="0"/>
                <w:i w:val="0"/>
                <w:color w:val="212121"/>
                <w:sz w:val="16"/>
              </w:rPr>
              <w:t>Iron-deficiency anaemia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 &amp; lipid profile</w:t>
            </w:r>
          </w:p>
        </w:tc>
        <w:tc>
          <w:tcPr>
            <w:tcW w:type="dxa" w:w="892"/>
            <w:vAlign w:val="top"/>
          </w:tcPr>
          <w:p>
            <w:pPr>
              <w:spacing w:after="40" w:before="0" w:line="259" w:lineRule="auto"/>
            </w:pPr>
            <w:r>
              <w:rPr>
                <w:rFonts w:ascii="Calibri" w:hAnsi="Calibri"/>
                <w:b w:val="0"/>
                <w:i w:val="0"/>
                <w:color w:val="212121"/>
                <w:sz w:val="16"/>
              </w:rPr>
              <w:t>Metabolic panel</w:t>
            </w:r>
          </w:p>
        </w:tc>
        <w:tc>
          <w:tcPr>
            <w:tcW w:type="dxa" w:w="950"/>
            <w:vAlign w:val="top"/>
          </w:tcPr>
          <w:p>
            <w:pPr>
              <w:spacing w:after="40" w:before="0" w:line="259" w:lineRule="auto"/>
            </w:pPr>
            <w:r>
              <w:rPr>
                <w:rFonts w:ascii="Calibri" w:hAnsi="Calibri"/>
                <w:b w:val="0"/>
                <w:i w:val="0"/>
                <w:color w:val="212121"/>
                <w:sz w:val="16"/>
              </w:rPr>
              <w:t>FPG 70–99 mg/dL; HbA1c &lt;5.7%</w:t>
            </w:r>
          </w:p>
        </w:tc>
        <w:tc>
          <w:tcPr>
            <w:tcW w:type="dxa" w:w="950"/>
            <w:vAlign w:val="top"/>
          </w:tcPr>
          <w:p>
            <w:pPr>
              <w:spacing w:after="40" w:before="0" w:line="259" w:lineRule="auto"/>
            </w:pPr>
            <w:r>
              <w:rPr>
                <w:rFonts w:ascii="Calibri" w:hAnsi="Calibri"/>
                <w:b w:val="0"/>
                <w:i w:val="0"/>
                <w:color w:val="212121"/>
                <w:sz w:val="16"/>
              </w:rPr>
              <w:t>FPG ≥126; HbA1c ≥6.5%; dyslipidemia</w:t>
            </w:r>
          </w:p>
        </w:tc>
        <w:tc>
          <w:tcPr>
            <w:tcW w:type="dxa" w:w="1036"/>
            <w:vAlign w:val="top"/>
          </w:tcPr>
          <w:p>
            <w:pPr>
              <w:spacing w:after="40" w:before="0" w:line="259" w:lineRule="auto"/>
            </w:pPr>
            <w:r>
              <w:rPr>
                <w:rFonts w:ascii="Calibri" w:hAnsi="Calibri"/>
                <w:b w:val="0"/>
                <w:i w:val="0"/>
                <w:color w:val="212121"/>
                <w:sz w:val="16"/>
              </w:rPr>
              <w:t>Screens bidirectional metabolic comorbidity and gives a baseline before/on antipsychotics (metabolic syndrome risk)</w:t>
            </w:r>
          </w:p>
        </w:tc>
        <w:tc>
          <w:tcPr>
            <w:tcW w:type="dxa" w:w="1036"/>
            <w:vAlign w:val="top"/>
          </w:tcPr>
          <w:p>
            <w:pPr>
              <w:spacing w:after="40" w:before="0" w:line="259" w:lineRule="auto"/>
            </w:pPr>
            <w:r>
              <w:rPr>
                <w:rFonts w:ascii="Calibri" w:hAnsi="Calibri"/>
                <w:b w:val="0"/>
                <w:i w:val="0"/>
                <w:color w:val="212121"/>
                <w:sz w:val="16"/>
              </w:rPr>
              <w:t>Patients on antipsychotics, obese, family history DM</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&amp; drug monitoring</w:t>
            </w:r>
          </w:p>
        </w:tc>
        <w:tc>
          <w:tcPr>
            <w:tcW w:type="dxa" w:w="720"/>
            <w:vAlign w:val="top"/>
          </w:tcPr>
          <w:p>
            <w:pPr>
              <w:spacing w:after="40" w:before="0" w:line="259" w:lineRule="auto"/>
            </w:pPr>
            <w:r>
              <w:rPr>
                <w:rFonts w:ascii="Calibri" w:hAnsi="Calibri"/>
                <w:b w:val="0"/>
                <w:i w:val="0"/>
                <w:color w:val="212121"/>
                <w:sz w:val="16"/>
              </w:rPr>
              <w:t>Repeat periodically on antipsychotics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&amp; renal function; electrolytes, calcium</w:t>
            </w:r>
          </w:p>
        </w:tc>
        <w:tc>
          <w:tcPr>
            <w:tcW w:type="dxa" w:w="892"/>
            <w:vAlign w:val="top"/>
          </w:tcPr>
          <w:p>
            <w:pPr>
              <w:spacing w:after="40" w:before="0" w:line="259" w:lineRule="auto"/>
            </w:pPr>
            <w:r>
              <w:rPr>
                <w:rFonts w:ascii="Calibri" w:hAnsi="Calibri"/>
                <w:b w:val="0"/>
                <w:i w:val="0"/>
                <w:color w:val="212121"/>
                <w:sz w:val="16"/>
              </w:rPr>
              <w:t>LFT / RFT / electrolytes</w:t>
            </w:r>
          </w:p>
        </w:tc>
        <w:tc>
          <w:tcPr>
            <w:tcW w:type="dxa" w:w="950"/>
            <w:vAlign w:val="top"/>
          </w:tcPr>
          <w:p>
            <w:pPr>
              <w:spacing w:after="40" w:before="0" w:line="259" w:lineRule="auto"/>
            </w:pPr>
            <w:r>
              <w:rPr>
                <w:rFonts w:ascii="Calibri" w:hAnsi="Calibri"/>
                <w:b w:val="0"/>
                <w:i w:val="0"/>
                <w:color w:val="212121"/>
                <w:sz w:val="16"/>
              </w:rPr>
              <w:t>Within lab reference range</w:t>
            </w:r>
          </w:p>
        </w:tc>
        <w:tc>
          <w:tcPr>
            <w:tcW w:type="dxa" w:w="950"/>
            <w:vAlign w:val="top"/>
          </w:tcPr>
          <w:p>
            <w:pPr>
              <w:spacing w:after="40" w:before="0" w:line="259" w:lineRule="auto"/>
            </w:pPr>
            <w:r>
              <w:rPr>
                <w:rFonts w:ascii="Calibri" w:hAnsi="Calibri"/>
                <w:b w:val="0"/>
                <w:i w:val="0"/>
                <w:color w:val="212121"/>
                <w:sz w:val="16"/>
              </w:rPr>
              <w:t>Deranged LFT/RFT; Na/Ca disturbance</w:t>
            </w:r>
          </w:p>
        </w:tc>
        <w:tc>
          <w:tcPr>
            <w:tcW w:type="dxa" w:w="1036"/>
            <w:vAlign w:val="top"/>
          </w:tcPr>
          <w:p>
            <w:pPr>
              <w:spacing w:after="40" w:before="0" w:line="259" w:lineRule="auto"/>
            </w:pPr>
            <w:r>
              <w:rPr>
                <w:rFonts w:ascii="Calibri" w:hAnsi="Calibri"/>
                <w:b w:val="0"/>
                <w:i w:val="0"/>
                <w:color w:val="212121"/>
                <w:sz w:val="16"/>
              </w:rPr>
              <w:t>Establishes safe baseline for psychotropics and excludes metabolic causes of delirium/mood change</w:t>
            </w:r>
          </w:p>
        </w:tc>
        <w:tc>
          <w:tcPr>
            <w:tcW w:type="dxa" w:w="1036"/>
            <w:vAlign w:val="top"/>
          </w:tcPr>
          <w:p>
            <w:pPr>
              <w:spacing w:after="40" w:before="0" w:line="259" w:lineRule="auto"/>
            </w:pPr>
            <w:r>
              <w:rPr>
                <w:rFonts w:ascii="Calibri" w:hAnsi="Calibri"/>
                <w:b w:val="0"/>
                <w:i w:val="0"/>
                <w:color w:val="212121"/>
                <w:sz w:val="16"/>
              </w:rPr>
              <w:t>Alcohol users, elderly, before lithium/valproate</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Baseline / safety</w:t>
            </w:r>
          </w:p>
        </w:tc>
        <w:tc>
          <w:tcPr>
            <w:tcW w:type="dxa" w:w="720"/>
            <w:vAlign w:val="top"/>
          </w:tcPr>
          <w:p>
            <w:pPr>
              <w:spacing w:after="40" w:before="0" w:line="259" w:lineRule="auto"/>
            </w:pPr>
            <w:r>
              <w:rPr>
                <w:rFonts w:ascii="Calibri" w:hAnsi="Calibri"/>
                <w:b w:val="0"/>
                <w:i w:val="0"/>
                <w:color w:val="212121"/>
                <w:sz w:val="16"/>
              </w:rPr>
              <w:t>Guides drug choice and 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Urine drug screen / blood alcohol</w:t>
            </w:r>
          </w:p>
        </w:tc>
        <w:tc>
          <w:tcPr>
            <w:tcW w:type="dxa" w:w="892"/>
            <w:vAlign w:val="top"/>
          </w:tcPr>
          <w:p>
            <w:pPr>
              <w:spacing w:after="40" w:before="0" w:line="259" w:lineRule="auto"/>
            </w:pPr>
            <w:r>
              <w:rPr>
                <w:rFonts w:ascii="Calibri" w:hAnsi="Calibri"/>
                <w:b w:val="0"/>
                <w:i w:val="0"/>
                <w:color w:val="212121"/>
                <w:sz w:val="16"/>
              </w:rPr>
              <w:t>Substance screen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for alcohol/opioids/cannabis/stimulants</w:t>
            </w:r>
          </w:p>
        </w:tc>
        <w:tc>
          <w:tcPr>
            <w:tcW w:type="dxa" w:w="1036"/>
            <w:vAlign w:val="top"/>
          </w:tcPr>
          <w:p>
            <w:pPr>
              <w:spacing w:after="40" w:before="0" w:line="259" w:lineRule="auto"/>
            </w:pPr>
            <w:r>
              <w:rPr>
                <w:rFonts w:ascii="Calibri" w:hAnsi="Calibri"/>
                <w:b w:val="0"/>
                <w:i w:val="0"/>
                <w:color w:val="212121"/>
                <w:sz w:val="16"/>
              </w:rPr>
              <w:t>Identifies substance-induced or comorbid disorders (dual diagnosis) and intoxication/withdrawal states</w:t>
            </w:r>
          </w:p>
        </w:tc>
        <w:tc>
          <w:tcPr>
            <w:tcW w:type="dxa" w:w="1036"/>
            <w:vAlign w:val="top"/>
          </w:tcPr>
          <w:p>
            <w:pPr>
              <w:spacing w:after="40" w:before="0" w:line="259" w:lineRule="auto"/>
            </w:pPr>
            <w:r>
              <w:rPr>
                <w:rFonts w:ascii="Calibri" w:hAnsi="Calibri"/>
                <w:b w:val="0"/>
                <w:i w:val="0"/>
                <w:color w:val="212121"/>
                <w:sz w:val="16"/>
              </w:rPr>
              <w:t>Suspected substance use, acute presentations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Diagnostic / safety</w:t>
            </w:r>
          </w:p>
        </w:tc>
        <w:tc>
          <w:tcPr>
            <w:tcW w:type="dxa" w:w="720"/>
            <w:vAlign w:val="top"/>
          </w:tcPr>
          <w:p>
            <w:pPr>
              <w:spacing w:after="40" w:before="0" w:line="259" w:lineRule="auto"/>
            </w:pPr>
            <w:r>
              <w:rPr>
                <w:rFonts w:ascii="Calibri" w:hAnsi="Calibri"/>
                <w:b w:val="0"/>
                <w:i w:val="0"/>
                <w:color w:val="212121"/>
                <w:sz w:val="16"/>
              </w:rPr>
              <w:t>Essential in acute behavioural emergencies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Therapeutic monitoring</w:t>
            </w:r>
          </w:p>
        </w:tc>
        <w:tc>
          <w:tcPr>
            <w:tcW w:type="dxa" w:w="1036"/>
            <w:vAlign w:val="top"/>
          </w:tcPr>
          <w:p>
            <w:pPr>
              <w:spacing w:after="40" w:before="0" w:line="259" w:lineRule="auto"/>
            </w:pPr>
            <w:r>
              <w:rPr>
                <w:rFonts w:ascii="Calibri" w:hAnsi="Calibri"/>
                <w:b w:val="0"/>
                <w:i w:val="0"/>
                <w:color w:val="212121"/>
                <w:sz w:val="16"/>
              </w:rPr>
              <w:t>Serum lithium (if prescribed)</w:t>
            </w:r>
          </w:p>
        </w:tc>
        <w:tc>
          <w:tcPr>
            <w:tcW w:type="dxa" w:w="892"/>
            <w:vAlign w:val="top"/>
          </w:tcPr>
          <w:p>
            <w:pPr>
              <w:spacing w:after="40" w:before="0" w:line="259" w:lineRule="auto"/>
            </w:pPr>
            <w:r>
              <w:rPr>
                <w:rFonts w:ascii="Calibri" w:hAnsi="Calibri"/>
                <w:b w:val="0"/>
                <w:i w:val="0"/>
                <w:color w:val="212121"/>
                <w:sz w:val="16"/>
              </w:rPr>
              <w:t>Drug level</w:t>
            </w:r>
          </w:p>
        </w:tc>
        <w:tc>
          <w:tcPr>
            <w:tcW w:type="dxa" w:w="950"/>
            <w:vAlign w:val="top"/>
          </w:tcPr>
          <w:p>
            <w:pPr>
              <w:spacing w:after="40" w:before="0" w:line="259" w:lineRule="auto"/>
            </w:pPr>
            <w:r>
              <w:rPr>
                <w:rFonts w:ascii="Calibri" w:hAnsi="Calibri"/>
                <w:b w:val="0"/>
                <w:i w:val="0"/>
                <w:color w:val="212121"/>
                <w:sz w:val="16"/>
              </w:rPr>
              <w:t>0.6–1.0 mmol/L (maintenance)</w:t>
            </w:r>
          </w:p>
        </w:tc>
        <w:tc>
          <w:tcPr>
            <w:tcW w:type="dxa" w:w="950"/>
            <w:vAlign w:val="top"/>
          </w:tcPr>
          <w:p>
            <w:pPr>
              <w:spacing w:after="40" w:before="0" w:line="259" w:lineRule="auto"/>
            </w:pPr>
            <w:r>
              <w:rPr>
                <w:rFonts w:ascii="Calibri" w:hAnsi="Calibri"/>
                <w:b w:val="0"/>
                <w:i w:val="0"/>
                <w:color w:val="212121"/>
                <w:sz w:val="16"/>
              </w:rPr>
              <w:t>&gt;1.2 mmol/L (toxic); sub-therapeutic &lt;0.6</w:t>
            </w:r>
          </w:p>
        </w:tc>
        <w:tc>
          <w:tcPr>
            <w:tcW w:type="dxa" w:w="1036"/>
            <w:vAlign w:val="top"/>
          </w:tcPr>
          <w:p>
            <w:pPr>
              <w:spacing w:after="40" w:before="0" w:line="259" w:lineRule="auto"/>
            </w:pPr>
            <w:r>
              <w:rPr>
                <w:rFonts w:ascii="Calibri" w:hAnsi="Calibri"/>
                <w:b w:val="0"/>
                <w:i w:val="0"/>
                <w:color w:val="212121"/>
                <w:sz w:val="16"/>
              </w:rPr>
              <w:t>Narrow therapeutic index; monitors efficacy and prevents toxicity</w:t>
            </w:r>
          </w:p>
        </w:tc>
        <w:tc>
          <w:tcPr>
            <w:tcW w:type="dxa" w:w="1036"/>
            <w:vAlign w:val="top"/>
          </w:tcPr>
          <w:p>
            <w:pPr>
              <w:spacing w:after="40" w:before="0" w:line="259" w:lineRule="auto"/>
            </w:pPr>
            <w:r>
              <w:rPr>
                <w:rFonts w:ascii="Calibri" w:hAnsi="Calibri"/>
                <w:b w:val="0"/>
                <w:i w:val="0"/>
                <w:color w:val="212121"/>
                <w:sz w:val="16"/>
              </w:rPr>
              <w:t>Bipolar patients on lithium</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Check with renal/thyroid function periodically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Presenting complaints &amp; HPI</w:t>
            </w:r>
          </w:p>
        </w:tc>
        <w:tc>
          <w:tcPr>
            <w:tcW w:type="dxa" w:w="979"/>
            <w:vAlign w:val="top"/>
          </w:tcPr>
          <w:p>
            <w:pPr>
              <w:spacing w:after="40" w:before="0" w:line="259" w:lineRule="auto"/>
            </w:pPr>
            <w:r>
              <w:rPr>
                <w:rFonts w:ascii="Calibri" w:hAnsi="Calibri"/>
                <w:b w:val="0"/>
                <w:i w:val="0"/>
                <w:color w:val="212121"/>
                <w:sz w:val="16"/>
              </w:rPr>
              <w:t>Onset, duration, course, severity, triggers</w:t>
            </w:r>
          </w:p>
        </w:tc>
        <w:tc>
          <w:tcPr>
            <w:tcW w:type="dxa" w:w="950"/>
            <w:vAlign w:val="top"/>
          </w:tcPr>
          <w:p>
            <w:pPr>
              <w:spacing w:after="40" w:before="0" w:line="259" w:lineRule="auto"/>
            </w:pPr>
            <w:r>
              <w:rPr>
                <w:rFonts w:ascii="Calibri" w:hAnsi="Calibri"/>
                <w:b w:val="0"/>
                <w:i w:val="0"/>
                <w:color w:val="212121"/>
                <w:sz w:val="16"/>
              </w:rPr>
              <w:t>No disorder present</w:t>
            </w:r>
          </w:p>
        </w:tc>
        <w:tc>
          <w:tcPr>
            <w:tcW w:type="dxa" w:w="950"/>
            <w:vAlign w:val="top"/>
          </w:tcPr>
          <w:p>
            <w:pPr>
              <w:spacing w:after="40" w:before="0" w:line="259" w:lineRule="auto"/>
            </w:pPr>
            <w:r>
              <w:rPr>
                <w:rFonts w:ascii="Calibri" w:hAnsi="Calibri"/>
                <w:b w:val="0"/>
                <w:i w:val="0"/>
                <w:color w:val="212121"/>
                <w:sz w:val="16"/>
              </w:rPr>
              <w:t>Persistent mood/anxiety/behavioural change with distress or dysfunction</w:t>
            </w:r>
          </w:p>
        </w:tc>
        <w:tc>
          <w:tcPr>
            <w:tcW w:type="dxa" w:w="1036"/>
            <w:vAlign w:val="top"/>
          </w:tcPr>
          <w:p>
            <w:pPr>
              <w:spacing w:after="40" w:before="0" w:line="259" w:lineRule="auto"/>
            </w:pPr>
            <w:r>
              <w:rPr>
                <w:rFonts w:ascii="Calibri" w:hAnsi="Calibri"/>
                <w:b w:val="0"/>
                <w:i w:val="0"/>
                <w:color w:val="212121"/>
                <w:sz w:val="16"/>
              </w:rPr>
              <w:t>Establishes whether criteria for a current disorder are met and its category</w:t>
            </w:r>
          </w:p>
        </w:tc>
        <w:tc>
          <w:tcPr>
            <w:tcW w:type="dxa" w:w="1036"/>
            <w:vAlign w:val="top"/>
          </w:tcPr>
          <w:p>
            <w:pPr>
              <w:spacing w:after="40" w:before="0" w:line="259" w:lineRule="auto"/>
            </w:pPr>
            <w:r>
              <w:rPr>
                <w:rFonts w:ascii="Calibri" w:hAnsi="Calibri"/>
                <w:b w:val="0"/>
                <w:i w:val="0"/>
                <w:color w:val="212121"/>
                <w:sz w:val="16"/>
              </w:rPr>
              <w:t>All presenting adults</w:t>
            </w:r>
          </w:p>
        </w:tc>
        <w:tc>
          <w:tcPr>
            <w:tcW w:type="dxa" w:w="720"/>
            <w:vAlign w:val="top"/>
          </w:tcPr>
          <w:p>
            <w:pPr>
              <w:spacing w:after="40" w:before="0" w:line="259" w:lineRule="auto"/>
            </w:pPr>
            <w:r>
              <w:rPr>
                <w:rFonts w:ascii="Calibri" w:hAnsi="Calibri"/>
                <w:b w:val="0"/>
                <w:i w:val="0"/>
                <w:color w:val="212121"/>
                <w:sz w:val="16"/>
              </w:rPr>
              <w:t>Mental health; Provoking factors</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Somatic complaints often mask depression/anxiety in India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State Examination</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Appearance, mood/affect, thought, perception, cognition, insight</w:t>
            </w:r>
          </w:p>
        </w:tc>
        <w:tc>
          <w:tcPr>
            <w:tcW w:type="dxa" w:w="950"/>
            <w:vAlign w:val="top"/>
          </w:tcPr>
          <w:p>
            <w:pPr>
              <w:spacing w:after="40" w:before="0" w:line="259" w:lineRule="auto"/>
            </w:pPr>
            <w:r>
              <w:rPr>
                <w:rFonts w:ascii="Calibri" w:hAnsi="Calibri"/>
                <w:b w:val="0"/>
                <w:i w:val="0"/>
                <w:color w:val="212121"/>
                <w:sz w:val="16"/>
              </w:rPr>
              <w:t>Euthymic, organised thought, intact insight</w:t>
            </w:r>
          </w:p>
        </w:tc>
        <w:tc>
          <w:tcPr>
            <w:tcW w:type="dxa" w:w="950"/>
            <w:vAlign w:val="top"/>
          </w:tcPr>
          <w:p>
            <w:pPr>
              <w:spacing w:after="40" w:before="0" w:line="259" w:lineRule="auto"/>
            </w:pPr>
            <w:r>
              <w:rPr>
                <w:rFonts w:ascii="Calibri" w:hAnsi="Calibri"/>
                <w:b w:val="0"/>
                <w:i w:val="0"/>
                <w:color w:val="212121"/>
                <w:sz w:val="16"/>
              </w:rPr>
              <w:t>Depressed/anxious affect, delusions, hallucinations, poor insight</w:t>
            </w:r>
          </w:p>
        </w:tc>
        <w:tc>
          <w:tcPr>
            <w:tcW w:type="dxa" w:w="1036"/>
            <w:vAlign w:val="top"/>
          </w:tcPr>
          <w:p>
            <w:pPr>
              <w:spacing w:after="40" w:before="0" w:line="259" w:lineRule="auto"/>
            </w:pPr>
            <w:r>
              <w:rPr>
                <w:rFonts w:ascii="Calibri" w:hAnsi="Calibri"/>
                <w:b w:val="0"/>
                <w:i w:val="0"/>
                <w:color w:val="212121"/>
                <w:sz w:val="16"/>
              </w:rPr>
              <w:t>Cross-sectional assessment of current psychopathology and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Core diagnostic</w:t>
            </w:r>
          </w:p>
        </w:tc>
        <w:tc>
          <w:tcPr>
            <w:tcW w:type="dxa" w:w="720"/>
            <w:vAlign w:val="top"/>
          </w:tcPr>
          <w:p>
            <w:pPr>
              <w:spacing w:after="40" w:before="0" w:line="259" w:lineRule="auto"/>
            </w:pPr>
            <w:r>
              <w:rPr>
                <w:rFonts w:ascii="Calibri" w:hAnsi="Calibri"/>
                <w:b w:val="0"/>
                <w:i w:val="0"/>
                <w:color w:val="212121"/>
                <w:sz w:val="16"/>
              </w:rPr>
              <w:t>Documents psychosis, cognition and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 / self-harm / harm-to-others</w:t>
            </w:r>
          </w:p>
        </w:tc>
        <w:tc>
          <w:tcPr>
            <w:tcW w:type="dxa" w:w="979"/>
            <w:vAlign w:val="top"/>
          </w:tcPr>
          <w:p>
            <w:pPr>
              <w:spacing w:after="40" w:before="0" w:line="259" w:lineRule="auto"/>
            </w:pPr>
            <w:r>
              <w:rPr>
                <w:rFonts w:ascii="Calibri" w:hAnsi="Calibri"/>
                <w:b w:val="0"/>
                <w:i w:val="0"/>
                <w:color w:val="212121"/>
                <w:sz w:val="16"/>
              </w:rPr>
              <w:t>Ideation, plan, intent, means, protective factors</w:t>
            </w:r>
          </w:p>
        </w:tc>
        <w:tc>
          <w:tcPr>
            <w:tcW w:type="dxa" w:w="950"/>
            <w:vAlign w:val="top"/>
          </w:tcPr>
          <w:p>
            <w:pPr>
              <w:spacing w:after="40" w:before="0" w:line="259" w:lineRule="auto"/>
            </w:pPr>
            <w:r>
              <w:rPr>
                <w:rFonts w:ascii="Calibri" w:hAnsi="Calibri"/>
                <w:b w:val="0"/>
                <w:i w:val="0"/>
                <w:color w:val="212121"/>
                <w:sz w:val="16"/>
              </w:rPr>
              <w:t>No ideation, protective factors present</w:t>
            </w:r>
          </w:p>
        </w:tc>
        <w:tc>
          <w:tcPr>
            <w:tcW w:type="dxa" w:w="950"/>
            <w:vAlign w:val="top"/>
          </w:tcPr>
          <w:p>
            <w:pPr>
              <w:spacing w:after="40" w:before="0" w:line="259" w:lineRule="auto"/>
            </w:pPr>
            <w:r>
              <w:rPr>
                <w:rFonts w:ascii="Calibri" w:hAnsi="Calibri"/>
                <w:b w:val="0"/>
                <w:i w:val="0"/>
                <w:color w:val="212121"/>
                <w:sz w:val="16"/>
              </w:rPr>
              <w:t>Active ideation, plan or intent; prior attempt</w:t>
            </w:r>
          </w:p>
        </w:tc>
        <w:tc>
          <w:tcPr>
            <w:tcW w:type="dxa" w:w="1036"/>
            <w:vAlign w:val="top"/>
          </w:tcPr>
          <w:p>
            <w:pPr>
              <w:spacing w:after="40" w:before="0" w:line="259" w:lineRule="auto"/>
            </w:pPr>
            <w:r>
              <w:rPr>
                <w:rFonts w:ascii="Calibri" w:hAnsi="Calibri"/>
                <w:b w:val="0"/>
                <w:i w:val="0"/>
                <w:color w:val="212121"/>
                <w:sz w:val="16"/>
              </w:rPr>
              <w:t>Determines acuity and level of care; PHQ-9 item 9 flags ideation</w:t>
            </w:r>
          </w:p>
        </w:tc>
        <w:tc>
          <w:tcPr>
            <w:tcW w:type="dxa" w:w="1036"/>
            <w:vAlign w:val="top"/>
          </w:tcPr>
          <w:p>
            <w:pPr>
              <w:spacing w:after="40" w:before="0" w:line="259" w:lineRule="auto"/>
            </w:pPr>
            <w:r>
              <w:rPr>
                <w:rFonts w:ascii="Calibri" w:hAnsi="Calibri"/>
                <w:b w:val="0"/>
                <w:i w:val="0"/>
                <w:color w:val="212121"/>
                <w:sz w:val="16"/>
              </w:rPr>
              <w:t>Depressed, substance users, psychotic, elderly</w:t>
            </w:r>
          </w:p>
        </w:tc>
        <w:tc>
          <w:tcPr>
            <w:tcW w:type="dxa" w:w="720"/>
            <w:vAlign w:val="top"/>
          </w:tcPr>
          <w:p>
            <w:pPr>
              <w:spacing w:after="40" w:before="0" w:line="259" w:lineRule="auto"/>
            </w:pPr>
            <w:r>
              <w:rPr>
                <w:rFonts w:ascii="Calibri" w:hAnsi="Calibri"/>
                <w:b w:val="0"/>
                <w:i w:val="0"/>
                <w:color w:val="212121"/>
                <w:sz w:val="16"/>
              </w:rPr>
              <w:t>Mental health; Alcohol</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India's suicide rate ~21.1/100,000 — escalate promptly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Substance-use history</w:t>
            </w:r>
          </w:p>
        </w:tc>
        <w:tc>
          <w:tcPr>
            <w:tcW w:type="dxa" w:w="979"/>
            <w:vAlign w:val="top"/>
          </w:tcPr>
          <w:p>
            <w:pPr>
              <w:spacing w:after="40" w:before="0" w:line="259" w:lineRule="auto"/>
            </w:pPr>
            <w:r>
              <w:rPr>
                <w:rFonts w:ascii="Calibri" w:hAnsi="Calibri"/>
                <w:b w:val="0"/>
                <w:i w:val="0"/>
                <w:color w:val="212121"/>
                <w:sz w:val="16"/>
              </w:rPr>
              <w:t>Alcohol, tobacco, cannabis, opioids, other</w:t>
            </w:r>
          </w:p>
        </w:tc>
        <w:tc>
          <w:tcPr>
            <w:tcW w:type="dxa" w:w="950"/>
            <w:vAlign w:val="top"/>
          </w:tcPr>
          <w:p>
            <w:pPr>
              <w:spacing w:after="40" w:before="0" w:line="259" w:lineRule="auto"/>
            </w:pPr>
            <w:r>
              <w:rPr>
                <w:rFonts w:ascii="Calibri" w:hAnsi="Calibri"/>
                <w:b w:val="0"/>
                <w:i w:val="0"/>
                <w:color w:val="212121"/>
                <w:sz w:val="16"/>
              </w:rPr>
              <w:t>No hazardous use</w:t>
            </w:r>
          </w:p>
        </w:tc>
        <w:tc>
          <w:tcPr>
            <w:tcW w:type="dxa" w:w="950"/>
            <w:vAlign w:val="top"/>
          </w:tcPr>
          <w:p>
            <w:pPr>
              <w:spacing w:after="40" w:before="0" w:line="259" w:lineRule="auto"/>
            </w:pPr>
            <w:r>
              <w:rPr>
                <w:rFonts w:ascii="Calibri" w:hAnsi="Calibri"/>
                <w:b w:val="0"/>
                <w:i w:val="0"/>
                <w:color w:val="212121"/>
                <w:sz w:val="16"/>
              </w:rPr>
              <w:t>Hazardous/dependent use (AUDIT ≥8)</w:t>
            </w:r>
          </w:p>
        </w:tc>
        <w:tc>
          <w:tcPr>
            <w:tcW w:type="dxa" w:w="1036"/>
            <w:vAlign w:val="top"/>
          </w:tcPr>
          <w:p>
            <w:pPr>
              <w:spacing w:after="40" w:before="0" w:line="259" w:lineRule="auto"/>
            </w:pPr>
            <w:r>
              <w:rPr>
                <w:rFonts w:ascii="Calibri" w:hAnsi="Calibri"/>
                <w:b w:val="0"/>
                <w:i w:val="0"/>
                <w:color w:val="212121"/>
                <w:sz w:val="16"/>
              </w:rPr>
              <w:t>Identifies dual diagnosis affecting course and treatment</w:t>
            </w:r>
          </w:p>
        </w:tc>
        <w:tc>
          <w:tcPr>
            <w:tcW w:type="dxa" w:w="1036"/>
            <w:vAlign w:val="top"/>
          </w:tcPr>
          <w:p>
            <w:pPr>
              <w:spacing w:after="40" w:before="0" w:line="259" w:lineRule="auto"/>
            </w:pPr>
            <w:r>
              <w:rPr>
                <w:rFonts w:ascii="Calibri" w:hAnsi="Calibri"/>
                <w:b w:val="0"/>
                <w:i w:val="0"/>
                <w:color w:val="212121"/>
                <w:sz w:val="16"/>
              </w:rPr>
              <w:t>Men, urban, dual-diagnosis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Diagnostic / prognostic</w:t>
            </w:r>
          </w:p>
        </w:tc>
        <w:tc>
          <w:tcPr>
            <w:tcW w:type="dxa" w:w="720"/>
            <w:vAlign w:val="top"/>
          </w:tcPr>
          <w:p>
            <w:pPr>
              <w:spacing w:after="40" w:before="0" w:line="259" w:lineRule="auto"/>
            </w:pPr>
            <w:r>
              <w:rPr>
                <w:rFonts w:ascii="Calibri" w:hAnsi="Calibri"/>
                <w:b w:val="0"/>
                <w:i w:val="0"/>
                <w:color w:val="212121"/>
                <w:sz w:val="16"/>
              </w:rPr>
              <w:t>Screen every presentation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personal psychiatric history</w:t>
            </w:r>
          </w:p>
        </w:tc>
        <w:tc>
          <w:tcPr>
            <w:tcW w:type="dxa" w:w="979"/>
            <w:vAlign w:val="top"/>
          </w:tcPr>
          <w:p>
            <w:pPr>
              <w:spacing w:after="40" w:before="0" w:line="259" w:lineRule="auto"/>
            </w:pPr>
            <w:r>
              <w:rPr>
                <w:rFonts w:ascii="Calibri" w:hAnsi="Calibri"/>
                <w:b w:val="0"/>
                <w:i w:val="0"/>
                <w:color w:val="212121"/>
                <w:sz w:val="16"/>
              </w:rPr>
              <w:t>First-degree relatives; prior episodes/treatment</w:t>
            </w:r>
          </w:p>
        </w:tc>
        <w:tc>
          <w:tcPr>
            <w:tcW w:type="dxa" w:w="950"/>
            <w:vAlign w:val="top"/>
          </w:tcPr>
          <w:p>
            <w:pPr>
              <w:spacing w:after="40" w:before="0" w:line="259" w:lineRule="auto"/>
            </w:pPr>
            <w:r>
              <w:rPr>
                <w:rFonts w:ascii="Calibri" w:hAnsi="Calibri"/>
                <w:b w:val="0"/>
                <w:i w:val="0"/>
                <w:color w:val="212121"/>
                <w:sz w:val="16"/>
              </w:rPr>
              <w:t>No family or personal history</w:t>
            </w:r>
          </w:p>
        </w:tc>
        <w:tc>
          <w:tcPr>
            <w:tcW w:type="dxa" w:w="950"/>
            <w:vAlign w:val="top"/>
          </w:tcPr>
          <w:p>
            <w:pPr>
              <w:spacing w:after="40" w:before="0" w:line="259" w:lineRule="auto"/>
            </w:pPr>
            <w:r>
              <w:rPr>
                <w:rFonts w:ascii="Calibri" w:hAnsi="Calibri"/>
                <w:b w:val="0"/>
                <w:i w:val="0"/>
                <w:color w:val="212121"/>
                <w:sz w:val="16"/>
              </w:rPr>
              <w:t>Positive family history; prior episodes</w:t>
            </w:r>
          </w:p>
        </w:tc>
        <w:tc>
          <w:tcPr>
            <w:tcW w:type="dxa" w:w="1036"/>
            <w:vAlign w:val="top"/>
          </w:tcPr>
          <w:p>
            <w:pPr>
              <w:spacing w:after="40" w:before="0" w:line="259" w:lineRule="auto"/>
            </w:pPr>
            <w:r>
              <w:rPr>
                <w:rFonts w:ascii="Calibri" w:hAnsi="Calibri"/>
                <w:b w:val="0"/>
                <w:i w:val="0"/>
                <w:color w:val="212121"/>
                <w:sz w:val="16"/>
              </w:rPr>
              <w:t>Genetic loading and relapse risk inform diagnosis and prognosis</w:t>
            </w:r>
          </w:p>
        </w:tc>
        <w:tc>
          <w:tcPr>
            <w:tcW w:type="dxa" w:w="1036"/>
            <w:vAlign w:val="top"/>
          </w:tcPr>
          <w:p>
            <w:pPr>
              <w:spacing w:after="40" w:before="0" w:line="259" w:lineRule="auto"/>
            </w:pPr>
            <w:r>
              <w:rPr>
                <w:rFonts w:ascii="Calibri" w:hAnsi="Calibri"/>
                <w:b w:val="0"/>
                <w:i w:val="0"/>
                <w:color w:val="212121"/>
                <w:sz w:val="16"/>
              </w:rPr>
              <w:t>Relatives of patients, recurrent illness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and response in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ACE assessment</w:t>
            </w:r>
          </w:p>
        </w:tc>
        <w:tc>
          <w:tcPr>
            <w:tcW w:type="dxa" w:w="979"/>
            <w:vAlign w:val="top"/>
          </w:tcPr>
          <w:p>
            <w:pPr>
              <w:spacing w:after="40" w:before="0" w:line="259" w:lineRule="auto"/>
            </w:pPr>
            <w:r>
              <w:rPr>
                <w:rFonts w:ascii="Calibri" w:hAnsi="Calibri"/>
                <w:b w:val="0"/>
                <w:i w:val="0"/>
                <w:color w:val="212121"/>
                <w:sz w:val="16"/>
              </w:rPr>
              <w:t>Stressors, trauma, support, functioning</w:t>
            </w:r>
          </w:p>
        </w:tc>
        <w:tc>
          <w:tcPr>
            <w:tcW w:type="dxa" w:w="950"/>
            <w:vAlign w:val="top"/>
          </w:tcPr>
          <w:p>
            <w:pPr>
              <w:spacing w:after="40" w:before="0" w:line="259" w:lineRule="auto"/>
            </w:pPr>
            <w:r>
              <w:rPr>
                <w:rFonts w:ascii="Calibri" w:hAnsi="Calibri"/>
                <w:b w:val="0"/>
                <w:i w:val="0"/>
                <w:color w:val="212121"/>
                <w:sz w:val="16"/>
              </w:rPr>
              <w:t>Adequate support, no major stressor</w:t>
            </w:r>
          </w:p>
        </w:tc>
        <w:tc>
          <w:tcPr>
            <w:tcW w:type="dxa" w:w="950"/>
            <w:vAlign w:val="top"/>
          </w:tcPr>
          <w:p>
            <w:pPr>
              <w:spacing w:after="40" w:before="0" w:line="259" w:lineRule="auto"/>
            </w:pPr>
            <w:r>
              <w:rPr>
                <w:rFonts w:ascii="Calibri" w:hAnsi="Calibri"/>
                <w:b w:val="0"/>
                <w:i w:val="0"/>
                <w:color w:val="212121"/>
                <w:sz w:val="16"/>
              </w:rPr>
              <w:t>Recent loss/trauma, isolation, functional decline</w:t>
            </w:r>
          </w:p>
        </w:tc>
        <w:tc>
          <w:tcPr>
            <w:tcW w:type="dxa" w:w="1036"/>
            <w:vAlign w:val="top"/>
          </w:tcPr>
          <w:p>
            <w:pPr>
              <w:spacing w:after="40" w:before="0" w:line="259" w:lineRule="auto"/>
            </w:pPr>
            <w:r>
              <w:rPr>
                <w:rFonts w:ascii="Calibri" w:hAnsi="Calibri"/>
                <w:b w:val="0"/>
                <w:i w:val="0"/>
                <w:color w:val="212121"/>
                <w:sz w:val="16"/>
              </w:rPr>
              <w:t>Identifies precipitants and targets for psychosocial intervention</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Management planning</w:t>
            </w:r>
          </w:p>
        </w:tc>
        <w:tc>
          <w:tcPr>
            <w:tcW w:type="dxa" w:w="720"/>
            <w:vAlign w:val="top"/>
          </w:tcPr>
          <w:p>
            <w:pPr>
              <w:spacing w:after="40" w:before="0" w:line="259" w:lineRule="auto"/>
            </w:pPr>
            <w:r>
              <w:rPr>
                <w:rFonts w:ascii="Calibri" w:hAnsi="Calibri"/>
                <w:b w:val="0"/>
                <w:i w:val="0"/>
                <w:color w:val="212121"/>
                <w:sz w:val="16"/>
              </w:rPr>
              <w:t>Guides psychotherapy and social support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Cognitive screen</w:t>
            </w:r>
          </w:p>
        </w:tc>
        <w:tc>
          <w:tcPr>
            <w:tcW w:type="dxa" w:w="950"/>
            <w:vAlign w:val="top"/>
          </w:tcPr>
          <w:p>
            <w:pPr>
              <w:spacing w:after="40" w:before="0" w:line="259" w:lineRule="auto"/>
            </w:pPr>
            <w:r>
              <w:rPr>
                <w:rFonts w:ascii="Calibri" w:hAnsi="Calibri"/>
                <w:b w:val="0"/>
                <w:i w:val="0"/>
                <w:color w:val="212121"/>
                <w:sz w:val="16"/>
              </w:rPr>
              <w:t>MMSE / MoCA (as indicated)</w:t>
            </w:r>
          </w:p>
        </w:tc>
        <w:tc>
          <w:tcPr>
            <w:tcW w:type="dxa" w:w="979"/>
            <w:vAlign w:val="top"/>
          </w:tcPr>
          <w:p>
            <w:pPr>
              <w:spacing w:after="40" w:before="0" w:line="259" w:lineRule="auto"/>
            </w:pPr>
            <w:r>
              <w:rPr>
                <w:rFonts w:ascii="Calibri" w:hAnsi="Calibri"/>
                <w:b w:val="0"/>
                <w:i w:val="0"/>
                <w:color w:val="212121"/>
                <w:sz w:val="16"/>
              </w:rPr>
              <w:t>Orientation, memory, attention, executive function</w:t>
            </w:r>
          </w:p>
        </w:tc>
        <w:tc>
          <w:tcPr>
            <w:tcW w:type="dxa" w:w="950"/>
            <w:vAlign w:val="top"/>
          </w:tcPr>
          <w:p>
            <w:pPr>
              <w:spacing w:after="40" w:before="0" w:line="259" w:lineRule="auto"/>
            </w:pPr>
            <w:r>
              <w:rPr>
                <w:rFonts w:ascii="Calibri" w:hAnsi="Calibri"/>
                <w:b w:val="0"/>
                <w:i w:val="0"/>
                <w:color w:val="212121"/>
                <w:sz w:val="16"/>
              </w:rPr>
              <w:t>MMSE 24–30</w:t>
            </w:r>
          </w:p>
        </w:tc>
        <w:tc>
          <w:tcPr>
            <w:tcW w:type="dxa" w:w="950"/>
            <w:vAlign w:val="top"/>
          </w:tcPr>
          <w:p>
            <w:pPr>
              <w:spacing w:after="40" w:before="0" w:line="259" w:lineRule="auto"/>
            </w:pPr>
            <w:r>
              <w:rPr>
                <w:rFonts w:ascii="Calibri" w:hAnsi="Calibri"/>
                <w:b w:val="0"/>
                <w:i w:val="0"/>
                <w:color w:val="212121"/>
                <w:sz w:val="16"/>
              </w:rPr>
              <w:t>MMSE &lt;24 (cognitive impairment)</w:t>
            </w:r>
          </w:p>
        </w:tc>
        <w:tc>
          <w:tcPr>
            <w:tcW w:type="dxa" w:w="1036"/>
            <w:vAlign w:val="top"/>
          </w:tcPr>
          <w:p>
            <w:pPr>
              <w:spacing w:after="40" w:before="0" w:line="259" w:lineRule="auto"/>
            </w:pPr>
            <w:r>
              <w:rPr>
                <w:rFonts w:ascii="Calibri" w:hAnsi="Calibri"/>
                <w:b w:val="0"/>
                <w:i w:val="0"/>
                <w:color w:val="212121"/>
                <w:sz w:val="16"/>
              </w:rPr>
              <w:t>Distinguishes dementia/delirium from primary mood disorder (pseudodementia) in older adults</w:t>
            </w:r>
          </w:p>
        </w:tc>
        <w:tc>
          <w:tcPr>
            <w:tcW w:type="dxa" w:w="1036"/>
            <w:vAlign w:val="top"/>
          </w:tcPr>
          <w:p>
            <w:pPr>
              <w:spacing w:after="40" w:before="0" w:line="259" w:lineRule="auto"/>
            </w:pPr>
            <w:r>
              <w:rPr>
                <w:rFonts w:ascii="Calibri" w:hAnsi="Calibri"/>
                <w:b w:val="0"/>
                <w:i w:val="0"/>
                <w:color w:val="212121"/>
                <w:sz w:val="16"/>
              </w:rPr>
              <w:t>Elderly, suspected organic disorder</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 (elderly)</w:t>
            </w:r>
          </w:p>
        </w:tc>
        <w:tc>
          <w:tcPr>
            <w:tcW w:type="dxa" w:w="720"/>
            <w:vAlign w:val="top"/>
          </w:tcPr>
          <w:p>
            <w:pPr>
              <w:spacing w:after="40" w:before="0" w:line="259" w:lineRule="auto"/>
            </w:pPr>
            <w:r>
              <w:rPr>
                <w:rFonts w:ascii="Calibri" w:hAnsi="Calibri"/>
                <w:b w:val="0"/>
                <w:i w:val="0"/>
                <w:color w:val="212121"/>
                <w:sz w:val="16"/>
              </w:rPr>
              <w:t>Depression can mimic dementia and vice-versa</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low or sad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of depressive disorders; often expressed somatically (‘body pain’, ‘gas’, weakness) in Indian patients.</w:t>
            </w:r>
          </w:p>
        </w:tc>
      </w:tr>
      <w:tr>
        <w:trPr>
          <w:cantSplit/>
        </w:trPr>
        <w:tc>
          <w:tcPr>
            <w:tcW w:type="dxa" w:w="2304"/>
            <w:vAlign w:val="top"/>
          </w:tcPr>
          <w:p>
            <w:pPr>
              <w:spacing w:after="40" w:before="0" w:line="259" w:lineRule="auto"/>
            </w:pPr>
            <w:r>
              <w:rPr>
                <w:rFonts w:ascii="Calibri" w:hAnsi="Calibri"/>
                <w:b/>
                <w:i w:val="0"/>
                <w:color w:val="212121"/>
                <w:sz w:val="19"/>
              </w:rPr>
              <w:t>Excessive worry, fear or nervousness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Hallmark of anxiety/neurotic disorders; may include panic, phobic avoidance and health anxiety.</w:t>
            </w:r>
          </w:p>
        </w:tc>
      </w:tr>
      <w:tr>
        <w:trPr>
          <w:cantSplit/>
        </w:trPr>
        <w:tc>
          <w:tcPr>
            <w:tcW w:type="dxa" w:w="2304"/>
            <w:vAlign w:val="top"/>
          </w:tcPr>
          <w:p>
            <w:pPr>
              <w:spacing w:after="40" w:before="0" w:line="259" w:lineRule="auto"/>
            </w:pPr>
            <w:r>
              <w:rPr>
                <w:rFonts w:ascii="Calibri" w:hAnsi="Calibri"/>
                <w:b/>
                <w:i w:val="0"/>
                <w:color w:val="212121"/>
                <w:sz w:val="19"/>
              </w:rPr>
              <w:t>Loss of interest or pleasure (anhedonia)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Withdrawal from previously enjoyed activities; a key depressive feature.</w:t>
            </w:r>
          </w:p>
        </w:tc>
      </w:tr>
      <w:tr>
        <w:trPr>
          <w:cantSplit/>
        </w:trPr>
        <w:tc>
          <w:tcPr>
            <w:tcW w:type="dxa" w:w="2304"/>
            <w:vAlign w:val="top"/>
          </w:tcPr>
          <w:p>
            <w:pPr>
              <w:spacing w:after="40" w:before="0" w:line="259" w:lineRule="auto"/>
            </w:pPr>
            <w:r>
              <w:rPr>
                <w:rFonts w:ascii="Calibri" w:hAnsi="Calibri"/>
                <w:b/>
                <w:i w:val="0"/>
                <w:color w:val="212121"/>
                <w:sz w:val="19"/>
              </w:rPr>
              <w:t>Sleep disturbance (insomnia or hypersomnia)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Early-morning waking, difficulty falling asleep, or oversleeping; both cause and consequence.</w:t>
            </w:r>
          </w:p>
        </w:tc>
      </w:tr>
      <w:tr>
        <w:trPr>
          <w:cantSplit/>
        </w:trPr>
        <w:tc>
          <w:tcPr>
            <w:tcW w:type="dxa" w:w="2304"/>
            <w:vAlign w:val="top"/>
          </w:tcPr>
          <w:p>
            <w:pPr>
              <w:spacing w:after="40" w:before="0" w:line="259" w:lineRule="auto"/>
            </w:pPr>
            <w:r>
              <w:rPr>
                <w:rFonts w:ascii="Calibri" w:hAnsi="Calibri"/>
                <w:b/>
                <w:i w:val="0"/>
                <w:color w:val="212121"/>
                <w:sz w:val="19"/>
              </w:rPr>
              <w:t>Fatigue and low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drive and easy tiredness; overlaps with anaemia and thyroid/nutritional causes.</w:t>
            </w:r>
          </w:p>
        </w:tc>
      </w:tr>
      <w:tr>
        <w:trPr>
          <w:cantSplit/>
        </w:trPr>
        <w:tc>
          <w:tcPr>
            <w:tcW w:type="dxa" w:w="2304"/>
            <w:vAlign w:val="top"/>
          </w:tcPr>
          <w:p>
            <w:pPr>
              <w:spacing w:after="40" w:before="0" w:line="259" w:lineRule="auto"/>
            </w:pPr>
            <w:r>
              <w:rPr>
                <w:rFonts w:ascii="Calibri" w:hAnsi="Calibri"/>
                <w:b/>
                <w:i w:val="0"/>
                <w:color w:val="212121"/>
                <w:sz w:val="19"/>
              </w:rPr>
              <w:t>Difficulty concentrating or making decisions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attention and indecision; affects work and studies.</w:t>
            </w:r>
          </w:p>
        </w:tc>
      </w:tr>
      <w:tr>
        <w:trPr>
          <w:cantSplit/>
        </w:trPr>
        <w:tc>
          <w:tcPr>
            <w:tcW w:type="dxa" w:w="2304"/>
            <w:vAlign w:val="top"/>
          </w:tcPr>
          <w:p>
            <w:pPr>
              <w:spacing w:after="40" w:before="0" w:line="259" w:lineRule="auto"/>
            </w:pPr>
            <w:r>
              <w:rPr>
                <w:rFonts w:ascii="Calibri" w:hAnsi="Calibri"/>
                <w:b/>
                <w:i w:val="0"/>
                <w:color w:val="212121"/>
                <w:sz w:val="19"/>
              </w:rPr>
              <w:t>Appetite or weight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or increased appetite with corresponding weight loss or gain.</w:t>
            </w:r>
          </w:p>
        </w:tc>
      </w:tr>
      <w:tr>
        <w:trPr>
          <w:cantSplit/>
        </w:trPr>
        <w:tc>
          <w:tcPr>
            <w:tcW w:type="dxa" w:w="2304"/>
            <w:vAlign w:val="top"/>
          </w:tcPr>
          <w:p>
            <w:pPr>
              <w:spacing w:after="40" w:before="0" w:line="259" w:lineRule="auto"/>
            </w:pPr>
            <w:r>
              <w:rPr>
                <w:rFonts w:ascii="Calibri" w:hAnsi="Calibri"/>
                <w:b/>
                <w:i w:val="0"/>
                <w:color w:val="212121"/>
                <w:sz w:val="19"/>
              </w:rPr>
              <w:t>Irritability, restlessness or agitation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in depression, anxiety and mania; may dominate presentation in men and adolescents.</w:t>
            </w:r>
          </w:p>
        </w:tc>
      </w:tr>
      <w:tr>
        <w:trPr>
          <w:cantSplit/>
        </w:trPr>
        <w:tc>
          <w:tcPr>
            <w:tcW w:type="dxa" w:w="2304"/>
            <w:vAlign w:val="top"/>
          </w:tcPr>
          <w:p>
            <w:pPr>
              <w:spacing w:after="40" w:before="0" w:line="259" w:lineRule="auto"/>
            </w:pPr>
            <w:r>
              <w:rPr>
                <w:rFonts w:ascii="Calibri" w:hAnsi="Calibri"/>
                <w:b/>
                <w:i w:val="0"/>
                <w:color w:val="212121"/>
                <w:sz w:val="19"/>
              </w:rPr>
              <w:t>Somatic complaints without medical cause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Aches, palpitations, dizziness, ‘gas’ — a very common idiom of distress in Indian primary care.</w:t>
            </w:r>
          </w:p>
        </w:tc>
      </w:tr>
      <w:tr>
        <w:trPr>
          <w:cantSplit/>
        </w:trPr>
        <w:tc>
          <w:tcPr>
            <w:tcW w:type="dxa" w:w="2304"/>
            <w:vAlign w:val="top"/>
          </w:tcPr>
          <w:p>
            <w:pPr>
              <w:spacing w:after="40" w:before="0" w:line="259" w:lineRule="auto"/>
            </w:pPr>
            <w:r>
              <w:rPr>
                <w:rFonts w:ascii="Calibri" w:hAnsi="Calibri"/>
                <w:b/>
                <w:i w:val="0"/>
                <w:color w:val="212121"/>
                <w:sz w:val="19"/>
              </w:rPr>
              <w:t>Social withdrawal and reduced functioning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Avoidance of work, family and social roles; marker of severity.</w:t>
            </w:r>
          </w:p>
        </w:tc>
      </w:tr>
      <w:tr>
        <w:trPr>
          <w:cantSplit/>
        </w:trPr>
        <w:tc>
          <w:tcPr>
            <w:tcW w:type="dxa" w:w="2304"/>
            <w:vAlign w:val="top"/>
          </w:tcPr>
          <w:p>
            <w:pPr>
              <w:spacing w:after="40" w:before="0" w:line="259" w:lineRule="auto"/>
            </w:pPr>
            <w:r>
              <w:rPr>
                <w:rFonts w:ascii="Calibri" w:hAnsi="Calibri"/>
                <w:b/>
                <w:i w:val="0"/>
                <w:color w:val="212121"/>
                <w:sz w:val="19"/>
              </w:rPr>
              <w:t>Substance craving or increased use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Craving, tolerance and use despite harm indicate a substance-use disorder (often self-medication).</w:t>
            </w:r>
          </w:p>
        </w:tc>
      </w:tr>
      <w:tr>
        <w:trPr>
          <w:cantSplit/>
        </w:trPr>
        <w:tc>
          <w:tcPr>
            <w:tcW w:type="dxa" w:w="2304"/>
            <w:vAlign w:val="top"/>
          </w:tcPr>
          <w:p>
            <w:pPr>
              <w:spacing w:after="40" w:before="0" w:line="259" w:lineRule="auto"/>
            </w:pPr>
            <w:r>
              <w:rPr>
                <w:rFonts w:ascii="Calibri" w:hAnsi="Calibri"/>
                <w:b/>
                <w:i w:val="0"/>
                <w:color w:val="212121"/>
                <w:sz w:val="19"/>
              </w:rPr>
              <w:t>Suicidal thoughts or self-harm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Passive death wishes to active ideation/plans — a psychiatric emergency requiring immediate assessment.</w:t>
            </w:r>
          </w:p>
        </w:tc>
      </w:tr>
      <w:tr>
        <w:trPr>
          <w:cantSplit/>
        </w:trPr>
        <w:tc>
          <w:tcPr>
            <w:tcW w:type="dxa" w:w="2304"/>
            <w:vAlign w:val="top"/>
          </w:tcPr>
          <w:p>
            <w:pPr>
              <w:spacing w:after="40" w:before="0" w:line="259" w:lineRule="auto"/>
            </w:pPr>
            <w:r>
              <w:rPr>
                <w:rFonts w:ascii="Calibri" w:hAnsi="Calibri"/>
                <w:b/>
                <w:i w:val="0"/>
                <w:color w:val="212121"/>
                <w:sz w:val="19"/>
              </w:rPr>
              <w:t>Hallucinations or delusions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Perceptual disturbances or fixed false beliefs indicate a psychotic disorder or severe mood episode.</w:t>
            </w:r>
          </w:p>
        </w:tc>
      </w:tr>
      <w:tr>
        <w:trPr>
          <w:cantSplit/>
        </w:trPr>
        <w:tc>
          <w:tcPr>
            <w:tcW w:type="dxa" w:w="2304"/>
            <w:vAlign w:val="top"/>
          </w:tcPr>
          <w:p>
            <w:pPr>
              <w:spacing w:after="40" w:before="0" w:line="259" w:lineRule="auto"/>
            </w:pPr>
            <w:r>
              <w:rPr>
                <w:rFonts w:ascii="Calibri" w:hAnsi="Calibri"/>
                <w:b/>
                <w:i w:val="0"/>
                <w:color w:val="212121"/>
                <w:sz w:val="19"/>
              </w:rPr>
              <w:t>Progressive memory or cognitive decline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 older adults suggests an organic disorder (dementia) or depressive pseudodementia.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Depressed or anxious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Observable sadness, tearfulness, tension or restricted/reactive affect on examination.</w:t>
            </w:r>
          </w:p>
        </w:tc>
      </w:tr>
      <w:tr>
        <w:trPr>
          <w:cantSplit/>
        </w:trPr>
        <w:tc>
          <w:tcPr>
            <w:tcW w:type="dxa" w:w="3456"/>
            <w:vAlign w:val="top"/>
          </w:tcPr>
          <w:p>
            <w:pPr>
              <w:spacing w:after="40" w:before="0" w:line="259" w:lineRule="auto"/>
            </w:pPr>
            <w:r>
              <w:rPr>
                <w:rFonts w:ascii="Calibri" w:hAnsi="Calibri"/>
                <w:b/>
                <w:i w:val="0"/>
                <w:color w:val="212121"/>
                <w:sz w:val="19"/>
              </w:rPr>
              <w:t>Psychomotor retardation or agitation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Slowed movement/speech or pacing and hand-wringing; correlates with severity.</w:t>
            </w:r>
          </w:p>
        </w:tc>
      </w:tr>
      <w:tr>
        <w:trPr>
          <w:cantSplit/>
        </w:trPr>
        <w:tc>
          <w:tcPr>
            <w:tcW w:type="dxa" w:w="3456"/>
            <w:vAlign w:val="top"/>
          </w:tcPr>
          <w:p>
            <w:pPr>
              <w:spacing w:after="40" w:before="0" w:line="259" w:lineRule="auto"/>
            </w:pPr>
            <w:r>
              <w:rPr>
                <w:rFonts w:ascii="Calibri" w:hAnsi="Calibri"/>
                <w:b/>
                <w:i w:val="0"/>
                <w:color w:val="212121"/>
                <w:sz w:val="19"/>
              </w:rPr>
              <w:t>Poor eye contact / withdrawn behaviour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engagement and social interaction during interview.</w:t>
            </w:r>
          </w:p>
        </w:tc>
      </w:tr>
      <w:tr>
        <w:trPr>
          <w:cantSplit/>
        </w:trPr>
        <w:tc>
          <w:tcPr>
            <w:tcW w:type="dxa" w:w="3456"/>
            <w:vAlign w:val="top"/>
          </w:tcPr>
          <w:p>
            <w:pPr>
              <w:spacing w:after="40" w:before="0" w:line="259" w:lineRule="auto"/>
            </w:pPr>
            <w:r>
              <w:rPr>
                <w:rFonts w:ascii="Calibri" w:hAnsi="Calibri"/>
                <w:b/>
                <w:i w:val="0"/>
                <w:color w:val="212121"/>
                <w:sz w:val="19"/>
              </w:rPr>
              <w:t>Neglect of self-care and hygiene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Unkempt appearance signalling depression, psychosis or substance use.</w:t>
            </w:r>
          </w:p>
        </w:tc>
      </w:tr>
      <w:tr>
        <w:trPr>
          <w:cantSplit/>
        </w:trPr>
        <w:tc>
          <w:tcPr>
            <w:tcW w:type="dxa" w:w="3456"/>
            <w:vAlign w:val="top"/>
          </w:tcPr>
          <w:p>
            <w:pPr>
              <w:spacing w:after="40" w:before="0" w:line="259" w:lineRule="auto"/>
            </w:pPr>
            <w:r>
              <w:rPr>
                <w:rFonts w:ascii="Calibri" w:hAnsi="Calibri"/>
                <w:b/>
                <w:i w:val="0"/>
                <w:color w:val="212121"/>
                <w:sz w:val="19"/>
              </w:rPr>
              <w:t>Autonomic anxiety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Tachycardia, sweating, tremor and hyperventilation during panic/anxiety.</w:t>
            </w:r>
          </w:p>
        </w:tc>
      </w:tr>
      <w:tr>
        <w:trPr>
          <w:cantSplit/>
        </w:trPr>
        <w:tc>
          <w:tcPr>
            <w:tcW w:type="dxa" w:w="3456"/>
            <w:vAlign w:val="top"/>
          </w:tcPr>
          <w:p>
            <w:pPr>
              <w:spacing w:after="40" w:before="0" w:line="259" w:lineRule="auto"/>
            </w:pPr>
            <w:r>
              <w:rPr>
                <w:rFonts w:ascii="Calibri" w:hAnsi="Calibri"/>
                <w:b/>
                <w:i w:val="0"/>
                <w:color w:val="212121"/>
                <w:sz w:val="19"/>
              </w:rPr>
              <w:t>Speech abnormalities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 monotonous, poverty of speech in depression; pressured/rapid speech in mania.</w:t>
            </w:r>
          </w:p>
        </w:tc>
      </w:tr>
      <w:tr>
        <w:trPr>
          <w:cantSplit/>
        </w:trPr>
        <w:tc>
          <w:tcPr>
            <w:tcW w:type="dxa" w:w="3456"/>
            <w:vAlign w:val="top"/>
          </w:tcPr>
          <w:p>
            <w:pPr>
              <w:spacing w:after="40" w:before="0" w:line="259" w:lineRule="auto"/>
            </w:pPr>
            <w:r>
              <w:rPr>
                <w:rFonts w:ascii="Calibri" w:hAnsi="Calibri"/>
                <w:b/>
                <w:i w:val="0"/>
                <w:color w:val="212121"/>
                <w:sz w:val="19"/>
              </w:rPr>
              <w:t>Disorganised or abnormal thought/behaviour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Loosening of associations, flight of ideas or bizarre behaviour in psychotic/manic states.</w:t>
            </w:r>
          </w:p>
        </w:tc>
      </w:tr>
      <w:tr>
        <w:trPr>
          <w:cantSplit/>
        </w:trPr>
        <w:tc>
          <w:tcPr>
            <w:tcW w:type="dxa" w:w="3456"/>
            <w:vAlign w:val="top"/>
          </w:tcPr>
          <w:p>
            <w:pPr>
              <w:spacing w:after="40" w:before="0" w:line="259" w:lineRule="auto"/>
            </w:pPr>
            <w:r>
              <w:rPr>
                <w:rFonts w:ascii="Calibri" w:hAnsi="Calibri"/>
                <w:b/>
                <w:i w:val="0"/>
                <w:color w:val="212121"/>
                <w:sz w:val="19"/>
              </w:rPr>
              <w:t>Responding to internal stimuli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Apparent listening/talking to unseen voices — suggests hallucinations.</w:t>
            </w:r>
          </w:p>
        </w:tc>
      </w:tr>
      <w:tr>
        <w:trPr>
          <w:cantSplit/>
        </w:trPr>
        <w:tc>
          <w:tcPr>
            <w:tcW w:type="dxa" w:w="3456"/>
            <w:vAlign w:val="top"/>
          </w:tcPr>
          <w:p>
            <w:pPr>
              <w:spacing w:after="40" w:before="0" w:line="259" w:lineRule="auto"/>
            </w:pPr>
            <w:r>
              <w:rPr>
                <w:rFonts w:ascii="Calibri" w:hAnsi="Calibri"/>
                <w:b/>
                <w:i w:val="0"/>
                <w:color w:val="212121"/>
                <w:sz w:val="19"/>
              </w:rPr>
              <w:t>Cognitive impairment on bedside testing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Low MMSE/MoCA indicating organic disorder or severe depression.</w:t>
            </w:r>
          </w:p>
        </w:tc>
      </w:tr>
      <w:tr>
        <w:trPr>
          <w:cantSplit/>
        </w:trPr>
        <w:tc>
          <w:tcPr>
            <w:tcW w:type="dxa" w:w="3456"/>
            <w:vAlign w:val="top"/>
          </w:tcPr>
          <w:p>
            <w:pPr>
              <w:spacing w:after="40" w:before="0" w:line="259" w:lineRule="auto"/>
            </w:pPr>
            <w:r>
              <w:rPr>
                <w:rFonts w:ascii="Calibri" w:hAnsi="Calibri"/>
                <w:b/>
                <w:i w:val="0"/>
                <w:color w:val="212121"/>
                <w:sz w:val="19"/>
              </w:rPr>
              <w:t>Physical signs of substance 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Alcohol on breath, tremor, hepatomegaly, needle marks or stigmata of chronic liver disease.</w:t>
            </w:r>
          </w:p>
        </w:tc>
      </w:tr>
      <w:tr>
        <w:trPr>
          <w:cantSplit/>
        </w:trPr>
        <w:tc>
          <w:tcPr>
            <w:tcW w:type="dxa" w:w="3456"/>
            <w:vAlign w:val="top"/>
          </w:tcPr>
          <w:p>
            <w:pPr>
              <w:spacing w:after="40" w:before="0" w:line="259" w:lineRule="auto"/>
            </w:pPr>
            <w:r>
              <w:rPr>
                <w:rFonts w:ascii="Calibri" w:hAnsi="Calibri"/>
                <w:b/>
                <w:i w:val="0"/>
                <w:color w:val="212121"/>
                <w:sz w:val="19"/>
              </w:rPr>
              <w:t>Impaired insight and judgment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Limited awareness of illness — affects adherence and capacity, prominent in psychosis.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behaviour, self-harm and 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psychotic or manic episode with agitation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Substance intoxication and withdrawal states (incl. delirium tremens)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functional impairment — inability to work, study or self-care</w:t>
            </w:r>
          </w:p>
        </w:tc>
        <w:tc>
          <w:tcPr>
            <w:tcW w:type="dxa" w:w="2980"/>
            <w:vAlign w:val="top"/>
          </w:tcPr>
          <w:p>
            <w:pPr>
              <w:spacing w:after="40" w:before="0" w:line="259" w:lineRule="auto"/>
            </w:pPr>
            <w:r>
              <w:rPr>
                <w:rFonts w:ascii="Calibri" w:hAnsi="Calibri"/>
                <w:b w:val="0"/>
                <w:i w:val="0"/>
                <w:color w:val="212121"/>
                <w:sz w:val="19"/>
              </w:rPr>
              <w:t>Immediate, illness-driven crises requiring urgent psychiatric and safety management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Recurrent/chronic and treatment-resistant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physical illness — cardiovascular disease, diabetes and metabolic syndrome (including antipsychotic-related weight gain)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to substance dependence and dual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employment, income and educational attainment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marital and family breakdown, stigma and discrimination</w:t>
            </w:r>
          </w:p>
        </w:tc>
        <w:tc>
          <w:tcPr>
            <w:tcW w:type="dxa" w:w="2980"/>
            <w:vAlign w:val="top"/>
          </w:tcPr>
          <w:p>
            <w:pPr>
              <w:spacing w:after="40" w:before="0" w:line="259" w:lineRule="auto"/>
            </w:pPr>
            <w:r>
              <w:rPr>
                <w:rFonts w:ascii="Calibri" w:hAnsi="Calibri"/>
                <w:b w:val="0"/>
                <w:i w:val="0"/>
                <w:color w:val="212121"/>
                <w:sz w:val="19"/>
              </w:rPr>
              <w:t>Consequences of persistent, undertreated illness compounded by an &gt;80% treatment gap</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mortality — 10–20 years' reduced life expectancy in severe mental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dependency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Homelessness, imprisonment and destitution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caregiver and family burden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Large economic loss — mental-health conditions projected to cost India ~USD 1.03 trillion (2012–2030)</w:t>
            </w:r>
          </w:p>
        </w:tc>
        <w:tc>
          <w:tcPr>
            <w:tcW w:type="dxa" w:w="2980"/>
            <w:vAlign w:val="top"/>
          </w:tcPr>
          <w:p>
            <w:pPr>
              <w:spacing w:after="40" w:before="0" w:line="259" w:lineRule="auto"/>
            </w:pPr>
            <w:r>
              <w:rPr>
                <w:rFonts w:ascii="Calibri" w:hAnsi="Calibri"/>
                <w:b w:val="0"/>
                <w:i w:val="0"/>
                <w:color w:val="212121"/>
                <w:sz w:val="19"/>
              </w:rPr>
              <w:t>Irreversible, disabling and societal outcomes of longstanding, inadequately treated mental illness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Depressive disorder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single largest contributor to current mental morbidity; frequently coexists with anxiety, substance use and chronic physical illness, and drives disability and suicide risk.</w:t>
            </w:r>
          </w:p>
        </w:tc>
      </w:tr>
      <w:tr>
        <w:trPr>
          <w:cantSplit/>
        </w:trPr>
        <w:tc>
          <w:tcPr>
            <w:tcW w:type="dxa" w:w="2232"/>
            <w:vAlign w:val="top"/>
          </w:tcPr>
          <w:p>
            <w:pPr>
              <w:spacing w:after="40" w:before="0" w:line="259" w:lineRule="auto"/>
            </w:pPr>
            <w:r>
              <w:rPr>
                <w:rFonts w:ascii="Calibri" w:hAnsi="Calibri"/>
                <w:b/>
                <w:i w:val="0"/>
                <w:color w:val="212121"/>
                <w:sz w:val="19"/>
              </w:rPr>
              <w:t>Anxiety &amp; stress-related disorders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common mental disorders worldwide (~4.4%; ~359 million people); highly comorbid with depression and often the presenting picture in primary care.</w:t>
            </w:r>
          </w:p>
        </w:tc>
      </w:tr>
      <w:tr>
        <w:trPr>
          <w:cantSplit/>
        </w:trPr>
        <w:tc>
          <w:tcPr>
            <w:tcW w:type="dxa" w:w="2232"/>
            <w:vAlign w:val="top"/>
          </w:tcPr>
          <w:p>
            <w:pPr>
              <w:spacing w:after="40" w:before="0" w:line="259" w:lineRule="auto"/>
            </w:pPr>
            <w:r>
              <w:rPr>
                <w:rFonts w:ascii="Calibri" w:hAnsi="Calibri"/>
                <w:b/>
                <w:i w:val="0"/>
                <w:color w:val="212121"/>
                <w:sz w:val="19"/>
              </w:rPr>
              <w:t>Substance-use disorders (alcohol, tobacco, drugs)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component of, and a driver of, other mental disorders (dual diagnosis); male-predominant in India and worsens adherence, relapse and suicide risk.</w:t>
            </w:r>
          </w:p>
        </w:tc>
      </w:tr>
      <w:tr>
        <w:trPr>
          <w:cantSplit/>
        </w:trPr>
        <w:tc>
          <w:tcPr>
            <w:tcW w:type="dxa" w:w="2232"/>
            <w:vAlign w:val="top"/>
          </w:tcPr>
          <w:p>
            <w:pPr>
              <w:spacing w:after="40" w:before="0" w:line="259" w:lineRule="auto"/>
            </w:pPr>
            <w:r>
              <w:rPr>
                <w:rFonts w:ascii="Calibri" w:hAnsi="Calibri"/>
                <w:b/>
                <w:i w:val="0"/>
                <w:color w:val="212121"/>
                <w:sz w:val="19"/>
              </w:rPr>
              <w:t>Suicide &amp; self-harm</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leading fatal outcome of mental disorders; India's age-adjusted suicide rate is about 21.1 per 100,000 population.</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link with depression and severe mental illness; antipsychotics further raise metabolic risk, and diabetes worsens mood and cognition.</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and severe mental illness increase, and are worsened by, cardiovascular disease through shared behavioural and inflammatory pathways.</w:t>
            </w:r>
          </w:p>
        </w:tc>
      </w:tr>
      <w:tr>
        <w:trPr>
          <w:cantSplit/>
        </w:trPr>
        <w:tc>
          <w:tcPr>
            <w:tcW w:type="dxa" w:w="2232"/>
            <w:vAlign w:val="top"/>
          </w:tcPr>
          <w:p>
            <w:pPr>
              <w:spacing w:after="40" w:before="0" w:line="259" w:lineRule="auto"/>
            </w:pPr>
            <w:r>
              <w:rPr>
                <w:rFonts w:ascii="Calibri" w:hAnsi="Calibri"/>
                <w:b/>
                <w:i w:val="0"/>
                <w:color w:val="212121"/>
                <w:sz w:val="19"/>
              </w:rPr>
              <w:t>Metabolic syndrome / obesity</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with severe mental illness and strongly aggravated by antipsychotic and some antidepressant treatment, requiring metabolic monitoring.</w:t>
            </w:r>
          </w:p>
        </w:tc>
      </w:tr>
      <w:tr>
        <w:trPr>
          <w:cantSplit/>
        </w:trPr>
        <w:tc>
          <w:tcPr>
            <w:tcW w:type="dxa" w:w="2232"/>
            <w:vAlign w:val="top"/>
          </w:tcPr>
          <w:p>
            <w:pPr>
              <w:spacing w:after="40" w:before="0" w:line="259" w:lineRule="auto"/>
            </w:pPr>
            <w:r>
              <w:rPr>
                <w:rFonts w:ascii="Calibri" w:hAnsi="Calibri"/>
                <w:b/>
                <w:i w:val="0"/>
                <w:color w:val="212121"/>
                <w:sz w:val="19"/>
              </w:rPr>
              <w:t>Dementia &amp; cognitive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Late-life depression is a risk factor for and can mimic dementia (pseudodementia); the two often coexist in older Indians.</w:t>
            </w:r>
          </w:p>
        </w:tc>
      </w:tr>
      <w:tr>
        <w:trPr>
          <w:cantSplit/>
        </w:trPr>
        <w:tc>
          <w:tcPr>
            <w:tcW w:type="dxa" w:w="2232"/>
            <w:vAlign w:val="top"/>
          </w:tcPr>
          <w:p>
            <w:pPr>
              <w:spacing w:after="40" w:before="0" w:line="259" w:lineRule="auto"/>
            </w:pPr>
            <w:r>
              <w:rPr>
                <w:rFonts w:ascii="Calibri" w:hAnsi="Calibri"/>
                <w:b/>
                <w:i w:val="0"/>
                <w:color w:val="212121"/>
                <w:sz w:val="19"/>
              </w:rPr>
              <w:t>Chronic pain &amp; physical disability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pain, epilepsy, stroke and disability share pathways with, and bidirectionally increase, depression and anxiety, impairing rehabilitation.</w:t>
            </w:r>
          </w:p>
        </w:tc>
      </w:tr>
      <w:tr>
        <w:trPr>
          <w:cantSplit/>
        </w:trPr>
        <w:tc>
          <w:tcPr>
            <w:tcW w:type="dxa" w:w="2232"/>
            <w:vAlign w:val="top"/>
          </w:tcPr>
          <w:p>
            <w:pPr>
              <w:spacing w:after="40" w:before="0" w:line="259" w:lineRule="auto"/>
            </w:pPr>
            <w:r>
              <w:rPr>
                <w:rFonts w:ascii="Calibri" w:hAnsi="Calibri"/>
                <w:b/>
                <w:i w:val="0"/>
                <w:color w:val="212121"/>
                <w:sz w:val="19"/>
              </w:rPr>
              <w:t>Insomnia &amp;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Sleep disturbance is a bidirectional risk factor for onset and relapse across mood, anxiety and psychotic disorders.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persistent low mood, excessive worry, sleep or appetite change, withdrawal, unexplained somatic complaints — and seek help early rather than dismissing them as ‘weakness’ or ‘tension’.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Counter stigma: mental disorders are common (about 1 in 10 Indian adults currently) and treatable; help-seeking is a strength, not a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where to get help — primary health centres, the District Mental Health Programme, and Tele-MANAS (national mental-health helpline 14416).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practise stress-management, problem-solving and healthy coping instead of alcohol, tobacco or drugs.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Ask directly and non-judgmentally about suicidal thoughts in someone distressed — asking does not increase risk and enables timely help.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and low-income groups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timely access to evidence-based treatment — psychological therapies (CBT, IPT, behavioural activation) and/or pharmacotherapy per diagnosis and severity.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 structured risk assessment at every contact and act on suicidal ideation urgently (safety planning, means restriction, escalation).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comorbidity together — address coexisting depression, anxiety and substance use rather than in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adherence and relapse prevention through psychoeducation, follow-up and involvement of family and community health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collaborative/stepped care that integrates mental health into primary care to bridge India's &gt;80% treatment gap.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current mental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prior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high suicide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≥150 minutes/week of moderate activity (brisk walking, cycling, yoga) as an adjunct to treatment for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small and build gradually — ‘any activity is better than none’ — to improve mood, sleep and energy.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yoga and breathing practices, which have evidence for reducing anxiety and depressive symptoms in Indian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group or family walks to combine activity with social connection and accountability.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and screen time, especially in the evening.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urban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(as tolerated)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comorbidity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minimally processed diet rich in whole grains/millets, pulses, fruit, vegetables and nuts, limiting refined sugar and ultra-processed foods.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B12, folate, iron and vitamin D — supplement where deficient, especially in vegetarians, women and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regular meal timing and avoid using food, alcohol or caffeine to self-manage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(fish, flaxseed, walnuts) as part of an overall healthy dietary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and micronutrient deficiencies, which can present as fatigue and low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 of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and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consistent sleep–wake schedule and aim for 7–9 hours/night to stabilise mood and reduce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sleep hygiene — limit evening screens, caffeine and alcohol; keep the bedroom dark, cool and quiet.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 for insomnia (CBT-I) as first-line for persistent insomnia rather than long-term hypnotics.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insomnia actively, as it independently worsens depression, anxiety and suicidal ideation.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shift workers, plan strategic naps, controlled light exposure and protected sleep windows.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Bipolar patients (relapse prevention)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with AUDIT and give brief advice; avoid using alcohol to cope with stress, low mood or sleep problems.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abstinence or reduction in those with hazardous use or any mental disorder, as alcohol worsens mood, anxiety and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supervised, safe withdrawal management for dependent drinkers to prevent seizures and delirium tremens.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to de-addiction services and relapse-prevention/mutual-aid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that even ‘social’ drinking can undermine medication efficacy and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Hazardous/dependent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at suicide risk</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tobacco-cessation support to everyone with a mental disorder — quitting is safe and improves mental as well as physical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pharmacotherapy (nicotine replacement)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all forms of tobacco (cigarettes, bidis, smokeless/gutkha)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that cessation can alter psychotropic drug levels — monitor and adjust dosing.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Frame cessation as part of, not a threat to,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mental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psychotropics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sagepub.com/doi/10.1177/0020764020907941" TargetMode="External"/><Relationship Id="rId10" Type="http://schemas.openxmlformats.org/officeDocument/2006/relationships/hyperlink" Target="https://www.who.int/india/health-topics/mental-health" TargetMode="External"/><Relationship Id="rId11" Type="http://schemas.openxmlformats.org/officeDocument/2006/relationships/hyperlink" Target="https://www.who.int/news-room/fact-sheets/detail/depression" TargetMode="External"/><Relationship Id="rId12" Type="http://schemas.openxmlformats.org/officeDocument/2006/relationships/hyperlink" Target="https://www.who.int/news-room/fact-sheets/detail/mental-disorders" TargetMode="External"/><Relationship Id="rId13" Type="http://schemas.openxmlformats.org/officeDocument/2006/relationships/hyperlink" Target="https://www.who.int/news-room/fact-sheets/detail/physical-activity" TargetMode="External"/><Relationship Id="rId14" Type="http://schemas.openxmlformats.org/officeDocument/2006/relationships/hyperlink" Target="https://www.who.int/news-room/fact-sheets/detail/anxiety-disor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