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Depressive Disorders</w:t>
      </w:r>
    </w:p>
    <w:p>
      <w:pPr>
        <w:spacing w:before="0" w:after="160"/>
      </w:pPr>
      <w:r>
        <w:rPr>
          <w:rFonts w:ascii="Calibri" w:hAnsi="Calibri"/>
          <w:b/>
          <w:i w:val="0"/>
          <w:color w:val="212121"/>
          <w:sz w:val="22"/>
        </w:rPr>
        <w:t xml:space="preserve">AKA </w:t>
      </w:r>
      <w:r>
        <w:rPr>
          <w:rFonts w:ascii="Calibri" w:hAnsi="Calibri"/>
          <w:b w:val="0"/>
          <w:i w:val="0"/>
          <w:color w:val="212121"/>
          <w:sz w:val="22"/>
        </w:rPr>
        <w:t>i.e., Major Depressive Disorder (MDD), Clinical Depression, Unipolar Depression, Persistent Depressive Disorder (Dysthymia), “Depression”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Depressive disorders are a group of mental-health conditions characterised by persistent low or sad mood and/or loss of interest or pleasure (anhedonia), accompanied by cognitive, physical and behavioural symptoms—disturbed sleep and appetite, fatigue, poor concentration, guilt or worthlessness and, in severe cases, thoughts of death or suicide—that persist for at least two weeks and impair daily functioning. Major depressive disorder (MDD) is the most common and clinically significant form. They arise from an interplay of genetic, neurobiological (monoamine dysregulation, HPA-axis overactivity, neuroinflammation) and psychosocial factors, and are a leading global cause of disability.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Depressive disorders are among the most common mental illnesses in India. The National Mental Health Survey (NMHS 2015–16) estimated a current (point) prevalence of ~2.7% and a lifetime prevalence of ~5.3% among Indian adults—meaning roughly 1 in 20 adults will experience a depressive disorder in their lifetime—with a very large treatment gap of about 85%. Prevalence is higher in women (current 3.0% vs 2.4% in men), peaks in mid-life (40–49 years) and is greater in urban-metro populations. Globally the WHO estimates about 332 million people live with depression, with women affected roughly 1.5 times more often than men.</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Depression is a clinical diagnosis based on DSM-5 / ICD-11 criteria supported by validated rating scales; there is no confirmatory laboratory test. Major depressive disorder is diagnosed when ≥ 5 of the following symptoms are present nearly every day for ≥ 2 weeks, at least one being depressed mood or loss of interest/pleasure, causing significant distress or functional impairment and not attributable to substances, another medical condition, or another psychiatric disorder:</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depressed mood most of the day (in children/adolescents may present as irritability);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markedly diminished interest or pleasure in almost all activities (anhedonia);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significant change in appetite or weight (loss or gain);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insomnia or hypersomnia;</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psychomotor agitation or retardation observable by others;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fatigue or loss of energy;</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feelings of worthlessness or excessive/inappropriate guilt;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diminished ability to concentrate, think or make decisions;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recurrent thoughts of death, suicidal ideation, a plan, or an attempt;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 5 symptoms (one being depressed mood or anhedonia) present nearly every day for ≥ 2 weeks, with clinically significant distress or impairment;</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screening/severity tools: PHQ-9 (≥ 10 = moderate, ≥ 20 = severe), PHQ-2, HAM-D or BDI; Edinburgh Postnatal Depression Scale (EPDS ≥ 13) for perinatal depression; and a routine suicide-risk assessment plus screening for past mania/hypomania to exclude bipolar disorder.</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DSM-5 groups depressive disorders by the pattern, chronicity and context of low mood; episodes are further graded mild, moderate or severe, and specified as with/without psychotic, anxious, melancholic, atypical, catatonic, peripartum or seasonal features:</w:t>
      </w:r>
    </w:p>
    <w:p>
      <w:pPr>
        <w:spacing w:before="0" w:after="80"/>
      </w:pPr>
      <w:r>
        <w:rPr>
          <w:rFonts w:ascii="Calibri" w:hAnsi="Calibri"/>
          <w:b w:val="0"/>
          <w:i w:val="0"/>
          <w:color w:val="212121"/>
          <w:sz w:val="21"/>
        </w:rPr>
        <w:t>(1) Major depressive disorder (MDD), one or more discrete major depressive episodes of ≥ 2 weeks with the full symptom cluster; may be single-episode or recurrent, and severity ranges from mild to severe with psychotic features;</w:t>
      </w:r>
    </w:p>
    <w:p>
      <w:pPr>
        <w:spacing w:before="0" w:after="80"/>
      </w:pPr>
      <w:r>
        <w:rPr>
          <w:rFonts w:ascii="Calibri" w:hAnsi="Calibri"/>
          <w:b w:val="0"/>
          <w:i w:val="0"/>
          <w:color w:val="212121"/>
          <w:sz w:val="21"/>
        </w:rPr>
        <w:t>(2) Persistent depressive disorder (dysthymia), chronically depressed mood for most of the day, more days than not, for ≥ 2 years in adults (≥ 1 year in children/adolescents) with ≥ 2 of six symptoms and never symptom-free &gt; 2 months; a superimposed major episode is termed “double depression”;</w:t>
      </w:r>
    </w:p>
    <w:p>
      <w:pPr>
        <w:spacing w:before="0" w:after="80"/>
      </w:pPr>
      <w:r>
        <w:rPr>
          <w:rFonts w:ascii="Calibri" w:hAnsi="Calibri"/>
          <w:b w:val="0"/>
          <w:i w:val="0"/>
          <w:color w:val="212121"/>
          <w:sz w:val="21"/>
        </w:rPr>
        <w:t>(3) Perinatal (peripartum/postpartum) depression, a major depressive episode arising in pregnancy or within the first year after delivery, affecting an estimated 6.5–20% of mothers;</w:t>
      </w:r>
    </w:p>
    <w:p>
      <w:pPr>
        <w:spacing w:before="0" w:after="80"/>
      </w:pPr>
      <w:r>
        <w:rPr>
          <w:rFonts w:ascii="Calibri" w:hAnsi="Calibri"/>
          <w:b w:val="0"/>
          <w:i w:val="0"/>
          <w:color w:val="212121"/>
          <w:sz w:val="21"/>
        </w:rPr>
        <w:t>(4) Premenstrual dysphoric disorder (PMDD) and disruptive mood dysregulation disorder (DMDD, childhood chronic irritability); and</w:t>
      </w:r>
    </w:p>
    <w:p>
      <w:pPr>
        <w:spacing w:before="0" w:after="80"/>
      </w:pPr>
      <w:r>
        <w:rPr>
          <w:rFonts w:ascii="Calibri" w:hAnsi="Calibri"/>
          <w:b w:val="0"/>
          <w:i w:val="0"/>
          <w:color w:val="212121"/>
          <w:sz w:val="21"/>
        </w:rPr>
        <w:t>(5) Other forms—seasonal affective disorder (depression with a seasonal pattern), and depressive disorder due to another medical condition or substance/medication-induced depressive disorder.</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Genetic predisposition: Heritability of MDD is ~35–40%; first-degree relatives of an affected person are about three times more likely to develop depression, reflecting polygenic risk.</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Monoamine and neurotrophic dysregulation: Altered central serotonin, noradrenaline and dopamine signalling, with reduced brain-derived neurotrophic factor (BDNF) and impaired neuroplasticity.</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HPA-axis dysfunction and chronic stress: Sustained cortisol elevation and blunted feedback damage hippocampal and frontostriatal circuits that regulate mood.</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Neuroinflammation: Raised pro-inflammatory cytokines (IL-6, TNF-α, CRP) are linked to sickness behaviour and depressive symptoms, connecting depression to chronic physical illness.</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Psychosocial stressors and trauma: Adverse childhood experiences, bereavement, abuse, financial hardship, unemployment and interpersonal loss precipitate and maintain episodes.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Chronic medical illness and substances: Diabetes, cardiovascular disease, stroke, hypothyroidism, chronic pain, alcohol and certain drugs (steroids, interferon) can trigger or worsen depression.</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Adults (working-age, 30–49 y)</w:t>
            </w:r>
          </w:p>
        </w:tc>
        <w:tc>
          <w:tcPr>
            <w:tcW w:type="dxa" w:w="4276"/>
            <w:vAlign w:val="top"/>
          </w:tcPr>
          <w:p>
            <w:pPr>
              <w:spacing w:after="60" w:line="259" w:lineRule="auto"/>
            </w:pPr>
            <w:r>
              <w:rPr>
                <w:rFonts w:ascii="Calibri" w:hAnsi="Calibri"/>
                <w:b w:val="0"/>
                <w:i w:val="0"/>
                <w:color w:val="212121"/>
                <w:sz w:val="19"/>
              </w:rPr>
              <w:t>Cumulative psychosocial stressors—employment, financial and family responsibilities—combine with rising rates of chronic disease to make mid-life a peak period for depressive disorders in India.</w:t>
            </w:r>
          </w:p>
          <w:p>
            <w:pPr>
              <w:spacing w:after="40" w:before="60" w:line="259" w:lineRule="auto"/>
            </w:pPr>
            <w:r>
              <w:rPr>
                <w:rFonts w:ascii="Calibri" w:hAnsi="Calibri"/>
                <w:b w:val="0"/>
                <w:i w:val="0"/>
                <w:color w:val="212121"/>
                <w:sz w:val="19"/>
              </w:rPr>
              <w:t>In the NMHS, depressive disorders were most prevalent in the 40–49-year age group; current prevalence among adults was ~2.7%.</w:t>
            </w:r>
          </w:p>
          <w:p>
            <w:pPr>
              <w:spacing w:after="40" w:line="252" w:lineRule="auto"/>
            </w:pPr>
            <w:hyperlink r:id="rId9">
              <w:r>
                <w:rPr>
                  <w:rFonts w:ascii="Calibri" w:hAnsi="Calibri" w:cs="Calibri"/>
                  <w:sz w:val="18"/>
                  <w:color w:val="1155CC"/>
                  <w:u w:val="single"/>
                </w:rPr>
                <w:t xml:space="preserve">indianmhs.nimhans.ac.in — NMHS 2015-16 report</w:t>
              </w:r>
            </w:hyperlink>
          </w:p>
          <w:p>
            <w:pPr>
              <w:spacing w:before="60" w:after="40"/>
            </w:pPr>
            <w:r>
              <w:rPr>
                <w:rFonts w:ascii="Calibri" w:hAnsi="Calibri"/>
                <w:b w:val="0"/>
                <w:i w:val="0"/>
                <w:color w:val="5A5A5A"/>
                <w:sz w:val="18"/>
              </w:rPr>
              <w:t>#depression  #midlife  #workstress  #treatmentgap  #India</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 60 y)</w:t>
            </w:r>
          </w:p>
        </w:tc>
        <w:tc>
          <w:tcPr>
            <w:tcW w:type="dxa" w:w="4276"/>
            <w:vAlign w:val="top"/>
          </w:tcPr>
          <w:p>
            <w:pPr>
              <w:spacing w:after="60" w:line="259" w:lineRule="auto"/>
            </w:pPr>
            <w:r>
              <w:rPr>
                <w:rFonts w:ascii="Calibri" w:hAnsi="Calibri"/>
                <w:b w:val="0"/>
                <w:i w:val="0"/>
                <w:color w:val="212121"/>
                <w:sz w:val="19"/>
              </w:rPr>
              <w:t>Late-life depression is driven by bereavement, social isolation, disability, polypharmacy and vascular/neurodegenerative brain change; it often presents with somatic complaints or cognitive slowing (pseudodementia) and is frequently missed.</w:t>
            </w:r>
          </w:p>
          <w:p>
            <w:pPr>
              <w:spacing w:after="40" w:before="60" w:line="259" w:lineRule="auto"/>
            </w:pPr>
            <w:r>
              <w:rPr>
                <w:rFonts w:ascii="Calibri" w:hAnsi="Calibri"/>
                <w:b w:val="0"/>
                <w:i w:val="0"/>
                <w:color w:val="212121"/>
                <w:sz w:val="19"/>
              </w:rPr>
              <w:t>WHO estimates ~5.9% of adults aged 70 years and older live with depression; elderly depression is common and under-treated in India.</w:t>
            </w:r>
          </w:p>
          <w:p>
            <w:pPr>
              <w:spacing w:after="40" w:line="252" w:lineRule="auto"/>
            </w:pPr>
            <w:hyperlink r:id="rId10">
              <w:r>
                <w:rPr>
                  <w:rFonts w:ascii="Calibri" w:hAnsi="Calibri" w:cs="Calibri"/>
                  <w:sz w:val="18"/>
                  <w:color w:val="1155CC"/>
                  <w:u w:val="single"/>
                </w:rPr>
                <w:t xml:space="preserve">who.int — depression fact sheet</w:t>
              </w:r>
            </w:hyperlink>
          </w:p>
          <w:p>
            <w:pPr>
              <w:spacing w:before="60" w:after="40"/>
            </w:pPr>
            <w:r>
              <w:rPr>
                <w:rFonts w:ascii="Calibri" w:hAnsi="Calibri"/>
                <w:b w:val="0"/>
                <w:i w:val="0"/>
                <w:color w:val="5A5A5A"/>
                <w:sz w:val="18"/>
              </w:rPr>
              <w:t>#latelifedepression  #isolation  #pseudodementia  #suiciderisk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Women</w:t>
            </w:r>
          </w:p>
        </w:tc>
        <w:tc>
          <w:tcPr>
            <w:tcW w:type="dxa" w:w="4276"/>
            <w:vAlign w:val="top"/>
          </w:tcPr>
          <w:p>
            <w:pPr>
              <w:spacing w:after="60" w:line="259" w:lineRule="auto"/>
            </w:pPr>
            <w:r>
              <w:rPr>
                <w:rFonts w:ascii="Calibri" w:hAnsi="Calibri"/>
                <w:b w:val="0"/>
                <w:i w:val="0"/>
                <w:color w:val="212121"/>
                <w:sz w:val="19"/>
              </w:rPr>
              <w:t>Hormonal fluctuations (perinatal, premenstrual, perimenopausal), higher exposure to gender-based violence, caregiving burden and social disadvantage raise women’s risk.</w:t>
            </w:r>
          </w:p>
          <w:p>
            <w:pPr>
              <w:spacing w:after="40" w:before="60" w:line="259" w:lineRule="auto"/>
            </w:pPr>
            <w:r>
              <w:rPr>
                <w:rFonts w:ascii="Calibri" w:hAnsi="Calibri"/>
                <w:b w:val="0"/>
                <w:i w:val="0"/>
                <w:color w:val="212121"/>
                <w:sz w:val="19"/>
              </w:rPr>
              <w:t>NMHS current prevalence was higher in women (3.0%) than men (2.4%); WHO reports depression is ~1.5 times more common in women, and about 1 in 3 women may experience major depression in their lifetime.</w:t>
            </w:r>
          </w:p>
          <w:p>
            <w:pPr>
              <w:spacing w:after="40" w:line="252" w:lineRule="auto"/>
            </w:pPr>
            <w:hyperlink r:id="rId9">
              <w:r>
                <w:rPr>
                  <w:rFonts w:ascii="Calibri" w:hAnsi="Calibri" w:cs="Calibri"/>
                  <w:sz w:val="18"/>
                  <w:color w:val="1155CC"/>
                  <w:u w:val="single"/>
                </w:rPr>
                <w:t xml:space="preserve">indianmhs.nimhans.ac.in — NMHS 2015-16 report</w:t>
              </w:r>
            </w:hyperlink>
          </w:p>
          <w:p>
            <w:pPr>
              <w:spacing w:before="60" w:after="40"/>
            </w:pPr>
            <w:r>
              <w:rPr>
                <w:rFonts w:ascii="Calibri" w:hAnsi="Calibri"/>
                <w:b w:val="0"/>
                <w:i w:val="0"/>
                <w:color w:val="5A5A5A"/>
                <w:sz w:val="18"/>
              </w:rPr>
              <w:t>#women  #perinatal  #hormonal  #genderdisparity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Low income, unemployed, indebted</w:t>
            </w:r>
          </w:p>
        </w:tc>
        <w:tc>
          <w:tcPr>
            <w:tcW w:type="dxa" w:w="4276"/>
            <w:vAlign w:val="top"/>
          </w:tcPr>
          <w:p>
            <w:pPr>
              <w:spacing w:after="60" w:line="259" w:lineRule="auto"/>
            </w:pPr>
            <w:r>
              <w:rPr>
                <w:rFonts w:ascii="Calibri" w:hAnsi="Calibri"/>
                <w:b w:val="0"/>
                <w:i w:val="0"/>
                <w:color w:val="212121"/>
                <w:sz w:val="19"/>
              </w:rPr>
              <w:t>Financial insecurity, unemployment, debt and poor living conditions are potent chronic stressors; poverty and depression reinforce each other in a bidirectional cycle.</w:t>
            </w:r>
          </w:p>
          <w:p>
            <w:pPr>
              <w:spacing w:after="40" w:before="60" w:line="259" w:lineRule="auto"/>
            </w:pPr>
            <w:r>
              <w:rPr>
                <w:rFonts w:ascii="Calibri" w:hAnsi="Calibri"/>
                <w:b w:val="0"/>
                <w:i w:val="0"/>
                <w:color w:val="212121"/>
                <w:sz w:val="19"/>
              </w:rPr>
              <w:t>NMHS found higher rates of depressive and common mental disorders among those with lower household income, unemployment and less education.</w:t>
            </w:r>
          </w:p>
          <w:p>
            <w:pPr>
              <w:spacing w:after="40" w:line="252" w:lineRule="auto"/>
            </w:pPr>
            <w:hyperlink r:id="rId9">
              <w:r>
                <w:rPr>
                  <w:rFonts w:ascii="Calibri" w:hAnsi="Calibri" w:cs="Calibri"/>
                  <w:sz w:val="18"/>
                  <w:color w:val="1155CC"/>
                  <w:u w:val="single"/>
                </w:rPr>
                <w:t xml:space="preserve">indianmhs.nimhans.ac.in — NMHS 2015-16 report</w:t>
              </w:r>
            </w:hyperlink>
          </w:p>
          <w:p>
            <w:pPr>
              <w:spacing w:before="60" w:after="40"/>
            </w:pPr>
            <w:r>
              <w:rPr>
                <w:rFonts w:ascii="Calibri" w:hAnsi="Calibri"/>
                <w:b w:val="0"/>
                <w:i w:val="0"/>
                <w:color w:val="5A5A5A"/>
                <w:sz w:val="18"/>
              </w:rPr>
              <w:t>#poverty  #unemployment  #debt  #socialdeterminants</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Region / residence</w:t>
            </w:r>
          </w:p>
        </w:tc>
        <w:tc>
          <w:tcPr>
            <w:tcW w:type="dxa" w:w="2160"/>
            <w:vAlign w:val="top"/>
          </w:tcPr>
          <w:p>
            <w:pPr>
              <w:spacing w:after="40" w:before="0" w:line="259" w:lineRule="auto"/>
            </w:pPr>
            <w:r>
              <w:rPr>
                <w:rFonts w:ascii="Calibri" w:hAnsi="Calibri"/>
                <w:b w:val="0"/>
                <w:i w:val="0"/>
                <w:color w:val="212121"/>
                <w:sz w:val="19"/>
              </w:rPr>
              <w:t>Urban-metro residents (India)</w:t>
            </w:r>
          </w:p>
        </w:tc>
        <w:tc>
          <w:tcPr>
            <w:tcW w:type="dxa" w:w="4276"/>
            <w:vAlign w:val="top"/>
          </w:tcPr>
          <w:p>
            <w:pPr>
              <w:spacing w:after="60" w:line="259" w:lineRule="auto"/>
            </w:pPr>
            <w:r>
              <w:rPr>
                <w:rFonts w:ascii="Calibri" w:hAnsi="Calibri"/>
                <w:b w:val="0"/>
                <w:i w:val="0"/>
                <w:color w:val="212121"/>
                <w:sz w:val="19"/>
              </w:rPr>
              <w:t>Rapid urbanisation, migration, nuclear-family living, long commutes, job insecurity and weaker social support networks increase depressive-disorder prevalence in large Indian cities.</w:t>
            </w:r>
          </w:p>
          <w:p>
            <w:pPr>
              <w:spacing w:after="40" w:before="60" w:line="259" w:lineRule="auto"/>
            </w:pPr>
            <w:r>
              <w:rPr>
                <w:rFonts w:ascii="Calibri" w:hAnsi="Calibri"/>
                <w:b w:val="0"/>
                <w:i w:val="0"/>
                <w:color w:val="212121"/>
                <w:sz w:val="19"/>
              </w:rPr>
              <w:t>NMHS reported markedly higher mental-morbidity (including depressive disorders) in urban-metro areas than in rural areas.</w:t>
            </w:r>
          </w:p>
          <w:p>
            <w:pPr>
              <w:spacing w:after="40" w:line="252" w:lineRule="auto"/>
            </w:pPr>
            <w:hyperlink r:id="rId9">
              <w:r>
                <w:rPr>
                  <w:rFonts w:ascii="Calibri" w:hAnsi="Calibri" w:cs="Calibri"/>
                  <w:sz w:val="18"/>
                  <w:color w:val="1155CC"/>
                  <w:u w:val="single"/>
                </w:rPr>
                <w:t xml:space="preserve">indianmhs.nimhans.ac.in — NMHS 2015-16 report</w:t>
              </w:r>
            </w:hyperlink>
          </w:p>
          <w:p>
            <w:pPr>
              <w:spacing w:before="60" w:after="40"/>
            </w:pPr>
            <w:r>
              <w:rPr>
                <w:rFonts w:ascii="Calibri" w:hAnsi="Calibri"/>
                <w:b w:val="0"/>
                <w:i w:val="0"/>
                <w:color w:val="5A5A5A"/>
                <w:sz w:val="18"/>
              </w:rPr>
              <w:t>#urbanisation  #metrocities  #socialsupport  #migration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Rural agrarian distress</w:t>
            </w:r>
          </w:p>
        </w:tc>
        <w:tc>
          <w:tcPr>
            <w:tcW w:type="dxa" w:w="2160"/>
            <w:vAlign w:val="top"/>
          </w:tcPr>
          <w:p>
            <w:pPr>
              <w:spacing w:after="40" w:before="0" w:line="259" w:lineRule="auto"/>
            </w:pPr>
            <w:r>
              <w:rPr>
                <w:rFonts w:ascii="Calibri" w:hAnsi="Calibri"/>
                <w:b w:val="0"/>
                <w:i w:val="0"/>
                <w:color w:val="212121"/>
                <w:sz w:val="19"/>
              </w:rPr>
              <w:t>Farming communities under economic stress</w:t>
            </w:r>
          </w:p>
        </w:tc>
        <w:tc>
          <w:tcPr>
            <w:tcW w:type="dxa" w:w="4276"/>
            <w:vAlign w:val="top"/>
          </w:tcPr>
          <w:p>
            <w:pPr>
              <w:spacing w:after="60" w:line="259" w:lineRule="auto"/>
            </w:pPr>
            <w:r>
              <w:rPr>
                <w:rFonts w:ascii="Calibri" w:hAnsi="Calibri"/>
                <w:b w:val="0"/>
                <w:i w:val="0"/>
                <w:color w:val="212121"/>
                <w:sz w:val="19"/>
              </w:rPr>
              <w:t>Crop failure, indebtedness, climate shocks and limited access to mental-health services contribute to depression and elevated suicide risk in rural agrarian populations, despite generally lower measured urban-style prevalence.</w:t>
            </w:r>
          </w:p>
          <w:p>
            <w:pPr>
              <w:spacing w:after="40" w:before="60" w:line="259" w:lineRule="auto"/>
            </w:pPr>
            <w:r>
              <w:rPr>
                <w:rFonts w:ascii="Calibri" w:hAnsi="Calibri"/>
                <w:b w:val="0"/>
                <w:i w:val="0"/>
                <w:color w:val="212121"/>
                <w:sz w:val="19"/>
              </w:rPr>
              <w:t>India’s age-adjusted suicide rate is 21.1 per 100,000, and depression is a leading contributor to suicide; agrarian distress is a recognised driver in rural districts.</w:t>
            </w:r>
          </w:p>
          <w:p>
            <w:pPr>
              <w:spacing w:after="40" w:line="252" w:lineRule="auto"/>
            </w:pPr>
            <w:hyperlink r:id="rId11">
              <w:r>
                <w:rPr>
                  <w:rFonts w:ascii="Calibri" w:hAnsi="Calibri" w:cs="Calibri"/>
                  <w:sz w:val="18"/>
                  <w:color w:val="1155CC"/>
                  <w:u w:val="single"/>
                </w:rPr>
                <w:t xml:space="preserve">who.int/india — mental health</w:t>
              </w:r>
            </w:hyperlink>
          </w:p>
          <w:p>
            <w:pPr>
              <w:spacing w:before="60" w:after="40"/>
            </w:pPr>
            <w:r>
              <w:rPr>
                <w:rFonts w:ascii="Calibri" w:hAnsi="Calibri"/>
                <w:b w:val="0"/>
                <w:i w:val="0"/>
                <w:color w:val="5A5A5A"/>
                <w:sz w:val="18"/>
              </w:rPr>
              <w:t>#agrariandistress  #ruralindia  #suicide  #accessgap</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Sedentary / physical inactivity</w:t>
            </w:r>
          </w:p>
        </w:tc>
        <w:tc>
          <w:tcPr>
            <w:tcW w:type="dxa" w:w="2160"/>
            <w:vAlign w:val="top"/>
          </w:tcPr>
          <w:p>
            <w:pPr>
              <w:spacing w:after="40" w:before="0" w:line="259" w:lineRule="auto"/>
            </w:pPr>
            <w:r>
              <w:rPr>
                <w:rFonts w:ascii="Calibri" w:hAnsi="Calibri"/>
                <w:b w:val="0"/>
                <w:i w:val="0"/>
                <w:color w:val="212121"/>
                <w:sz w:val="19"/>
              </w:rPr>
              <w:t>Physically inactive adults, desk-bound workers</w:t>
            </w:r>
          </w:p>
        </w:tc>
        <w:tc>
          <w:tcPr>
            <w:tcW w:type="dxa" w:w="4276"/>
            <w:vAlign w:val="top"/>
          </w:tcPr>
          <w:p>
            <w:pPr>
              <w:spacing w:after="60" w:line="259" w:lineRule="auto"/>
            </w:pPr>
            <w:r>
              <w:rPr>
                <w:rFonts w:ascii="Calibri" w:hAnsi="Calibri"/>
                <w:b w:val="0"/>
                <w:i w:val="0"/>
                <w:color w:val="212121"/>
                <w:sz w:val="19"/>
              </w:rPr>
              <w:t>Physical inactivity lowers mood-regulating neurotrophins and worsens metabolic and inflammatory profiles; conversely, regular exercise has an antidepressant effect comparable to psychotherapy and medication.</w:t>
            </w:r>
          </w:p>
          <w:p>
            <w:pPr>
              <w:spacing w:after="40" w:before="60" w:line="259" w:lineRule="auto"/>
            </w:pPr>
            <w:r>
              <w:rPr>
                <w:rFonts w:ascii="Calibri" w:hAnsi="Calibri"/>
                <w:b w:val="0"/>
                <w:i w:val="0"/>
                <w:color w:val="212121"/>
                <w:sz w:val="19"/>
              </w:rPr>
              <w:t>An umbrella review of 97 systematic reviews found physical activity reduced depressive symptoms with a median effect size of −0.43, comparable to psychotherapy and pharmacotherapy.</w:t>
            </w:r>
          </w:p>
          <w:p>
            <w:pPr>
              <w:spacing w:after="40" w:line="252" w:lineRule="auto"/>
            </w:pPr>
            <w:hyperlink r:id="rId12">
              <w:r>
                <w:rPr>
                  <w:rFonts w:ascii="Calibri" w:hAnsi="Calibri" w:cs="Calibri"/>
                  <w:sz w:val="18"/>
                  <w:color w:val="1155CC"/>
                  <w:u w:val="single"/>
                </w:rPr>
                <w:t xml:space="preserve">bjsm.bmj.com — physical activity umbrella review (2023)</w:t>
              </w:r>
            </w:hyperlink>
          </w:p>
          <w:p>
            <w:pPr>
              <w:spacing w:before="60" w:after="40"/>
            </w:pPr>
            <w:r>
              <w:rPr>
                <w:rFonts w:ascii="Calibri" w:hAnsi="Calibri"/>
                <w:b w:val="0"/>
                <w:i w:val="0"/>
                <w:color w:val="5A5A5A"/>
                <w:sz w:val="18"/>
              </w:rPr>
              <w:t>#sedentary  #exercise  #neuroplasticity  #lifestylemedicine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Smoking / tobacco use</w:t>
            </w:r>
          </w:p>
        </w:tc>
        <w:tc>
          <w:tcPr>
            <w:tcW w:type="dxa" w:w="2160"/>
            <w:vAlign w:val="top"/>
          </w:tcPr>
          <w:p>
            <w:pPr>
              <w:spacing w:after="40" w:before="0" w:line="259" w:lineRule="auto"/>
            </w:pPr>
            <w:r>
              <w:rPr>
                <w:rFonts w:ascii="Calibri" w:hAnsi="Calibri"/>
                <w:b w:val="0"/>
                <w:i w:val="0"/>
                <w:color w:val="212121"/>
                <w:sz w:val="19"/>
              </w:rPr>
              <w:t>Current smokers and tobacco users</w:t>
            </w:r>
          </w:p>
        </w:tc>
        <w:tc>
          <w:tcPr>
            <w:tcW w:type="dxa" w:w="4276"/>
            <w:vAlign w:val="top"/>
          </w:tcPr>
          <w:p>
            <w:pPr>
              <w:spacing w:after="60" w:line="259" w:lineRule="auto"/>
            </w:pPr>
            <w:r>
              <w:rPr>
                <w:rFonts w:ascii="Calibri" w:hAnsi="Calibri"/>
                <w:b w:val="0"/>
                <w:i w:val="0"/>
                <w:color w:val="212121"/>
                <w:sz w:val="19"/>
              </w:rPr>
              <w:t>Smoking and depression share a bidirectional relationship—nicotine transiently eases dysphoria but chronic use dysregulates dopaminergic reward pathways, and depressed smokers find quitting harder.</w:t>
            </w:r>
          </w:p>
          <w:p>
            <w:pPr>
              <w:spacing w:after="40" w:before="60" w:line="259" w:lineRule="auto"/>
            </w:pPr>
            <w:r>
              <w:rPr>
                <w:rFonts w:ascii="Calibri" w:hAnsi="Calibri"/>
                <w:b w:val="0"/>
                <w:i w:val="0"/>
                <w:color w:val="212121"/>
                <w:sz w:val="19"/>
              </w:rPr>
              <w:t>Depression is substantially more common among smokers than non-smokers, and the two conditions reinforce each other.</w:t>
            </w:r>
          </w:p>
          <w:p>
            <w:pPr>
              <w:spacing w:before="60" w:after="40"/>
            </w:pPr>
            <w:r>
              <w:rPr>
                <w:rFonts w:ascii="Calibri" w:hAnsi="Calibri"/>
                <w:b w:val="0"/>
                <w:i w:val="0"/>
                <w:color w:val="5A5A5A"/>
                <w:sz w:val="18"/>
              </w:rPr>
              <w:t>#smoking  #tobacco  #nicotine  #bidirectional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 use</w:t>
            </w:r>
          </w:p>
        </w:tc>
        <w:tc>
          <w:tcPr>
            <w:tcW w:type="dxa" w:w="2160"/>
            <w:vAlign w:val="top"/>
          </w:tcPr>
          <w:p>
            <w:pPr>
              <w:spacing w:after="40" w:before="0" w:line="259" w:lineRule="auto"/>
            </w:pPr>
            <w:r>
              <w:rPr>
                <w:rFonts w:ascii="Calibri" w:hAnsi="Calibri"/>
                <w:b w:val="0"/>
                <w:i w:val="0"/>
                <w:color w:val="212121"/>
                <w:sz w:val="19"/>
              </w:rPr>
              <w:t>Heavy or dependent drinkers</w:t>
            </w:r>
          </w:p>
        </w:tc>
        <w:tc>
          <w:tcPr>
            <w:tcW w:type="dxa" w:w="4276"/>
            <w:vAlign w:val="top"/>
          </w:tcPr>
          <w:p>
            <w:pPr>
              <w:spacing w:after="60" w:line="259" w:lineRule="auto"/>
            </w:pPr>
            <w:r>
              <w:rPr>
                <w:rFonts w:ascii="Calibri" w:hAnsi="Calibri"/>
                <w:b w:val="0"/>
                <w:i w:val="0"/>
                <w:color w:val="212121"/>
                <w:sz w:val="19"/>
              </w:rPr>
              <w:t>Alcohol is a CNS depressant; heavy use worsens mood, sleep and impulsivity, and alcohol-use disorder and depression frequently co-occur, amplifying suicide risk.</w:t>
            </w:r>
          </w:p>
          <w:p>
            <w:pPr>
              <w:spacing w:after="40" w:before="60" w:line="259" w:lineRule="auto"/>
            </w:pPr>
            <w:r>
              <w:rPr>
                <w:rFonts w:ascii="Calibri" w:hAnsi="Calibri"/>
                <w:b w:val="0"/>
                <w:i w:val="0"/>
                <w:color w:val="212121"/>
                <w:sz w:val="19"/>
              </w:rPr>
              <w:t>Alcohol-use disorder and depressive disorders are strongly comorbid and mutually aggravating.</w:t>
            </w:r>
          </w:p>
          <w:p>
            <w:pPr>
              <w:spacing w:before="60" w:after="40"/>
            </w:pPr>
            <w:r>
              <w:rPr>
                <w:rFonts w:ascii="Calibri" w:hAnsi="Calibri"/>
                <w:b w:val="0"/>
                <w:i w:val="0"/>
                <w:color w:val="5A5A5A"/>
                <w:sz w:val="18"/>
              </w:rPr>
              <w:t>#alcohol  #AUD  #dualdiagnosis  #impulsivity</w:t>
            </w:r>
          </w:p>
        </w:tc>
      </w:tr>
      <w:tr>
        <w:trPr>
          <w:cantSplit/>
        </w:trPr>
        <w:tc>
          <w:tcPr>
            <w:tcW w:type="dxa" w:w="1512"/>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Dietary pattern</w:t>
            </w:r>
          </w:p>
        </w:tc>
        <w:tc>
          <w:tcPr>
            <w:tcW w:type="dxa" w:w="2160"/>
            <w:vAlign w:val="top"/>
          </w:tcPr>
          <w:p>
            <w:pPr>
              <w:spacing w:after="40" w:before="0" w:line="259" w:lineRule="auto"/>
            </w:pPr>
            <w:r>
              <w:rPr>
                <w:rFonts w:ascii="Calibri" w:hAnsi="Calibri"/>
                <w:b w:val="0"/>
                <w:i w:val="0"/>
                <w:color w:val="212121"/>
                <w:sz w:val="19"/>
              </w:rPr>
              <w:t>High ultra-processed / low-quality diet</w:t>
            </w:r>
          </w:p>
        </w:tc>
        <w:tc>
          <w:tcPr>
            <w:tcW w:type="dxa" w:w="4276"/>
            <w:vAlign w:val="top"/>
          </w:tcPr>
          <w:p>
            <w:pPr>
              <w:spacing w:after="60" w:line="259" w:lineRule="auto"/>
            </w:pPr>
            <w:r>
              <w:rPr>
                <w:rFonts w:ascii="Calibri" w:hAnsi="Calibri"/>
                <w:b w:val="0"/>
                <w:i w:val="0"/>
                <w:color w:val="212121"/>
                <w:sz w:val="19"/>
              </w:rPr>
              <w:t>Diets high in refined carbohydrates, sugar and ultra-processed foods and low in vegetables, whole grains, fish and pulses promote inflammation and are linked to higher depression risk; improving diet quality can relieve symptoms.</w:t>
            </w:r>
          </w:p>
          <w:p>
            <w:pPr>
              <w:spacing w:after="40" w:before="60" w:line="259" w:lineRule="auto"/>
            </w:pPr>
            <w:r>
              <w:rPr>
                <w:rFonts w:ascii="Calibri" w:hAnsi="Calibri"/>
                <w:b w:val="0"/>
                <w:i w:val="0"/>
                <w:color w:val="212121"/>
                <w:sz w:val="19"/>
              </w:rPr>
              <w:t>In the SMILES randomised trial, a dietary-improvement programme achieved depression remission in 32.3% versus 8.0% of controls (NNT 4.1).</w:t>
            </w:r>
          </w:p>
          <w:p>
            <w:pPr>
              <w:spacing w:after="40" w:line="252" w:lineRule="auto"/>
            </w:pPr>
            <w:hyperlink r:id="rId13">
              <w:r>
                <w:rPr>
                  <w:rFonts w:ascii="Calibri" w:hAnsi="Calibri" w:cs="Calibri"/>
                  <w:sz w:val="18"/>
                  <w:color w:val="1155CC"/>
                  <w:u w:val="single"/>
                </w:rPr>
                <w:t xml:space="preserve">link.springer.com — SMILES dietary trial (BMC Medicine 2017)</w:t>
              </w:r>
            </w:hyperlink>
          </w:p>
          <w:p>
            <w:pPr>
              <w:spacing w:before="60" w:after="40"/>
            </w:pPr>
            <w:r>
              <w:rPr>
                <w:rFonts w:ascii="Calibri" w:hAnsi="Calibri"/>
                <w:b w:val="0"/>
                <w:i w:val="0"/>
                <w:color w:val="5A5A5A"/>
                <w:sz w:val="18"/>
              </w:rPr>
              <w:t>#diet  #ultraprocessed  #inflammation  #nutritionalpsychiatry</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w:t>
            </w:r>
          </w:p>
        </w:tc>
        <w:tc>
          <w:tcPr>
            <w:tcW w:type="dxa" w:w="2160"/>
            <w:vAlign w:val="top"/>
          </w:tcPr>
          <w:p>
            <w:pPr>
              <w:spacing w:after="40" w:before="0" w:line="259" w:lineRule="auto"/>
            </w:pPr>
            <w:r>
              <w:rPr>
                <w:rFonts w:ascii="Calibri" w:hAnsi="Calibri"/>
                <w:b w:val="0"/>
                <w:i w:val="0"/>
                <w:color w:val="212121"/>
                <w:sz w:val="19"/>
              </w:rPr>
              <w:t>First-degree relatives of a depressed person</w:t>
            </w:r>
          </w:p>
        </w:tc>
        <w:tc>
          <w:tcPr>
            <w:tcW w:type="dxa" w:w="4276"/>
            <w:vAlign w:val="top"/>
          </w:tcPr>
          <w:p>
            <w:pPr>
              <w:spacing w:after="60" w:line="259" w:lineRule="auto"/>
            </w:pPr>
            <w:r>
              <w:rPr>
                <w:rFonts w:ascii="Calibri" w:hAnsi="Calibri"/>
                <w:b w:val="0"/>
                <w:i w:val="0"/>
                <w:color w:val="212121"/>
                <w:sz w:val="19"/>
              </w:rPr>
              <w:t>Inherited polygenic susceptibility, compounded by shared environment and learned coping patterns, substantially raises risk; early age of onset in a relative signals higher familial loading.</w:t>
            </w:r>
          </w:p>
          <w:p>
            <w:pPr>
              <w:spacing w:after="40" w:before="60" w:line="259" w:lineRule="auto"/>
            </w:pPr>
            <w:r>
              <w:rPr>
                <w:rFonts w:ascii="Calibri" w:hAnsi="Calibri"/>
                <w:b w:val="0"/>
                <w:i w:val="0"/>
                <w:color w:val="212121"/>
                <w:sz w:val="19"/>
              </w:rPr>
              <w:t>First-degree relatives of individuals with depression are about three times as likely to develop depression as the general population.</w:t>
            </w:r>
          </w:p>
          <w:p>
            <w:pPr>
              <w:spacing w:after="40" w:line="252" w:lineRule="auto"/>
            </w:pPr>
            <w:hyperlink r:id="rId14">
              <w:r>
                <w:rPr>
                  <w:rFonts w:ascii="Calibri" w:hAnsi="Calibri" w:cs="Calibri"/>
                  <w:sz w:val="18"/>
                  <w:color w:val="1155CC"/>
                  <w:u w:val="single"/>
                </w:rPr>
                <w:t xml:space="preserve">ncbi.nlm.nih.gov/books — StatPearls: Depression</w:t>
              </w:r>
            </w:hyperlink>
          </w:p>
          <w:p>
            <w:pPr>
              <w:spacing w:before="60" w:after="40"/>
            </w:pPr>
            <w:r>
              <w:rPr>
                <w:rFonts w:ascii="Calibri" w:hAnsi="Calibri"/>
                <w:b w:val="0"/>
                <w:i w:val="0"/>
                <w:color w:val="5A5A5A"/>
                <w:sz w:val="18"/>
              </w:rPr>
              <w:t>#familyhistory  #heritability  #polygenic  #earlyonset</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Adults with type 2 diabetes</w:t>
            </w:r>
          </w:p>
        </w:tc>
        <w:tc>
          <w:tcPr>
            <w:tcW w:type="dxa" w:w="4276"/>
            <w:vAlign w:val="top"/>
          </w:tcPr>
          <w:p>
            <w:pPr>
              <w:spacing w:after="60" w:line="259" w:lineRule="auto"/>
            </w:pPr>
            <w:r>
              <w:rPr>
                <w:rFonts w:ascii="Calibri" w:hAnsi="Calibri"/>
                <w:b w:val="0"/>
                <w:i w:val="0"/>
                <w:color w:val="212121"/>
                <w:sz w:val="19"/>
              </w:rPr>
              <w:t>Depression and diabetes are bidirectionally linked through shared inflammatory and HPA-axis pathways; comorbid depression worsens glycaemic control, self-care and outcomes.</w:t>
            </w:r>
          </w:p>
          <w:p>
            <w:pPr>
              <w:spacing w:after="40" w:before="60" w:line="259" w:lineRule="auto"/>
            </w:pPr>
            <w:r>
              <w:rPr>
                <w:rFonts w:ascii="Calibri" w:hAnsi="Calibri"/>
                <w:b w:val="0"/>
                <w:i w:val="0"/>
                <w:color w:val="212121"/>
                <w:sz w:val="19"/>
              </w:rPr>
              <w:t>Depression is roughly twice as common in people with diabetes as in those without, and co-occurrence impairs adherence and prognosis.</w:t>
            </w:r>
          </w:p>
          <w:p>
            <w:pPr>
              <w:spacing w:after="40" w:line="252" w:lineRule="auto"/>
            </w:pPr>
            <w:hyperlink r:id="rId14">
              <w:r>
                <w:rPr>
                  <w:rFonts w:ascii="Calibri" w:hAnsi="Calibri" w:cs="Calibri"/>
                  <w:sz w:val="18"/>
                  <w:color w:val="1155CC"/>
                  <w:u w:val="single"/>
                </w:rPr>
                <w:t xml:space="preserve">ncbi.nlm.nih.gov/books — StatPearls: Depression</w:t>
              </w:r>
            </w:hyperlink>
          </w:p>
          <w:p>
            <w:pPr>
              <w:spacing w:before="60" w:after="40"/>
            </w:pPr>
            <w:r>
              <w:rPr>
                <w:rFonts w:ascii="Calibri" w:hAnsi="Calibri"/>
                <w:b w:val="0"/>
                <w:i w:val="0"/>
                <w:color w:val="5A5A5A"/>
                <w:sz w:val="18"/>
              </w:rPr>
              <w:t>#diabetes  #bidirectional  #glycaemiccontrol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Cardiovascular / cerebrovascular disease</w:t>
            </w:r>
          </w:p>
        </w:tc>
        <w:tc>
          <w:tcPr>
            <w:tcW w:type="dxa" w:w="2160"/>
            <w:vAlign w:val="top"/>
          </w:tcPr>
          <w:p>
            <w:pPr>
              <w:spacing w:after="40" w:before="0" w:line="259" w:lineRule="auto"/>
            </w:pPr>
            <w:r>
              <w:rPr>
                <w:rFonts w:ascii="Calibri" w:hAnsi="Calibri"/>
                <w:b w:val="0"/>
                <w:i w:val="0"/>
                <w:color w:val="212121"/>
                <w:sz w:val="19"/>
              </w:rPr>
              <w:t>Post-MI and post-stroke patients</w:t>
            </w:r>
          </w:p>
        </w:tc>
        <w:tc>
          <w:tcPr>
            <w:tcW w:type="dxa" w:w="4276"/>
            <w:vAlign w:val="top"/>
          </w:tcPr>
          <w:p>
            <w:pPr>
              <w:spacing w:after="60" w:line="259" w:lineRule="auto"/>
            </w:pPr>
            <w:r>
              <w:rPr>
                <w:rFonts w:ascii="Calibri" w:hAnsi="Calibri"/>
                <w:b w:val="0"/>
                <w:i w:val="0"/>
                <w:color w:val="212121"/>
                <w:sz w:val="19"/>
              </w:rPr>
              <w:t>Vascular injury disrupts frontostriatal mood circuits (“vascular depression”), and depression after myocardial infarction or stroke is common and independently predicts worse cardiovascular outcomes and mortality.</w:t>
            </w:r>
          </w:p>
          <w:p>
            <w:pPr>
              <w:spacing w:after="40" w:before="60" w:line="259" w:lineRule="auto"/>
            </w:pPr>
            <w:r>
              <w:rPr>
                <w:rFonts w:ascii="Calibri" w:hAnsi="Calibri"/>
                <w:b w:val="0"/>
                <w:i w:val="0"/>
                <w:color w:val="212121"/>
                <w:sz w:val="19"/>
              </w:rPr>
              <w:t>Vascular lesions can precipitate depression by disrupting frontostriatal networks; post-stroke depression affects roughly a third of survivors.</w:t>
            </w:r>
          </w:p>
          <w:p>
            <w:pPr>
              <w:spacing w:after="40" w:line="252" w:lineRule="auto"/>
            </w:pPr>
            <w:hyperlink r:id="rId14">
              <w:r>
                <w:rPr>
                  <w:rFonts w:ascii="Calibri" w:hAnsi="Calibri" w:cs="Calibri"/>
                  <w:sz w:val="18"/>
                  <w:color w:val="1155CC"/>
                  <w:u w:val="single"/>
                </w:rPr>
                <w:t xml:space="preserve">ncbi.nlm.nih.gov/books — StatPearls: Depression</w:t>
              </w:r>
            </w:hyperlink>
          </w:p>
          <w:p>
            <w:pPr>
              <w:spacing w:before="60" w:after="40"/>
            </w:pPr>
            <w:r>
              <w:rPr>
                <w:rFonts w:ascii="Calibri" w:hAnsi="Calibri"/>
                <w:b w:val="0"/>
                <w:i w:val="0"/>
                <w:color w:val="5A5A5A"/>
                <w:sz w:val="18"/>
              </w:rPr>
              <w:t>#poststroke  #postMI  #vasculardepression  #cardiacrisk</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Perinatal state</w:t>
            </w:r>
          </w:p>
        </w:tc>
        <w:tc>
          <w:tcPr>
            <w:tcW w:type="dxa" w:w="2160"/>
            <w:vAlign w:val="top"/>
          </w:tcPr>
          <w:p>
            <w:pPr>
              <w:spacing w:after="40" w:before="0" w:line="259" w:lineRule="auto"/>
            </w:pPr>
            <w:r>
              <w:rPr>
                <w:rFonts w:ascii="Calibri" w:hAnsi="Calibri"/>
                <w:b w:val="0"/>
                <w:i w:val="0"/>
                <w:color w:val="212121"/>
                <w:sz w:val="19"/>
              </w:rPr>
              <w:t>Pregnant and postpartum women</w:t>
            </w:r>
          </w:p>
        </w:tc>
        <w:tc>
          <w:tcPr>
            <w:tcW w:type="dxa" w:w="4276"/>
            <w:vAlign w:val="top"/>
          </w:tcPr>
          <w:p>
            <w:pPr>
              <w:spacing w:after="60" w:line="259" w:lineRule="auto"/>
            </w:pPr>
            <w:r>
              <w:rPr>
                <w:rFonts w:ascii="Calibri" w:hAnsi="Calibri"/>
                <w:b w:val="0"/>
                <w:i w:val="0"/>
                <w:color w:val="212121"/>
                <w:sz w:val="19"/>
              </w:rPr>
              <w:t>Hormonal shifts, sleep deprivation, birth complications and lack of social support make the perinatal period a high-risk window; untreated maternal depression affects infant bonding and development.</w:t>
            </w:r>
          </w:p>
          <w:p>
            <w:pPr>
              <w:spacing w:after="40" w:before="60" w:line="259" w:lineRule="auto"/>
            </w:pPr>
            <w:r>
              <w:rPr>
                <w:rFonts w:ascii="Calibri" w:hAnsi="Calibri"/>
                <w:b w:val="0"/>
                <w:i w:val="0"/>
                <w:color w:val="212121"/>
                <w:sz w:val="19"/>
              </w:rPr>
              <w:t>Perinatal depression affects an estimated 6.5–20% of mothers; an EPDS score ≥ 13 flags high risk.</w:t>
            </w:r>
          </w:p>
          <w:p>
            <w:pPr>
              <w:spacing w:after="40" w:line="252" w:lineRule="auto"/>
            </w:pPr>
            <w:hyperlink r:id="rId15">
              <w:r>
                <w:rPr>
                  <w:rFonts w:ascii="Calibri" w:hAnsi="Calibri" w:cs="Calibri"/>
                  <w:sz w:val="18"/>
                  <w:color w:val="1155CC"/>
                  <w:u w:val="single"/>
                </w:rPr>
                <w:t xml:space="preserve">ncbi.nlm.nih.gov/books — StatPearls: Perinatal Depression</w:t>
              </w:r>
            </w:hyperlink>
          </w:p>
          <w:p>
            <w:pPr>
              <w:spacing w:before="60" w:after="40"/>
            </w:pPr>
            <w:r>
              <w:rPr>
                <w:rFonts w:ascii="Calibri" w:hAnsi="Calibri"/>
                <w:b w:val="0"/>
                <w:i w:val="0"/>
                <w:color w:val="5A5A5A"/>
                <w:sz w:val="18"/>
              </w:rPr>
              <w:t>#postpartum  #perinatal  #EPDS  #maternalmentalhealth</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Chronic pain / hypothyroidism</w:t>
            </w:r>
          </w:p>
        </w:tc>
        <w:tc>
          <w:tcPr>
            <w:tcW w:type="dxa" w:w="2160"/>
            <w:vAlign w:val="top"/>
          </w:tcPr>
          <w:p>
            <w:pPr>
              <w:spacing w:after="40" w:before="0" w:line="259" w:lineRule="auto"/>
            </w:pPr>
            <w:r>
              <w:rPr>
                <w:rFonts w:ascii="Calibri" w:hAnsi="Calibri"/>
                <w:b w:val="0"/>
                <w:i w:val="0"/>
                <w:color w:val="212121"/>
                <w:sz w:val="19"/>
              </w:rPr>
              <w:t>Patients with chronic pain or thyroid dysfunction</w:t>
            </w:r>
          </w:p>
        </w:tc>
        <w:tc>
          <w:tcPr>
            <w:tcW w:type="dxa" w:w="4276"/>
            <w:vAlign w:val="top"/>
          </w:tcPr>
          <w:p>
            <w:pPr>
              <w:spacing w:after="60" w:line="259" w:lineRule="auto"/>
            </w:pPr>
            <w:r>
              <w:rPr>
                <w:rFonts w:ascii="Calibri" w:hAnsi="Calibri"/>
                <w:b w:val="0"/>
                <w:i w:val="0"/>
                <w:color w:val="212121"/>
                <w:sz w:val="19"/>
              </w:rPr>
              <w:t>Persistent pain and hypothyroidism share neuro-endocrine and inflammatory pathways with depression; each lowers mood and treating the underlying condition can improve depressive symptoms.</w:t>
            </w:r>
          </w:p>
          <w:p>
            <w:pPr>
              <w:spacing w:after="40" w:before="60" w:line="259" w:lineRule="auto"/>
            </w:pPr>
            <w:r>
              <w:rPr>
                <w:rFonts w:ascii="Calibri" w:hAnsi="Calibri"/>
                <w:b w:val="0"/>
                <w:i w:val="0"/>
                <w:color w:val="212121"/>
                <w:sz w:val="19"/>
              </w:rPr>
              <w:t>Chronic pain, hypothyroidism and other chronic illnesses are recognised medical risk factors that correlate with higher rates of depression.</w:t>
            </w:r>
          </w:p>
          <w:p>
            <w:pPr>
              <w:spacing w:after="40" w:line="252" w:lineRule="auto"/>
            </w:pPr>
            <w:hyperlink r:id="rId14">
              <w:r>
                <w:rPr>
                  <w:rFonts w:ascii="Calibri" w:hAnsi="Calibri" w:cs="Calibri"/>
                  <w:sz w:val="18"/>
                  <w:color w:val="1155CC"/>
                  <w:u w:val="single"/>
                </w:rPr>
                <w:t xml:space="preserve">ncbi.nlm.nih.gov/books — StatPearls: Depression</w:t>
              </w:r>
            </w:hyperlink>
          </w:p>
          <w:p>
            <w:pPr>
              <w:spacing w:before="60" w:after="40"/>
            </w:pPr>
            <w:r>
              <w:rPr>
                <w:rFonts w:ascii="Calibri" w:hAnsi="Calibri"/>
                <w:b w:val="0"/>
                <w:i w:val="0"/>
                <w:color w:val="5A5A5A"/>
                <w:sz w:val="18"/>
              </w:rPr>
              <w:t>#chronicpain  #hypothyroidism  #somatic  #comorbidity</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Anxiety disorders</w:t>
            </w:r>
          </w:p>
        </w:tc>
        <w:tc>
          <w:tcPr>
            <w:tcW w:type="dxa" w:w="2160"/>
            <w:vAlign w:val="top"/>
          </w:tcPr>
          <w:p>
            <w:pPr>
              <w:spacing w:after="40" w:before="0" w:line="259" w:lineRule="auto"/>
            </w:pPr>
            <w:r>
              <w:rPr>
                <w:rFonts w:ascii="Calibri" w:hAnsi="Calibri"/>
                <w:b w:val="0"/>
                <w:i w:val="0"/>
                <w:color w:val="212121"/>
                <w:sz w:val="19"/>
              </w:rPr>
              <w:t>Patients with comorbid anxiety</w:t>
            </w:r>
          </w:p>
        </w:tc>
        <w:tc>
          <w:tcPr>
            <w:tcW w:type="dxa" w:w="4276"/>
            <w:vAlign w:val="top"/>
          </w:tcPr>
          <w:p>
            <w:pPr>
              <w:spacing w:after="60" w:line="259" w:lineRule="auto"/>
            </w:pPr>
            <w:r>
              <w:rPr>
                <w:rFonts w:ascii="Calibri" w:hAnsi="Calibri"/>
                <w:b w:val="0"/>
                <w:i w:val="0"/>
                <w:color w:val="212121"/>
                <w:sz w:val="19"/>
              </w:rPr>
              <w:t>Anxiety and depression share genetic, monoaminergic and stress-axis mechanisms and frequently coexist; comorbidity raises symptom severity, chronicity and suicide risk.</w:t>
            </w:r>
          </w:p>
          <w:p>
            <w:pPr>
              <w:spacing w:after="40" w:before="60" w:line="259" w:lineRule="auto"/>
            </w:pPr>
            <w:r>
              <w:rPr>
                <w:rFonts w:ascii="Calibri" w:hAnsi="Calibri"/>
                <w:b w:val="0"/>
                <w:i w:val="0"/>
                <w:color w:val="212121"/>
                <w:sz w:val="19"/>
              </w:rPr>
              <w:t>Anxiety disorders are the most frequent comorbidity of depression, co-occurring in a large proportion of cases.</w:t>
            </w:r>
          </w:p>
          <w:p>
            <w:pPr>
              <w:spacing w:after="40" w:line="252" w:lineRule="auto"/>
            </w:pPr>
            <w:hyperlink r:id="rId16">
              <w:r>
                <w:rPr>
                  <w:rFonts w:ascii="Calibri" w:hAnsi="Calibri" w:cs="Calibri"/>
                  <w:sz w:val="18"/>
                  <w:color w:val="1155CC"/>
                  <w:u w:val="single"/>
                </w:rPr>
                <w:t xml:space="preserve">ncbi.nlm.nih.gov/books — StatPearls: Major Depressive Disorder</w:t>
              </w:r>
            </w:hyperlink>
          </w:p>
          <w:p>
            <w:pPr>
              <w:spacing w:before="60" w:after="40"/>
            </w:pPr>
            <w:r>
              <w:rPr>
                <w:rFonts w:ascii="Calibri" w:hAnsi="Calibri"/>
                <w:b w:val="0"/>
                <w:i w:val="0"/>
                <w:color w:val="5A5A5A"/>
                <w:sz w:val="18"/>
              </w:rPr>
              <w:t>#anxiety  #comorbidity  #mixedaffective  #severity</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An umbrella review of 97 systematic reviews (over 128,000 participants) found physical activity reduced depressive symptoms with a median effect size of −0.43—comparable to psychotherapy and pharmacotherapy. Inactivity raises risk; regular aerobic and resistance exercise is protective and therapeutic.</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Poor diet quality (high ultra-processed, refined-carbohydrate, low-vegetable/fish intake) is linked to higher depression risk. The SMILES randomised trial showed dietary improvement produced remission in 32.3% vs 8.0% of controls (NNT 4.1).</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Sleep disturbance is both a core symptom and a modifiable risk factor; insomnia strongly and bidirectionally predicts new and recurrent depressive episodes, and both short and disrupted sleep worsen mood regulation.</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Smoking and depression share a bidirectional relationship; depression is more common in smokers, nicotine dysregulates reward pathways, and comorbid depression makes cessation harder.</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Alcohol is a CNS depressant; heavy use precipitates and worsens depression and disrupts sleep, and alcohol-use disorder is strongly comorbid, substantially increasing suicide risk.</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Comorbid anxiety, chronic stress, adverse childhood experiences and prior episodes are central determinants; anxiety is the commonest comorbidity and each prior episode raises recurrence risk.</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Dehydration can transiently worsen mood, fatigue and concentration, but adequate hydration has only a weak, indirect link to depression prevention.</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Evidence is mixed; moderate coffee intake shows a small inverse association with depression, whereas excessive caffeine can aggravate anxiety and disrupt the sleep that underpins mood.</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Self-neglect and declining personal hygiene are consequences of depression (loss of motivation and energy) rather than causes; deterioration in self-care is a useful clinical marker of severity.</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Acute stressful life events—bereavement, relationship breakdown, job loss, financial crisis, trauma and postpartum change—are major precipitants of depressive episodes, especially in genetically or psychosocially vulnerable individuals.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Small studies suggest an upright posture can modestly reduce fatigue and negative mood in mild-to-moderate depression, while slumped posture and psychomotor retardation are visible correlates; the mood effect is minor and adjunctive.</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Physical activity</w:t>
            </w:r>
          </w:p>
        </w:tc>
        <w:tc>
          <w:tcPr>
            <w:tcW w:type="dxa" w:w="1944"/>
            <w:vAlign w:val="top"/>
          </w:tcPr>
          <w:p>
            <w:pPr>
              <w:spacing w:after="40" w:before="0" w:line="259" w:lineRule="auto"/>
            </w:pPr>
            <w:r>
              <w:rPr>
                <w:rFonts w:ascii="Calibri" w:hAnsi="Calibri"/>
                <w:b w:val="0"/>
                <w:i w:val="0"/>
                <w:color w:val="212121"/>
                <w:sz w:val="19"/>
              </w:rPr>
              <w:t>Moderate-to-vigorous activity (minutes/week)</w:t>
            </w:r>
          </w:p>
        </w:tc>
        <w:tc>
          <w:tcPr>
            <w:tcW w:type="dxa" w:w="1655"/>
            <w:vAlign w:val="top"/>
          </w:tcPr>
          <w:p>
            <w:pPr>
              <w:spacing w:after="40" w:before="0" w:line="259" w:lineRule="auto"/>
            </w:pPr>
            <w:r>
              <w:rPr>
                <w:rFonts w:ascii="Calibri" w:hAnsi="Calibri"/>
                <w:b w:val="0"/>
                <w:i w:val="0"/>
                <w:color w:val="212121"/>
                <w:sz w:val="19"/>
              </w:rPr>
              <w:t>Adults, elderly, sedentary workers</w:t>
            </w:r>
          </w:p>
        </w:tc>
        <w:tc>
          <w:tcPr>
            <w:tcW w:type="dxa" w:w="1512"/>
            <w:vAlign w:val="top"/>
          </w:tcPr>
          <w:p>
            <w:pPr>
              <w:spacing w:after="40" w:before="0" w:line="259" w:lineRule="auto"/>
            </w:pPr>
            <w:r>
              <w:rPr>
                <w:rFonts w:ascii="Calibri" w:hAnsi="Calibri"/>
                <w:b w:val="0"/>
                <w:i w:val="0"/>
                <w:color w:val="212121"/>
                <w:sz w:val="19"/>
              </w:rPr>
              <w:t>≥ 150 min/week</w:t>
            </w:r>
          </w:p>
        </w:tc>
        <w:tc>
          <w:tcPr>
            <w:tcW w:type="dxa" w:w="1512"/>
            <w:vAlign w:val="top"/>
          </w:tcPr>
          <w:p>
            <w:pPr>
              <w:spacing w:after="40" w:before="0" w:line="259" w:lineRule="auto"/>
            </w:pPr>
            <w:r>
              <w:rPr>
                <w:rFonts w:ascii="Calibri" w:hAnsi="Calibri"/>
                <w:b w:val="0"/>
                <w:i w:val="0"/>
                <w:color w:val="212121"/>
                <w:sz w:val="19"/>
              </w:rPr>
              <w:t>&lt; 150 min/week</w:t>
            </w:r>
          </w:p>
        </w:tc>
        <w:tc>
          <w:tcPr>
            <w:tcW w:type="dxa" w:w="1468"/>
            <w:vAlign w:val="top"/>
          </w:tcPr>
          <w:p>
            <w:pPr>
              <w:spacing w:after="60" w:line="259" w:lineRule="auto"/>
            </w:pPr>
            <w:r>
              <w:rPr>
                <w:rFonts w:ascii="Calibri" w:hAnsi="Calibri"/>
                <w:b w:val="0"/>
                <w:i w:val="0"/>
                <w:color w:val="212121"/>
                <w:sz w:val="19"/>
              </w:rPr>
              <w:t>Regular MVPA lowers depressive symptoms (effect size ≈ −0.43)</w:t>
            </w:r>
          </w:p>
          <w:p>
            <w:pPr>
              <w:spacing w:after="40" w:line="252" w:lineRule="auto"/>
            </w:pPr>
            <w:hyperlink r:id="rId12">
              <w:r>
                <w:rPr>
                  <w:rFonts w:ascii="Calibri" w:hAnsi="Calibri" w:cs="Calibri"/>
                  <w:sz w:val="18"/>
                  <w:color w:val="1155CC"/>
                  <w:u w:val="single"/>
                </w:rPr>
                <w:t xml:space="preserve">https://bjsm.bmj.com/content/57/18/1203</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Body Mass Index (kg/m²)</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18.5–22.9 kg/m² (Asian cut-off)</w:t>
            </w:r>
          </w:p>
        </w:tc>
        <w:tc>
          <w:tcPr>
            <w:tcW w:type="dxa" w:w="1512"/>
            <w:vAlign w:val="top"/>
          </w:tcPr>
          <w:p>
            <w:pPr>
              <w:spacing w:after="40" w:before="0" w:line="259" w:lineRule="auto"/>
            </w:pPr>
            <w:r>
              <w:rPr>
                <w:rFonts w:ascii="Calibri" w:hAnsi="Calibri"/>
                <w:b w:val="0"/>
                <w:i w:val="0"/>
                <w:color w:val="212121"/>
                <w:sz w:val="19"/>
              </w:rPr>
              <w:t>≥ 25 (obesity) or underweight</w:t>
            </w:r>
          </w:p>
        </w:tc>
        <w:tc>
          <w:tcPr>
            <w:tcW w:type="dxa" w:w="1468"/>
            <w:vAlign w:val="top"/>
          </w:tcPr>
          <w:p>
            <w:pPr>
              <w:spacing w:after="60" w:line="259" w:lineRule="auto"/>
            </w:pPr>
            <w:r>
              <w:rPr>
                <w:rFonts w:ascii="Calibri" w:hAnsi="Calibri"/>
                <w:b w:val="0"/>
                <w:i w:val="0"/>
                <w:color w:val="212121"/>
                <w:sz w:val="19"/>
              </w:rPr>
              <w:t>Obesity and depression are bidirectionally linked via inflammation</w:t>
            </w:r>
          </w:p>
          <w:p>
            <w:pPr>
              <w:spacing w:after="40" w:line="252" w:lineRule="auto"/>
            </w:pPr>
            <w:hyperlink r:id="rId14">
              <w:r>
                <w:rPr>
                  <w:rFonts w:ascii="Calibri" w:hAnsi="Calibri" w:cs="Calibri"/>
                  <w:sz w:val="18"/>
                  <w:color w:val="1155CC"/>
                  <w:u w:val="single"/>
                </w:rPr>
                <w:t xml:space="preserve">https://www.ncbi.nlm.nih.gov/books/NBK430847/</w:t>
              </w:r>
            </w:hyperlink>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Diet quality / ultra-processed intake</w:t>
            </w:r>
          </w:p>
        </w:tc>
        <w:tc>
          <w:tcPr>
            <w:tcW w:type="dxa" w:w="1655"/>
            <w:vAlign w:val="top"/>
          </w:tcPr>
          <w:p>
            <w:pPr>
              <w:spacing w:after="40" w:before="0" w:line="259" w:lineRule="auto"/>
            </w:pPr>
            <w:r>
              <w:rPr>
                <w:rFonts w:ascii="Calibri" w:hAnsi="Calibri"/>
                <w:b w:val="0"/>
                <w:i w:val="0"/>
                <w:color w:val="212121"/>
                <w:sz w:val="19"/>
              </w:rPr>
              <w:t>Adults at risk</w:t>
            </w:r>
          </w:p>
        </w:tc>
        <w:tc>
          <w:tcPr>
            <w:tcW w:type="dxa" w:w="1512"/>
            <w:vAlign w:val="top"/>
          </w:tcPr>
          <w:p>
            <w:pPr>
              <w:spacing w:after="40" w:before="0" w:line="259" w:lineRule="auto"/>
            </w:pPr>
            <w:r>
              <w:rPr>
                <w:rFonts w:ascii="Calibri" w:hAnsi="Calibri"/>
                <w:b w:val="0"/>
                <w:i w:val="0"/>
                <w:color w:val="212121"/>
                <w:sz w:val="19"/>
              </w:rPr>
              <w:t>High vegetable, fruit, whole-grain, pulse, fish intake</w:t>
            </w:r>
          </w:p>
        </w:tc>
        <w:tc>
          <w:tcPr>
            <w:tcW w:type="dxa" w:w="1512"/>
            <w:vAlign w:val="top"/>
          </w:tcPr>
          <w:p>
            <w:pPr>
              <w:spacing w:after="40" w:before="0" w:line="259" w:lineRule="auto"/>
            </w:pPr>
            <w:r>
              <w:rPr>
                <w:rFonts w:ascii="Calibri" w:hAnsi="Calibri"/>
                <w:b w:val="0"/>
                <w:i w:val="0"/>
                <w:color w:val="212121"/>
                <w:sz w:val="19"/>
              </w:rPr>
              <w:t>High ultra-processed / high-sugar diet</w:t>
            </w:r>
          </w:p>
        </w:tc>
        <w:tc>
          <w:tcPr>
            <w:tcW w:type="dxa" w:w="1468"/>
            <w:vAlign w:val="top"/>
          </w:tcPr>
          <w:p>
            <w:pPr>
              <w:spacing w:after="60" w:line="259" w:lineRule="auto"/>
            </w:pPr>
            <w:r>
              <w:rPr>
                <w:rFonts w:ascii="Calibri" w:hAnsi="Calibri"/>
                <w:b w:val="0"/>
                <w:i w:val="0"/>
                <w:color w:val="212121"/>
                <w:sz w:val="19"/>
              </w:rPr>
              <w:t>Dietary improvement achieved remission in 32.3% vs 8.0% (SMILES)</w:t>
            </w:r>
          </w:p>
          <w:p>
            <w:pPr>
              <w:spacing w:after="40" w:line="252" w:lineRule="auto"/>
            </w:pPr>
            <w:hyperlink r:id="rId13">
              <w:r>
                <w:rPr>
                  <w:rFonts w:ascii="Calibri" w:hAnsi="Calibri" w:cs="Calibri"/>
                  <w:sz w:val="18"/>
                  <w:color w:val="1155CC"/>
                  <w:u w:val="single"/>
                </w:rPr>
                <w:t xml:space="preserve">https://link.springer.com/article/10.1186/s12916-017-0791-y</w:t>
              </w:r>
            </w:hyperlink>
          </w:p>
        </w:tc>
      </w:tr>
      <w:tr>
        <w:trPr>
          <w:cantSplit/>
        </w:trPr>
        <w:tc>
          <w:tcPr>
            <w:tcW w:type="dxa" w:w="1512"/>
            <w:vMerge w:val="restart"/>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7–9 hours/night</w:t>
            </w:r>
          </w:p>
        </w:tc>
        <w:tc>
          <w:tcPr>
            <w:tcW w:type="dxa" w:w="1512"/>
            <w:vAlign w:val="top"/>
          </w:tcPr>
          <w:p>
            <w:pPr>
              <w:spacing w:after="40" w:before="0" w:line="259" w:lineRule="auto"/>
            </w:pPr>
            <w:r>
              <w:rPr>
                <w:rFonts w:ascii="Calibri" w:hAnsi="Calibri"/>
                <w:b w:val="0"/>
                <w:i w:val="0"/>
                <w:color w:val="212121"/>
                <w:sz w:val="19"/>
              </w:rPr>
              <w:t>&lt; 6 h, &gt; 9 h or frequent insomnia</w:t>
            </w:r>
          </w:p>
        </w:tc>
        <w:tc>
          <w:tcPr>
            <w:tcW w:type="dxa" w:w="1468"/>
            <w:vAlign w:val="top"/>
          </w:tcPr>
          <w:p>
            <w:pPr>
              <w:spacing w:after="40" w:before="0" w:line="259" w:lineRule="auto"/>
            </w:pPr>
            <w:r>
              <w:rPr>
                <w:rFonts w:ascii="Calibri" w:hAnsi="Calibri"/>
                <w:b w:val="0"/>
                <w:i w:val="0"/>
                <w:color w:val="212121"/>
                <w:sz w:val="19"/>
              </w:rPr>
              <w:t>Insomnia is both a symptom and a bidirectional risk factor</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Insomnia / early-morning waking</w:t>
            </w:r>
          </w:p>
        </w:tc>
        <w:tc>
          <w:tcPr>
            <w:tcW w:type="dxa" w:w="1655"/>
            <w:vAlign w:val="top"/>
          </w:tcPr>
          <w:p>
            <w:pPr>
              <w:spacing w:after="40" w:before="0" w:line="259" w:lineRule="auto"/>
            </w:pPr>
            <w:r>
              <w:rPr>
                <w:rFonts w:ascii="Calibri" w:hAnsi="Calibri"/>
                <w:b w:val="0"/>
                <w:i w:val="0"/>
                <w:color w:val="212121"/>
                <w:sz w:val="19"/>
              </w:rPr>
              <w:t>Depressed and at-risk adults</w:t>
            </w:r>
          </w:p>
        </w:tc>
        <w:tc>
          <w:tcPr>
            <w:tcW w:type="dxa" w:w="1512"/>
            <w:vAlign w:val="top"/>
          </w:tcPr>
          <w:p>
            <w:pPr>
              <w:spacing w:after="40" w:before="0" w:line="259" w:lineRule="auto"/>
            </w:pPr>
            <w:r>
              <w:rPr>
                <w:rFonts w:ascii="Calibri" w:hAnsi="Calibri"/>
                <w:b w:val="0"/>
                <w:i w:val="0"/>
                <w:color w:val="212121"/>
                <w:sz w:val="19"/>
              </w:rPr>
              <w:t>Refreshing, consolidated sleep</w:t>
            </w:r>
          </w:p>
        </w:tc>
        <w:tc>
          <w:tcPr>
            <w:tcW w:type="dxa" w:w="1512"/>
            <w:vAlign w:val="top"/>
          </w:tcPr>
          <w:p>
            <w:pPr>
              <w:spacing w:after="40" w:before="0" w:line="259" w:lineRule="auto"/>
            </w:pPr>
            <w:r>
              <w:rPr>
                <w:rFonts w:ascii="Calibri" w:hAnsi="Calibri"/>
                <w:b w:val="0"/>
                <w:i w:val="0"/>
                <w:color w:val="212121"/>
                <w:sz w:val="19"/>
              </w:rPr>
              <w:t>Persistent difficulty falling/staying asleep, early waking</w:t>
            </w:r>
          </w:p>
        </w:tc>
        <w:tc>
          <w:tcPr>
            <w:tcW w:type="dxa" w:w="1468"/>
            <w:vAlign w:val="top"/>
          </w:tcPr>
          <w:p>
            <w:pPr>
              <w:spacing w:after="40" w:before="0" w:line="259" w:lineRule="auto"/>
            </w:pPr>
            <w:r>
              <w:rPr>
                <w:rFonts w:ascii="Calibri" w:hAnsi="Calibri"/>
                <w:b w:val="0"/>
                <w:i w:val="0"/>
                <w:color w:val="212121"/>
                <w:sz w:val="19"/>
              </w:rPr>
              <w:t>Terminal insomnia is characteristic of melancholic depression</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Cigarettes/tobacco per day</w:t>
            </w:r>
          </w:p>
        </w:tc>
        <w:tc>
          <w:tcPr>
            <w:tcW w:type="dxa" w:w="1655"/>
            <w:vAlign w:val="top"/>
          </w:tcPr>
          <w:p>
            <w:pPr>
              <w:spacing w:after="40" w:before="0" w:line="259" w:lineRule="auto"/>
            </w:pPr>
            <w:r>
              <w:rPr>
                <w:rFonts w:ascii="Calibri" w:hAnsi="Calibri"/>
                <w:b w:val="0"/>
                <w:i w:val="0"/>
                <w:color w:val="212121"/>
                <w:sz w:val="19"/>
              </w:rPr>
              <w:t>Adolescents, adults</w:t>
            </w:r>
          </w:p>
        </w:tc>
        <w:tc>
          <w:tcPr>
            <w:tcW w:type="dxa" w:w="1512"/>
            <w:vAlign w:val="top"/>
          </w:tcPr>
          <w:p>
            <w:pPr>
              <w:spacing w:after="40" w:before="0" w:line="259" w:lineRule="auto"/>
            </w:pPr>
            <w:r>
              <w:rPr>
                <w:rFonts w:ascii="Calibri" w:hAnsi="Calibri"/>
                <w:b w:val="0"/>
                <w:i w:val="0"/>
                <w:color w:val="212121"/>
                <w:sz w:val="19"/>
              </w:rPr>
              <w:t>0 per day</w:t>
            </w:r>
          </w:p>
        </w:tc>
        <w:tc>
          <w:tcPr>
            <w:tcW w:type="dxa" w:w="1512"/>
            <w:vAlign w:val="top"/>
          </w:tcPr>
          <w:p>
            <w:pPr>
              <w:spacing w:after="40" w:before="0" w:line="259" w:lineRule="auto"/>
            </w:pPr>
            <w:r>
              <w:rPr>
                <w:rFonts w:ascii="Calibri" w:hAnsi="Calibri"/>
                <w:b w:val="0"/>
                <w:i w:val="0"/>
                <w:color w:val="212121"/>
                <w:sz w:val="19"/>
              </w:rPr>
              <w:t>≥ 1 per day</w:t>
            </w:r>
          </w:p>
        </w:tc>
        <w:tc>
          <w:tcPr>
            <w:tcW w:type="dxa" w:w="1468"/>
            <w:vAlign w:val="top"/>
          </w:tcPr>
          <w:p>
            <w:pPr>
              <w:spacing w:after="40" w:before="0" w:line="259" w:lineRule="auto"/>
            </w:pPr>
            <w:r>
              <w:rPr>
                <w:rFonts w:ascii="Calibri" w:hAnsi="Calibri"/>
                <w:b w:val="0"/>
                <w:i w:val="0"/>
                <w:color w:val="212121"/>
                <w:sz w:val="19"/>
              </w:rPr>
              <w:t>Smoking and depression are bidirectionally associated</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Standard drinks per week</w:t>
            </w:r>
          </w:p>
        </w:tc>
        <w:tc>
          <w:tcPr>
            <w:tcW w:type="dxa" w:w="1655"/>
            <w:vAlign w:val="top"/>
          </w:tcPr>
          <w:p>
            <w:pPr>
              <w:spacing w:after="40" w:before="0" w:line="259" w:lineRule="auto"/>
            </w:pPr>
            <w:r>
              <w:rPr>
                <w:rFonts w:ascii="Calibri" w:hAnsi="Calibri"/>
                <w:b w:val="0"/>
                <w:i w:val="0"/>
                <w:color w:val="212121"/>
                <w:sz w:val="19"/>
              </w:rPr>
              <w:t>Adults, heavy drinkers</w:t>
            </w:r>
          </w:p>
        </w:tc>
        <w:tc>
          <w:tcPr>
            <w:tcW w:type="dxa" w:w="1512"/>
            <w:vAlign w:val="top"/>
          </w:tcPr>
          <w:p>
            <w:pPr>
              <w:spacing w:after="40" w:before="0" w:line="259" w:lineRule="auto"/>
            </w:pPr>
            <w:r>
              <w:rPr>
                <w:rFonts w:ascii="Calibri" w:hAnsi="Calibri"/>
                <w:b w:val="0"/>
                <w:i w:val="0"/>
                <w:color w:val="212121"/>
                <w:sz w:val="19"/>
              </w:rPr>
              <w:t>None, or within low-risk limits</w:t>
            </w:r>
          </w:p>
        </w:tc>
        <w:tc>
          <w:tcPr>
            <w:tcW w:type="dxa" w:w="1512"/>
            <w:vAlign w:val="top"/>
          </w:tcPr>
          <w:p>
            <w:pPr>
              <w:spacing w:after="40" w:before="0" w:line="259" w:lineRule="auto"/>
            </w:pPr>
            <w:r>
              <w:rPr>
                <w:rFonts w:ascii="Calibri" w:hAnsi="Calibri"/>
                <w:b w:val="0"/>
                <w:i w:val="0"/>
                <w:color w:val="212121"/>
                <w:sz w:val="19"/>
              </w:rPr>
              <w:t>Heavy/binge use or dependence</w:t>
            </w:r>
          </w:p>
        </w:tc>
        <w:tc>
          <w:tcPr>
            <w:tcW w:type="dxa" w:w="1468"/>
            <w:vAlign w:val="top"/>
          </w:tcPr>
          <w:p>
            <w:pPr>
              <w:spacing w:after="40" w:before="0" w:line="259" w:lineRule="auto"/>
            </w:pPr>
            <w:r>
              <w:rPr>
                <w:rFonts w:ascii="Calibri" w:hAnsi="Calibri"/>
                <w:b w:val="0"/>
                <w:i w:val="0"/>
                <w:color w:val="212121"/>
                <w:sz w:val="19"/>
              </w:rPr>
              <w:t>Alcohol worsens mood and sleep and raises suicide risk</w:t>
            </w:r>
          </w:p>
        </w:tc>
      </w:tr>
      <w:tr>
        <w:trPr>
          <w:cantSplit/>
        </w:trPr>
        <w:tc>
          <w:tcPr>
            <w:tcW w:type="dxa" w:w="1512"/>
            <w:vMerge w:val="restart"/>
            <w:vAlign w:val="center"/>
          </w:tcPr>
          <w:p>
            <w:pPr>
              <w:spacing w:after="40"/>
            </w:pPr>
            <w:r>
              <w:rPr>
                <w:rFonts w:ascii="Calibri" w:hAnsi="Calibri"/>
                <w:b w:val="0"/>
                <w:i w:val="0"/>
                <w:color w:val="212121"/>
                <w:sz w:val="19"/>
              </w:rPr>
              <w:t>Mental health</w:t>
            </w:r>
          </w:p>
        </w:tc>
        <w:tc>
          <w:tcPr>
            <w:tcW w:type="dxa" w:w="1944"/>
            <w:vAlign w:val="top"/>
          </w:tcPr>
          <w:p>
            <w:pPr>
              <w:spacing w:after="40" w:before="0" w:line="259" w:lineRule="auto"/>
            </w:pPr>
            <w:r>
              <w:rPr>
                <w:rFonts w:ascii="Calibri" w:hAnsi="Calibri"/>
                <w:b w:val="0"/>
                <w:i w:val="0"/>
                <w:color w:val="212121"/>
                <w:sz w:val="19"/>
              </w:rPr>
              <w:t>PHQ-9 score</w:t>
            </w:r>
          </w:p>
        </w:tc>
        <w:tc>
          <w:tcPr>
            <w:tcW w:type="dxa" w:w="1655"/>
            <w:vAlign w:val="top"/>
          </w:tcPr>
          <w:p>
            <w:pPr>
              <w:spacing w:after="40" w:before="0" w:line="259" w:lineRule="auto"/>
            </w:pPr>
            <w:r>
              <w:rPr>
                <w:rFonts w:ascii="Calibri" w:hAnsi="Calibri"/>
                <w:b w:val="0"/>
                <w:i w:val="0"/>
                <w:color w:val="212121"/>
                <w:sz w:val="19"/>
              </w:rPr>
              <w:t>All adults screened</w:t>
            </w:r>
          </w:p>
        </w:tc>
        <w:tc>
          <w:tcPr>
            <w:tcW w:type="dxa" w:w="1512"/>
            <w:vAlign w:val="top"/>
          </w:tcPr>
          <w:p>
            <w:pPr>
              <w:spacing w:after="40" w:before="0" w:line="259" w:lineRule="auto"/>
            </w:pPr>
            <w:r>
              <w:rPr>
                <w:rFonts w:ascii="Calibri" w:hAnsi="Calibri"/>
                <w:b w:val="0"/>
                <w:i w:val="0"/>
                <w:color w:val="212121"/>
                <w:sz w:val="19"/>
              </w:rPr>
              <w:t>&lt; 5 (none-minimal)</w:t>
            </w:r>
          </w:p>
        </w:tc>
        <w:tc>
          <w:tcPr>
            <w:tcW w:type="dxa" w:w="1512"/>
            <w:vAlign w:val="top"/>
          </w:tcPr>
          <w:p>
            <w:pPr>
              <w:spacing w:after="40" w:before="0" w:line="259" w:lineRule="auto"/>
            </w:pPr>
            <w:r>
              <w:rPr>
                <w:rFonts w:ascii="Calibri" w:hAnsi="Calibri"/>
                <w:b w:val="0"/>
                <w:i w:val="0"/>
                <w:color w:val="212121"/>
                <w:sz w:val="19"/>
              </w:rPr>
              <w:t>≥ 10 (moderate); ≥ 20 (severe)</w:t>
            </w:r>
          </w:p>
        </w:tc>
        <w:tc>
          <w:tcPr>
            <w:tcW w:type="dxa" w:w="1468"/>
            <w:vAlign w:val="top"/>
          </w:tcPr>
          <w:p>
            <w:pPr>
              <w:spacing w:after="60" w:line="259" w:lineRule="auto"/>
            </w:pPr>
            <w:r>
              <w:rPr>
                <w:rFonts w:ascii="Calibri" w:hAnsi="Calibri"/>
                <w:b w:val="0"/>
                <w:i w:val="0"/>
                <w:color w:val="212121"/>
                <w:sz w:val="19"/>
              </w:rPr>
              <w:t>Validated severity and treatment-response measure</w:t>
            </w:r>
          </w:p>
          <w:p>
            <w:pPr>
              <w:spacing w:after="40" w:line="252" w:lineRule="auto"/>
            </w:pPr>
            <w:hyperlink r:id="rId10">
              <w:r>
                <w:rPr>
                  <w:rFonts w:ascii="Calibri" w:hAnsi="Calibri" w:cs="Calibri"/>
                  <w:sz w:val="18"/>
                  <w:color w:val="1155CC"/>
                  <w:u w:val="single"/>
                </w:rPr>
                <w:t xml:space="preserve">https://www.who.int/news-room/fact-sheets/detail/depression</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EPDS score (perinatal)</w:t>
            </w:r>
          </w:p>
        </w:tc>
        <w:tc>
          <w:tcPr>
            <w:tcW w:type="dxa" w:w="1655"/>
            <w:vAlign w:val="top"/>
          </w:tcPr>
          <w:p>
            <w:pPr>
              <w:spacing w:after="40" w:before="0" w:line="259" w:lineRule="auto"/>
            </w:pPr>
            <w:r>
              <w:rPr>
                <w:rFonts w:ascii="Calibri" w:hAnsi="Calibri"/>
                <w:b w:val="0"/>
                <w:i w:val="0"/>
                <w:color w:val="212121"/>
                <w:sz w:val="19"/>
              </w:rPr>
              <w:t>Pregnant / postpartum women</w:t>
            </w:r>
          </w:p>
        </w:tc>
        <w:tc>
          <w:tcPr>
            <w:tcW w:type="dxa" w:w="1512"/>
            <w:vAlign w:val="top"/>
          </w:tcPr>
          <w:p>
            <w:pPr>
              <w:spacing w:after="40" w:before="0" w:line="259" w:lineRule="auto"/>
            </w:pPr>
            <w:r>
              <w:rPr>
                <w:rFonts w:ascii="Calibri" w:hAnsi="Calibri"/>
                <w:b w:val="0"/>
                <w:i w:val="0"/>
                <w:color w:val="212121"/>
                <w:sz w:val="19"/>
              </w:rPr>
              <w:t>&lt; 10</w:t>
            </w:r>
          </w:p>
        </w:tc>
        <w:tc>
          <w:tcPr>
            <w:tcW w:type="dxa" w:w="1512"/>
            <w:vAlign w:val="top"/>
          </w:tcPr>
          <w:p>
            <w:pPr>
              <w:spacing w:after="40" w:before="0" w:line="259" w:lineRule="auto"/>
            </w:pPr>
            <w:r>
              <w:rPr>
                <w:rFonts w:ascii="Calibri" w:hAnsi="Calibri"/>
                <w:b w:val="0"/>
                <w:i w:val="0"/>
                <w:color w:val="212121"/>
                <w:sz w:val="19"/>
              </w:rPr>
              <w:t>≥ 13 (probable depression)</w:t>
            </w:r>
          </w:p>
        </w:tc>
        <w:tc>
          <w:tcPr>
            <w:tcW w:type="dxa" w:w="1468"/>
            <w:vAlign w:val="top"/>
          </w:tcPr>
          <w:p>
            <w:pPr>
              <w:spacing w:after="60" w:line="259" w:lineRule="auto"/>
            </w:pPr>
            <w:r>
              <w:rPr>
                <w:rFonts w:ascii="Calibri" w:hAnsi="Calibri"/>
                <w:b w:val="0"/>
                <w:i w:val="0"/>
                <w:color w:val="212121"/>
                <w:sz w:val="19"/>
              </w:rPr>
              <w:t>Standard perinatal depression screen</w:t>
            </w:r>
          </w:p>
          <w:p>
            <w:pPr>
              <w:spacing w:after="40" w:line="252" w:lineRule="auto"/>
            </w:pPr>
            <w:hyperlink r:id="rId15">
              <w:r>
                <w:rPr>
                  <w:rFonts w:ascii="Calibri" w:hAnsi="Calibri" w:cs="Calibri"/>
                  <w:sz w:val="18"/>
                  <w:color w:val="1155CC"/>
                  <w:u w:val="single"/>
                </w:rPr>
                <w:t xml:space="preserve">https://www.ncbi.nlm.nih.gov/books/NBK519070/</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Suicide-risk / ideation</w:t>
            </w:r>
          </w:p>
        </w:tc>
        <w:tc>
          <w:tcPr>
            <w:tcW w:type="dxa" w:w="1655"/>
            <w:vAlign w:val="top"/>
          </w:tcPr>
          <w:p>
            <w:pPr>
              <w:spacing w:after="40" w:before="0" w:line="259" w:lineRule="auto"/>
            </w:pPr>
            <w:r>
              <w:rPr>
                <w:rFonts w:ascii="Calibri" w:hAnsi="Calibri"/>
                <w:b w:val="0"/>
                <w:i w:val="0"/>
                <w:color w:val="212121"/>
                <w:sz w:val="19"/>
              </w:rPr>
              <w:t>All depressed patients</w:t>
            </w:r>
          </w:p>
        </w:tc>
        <w:tc>
          <w:tcPr>
            <w:tcW w:type="dxa" w:w="1512"/>
            <w:vAlign w:val="top"/>
          </w:tcPr>
          <w:p>
            <w:pPr>
              <w:spacing w:after="40" w:before="0" w:line="259" w:lineRule="auto"/>
            </w:pPr>
            <w:r>
              <w:rPr>
                <w:rFonts w:ascii="Calibri" w:hAnsi="Calibri"/>
                <w:b w:val="0"/>
                <w:i w:val="0"/>
                <w:color w:val="212121"/>
                <w:sz w:val="19"/>
              </w:rPr>
              <w:t>No ideation, plan or intent</w:t>
            </w:r>
          </w:p>
        </w:tc>
        <w:tc>
          <w:tcPr>
            <w:tcW w:type="dxa" w:w="1512"/>
            <w:vAlign w:val="top"/>
          </w:tcPr>
          <w:p>
            <w:pPr>
              <w:spacing w:after="40" w:before="0" w:line="259" w:lineRule="auto"/>
            </w:pPr>
            <w:r>
              <w:rPr>
                <w:rFonts w:ascii="Calibri" w:hAnsi="Calibri"/>
                <w:b w:val="0"/>
                <w:i w:val="0"/>
                <w:color w:val="212121"/>
                <w:sz w:val="19"/>
              </w:rPr>
              <w:t>Any active ideation, plan, intent or prior attempt</w:t>
            </w:r>
          </w:p>
        </w:tc>
        <w:tc>
          <w:tcPr>
            <w:tcW w:type="dxa" w:w="1468"/>
            <w:vAlign w:val="top"/>
          </w:tcPr>
          <w:p>
            <w:pPr>
              <w:spacing w:after="60" w:line="259" w:lineRule="auto"/>
            </w:pPr>
            <w:r>
              <w:rPr>
                <w:rFonts w:ascii="Calibri" w:hAnsi="Calibri"/>
                <w:b w:val="0"/>
                <w:i w:val="0"/>
                <w:color w:val="212121"/>
                <w:sz w:val="19"/>
              </w:rPr>
              <w:t>Mandatory at every assessment; escalate care if positive</w:t>
            </w:r>
          </w:p>
          <w:p>
            <w:pPr>
              <w:spacing w:after="40" w:line="252" w:lineRule="auto"/>
            </w:pPr>
            <w:hyperlink r:id="rId16">
              <w:r>
                <w:rPr>
                  <w:rFonts w:ascii="Calibri" w:hAnsi="Calibri" w:cs="Calibri"/>
                  <w:sz w:val="18"/>
                  <w:color w:val="1155CC"/>
                  <w:u w:val="single"/>
                </w:rPr>
                <w:t xml:space="preserve">https://www.ncbi.nlm.nih.gov/books/NBK559078/</w:t>
              </w:r>
            </w:hyperlink>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Thyroid function (TSH, free T4)</w:t>
            </w:r>
          </w:p>
        </w:tc>
        <w:tc>
          <w:tcPr>
            <w:tcW w:type="dxa" w:w="892"/>
            <w:vAlign w:val="top"/>
          </w:tcPr>
          <w:p>
            <w:pPr>
              <w:spacing w:after="40" w:before="0" w:line="259" w:lineRule="auto"/>
            </w:pPr>
            <w:r>
              <w:rPr>
                <w:rFonts w:ascii="Calibri" w:hAnsi="Calibri"/>
                <w:b w:val="0"/>
                <w:i w:val="0"/>
                <w:color w:val="212121"/>
                <w:sz w:val="16"/>
              </w:rPr>
              <w:t>Thyroid panel</w:t>
            </w:r>
          </w:p>
        </w:tc>
        <w:tc>
          <w:tcPr>
            <w:tcW w:type="dxa" w:w="950"/>
            <w:vAlign w:val="top"/>
          </w:tcPr>
          <w:p>
            <w:pPr>
              <w:spacing w:after="40" w:before="0" w:line="259" w:lineRule="auto"/>
            </w:pPr>
            <w:r>
              <w:rPr>
                <w:rFonts w:ascii="Calibri" w:hAnsi="Calibri"/>
                <w:b w:val="0"/>
                <w:i w:val="0"/>
                <w:color w:val="212121"/>
                <w:sz w:val="16"/>
              </w:rPr>
              <w:t>TSH ~0.4–4.0 mIU/L</w:t>
            </w:r>
          </w:p>
        </w:tc>
        <w:tc>
          <w:tcPr>
            <w:tcW w:type="dxa" w:w="950"/>
            <w:vAlign w:val="top"/>
          </w:tcPr>
          <w:p>
            <w:pPr>
              <w:spacing w:after="40" w:before="0" w:line="259" w:lineRule="auto"/>
            </w:pPr>
            <w:r>
              <w:rPr>
                <w:rFonts w:ascii="Calibri" w:hAnsi="Calibri"/>
                <w:b w:val="0"/>
                <w:i w:val="0"/>
                <w:color w:val="212121"/>
                <w:sz w:val="16"/>
              </w:rPr>
              <w:t>↑ TSH (hypothyroid) / ↓ TSH (hyperthyroid)</w:t>
            </w:r>
          </w:p>
        </w:tc>
        <w:tc>
          <w:tcPr>
            <w:tcW w:type="dxa" w:w="1036"/>
            <w:vAlign w:val="top"/>
          </w:tcPr>
          <w:p>
            <w:pPr>
              <w:spacing w:after="40" w:before="0" w:line="259" w:lineRule="auto"/>
            </w:pPr>
            <w:r>
              <w:rPr>
                <w:rFonts w:ascii="Calibri" w:hAnsi="Calibri"/>
                <w:b w:val="0"/>
                <w:i w:val="0"/>
                <w:color w:val="212121"/>
                <w:sz w:val="16"/>
              </w:rPr>
              <w:t>Hypothyroidism can mimic or cause depression; treatable</w:t>
            </w:r>
          </w:p>
        </w:tc>
        <w:tc>
          <w:tcPr>
            <w:tcW w:type="dxa" w:w="1036"/>
            <w:vAlign w:val="top"/>
          </w:tcPr>
          <w:p>
            <w:pPr>
              <w:spacing w:after="40" w:before="0" w:line="259" w:lineRule="auto"/>
            </w:pPr>
            <w:r>
              <w:rPr>
                <w:rFonts w:ascii="Calibri" w:hAnsi="Calibri"/>
                <w:b w:val="0"/>
                <w:i w:val="0"/>
                <w:color w:val="212121"/>
                <w:sz w:val="16"/>
              </w:rPr>
              <w:t>Elderly, women, fatigue/low mood, treatment-resistant</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Order in new/atypical/resistant depression</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Haematological</w:t>
            </w:r>
          </w:p>
        </w:tc>
        <w:tc>
          <w:tcPr>
            <w:tcW w:type="dxa" w:w="1036"/>
            <w:vAlign w:val="top"/>
          </w:tcPr>
          <w:p>
            <w:pPr>
              <w:spacing w:after="40" w:before="0" w:line="259" w:lineRule="auto"/>
            </w:pPr>
            <w:r>
              <w:rPr>
                <w:rFonts w:ascii="Calibri" w:hAnsi="Calibri"/>
                <w:b w:val="0"/>
                <w:i w:val="0"/>
                <w:color w:val="212121"/>
                <w:sz w:val="16"/>
              </w:rPr>
              <w:t>Complete blood count / haemoglobin</w:t>
            </w:r>
          </w:p>
        </w:tc>
        <w:tc>
          <w:tcPr>
            <w:tcW w:type="dxa" w:w="892"/>
            <w:vAlign w:val="top"/>
          </w:tcPr>
          <w:p>
            <w:pPr>
              <w:spacing w:after="40" w:before="0" w:line="259" w:lineRule="auto"/>
            </w:pPr>
            <w:r>
              <w:rPr>
                <w:rFonts w:ascii="Calibri" w:hAnsi="Calibri"/>
                <w:b w:val="0"/>
                <w:i w:val="0"/>
                <w:color w:val="212121"/>
                <w:sz w:val="16"/>
              </w:rPr>
              <w:t>CBC</w:t>
            </w:r>
          </w:p>
        </w:tc>
        <w:tc>
          <w:tcPr>
            <w:tcW w:type="dxa" w:w="950"/>
            <w:vAlign w:val="top"/>
          </w:tcPr>
          <w:p>
            <w:pPr>
              <w:spacing w:after="40" w:before="0" w:line="259" w:lineRule="auto"/>
            </w:pPr>
            <w:r>
              <w:rPr>
                <w:rFonts w:ascii="Calibri" w:hAnsi="Calibri"/>
                <w:b w:val="0"/>
                <w:i w:val="0"/>
                <w:color w:val="212121"/>
                <w:sz w:val="16"/>
              </w:rPr>
              <w:t>Hb 12–16 g/dL (context-dependent)</w:t>
            </w:r>
          </w:p>
        </w:tc>
        <w:tc>
          <w:tcPr>
            <w:tcW w:type="dxa" w:w="950"/>
            <w:vAlign w:val="top"/>
          </w:tcPr>
          <w:p>
            <w:pPr>
              <w:spacing w:after="40" w:before="0" w:line="259" w:lineRule="auto"/>
            </w:pPr>
            <w:r>
              <w:rPr>
                <w:rFonts w:ascii="Calibri" w:hAnsi="Calibri"/>
                <w:b w:val="0"/>
                <w:i w:val="0"/>
                <w:color w:val="212121"/>
                <w:sz w:val="16"/>
              </w:rPr>
              <w:t>Anaemia (low Hb)</w:t>
            </w:r>
          </w:p>
        </w:tc>
        <w:tc>
          <w:tcPr>
            <w:tcW w:type="dxa" w:w="1036"/>
            <w:vAlign w:val="top"/>
          </w:tcPr>
          <w:p>
            <w:pPr>
              <w:spacing w:after="40" w:before="0" w:line="259" w:lineRule="auto"/>
            </w:pPr>
            <w:r>
              <w:rPr>
                <w:rFonts w:ascii="Calibri" w:hAnsi="Calibri"/>
                <w:b w:val="0"/>
                <w:i w:val="0"/>
                <w:color w:val="212121"/>
                <w:sz w:val="16"/>
              </w:rPr>
              <w:t>Anaemia causes fatigue and low mood that overlap with depression</w:t>
            </w:r>
          </w:p>
        </w:tc>
        <w:tc>
          <w:tcPr>
            <w:tcW w:type="dxa" w:w="1036"/>
            <w:vAlign w:val="top"/>
          </w:tcPr>
          <w:p>
            <w:pPr>
              <w:spacing w:after="40" w:before="0" w:line="259" w:lineRule="auto"/>
            </w:pPr>
            <w:r>
              <w:rPr>
                <w:rFonts w:ascii="Calibri" w:hAnsi="Calibri"/>
                <w:b w:val="0"/>
                <w:i w:val="0"/>
                <w:color w:val="212121"/>
                <w:sz w:val="16"/>
              </w:rPr>
              <w:t>Women, adolescents, poor diet, elderly</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Anaemia is highly prevalent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Vitamin B12 and folate</w:t>
            </w:r>
          </w:p>
        </w:tc>
        <w:tc>
          <w:tcPr>
            <w:tcW w:type="dxa" w:w="892"/>
            <w:vAlign w:val="top"/>
          </w:tcPr>
          <w:p>
            <w:pPr>
              <w:spacing w:after="40" w:before="0" w:line="259" w:lineRule="auto"/>
            </w:pPr>
            <w:r>
              <w:rPr>
                <w:rFonts w:ascii="Calibri" w:hAnsi="Calibri"/>
                <w:b w:val="0"/>
                <w:i w:val="0"/>
                <w:color w:val="212121"/>
                <w:sz w:val="16"/>
              </w:rPr>
              <w:t>Serum B12 / folate</w:t>
            </w:r>
          </w:p>
        </w:tc>
        <w:tc>
          <w:tcPr>
            <w:tcW w:type="dxa" w:w="950"/>
            <w:vAlign w:val="top"/>
          </w:tcPr>
          <w:p>
            <w:pPr>
              <w:spacing w:after="40" w:before="0" w:line="259" w:lineRule="auto"/>
            </w:pPr>
            <w:r>
              <w:rPr>
                <w:rFonts w:ascii="Calibri" w:hAnsi="Calibri"/>
                <w:b w:val="0"/>
                <w:i w:val="0"/>
                <w:color w:val="212121"/>
                <w:sz w:val="16"/>
              </w:rPr>
              <w:t>B12 &gt; 200–300 pg/mL</w:t>
            </w:r>
          </w:p>
        </w:tc>
        <w:tc>
          <w:tcPr>
            <w:tcW w:type="dxa" w:w="950"/>
            <w:vAlign w:val="top"/>
          </w:tcPr>
          <w:p>
            <w:pPr>
              <w:spacing w:after="40" w:before="0" w:line="259" w:lineRule="auto"/>
            </w:pPr>
            <w:r>
              <w:rPr>
                <w:rFonts w:ascii="Calibri" w:hAnsi="Calibri"/>
                <w:b w:val="0"/>
                <w:i w:val="0"/>
                <w:color w:val="212121"/>
                <w:sz w:val="16"/>
              </w:rPr>
              <w:t>Low B12 / folate</w:t>
            </w:r>
          </w:p>
        </w:tc>
        <w:tc>
          <w:tcPr>
            <w:tcW w:type="dxa" w:w="1036"/>
            <w:vAlign w:val="top"/>
          </w:tcPr>
          <w:p>
            <w:pPr>
              <w:spacing w:after="40" w:before="0" w:line="259" w:lineRule="auto"/>
            </w:pPr>
            <w:r>
              <w:rPr>
                <w:rFonts w:ascii="Calibri" w:hAnsi="Calibri"/>
                <w:b w:val="0"/>
                <w:i w:val="0"/>
                <w:color w:val="212121"/>
                <w:sz w:val="16"/>
              </w:rPr>
              <w:t>Deficiency contributes to low mood, fatigue and cognitive slowing</w:t>
            </w:r>
          </w:p>
        </w:tc>
        <w:tc>
          <w:tcPr>
            <w:tcW w:type="dxa" w:w="1036"/>
            <w:vAlign w:val="top"/>
          </w:tcPr>
          <w:p>
            <w:pPr>
              <w:spacing w:after="40" w:before="0" w:line="259" w:lineRule="auto"/>
            </w:pPr>
            <w:r>
              <w:rPr>
                <w:rFonts w:ascii="Calibri" w:hAnsi="Calibri"/>
                <w:b w:val="0"/>
                <w:i w:val="0"/>
                <w:color w:val="212121"/>
                <w:sz w:val="16"/>
              </w:rPr>
              <w:t>Vegetarians, elderly, alcohol users</w:t>
            </w:r>
          </w:p>
        </w:tc>
        <w:tc>
          <w:tcPr>
            <w:tcW w:type="dxa" w:w="720"/>
            <w:vAlign w:val="top"/>
          </w:tcPr>
          <w:p>
            <w:pPr>
              <w:spacing w:after="40" w:before="0" w:line="259" w:lineRule="auto"/>
            </w:pPr>
            <w:r>
              <w:rPr>
                <w:rFonts w:ascii="Calibri" w:hAnsi="Calibri"/>
                <w:b w:val="0"/>
                <w:i w:val="0"/>
                <w:color w:val="212121"/>
                <w:sz w:val="16"/>
              </w:rPr>
              <w:t>Food</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Common in vegetarian Indian diets</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25-OH Vitamin D</w:t>
            </w:r>
          </w:p>
        </w:tc>
        <w:tc>
          <w:tcPr>
            <w:tcW w:type="dxa" w:w="892"/>
            <w:vAlign w:val="top"/>
          </w:tcPr>
          <w:p>
            <w:pPr>
              <w:spacing w:after="40" w:before="0" w:line="259" w:lineRule="auto"/>
            </w:pPr>
            <w:r>
              <w:rPr>
                <w:rFonts w:ascii="Calibri" w:hAnsi="Calibri"/>
                <w:b w:val="0"/>
                <w:i w:val="0"/>
                <w:color w:val="212121"/>
                <w:sz w:val="16"/>
              </w:rPr>
              <w:t>Vitamin D</w:t>
            </w:r>
          </w:p>
        </w:tc>
        <w:tc>
          <w:tcPr>
            <w:tcW w:type="dxa" w:w="950"/>
            <w:vAlign w:val="top"/>
          </w:tcPr>
          <w:p>
            <w:pPr>
              <w:spacing w:after="40" w:before="0" w:line="259" w:lineRule="auto"/>
            </w:pPr>
            <w:r>
              <w:rPr>
                <w:rFonts w:ascii="Calibri" w:hAnsi="Calibri"/>
                <w:b w:val="0"/>
                <w:i w:val="0"/>
                <w:color w:val="212121"/>
                <w:sz w:val="16"/>
              </w:rPr>
              <w:t>≥ 30 ng/mL (sufficient)</w:t>
            </w:r>
          </w:p>
        </w:tc>
        <w:tc>
          <w:tcPr>
            <w:tcW w:type="dxa" w:w="950"/>
            <w:vAlign w:val="top"/>
          </w:tcPr>
          <w:p>
            <w:pPr>
              <w:spacing w:after="40" w:before="0" w:line="259" w:lineRule="auto"/>
            </w:pPr>
            <w:r>
              <w:rPr>
                <w:rFonts w:ascii="Calibri" w:hAnsi="Calibri"/>
                <w:b w:val="0"/>
                <w:i w:val="0"/>
                <w:color w:val="212121"/>
                <w:sz w:val="16"/>
              </w:rPr>
              <w:t>&lt; 20 ng/mL (deficient)</w:t>
            </w:r>
          </w:p>
        </w:tc>
        <w:tc>
          <w:tcPr>
            <w:tcW w:type="dxa" w:w="1036"/>
            <w:vAlign w:val="top"/>
          </w:tcPr>
          <w:p>
            <w:pPr>
              <w:spacing w:after="40" w:before="0" w:line="259" w:lineRule="auto"/>
            </w:pPr>
            <w:r>
              <w:rPr>
                <w:rFonts w:ascii="Calibri" w:hAnsi="Calibri"/>
                <w:b w:val="0"/>
                <w:i w:val="0"/>
                <w:color w:val="212121"/>
                <w:sz w:val="16"/>
              </w:rPr>
              <w:t>Low vitamin D is associated with depressive symptoms</w:t>
            </w:r>
          </w:p>
        </w:tc>
        <w:tc>
          <w:tcPr>
            <w:tcW w:type="dxa" w:w="1036"/>
            <w:vAlign w:val="top"/>
          </w:tcPr>
          <w:p>
            <w:pPr>
              <w:spacing w:after="40" w:before="0" w:line="259" w:lineRule="auto"/>
            </w:pPr>
            <w:r>
              <w:rPr>
                <w:rFonts w:ascii="Calibri" w:hAnsi="Calibri"/>
                <w:b w:val="0"/>
                <w:i w:val="0"/>
                <w:color w:val="212121"/>
                <w:sz w:val="16"/>
              </w:rPr>
              <w:t>Elderly, housebound, low sun exposure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Adjunct</w:t>
            </w:r>
          </w:p>
        </w:tc>
        <w:tc>
          <w:tcPr>
            <w:tcW w:type="dxa" w:w="720"/>
            <w:vAlign w:val="top"/>
          </w:tcPr>
          <w:p>
            <w:pPr>
              <w:spacing w:after="40" w:before="0" w:line="259" w:lineRule="auto"/>
            </w:pPr>
            <w:r>
              <w:rPr>
                <w:rFonts w:ascii="Calibri" w:hAnsi="Calibri"/>
                <w:b w:val="0"/>
                <w:i w:val="0"/>
                <w:color w:val="212121"/>
                <w:sz w:val="16"/>
              </w:rPr>
              <w:t>Widespread deficiency in India</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Fasting glucose / HbA1c</w:t>
            </w:r>
          </w:p>
        </w:tc>
        <w:tc>
          <w:tcPr>
            <w:tcW w:type="dxa" w:w="892"/>
            <w:vAlign w:val="top"/>
          </w:tcPr>
          <w:p>
            <w:pPr>
              <w:spacing w:after="40" w:before="0" w:line="259" w:lineRule="auto"/>
            </w:pPr>
            <w:r>
              <w:rPr>
                <w:rFonts w:ascii="Calibri" w:hAnsi="Calibri"/>
                <w:b w:val="0"/>
                <w:i w:val="0"/>
                <w:color w:val="212121"/>
                <w:sz w:val="16"/>
              </w:rPr>
              <w:t>Glycaemic panel</w:t>
            </w:r>
          </w:p>
        </w:tc>
        <w:tc>
          <w:tcPr>
            <w:tcW w:type="dxa" w:w="950"/>
            <w:vAlign w:val="top"/>
          </w:tcPr>
          <w:p>
            <w:pPr>
              <w:spacing w:after="40" w:before="0" w:line="259" w:lineRule="auto"/>
            </w:pPr>
            <w:r>
              <w:rPr>
                <w:rFonts w:ascii="Calibri" w:hAnsi="Calibri"/>
                <w:b w:val="0"/>
                <w:i w:val="0"/>
                <w:color w:val="212121"/>
                <w:sz w:val="16"/>
              </w:rPr>
              <w:t>FBS 70–99 mg/dL; HbA1c &lt; 5.7%</w:t>
            </w:r>
          </w:p>
        </w:tc>
        <w:tc>
          <w:tcPr>
            <w:tcW w:type="dxa" w:w="950"/>
            <w:vAlign w:val="top"/>
          </w:tcPr>
          <w:p>
            <w:pPr>
              <w:spacing w:after="40" w:before="0" w:line="259" w:lineRule="auto"/>
            </w:pPr>
            <w:r>
              <w:rPr>
                <w:rFonts w:ascii="Calibri" w:hAnsi="Calibri"/>
                <w:b w:val="0"/>
                <w:i w:val="0"/>
                <w:color w:val="212121"/>
                <w:sz w:val="16"/>
              </w:rPr>
              <w:t>FBS ≥ 126; HbA1c ≥ 6.5%</w:t>
            </w:r>
          </w:p>
        </w:tc>
        <w:tc>
          <w:tcPr>
            <w:tcW w:type="dxa" w:w="1036"/>
            <w:vAlign w:val="top"/>
          </w:tcPr>
          <w:p>
            <w:pPr>
              <w:spacing w:after="40" w:before="0" w:line="259" w:lineRule="auto"/>
            </w:pPr>
            <w:r>
              <w:rPr>
                <w:rFonts w:ascii="Calibri" w:hAnsi="Calibri"/>
                <w:b w:val="0"/>
                <w:i w:val="0"/>
                <w:color w:val="212121"/>
                <w:sz w:val="16"/>
              </w:rPr>
              <w:t>Screens for comorbid diabetes, which is bidirectionally linked</w:t>
            </w:r>
          </w:p>
        </w:tc>
        <w:tc>
          <w:tcPr>
            <w:tcW w:type="dxa" w:w="1036"/>
            <w:vAlign w:val="top"/>
          </w:tcPr>
          <w:p>
            <w:pPr>
              <w:spacing w:after="40" w:before="0" w:line="259" w:lineRule="auto"/>
            </w:pPr>
            <w:r>
              <w:rPr>
                <w:rFonts w:ascii="Calibri" w:hAnsi="Calibri"/>
                <w:b w:val="0"/>
                <w:i w:val="0"/>
                <w:color w:val="212121"/>
                <w:sz w:val="16"/>
              </w:rPr>
              <w:t>Overweight, family history, comorbid metabolic disease</w:t>
            </w:r>
          </w:p>
        </w:tc>
        <w:tc>
          <w:tcPr>
            <w:tcW w:type="dxa" w:w="720"/>
            <w:vAlign w:val="top"/>
          </w:tcPr>
          <w:p>
            <w:pPr>
              <w:spacing w:after="40" w:before="0" w:line="259" w:lineRule="auto"/>
            </w:pPr>
            <w:r>
              <w:rPr>
                <w:rFonts w:ascii="Calibri" w:hAnsi="Calibri"/>
                <w:b w:val="0"/>
                <w:i w:val="0"/>
                <w:color w:val="212121"/>
                <w:sz w:val="16"/>
              </w:rPr>
              <w:t>Food; Physical activity</w:t>
            </w:r>
          </w:p>
        </w:tc>
        <w:tc>
          <w:tcPr>
            <w:tcW w:type="dxa" w:w="720"/>
            <w:vAlign w:val="top"/>
          </w:tcPr>
          <w:p>
            <w:pPr>
              <w:spacing w:after="40" w:before="0" w:line="259" w:lineRule="auto"/>
            </w:pPr>
            <w:r>
              <w:rPr>
                <w:rFonts w:ascii="Calibri" w:hAnsi="Calibri"/>
                <w:b w:val="0"/>
                <w:i w:val="0"/>
                <w:color w:val="212121"/>
                <w:sz w:val="16"/>
              </w:rPr>
              <w:t>Comorbidity screen</w:t>
            </w:r>
          </w:p>
        </w:tc>
        <w:tc>
          <w:tcPr>
            <w:tcW w:type="dxa" w:w="720"/>
            <w:vAlign w:val="top"/>
          </w:tcPr>
          <w:p>
            <w:pPr>
              <w:spacing w:after="40" w:before="0" w:line="259" w:lineRule="auto"/>
            </w:pPr>
            <w:r>
              <w:rPr>
                <w:rFonts w:ascii="Calibri" w:hAnsi="Calibri"/>
                <w:b w:val="0"/>
                <w:i w:val="0"/>
                <w:color w:val="212121"/>
                <w:sz w:val="16"/>
              </w:rPr>
              <w:t>Depression worsens glycaemic self-care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Renal / liver function &amp; electrolytes</w:t>
            </w:r>
          </w:p>
        </w:tc>
        <w:tc>
          <w:tcPr>
            <w:tcW w:type="dxa" w:w="892"/>
            <w:vAlign w:val="top"/>
          </w:tcPr>
          <w:p>
            <w:pPr>
              <w:spacing w:after="40" w:before="0" w:line="259" w:lineRule="auto"/>
            </w:pPr>
            <w:r>
              <w:rPr>
                <w:rFonts w:ascii="Calibri" w:hAnsi="Calibri"/>
                <w:b w:val="0"/>
                <w:i w:val="0"/>
                <w:color w:val="212121"/>
                <w:sz w:val="16"/>
              </w:rPr>
              <w:t>RFT/LFT, serum sodium</w:t>
            </w:r>
          </w:p>
        </w:tc>
        <w:tc>
          <w:tcPr>
            <w:tcW w:type="dxa" w:w="950"/>
            <w:vAlign w:val="top"/>
          </w:tcPr>
          <w:p>
            <w:pPr>
              <w:spacing w:after="40" w:before="0" w:line="259" w:lineRule="auto"/>
            </w:pPr>
            <w:r>
              <w:rPr>
                <w:rFonts w:ascii="Calibri" w:hAnsi="Calibri"/>
                <w:b w:val="0"/>
                <w:i w:val="0"/>
                <w:color w:val="212121"/>
                <w:sz w:val="16"/>
              </w:rPr>
              <w:t>Within reference range</w:t>
            </w:r>
          </w:p>
        </w:tc>
        <w:tc>
          <w:tcPr>
            <w:tcW w:type="dxa" w:w="950"/>
            <w:vAlign w:val="top"/>
          </w:tcPr>
          <w:p>
            <w:pPr>
              <w:spacing w:after="40" w:before="0" w:line="259" w:lineRule="auto"/>
            </w:pPr>
            <w:r>
              <w:rPr>
                <w:rFonts w:ascii="Calibri" w:hAnsi="Calibri"/>
                <w:b w:val="0"/>
                <w:i w:val="0"/>
                <w:color w:val="212121"/>
                <w:sz w:val="16"/>
              </w:rPr>
              <w:t>Deranged; hyponatraemia</w:t>
            </w:r>
          </w:p>
        </w:tc>
        <w:tc>
          <w:tcPr>
            <w:tcW w:type="dxa" w:w="1036"/>
            <w:vAlign w:val="top"/>
          </w:tcPr>
          <w:p>
            <w:pPr>
              <w:spacing w:after="40" w:before="0" w:line="259" w:lineRule="auto"/>
            </w:pPr>
            <w:r>
              <w:rPr>
                <w:rFonts w:ascii="Calibri" w:hAnsi="Calibri"/>
                <w:b w:val="0"/>
                <w:i w:val="0"/>
                <w:color w:val="212121"/>
                <w:sz w:val="16"/>
              </w:rPr>
              <w:t>Baseline before pharmacotherapy; SSRIs can cause hyponatraemia</w:t>
            </w:r>
          </w:p>
        </w:tc>
        <w:tc>
          <w:tcPr>
            <w:tcW w:type="dxa" w:w="1036"/>
            <w:vAlign w:val="top"/>
          </w:tcPr>
          <w:p>
            <w:pPr>
              <w:spacing w:after="40" w:before="0" w:line="259" w:lineRule="auto"/>
            </w:pPr>
            <w:r>
              <w:rPr>
                <w:rFonts w:ascii="Calibri" w:hAnsi="Calibri"/>
                <w:b w:val="0"/>
                <w:i w:val="0"/>
                <w:color w:val="212121"/>
                <w:sz w:val="16"/>
              </w:rPr>
              <w:t>Elderly, polypharmacy, alcohol users</w:t>
            </w:r>
          </w:p>
        </w:tc>
        <w:tc>
          <w:tcPr>
            <w:tcW w:type="dxa" w:w="720"/>
            <w:vAlign w:val="top"/>
          </w:tcPr>
          <w:p>
            <w:pPr>
              <w:spacing w:after="40" w:before="0" w:line="259" w:lineRule="auto"/>
            </w:pPr>
            <w:r>
              <w:rPr>
                <w:rFonts w:ascii="Calibri" w:hAnsi="Calibri"/>
                <w:b w:val="0"/>
                <w:i w:val="0"/>
                <w:color w:val="212121"/>
                <w:sz w:val="16"/>
              </w:rPr>
              <w:t>Alcohol</w:t>
            </w:r>
          </w:p>
        </w:tc>
        <w:tc>
          <w:tcPr>
            <w:tcW w:type="dxa" w:w="720"/>
            <w:vAlign w:val="top"/>
          </w:tcPr>
          <w:p>
            <w:pPr>
              <w:spacing w:after="40" w:before="0" w:line="259" w:lineRule="auto"/>
            </w:pPr>
            <w:r>
              <w:rPr>
                <w:rFonts w:ascii="Calibri" w:hAnsi="Calibri"/>
                <w:b w:val="0"/>
                <w:i w:val="0"/>
                <w:color w:val="212121"/>
                <w:sz w:val="16"/>
              </w:rPr>
              <w:t>Baseline</w:t>
            </w:r>
          </w:p>
        </w:tc>
        <w:tc>
          <w:tcPr>
            <w:tcW w:type="dxa" w:w="720"/>
            <w:vAlign w:val="top"/>
          </w:tcPr>
          <w:p>
            <w:pPr>
              <w:spacing w:after="40" w:before="0" w:line="259" w:lineRule="auto"/>
            </w:pPr>
            <w:r>
              <w:rPr>
                <w:rFonts w:ascii="Calibri" w:hAnsi="Calibri"/>
                <w:b w:val="0"/>
                <w:i w:val="0"/>
                <w:color w:val="212121"/>
                <w:sz w:val="16"/>
              </w:rPr>
              <w:t>Guides safe antidepressant choice/dosing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Toxicology / substances</w:t>
            </w:r>
          </w:p>
        </w:tc>
        <w:tc>
          <w:tcPr>
            <w:tcW w:type="dxa" w:w="1036"/>
            <w:vAlign w:val="top"/>
          </w:tcPr>
          <w:p>
            <w:pPr>
              <w:spacing w:after="40" w:before="0" w:line="259" w:lineRule="auto"/>
            </w:pPr>
            <w:r>
              <w:rPr>
                <w:rFonts w:ascii="Calibri" w:hAnsi="Calibri"/>
                <w:b w:val="0"/>
                <w:i w:val="0"/>
                <w:color w:val="212121"/>
                <w:sz w:val="16"/>
              </w:rPr>
              <w:t>Alcohol &amp; substance screen</w:t>
            </w:r>
          </w:p>
        </w:tc>
        <w:tc>
          <w:tcPr>
            <w:tcW w:type="dxa" w:w="892"/>
            <w:vAlign w:val="top"/>
          </w:tcPr>
          <w:p>
            <w:pPr>
              <w:spacing w:after="40" w:before="0" w:line="259" w:lineRule="auto"/>
            </w:pPr>
            <w:r>
              <w:rPr>
                <w:rFonts w:ascii="Calibri" w:hAnsi="Calibri"/>
                <w:b w:val="0"/>
                <w:i w:val="0"/>
                <w:color w:val="212121"/>
                <w:sz w:val="16"/>
              </w:rPr>
              <w:t>History ± urine drug screen</w:t>
            </w:r>
          </w:p>
        </w:tc>
        <w:tc>
          <w:tcPr>
            <w:tcW w:type="dxa" w:w="950"/>
            <w:vAlign w:val="top"/>
          </w:tcPr>
          <w:p>
            <w:pPr>
              <w:spacing w:after="40" w:before="0" w:line="259" w:lineRule="auto"/>
            </w:pPr>
            <w:r>
              <w:rPr>
                <w:rFonts w:ascii="Calibri" w:hAnsi="Calibri"/>
                <w:b w:val="0"/>
                <w:i w:val="0"/>
                <w:color w:val="212121"/>
                <w:sz w:val="16"/>
              </w:rPr>
              <w:t>Negative / within limits</w:t>
            </w:r>
          </w:p>
        </w:tc>
        <w:tc>
          <w:tcPr>
            <w:tcW w:type="dxa" w:w="950"/>
            <w:vAlign w:val="top"/>
          </w:tcPr>
          <w:p>
            <w:pPr>
              <w:spacing w:after="40" w:before="0" w:line="259" w:lineRule="auto"/>
            </w:pPr>
            <w:r>
              <w:rPr>
                <w:rFonts w:ascii="Calibri" w:hAnsi="Calibri"/>
                <w:b w:val="0"/>
                <w:i w:val="0"/>
                <w:color w:val="212121"/>
                <w:sz w:val="16"/>
              </w:rPr>
              <w:t>Positive; hazardous use</w:t>
            </w:r>
          </w:p>
        </w:tc>
        <w:tc>
          <w:tcPr>
            <w:tcW w:type="dxa" w:w="1036"/>
            <w:vAlign w:val="top"/>
          </w:tcPr>
          <w:p>
            <w:pPr>
              <w:spacing w:after="40" w:before="0" w:line="259" w:lineRule="auto"/>
            </w:pPr>
            <w:r>
              <w:rPr>
                <w:rFonts w:ascii="Calibri" w:hAnsi="Calibri"/>
                <w:b w:val="0"/>
                <w:i w:val="0"/>
                <w:color w:val="212121"/>
                <w:sz w:val="16"/>
              </w:rPr>
              <w:t>Substance-induced mood disorder must be identified and addressed</w:t>
            </w:r>
          </w:p>
        </w:tc>
        <w:tc>
          <w:tcPr>
            <w:tcW w:type="dxa" w:w="1036"/>
            <w:vAlign w:val="top"/>
          </w:tcPr>
          <w:p>
            <w:pPr>
              <w:spacing w:after="40" w:before="0" w:line="259" w:lineRule="auto"/>
            </w:pPr>
            <w:r>
              <w:rPr>
                <w:rFonts w:ascii="Calibri" w:hAnsi="Calibri"/>
                <w:b w:val="0"/>
                <w:i w:val="0"/>
                <w:color w:val="212121"/>
                <w:sz w:val="16"/>
              </w:rPr>
              <w:t>Suspected substance use, dual diagnosis</w:t>
            </w:r>
          </w:p>
        </w:tc>
        <w:tc>
          <w:tcPr>
            <w:tcW w:type="dxa" w:w="720"/>
            <w:vAlign w:val="top"/>
          </w:tcPr>
          <w:p>
            <w:pPr>
              <w:spacing w:after="40" w:before="0" w:line="259" w:lineRule="auto"/>
            </w:pPr>
            <w:r>
              <w:rPr>
                <w:rFonts w:ascii="Calibri" w:hAnsi="Calibri"/>
                <w:b w:val="0"/>
                <w:i w:val="0"/>
                <w:color w:val="212121"/>
                <w:sz w:val="16"/>
              </w:rPr>
              <w:t>Alcohol; Smoking</w:t>
            </w:r>
          </w:p>
        </w:tc>
        <w:tc>
          <w:tcPr>
            <w:tcW w:type="dxa" w:w="720"/>
            <w:vAlign w:val="top"/>
          </w:tcPr>
          <w:p>
            <w:pPr>
              <w:spacing w:after="40" w:before="0" w:line="259" w:lineRule="auto"/>
            </w:pPr>
            <w:r>
              <w:rPr>
                <w:rFonts w:ascii="Calibri" w:hAnsi="Calibri"/>
                <w:b w:val="0"/>
                <w:i w:val="0"/>
                <w:color w:val="212121"/>
                <w:sz w:val="16"/>
              </w:rPr>
              <w:t>Exclusion</w:t>
            </w:r>
          </w:p>
        </w:tc>
        <w:tc>
          <w:tcPr>
            <w:tcW w:type="dxa" w:w="720"/>
            <w:vAlign w:val="top"/>
          </w:tcPr>
          <w:p>
            <w:pPr>
              <w:spacing w:after="40" w:before="0" w:line="259" w:lineRule="auto"/>
            </w:pPr>
            <w:r>
              <w:rPr>
                <w:rFonts w:ascii="Calibri" w:hAnsi="Calibri"/>
                <w:b w:val="0"/>
                <w:i w:val="0"/>
                <w:color w:val="212121"/>
                <w:sz w:val="16"/>
              </w:rPr>
              <w:t>Alters diagnosis and treatment plan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Low mood, anhedonia, sleep/appetite change, fatigue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 2 weeks of persistent symptoms</w:t>
            </w:r>
          </w:p>
        </w:tc>
        <w:tc>
          <w:tcPr>
            <w:tcW w:type="dxa" w:w="1036"/>
            <w:vAlign w:val="top"/>
          </w:tcPr>
          <w:p>
            <w:pPr>
              <w:spacing w:after="40" w:before="0" w:line="259" w:lineRule="auto"/>
            </w:pPr>
            <w:r>
              <w:rPr>
                <w:rFonts w:ascii="Calibri" w:hAnsi="Calibri"/>
                <w:b w:val="0"/>
                <w:i w:val="0"/>
                <w:color w:val="212121"/>
                <w:sz w:val="16"/>
              </w:rPr>
              <w:t>Cardinal features of a depressive episode</w:t>
            </w:r>
          </w:p>
        </w:tc>
        <w:tc>
          <w:tcPr>
            <w:tcW w:type="dxa" w:w="1036"/>
            <w:vAlign w:val="top"/>
          </w:tcPr>
          <w:p>
            <w:pPr>
              <w:spacing w:after="40" w:before="0" w:line="259" w:lineRule="auto"/>
            </w:pPr>
            <w:r>
              <w:rPr>
                <w:rFonts w:ascii="Calibri" w:hAnsi="Calibri"/>
                <w:b w:val="0"/>
                <w:i w:val="0"/>
                <w:color w:val="212121"/>
                <w:sz w:val="16"/>
              </w:rPr>
              <w:t>All ages; somatic presentation common in India</w:t>
            </w:r>
          </w:p>
        </w:tc>
        <w:tc>
          <w:tcPr>
            <w:tcW w:type="dxa" w:w="720"/>
            <w:vAlign w:val="top"/>
          </w:tcPr>
          <w:p>
            <w:pPr>
              <w:spacing w:after="40" w:before="0" w:line="259" w:lineRule="auto"/>
            </w:pPr>
            <w:r>
              <w:rPr>
                <w:rFonts w:ascii="Calibri" w:hAnsi="Calibri"/>
                <w:b w:val="0"/>
                <w:i w:val="0"/>
                <w:color w:val="212121"/>
                <w:sz w:val="16"/>
              </w:rPr>
              <w:t>Mental health; Sleep</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Indian patients often present with bodily aches/pains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Structured screening</w:t>
            </w:r>
          </w:p>
        </w:tc>
        <w:tc>
          <w:tcPr>
            <w:tcW w:type="dxa" w:w="950"/>
            <w:vAlign w:val="top"/>
          </w:tcPr>
          <w:p>
            <w:pPr>
              <w:spacing w:after="40" w:before="0" w:line="259" w:lineRule="auto"/>
            </w:pPr>
            <w:r>
              <w:rPr>
                <w:rFonts w:ascii="Calibri" w:hAnsi="Calibri"/>
                <w:b w:val="0"/>
                <w:i w:val="0"/>
                <w:color w:val="212121"/>
                <w:sz w:val="16"/>
              </w:rPr>
              <w:t>PHQ-9 / PHQ-2</w:t>
            </w:r>
          </w:p>
        </w:tc>
        <w:tc>
          <w:tcPr>
            <w:tcW w:type="dxa" w:w="979"/>
            <w:vAlign w:val="top"/>
          </w:tcPr>
          <w:p>
            <w:pPr>
              <w:spacing w:after="40" w:before="0" w:line="259" w:lineRule="auto"/>
            </w:pPr>
            <w:r>
              <w:rPr>
                <w:rFonts w:ascii="Calibri" w:hAnsi="Calibri"/>
                <w:b w:val="0"/>
                <w:i w:val="0"/>
                <w:color w:val="212121"/>
                <w:sz w:val="16"/>
              </w:rPr>
              <w:t>Symptom count and severity</w:t>
            </w:r>
          </w:p>
        </w:tc>
        <w:tc>
          <w:tcPr>
            <w:tcW w:type="dxa" w:w="950"/>
            <w:vAlign w:val="top"/>
          </w:tcPr>
          <w:p>
            <w:pPr>
              <w:spacing w:after="40" w:before="0" w:line="259" w:lineRule="auto"/>
            </w:pPr>
            <w:r>
              <w:rPr>
                <w:rFonts w:ascii="Calibri" w:hAnsi="Calibri"/>
                <w:b w:val="0"/>
                <w:i w:val="0"/>
                <w:color w:val="212121"/>
                <w:sz w:val="16"/>
              </w:rPr>
              <w:t>PHQ-9 &lt; 5</w:t>
            </w:r>
          </w:p>
        </w:tc>
        <w:tc>
          <w:tcPr>
            <w:tcW w:type="dxa" w:w="950"/>
            <w:vAlign w:val="top"/>
          </w:tcPr>
          <w:p>
            <w:pPr>
              <w:spacing w:after="40" w:before="0" w:line="259" w:lineRule="auto"/>
            </w:pPr>
            <w:r>
              <w:rPr>
                <w:rFonts w:ascii="Calibri" w:hAnsi="Calibri"/>
                <w:b w:val="0"/>
                <w:i w:val="0"/>
                <w:color w:val="212121"/>
                <w:sz w:val="16"/>
              </w:rPr>
              <w:t>≥ 10 moderate; ≥ 20 severe</w:t>
            </w:r>
          </w:p>
        </w:tc>
        <w:tc>
          <w:tcPr>
            <w:tcW w:type="dxa" w:w="1036"/>
            <w:vAlign w:val="top"/>
          </w:tcPr>
          <w:p>
            <w:pPr>
              <w:spacing w:after="40" w:before="0" w:line="259" w:lineRule="auto"/>
            </w:pPr>
            <w:r>
              <w:rPr>
                <w:rFonts w:ascii="Calibri" w:hAnsi="Calibri"/>
                <w:b w:val="0"/>
                <w:i w:val="0"/>
                <w:color w:val="212121"/>
                <w:sz w:val="16"/>
              </w:rPr>
              <w:t>Quantifies severity and tracks treatment response</w:t>
            </w:r>
          </w:p>
        </w:tc>
        <w:tc>
          <w:tcPr>
            <w:tcW w:type="dxa" w:w="1036"/>
            <w:vAlign w:val="top"/>
          </w:tcPr>
          <w:p>
            <w:pPr>
              <w:spacing w:after="40" w:before="0" w:line="259" w:lineRule="auto"/>
            </w:pPr>
            <w:r>
              <w:rPr>
                <w:rFonts w:ascii="Calibri" w:hAnsi="Calibri"/>
                <w:b w:val="0"/>
                <w:i w:val="0"/>
                <w:color w:val="212121"/>
                <w:sz w:val="16"/>
              </w:rPr>
              <w:t>Primary-care and specialty screening</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Validated in Indian languages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Risk assessment</w:t>
            </w:r>
          </w:p>
        </w:tc>
        <w:tc>
          <w:tcPr>
            <w:tcW w:type="dxa" w:w="950"/>
            <w:vAlign w:val="top"/>
          </w:tcPr>
          <w:p>
            <w:pPr>
              <w:spacing w:after="40" w:before="0" w:line="259" w:lineRule="auto"/>
            </w:pPr>
            <w:r>
              <w:rPr>
                <w:rFonts w:ascii="Calibri" w:hAnsi="Calibri"/>
                <w:b w:val="0"/>
                <w:i w:val="0"/>
                <w:color w:val="212121"/>
                <w:sz w:val="16"/>
              </w:rPr>
              <w:t>Suicide-risk evaluation</w:t>
            </w:r>
          </w:p>
        </w:tc>
        <w:tc>
          <w:tcPr>
            <w:tcW w:type="dxa" w:w="979"/>
            <w:vAlign w:val="top"/>
          </w:tcPr>
          <w:p>
            <w:pPr>
              <w:spacing w:after="40" w:before="0" w:line="259" w:lineRule="auto"/>
            </w:pPr>
            <w:r>
              <w:rPr>
                <w:rFonts w:ascii="Calibri" w:hAnsi="Calibri"/>
                <w:b w:val="0"/>
                <w:i w:val="0"/>
                <w:color w:val="212121"/>
                <w:sz w:val="16"/>
              </w:rPr>
              <w:t>Ideation, plan, intent, means, prior attempts</w:t>
            </w:r>
          </w:p>
        </w:tc>
        <w:tc>
          <w:tcPr>
            <w:tcW w:type="dxa" w:w="950"/>
            <w:vAlign w:val="top"/>
          </w:tcPr>
          <w:p>
            <w:pPr>
              <w:spacing w:after="40" w:before="0" w:line="259" w:lineRule="auto"/>
            </w:pPr>
            <w:r>
              <w:rPr>
                <w:rFonts w:ascii="Calibri" w:hAnsi="Calibri"/>
                <w:b w:val="0"/>
                <w:i w:val="0"/>
                <w:color w:val="212121"/>
                <w:sz w:val="16"/>
              </w:rPr>
              <w:t>No ideation</w:t>
            </w:r>
          </w:p>
        </w:tc>
        <w:tc>
          <w:tcPr>
            <w:tcW w:type="dxa" w:w="950"/>
            <w:vAlign w:val="top"/>
          </w:tcPr>
          <w:p>
            <w:pPr>
              <w:spacing w:after="40" w:before="0" w:line="259" w:lineRule="auto"/>
            </w:pPr>
            <w:r>
              <w:rPr>
                <w:rFonts w:ascii="Calibri" w:hAnsi="Calibri"/>
                <w:b w:val="0"/>
                <w:i w:val="0"/>
                <w:color w:val="212121"/>
                <w:sz w:val="16"/>
              </w:rPr>
              <w:t>Any active ideation/plan/intent</w:t>
            </w:r>
          </w:p>
        </w:tc>
        <w:tc>
          <w:tcPr>
            <w:tcW w:type="dxa" w:w="1036"/>
            <w:vAlign w:val="top"/>
          </w:tcPr>
          <w:p>
            <w:pPr>
              <w:spacing w:after="40" w:before="0" w:line="259" w:lineRule="auto"/>
            </w:pPr>
            <w:r>
              <w:rPr>
                <w:rFonts w:ascii="Calibri" w:hAnsi="Calibri"/>
                <w:b w:val="0"/>
                <w:i w:val="0"/>
                <w:color w:val="212121"/>
                <w:sz w:val="16"/>
              </w:rPr>
              <w:t>Determines urgency and level of care</w:t>
            </w:r>
          </w:p>
        </w:tc>
        <w:tc>
          <w:tcPr>
            <w:tcW w:type="dxa" w:w="1036"/>
            <w:vAlign w:val="top"/>
          </w:tcPr>
          <w:p>
            <w:pPr>
              <w:spacing w:after="40" w:before="0" w:line="259" w:lineRule="auto"/>
            </w:pPr>
            <w:r>
              <w:rPr>
                <w:rFonts w:ascii="Calibri" w:hAnsi="Calibri"/>
                <w:b w:val="0"/>
                <w:i w:val="0"/>
                <w:color w:val="212121"/>
                <w:sz w:val="16"/>
              </w:rPr>
              <w:t>Every depressed patient</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Critical</w:t>
            </w:r>
          </w:p>
        </w:tc>
        <w:tc>
          <w:tcPr>
            <w:tcW w:type="dxa" w:w="720"/>
            <w:vAlign w:val="top"/>
          </w:tcPr>
          <w:p>
            <w:pPr>
              <w:spacing w:after="40" w:before="0" w:line="259" w:lineRule="auto"/>
            </w:pPr>
            <w:r>
              <w:rPr>
                <w:rFonts w:ascii="Calibri" w:hAnsi="Calibri"/>
                <w:b w:val="0"/>
                <w:i w:val="0"/>
                <w:color w:val="212121"/>
                <w:sz w:val="16"/>
              </w:rPr>
              <w:t>Ask directly; document and safety-plan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Mental status exam</w:t>
            </w:r>
          </w:p>
        </w:tc>
        <w:tc>
          <w:tcPr>
            <w:tcW w:type="dxa" w:w="950"/>
            <w:vAlign w:val="top"/>
          </w:tcPr>
          <w:p>
            <w:pPr>
              <w:spacing w:after="40" w:before="0" w:line="259" w:lineRule="auto"/>
            </w:pPr>
            <w:r>
              <w:rPr>
                <w:rFonts w:ascii="Calibri" w:hAnsi="Calibri"/>
                <w:b w:val="0"/>
                <w:i w:val="0"/>
                <w:color w:val="212121"/>
                <w:sz w:val="16"/>
              </w:rPr>
              <w:t>MSE</w:t>
            </w:r>
          </w:p>
        </w:tc>
        <w:tc>
          <w:tcPr>
            <w:tcW w:type="dxa" w:w="979"/>
            <w:vAlign w:val="top"/>
          </w:tcPr>
          <w:p>
            <w:pPr>
              <w:spacing w:after="40" w:before="0" w:line="259" w:lineRule="auto"/>
            </w:pPr>
            <w:r>
              <w:rPr>
                <w:rFonts w:ascii="Calibri" w:hAnsi="Calibri"/>
                <w:b w:val="0"/>
                <w:i w:val="0"/>
                <w:color w:val="212121"/>
                <w:sz w:val="16"/>
              </w:rPr>
              <w:t>Affect, psychomotor activity, speech, thought, cognition</w:t>
            </w:r>
          </w:p>
        </w:tc>
        <w:tc>
          <w:tcPr>
            <w:tcW w:type="dxa" w:w="950"/>
            <w:vAlign w:val="top"/>
          </w:tcPr>
          <w:p>
            <w:pPr>
              <w:spacing w:after="40" w:before="0" w:line="259" w:lineRule="auto"/>
            </w:pPr>
            <w:r>
              <w:rPr>
                <w:rFonts w:ascii="Calibri" w:hAnsi="Calibri"/>
                <w:b w:val="0"/>
                <w:i w:val="0"/>
                <w:color w:val="212121"/>
                <w:sz w:val="16"/>
              </w:rPr>
              <w:t>Euthymic, normal rate/volume</w:t>
            </w:r>
          </w:p>
        </w:tc>
        <w:tc>
          <w:tcPr>
            <w:tcW w:type="dxa" w:w="950"/>
            <w:vAlign w:val="top"/>
          </w:tcPr>
          <w:p>
            <w:pPr>
              <w:spacing w:after="40" w:before="0" w:line="259" w:lineRule="auto"/>
            </w:pPr>
            <w:r>
              <w:rPr>
                <w:rFonts w:ascii="Calibri" w:hAnsi="Calibri"/>
                <w:b w:val="0"/>
                <w:i w:val="0"/>
                <w:color w:val="212121"/>
                <w:sz w:val="16"/>
              </w:rPr>
              <w:t>Depressed/flat affect, retardation, poverty of speech</w:t>
            </w:r>
          </w:p>
        </w:tc>
        <w:tc>
          <w:tcPr>
            <w:tcW w:type="dxa" w:w="1036"/>
            <w:vAlign w:val="top"/>
          </w:tcPr>
          <w:p>
            <w:pPr>
              <w:spacing w:after="40" w:before="0" w:line="259" w:lineRule="auto"/>
            </w:pPr>
            <w:r>
              <w:rPr>
                <w:rFonts w:ascii="Calibri" w:hAnsi="Calibri"/>
                <w:b w:val="0"/>
                <w:i w:val="0"/>
                <w:color w:val="212121"/>
                <w:sz w:val="16"/>
              </w:rPr>
              <w:t>Objective correlates of depression severity</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Mental health; Posture</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Assess for psychotic features and cognition</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Bipolarity screen</w:t>
            </w:r>
          </w:p>
        </w:tc>
        <w:tc>
          <w:tcPr>
            <w:tcW w:type="dxa" w:w="979"/>
            <w:vAlign w:val="top"/>
          </w:tcPr>
          <w:p>
            <w:pPr>
              <w:spacing w:after="40" w:before="0" w:line="259" w:lineRule="auto"/>
            </w:pPr>
            <w:r>
              <w:rPr>
                <w:rFonts w:ascii="Calibri" w:hAnsi="Calibri"/>
                <w:b w:val="0"/>
                <w:i w:val="0"/>
                <w:color w:val="212121"/>
                <w:sz w:val="16"/>
              </w:rPr>
              <w:t>Past mania/hypomania (e.g., MDQ)</w:t>
            </w:r>
          </w:p>
        </w:tc>
        <w:tc>
          <w:tcPr>
            <w:tcW w:type="dxa" w:w="950"/>
            <w:vAlign w:val="top"/>
          </w:tcPr>
          <w:p>
            <w:pPr>
              <w:spacing w:after="40" w:before="0" w:line="259" w:lineRule="auto"/>
            </w:pPr>
            <w:r>
              <w:rPr>
                <w:rFonts w:ascii="Calibri" w:hAnsi="Calibri"/>
                <w:b w:val="0"/>
                <w:i w:val="0"/>
                <w:color w:val="212121"/>
                <w:sz w:val="16"/>
              </w:rPr>
              <w:t>No prior (hypo)mania</w:t>
            </w:r>
          </w:p>
        </w:tc>
        <w:tc>
          <w:tcPr>
            <w:tcW w:type="dxa" w:w="950"/>
            <w:vAlign w:val="top"/>
          </w:tcPr>
          <w:p>
            <w:pPr>
              <w:spacing w:after="40" w:before="0" w:line="259" w:lineRule="auto"/>
            </w:pPr>
            <w:r>
              <w:rPr>
                <w:rFonts w:ascii="Calibri" w:hAnsi="Calibri"/>
                <w:b w:val="0"/>
                <w:i w:val="0"/>
                <w:color w:val="212121"/>
                <w:sz w:val="16"/>
              </w:rPr>
              <w:t>History of elevated/irritable mood episodes</w:t>
            </w:r>
          </w:p>
        </w:tc>
        <w:tc>
          <w:tcPr>
            <w:tcW w:type="dxa" w:w="1036"/>
            <w:vAlign w:val="top"/>
          </w:tcPr>
          <w:p>
            <w:pPr>
              <w:spacing w:after="40" w:before="0" w:line="259" w:lineRule="auto"/>
            </w:pPr>
            <w:r>
              <w:rPr>
                <w:rFonts w:ascii="Calibri" w:hAnsi="Calibri"/>
                <w:b w:val="0"/>
                <w:i w:val="0"/>
                <w:color w:val="212121"/>
                <w:sz w:val="16"/>
              </w:rPr>
              <w:t>Distinguishes unipolar from bipolar depression</w:t>
            </w:r>
          </w:p>
        </w:tc>
        <w:tc>
          <w:tcPr>
            <w:tcW w:type="dxa" w:w="1036"/>
            <w:vAlign w:val="top"/>
          </w:tcPr>
          <w:p>
            <w:pPr>
              <w:spacing w:after="40" w:before="0" w:line="259" w:lineRule="auto"/>
            </w:pPr>
            <w:r>
              <w:rPr>
                <w:rFonts w:ascii="Calibri" w:hAnsi="Calibri"/>
                <w:b w:val="0"/>
                <w:i w:val="0"/>
                <w:color w:val="212121"/>
                <w:sz w:val="16"/>
              </w:rPr>
              <w:t>Before starting antidepressants</w:t>
            </w:r>
          </w:p>
        </w:tc>
        <w:tc>
          <w:tcPr>
            <w:tcW w:type="dxa" w:w="720"/>
            <w:vAlign w:val="top"/>
          </w:tcPr>
          <w:p>
            <w:pPr>
              <w:spacing w:after="40" w:before="0" w:line="259" w:lineRule="auto"/>
            </w:pPr>
            <w:r>
              <w:rPr>
                <w:rFonts w:ascii="Calibri" w:hAnsi="Calibri"/>
                <w:b w:val="0"/>
                <w:i w:val="0"/>
                <w:color w:val="212121"/>
                <w:sz w:val="16"/>
              </w:rPr>
              <w:t>Mental health</w:t>
            </w:r>
          </w:p>
        </w:tc>
        <w:tc>
          <w:tcPr>
            <w:tcW w:type="dxa" w:w="720"/>
            <w:vAlign w:val="top"/>
          </w:tcPr>
          <w:p>
            <w:pPr>
              <w:spacing w:after="40" w:before="0" w:line="259" w:lineRule="auto"/>
            </w:pPr>
            <w:r>
              <w:rPr>
                <w:rFonts w:ascii="Calibri" w:hAnsi="Calibri"/>
                <w:b w:val="0"/>
                <w:i w:val="0"/>
                <w:color w:val="212121"/>
                <w:sz w:val="16"/>
              </w:rPr>
              <w:t>Diagnostic</w:t>
            </w:r>
          </w:p>
        </w:tc>
        <w:tc>
          <w:tcPr>
            <w:tcW w:type="dxa" w:w="720"/>
            <w:vAlign w:val="top"/>
          </w:tcPr>
          <w:p>
            <w:pPr>
              <w:spacing w:after="40" w:before="0" w:line="259" w:lineRule="auto"/>
            </w:pPr>
            <w:r>
              <w:rPr>
                <w:rFonts w:ascii="Calibri" w:hAnsi="Calibri"/>
                <w:b w:val="0"/>
                <w:i w:val="0"/>
                <w:color w:val="212121"/>
                <w:sz w:val="16"/>
              </w:rPr>
              <w:t>Antidepressant monotherapy can destabilise bipolar disorder</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Psychosocial &amp; family history</w:t>
            </w:r>
          </w:p>
        </w:tc>
        <w:tc>
          <w:tcPr>
            <w:tcW w:type="dxa" w:w="979"/>
            <w:vAlign w:val="top"/>
          </w:tcPr>
          <w:p>
            <w:pPr>
              <w:spacing w:after="40" w:before="0" w:line="259" w:lineRule="auto"/>
            </w:pPr>
            <w:r>
              <w:rPr>
                <w:rFonts w:ascii="Calibri" w:hAnsi="Calibri"/>
                <w:b w:val="0"/>
                <w:i w:val="0"/>
                <w:color w:val="212121"/>
                <w:sz w:val="16"/>
              </w:rPr>
              <w:t>Stressors, trauma, supports, family history of mood disorder/suicide</w:t>
            </w:r>
          </w:p>
        </w:tc>
        <w:tc>
          <w:tcPr>
            <w:tcW w:type="dxa" w:w="950"/>
            <w:vAlign w:val="top"/>
          </w:tcPr>
          <w:p>
            <w:pPr>
              <w:spacing w:after="40" w:before="0" w:line="259" w:lineRule="auto"/>
            </w:pPr>
            <w:r>
              <w:rPr>
                <w:rFonts w:ascii="Calibri" w:hAnsi="Calibri"/>
                <w:b w:val="0"/>
                <w:i w:val="0"/>
                <w:color w:val="212121"/>
                <w:sz w:val="16"/>
              </w:rPr>
              <w:t>None significant</w:t>
            </w:r>
          </w:p>
        </w:tc>
        <w:tc>
          <w:tcPr>
            <w:tcW w:type="dxa" w:w="950"/>
            <w:vAlign w:val="top"/>
          </w:tcPr>
          <w:p>
            <w:pPr>
              <w:spacing w:after="40" w:before="0" w:line="259" w:lineRule="auto"/>
            </w:pPr>
            <w:r>
              <w:rPr>
                <w:rFonts w:ascii="Calibri" w:hAnsi="Calibri"/>
                <w:b w:val="0"/>
                <w:i w:val="0"/>
                <w:color w:val="212121"/>
                <w:sz w:val="16"/>
              </w:rPr>
              <w:t>Recent loss, trauma, isolation, positive family history</w:t>
            </w:r>
          </w:p>
        </w:tc>
        <w:tc>
          <w:tcPr>
            <w:tcW w:type="dxa" w:w="1036"/>
            <w:vAlign w:val="top"/>
          </w:tcPr>
          <w:p>
            <w:pPr>
              <w:spacing w:after="40" w:before="0" w:line="259" w:lineRule="auto"/>
            </w:pPr>
            <w:r>
              <w:rPr>
                <w:rFonts w:ascii="Calibri" w:hAnsi="Calibri"/>
                <w:b w:val="0"/>
                <w:i w:val="0"/>
                <w:color w:val="212121"/>
                <w:sz w:val="16"/>
              </w:rPr>
              <w:t>Identifies precipitants and genetic loading</w:t>
            </w:r>
          </w:p>
        </w:tc>
        <w:tc>
          <w:tcPr>
            <w:tcW w:type="dxa" w:w="1036"/>
            <w:vAlign w:val="top"/>
          </w:tcPr>
          <w:p>
            <w:pPr>
              <w:spacing w:after="40" w:before="0" w:line="259" w:lineRule="auto"/>
            </w:pPr>
            <w:r>
              <w:rPr>
                <w:rFonts w:ascii="Calibri" w:hAnsi="Calibri"/>
                <w:b w:val="0"/>
                <w:i w:val="0"/>
                <w:color w:val="212121"/>
                <w:sz w:val="16"/>
              </w:rPr>
              <w:t>All patients</w:t>
            </w:r>
          </w:p>
        </w:tc>
        <w:tc>
          <w:tcPr>
            <w:tcW w:type="dxa" w:w="720"/>
            <w:vAlign w:val="top"/>
          </w:tcPr>
          <w:p>
            <w:pPr>
              <w:spacing w:after="40" w:before="0" w:line="259" w:lineRule="auto"/>
            </w:pPr>
            <w:r>
              <w:rPr>
                <w:rFonts w:ascii="Calibri" w:hAnsi="Calibri"/>
                <w:b w:val="0"/>
                <w:i w:val="0"/>
                <w:color w:val="212121"/>
                <w:sz w:val="16"/>
              </w:rPr>
              <w:t>Provoking factors; Mental health</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Guides psychotherapy and support planning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Screening</w:t>
            </w:r>
          </w:p>
        </w:tc>
        <w:tc>
          <w:tcPr>
            <w:tcW w:type="dxa" w:w="950"/>
            <w:vAlign w:val="top"/>
          </w:tcPr>
          <w:p>
            <w:pPr>
              <w:spacing w:after="40" w:before="0" w:line="259" w:lineRule="auto"/>
            </w:pPr>
            <w:r>
              <w:rPr>
                <w:rFonts w:ascii="Calibri" w:hAnsi="Calibri"/>
                <w:b w:val="0"/>
                <w:i w:val="0"/>
                <w:color w:val="212121"/>
                <w:sz w:val="16"/>
              </w:rPr>
              <w:t>Perinatal screen (EPDS)</w:t>
            </w:r>
          </w:p>
        </w:tc>
        <w:tc>
          <w:tcPr>
            <w:tcW w:type="dxa" w:w="979"/>
            <w:vAlign w:val="top"/>
          </w:tcPr>
          <w:p>
            <w:pPr>
              <w:spacing w:after="40" w:before="0" w:line="259" w:lineRule="auto"/>
            </w:pPr>
            <w:r>
              <w:rPr>
                <w:rFonts w:ascii="Calibri" w:hAnsi="Calibri"/>
                <w:b w:val="0"/>
                <w:i w:val="0"/>
                <w:color w:val="212121"/>
                <w:sz w:val="16"/>
              </w:rPr>
              <w:t>Postnatal mood symptoms</w:t>
            </w:r>
          </w:p>
        </w:tc>
        <w:tc>
          <w:tcPr>
            <w:tcW w:type="dxa" w:w="950"/>
            <w:vAlign w:val="top"/>
          </w:tcPr>
          <w:p>
            <w:pPr>
              <w:spacing w:after="40" w:before="0" w:line="259" w:lineRule="auto"/>
            </w:pPr>
            <w:r>
              <w:rPr>
                <w:rFonts w:ascii="Calibri" w:hAnsi="Calibri"/>
                <w:b w:val="0"/>
                <w:i w:val="0"/>
                <w:color w:val="212121"/>
                <w:sz w:val="16"/>
              </w:rPr>
              <w:t>EPDS &lt; 10</w:t>
            </w:r>
          </w:p>
        </w:tc>
        <w:tc>
          <w:tcPr>
            <w:tcW w:type="dxa" w:w="950"/>
            <w:vAlign w:val="top"/>
          </w:tcPr>
          <w:p>
            <w:pPr>
              <w:spacing w:after="40" w:before="0" w:line="259" w:lineRule="auto"/>
            </w:pPr>
            <w:r>
              <w:rPr>
                <w:rFonts w:ascii="Calibri" w:hAnsi="Calibri"/>
                <w:b w:val="0"/>
                <w:i w:val="0"/>
                <w:color w:val="212121"/>
                <w:sz w:val="16"/>
              </w:rPr>
              <w:t>≥ 13 probable depression</w:t>
            </w:r>
          </w:p>
        </w:tc>
        <w:tc>
          <w:tcPr>
            <w:tcW w:type="dxa" w:w="1036"/>
            <w:vAlign w:val="top"/>
          </w:tcPr>
          <w:p>
            <w:pPr>
              <w:spacing w:after="40" w:before="0" w:line="259" w:lineRule="auto"/>
            </w:pPr>
            <w:r>
              <w:rPr>
                <w:rFonts w:ascii="Calibri" w:hAnsi="Calibri"/>
                <w:b w:val="0"/>
                <w:i w:val="0"/>
                <w:color w:val="212121"/>
                <w:sz w:val="16"/>
              </w:rPr>
              <w:t>Detects perinatal depression for early intervention</w:t>
            </w:r>
          </w:p>
        </w:tc>
        <w:tc>
          <w:tcPr>
            <w:tcW w:type="dxa" w:w="1036"/>
            <w:vAlign w:val="top"/>
          </w:tcPr>
          <w:p>
            <w:pPr>
              <w:spacing w:after="40" w:before="0" w:line="259" w:lineRule="auto"/>
            </w:pPr>
            <w:r>
              <w:rPr>
                <w:rFonts w:ascii="Calibri" w:hAnsi="Calibri"/>
                <w:b w:val="0"/>
                <w:i w:val="0"/>
                <w:color w:val="212121"/>
                <w:sz w:val="16"/>
              </w:rPr>
              <w:t>Pregnant and postpartum women</w:t>
            </w:r>
          </w:p>
        </w:tc>
        <w:tc>
          <w:tcPr>
            <w:tcW w:type="dxa" w:w="720"/>
            <w:vAlign w:val="top"/>
          </w:tcPr>
          <w:p>
            <w:pPr>
              <w:spacing w:after="40" w:before="0" w:line="259" w:lineRule="auto"/>
            </w:pPr>
            <w:r>
              <w:rPr>
                <w:rFonts w:ascii="Calibri" w:hAnsi="Calibri"/>
                <w:b w:val="0"/>
                <w:i w:val="0"/>
                <w:color w:val="212121"/>
                <w:sz w:val="16"/>
              </w:rPr>
              <w:t>Mental health; Sleep</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Item 10 also screens self-harm thoughts</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Persistent low or sad mood</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Pervasive depressed mood most of the day, nearly every day; irritability in children/adolescents.</w:t>
            </w:r>
          </w:p>
        </w:tc>
      </w:tr>
      <w:tr>
        <w:trPr>
          <w:cantSplit/>
        </w:trPr>
        <w:tc>
          <w:tcPr>
            <w:tcW w:type="dxa" w:w="2304"/>
            <w:vAlign w:val="top"/>
          </w:tcPr>
          <w:p>
            <w:pPr>
              <w:spacing w:after="40" w:before="0" w:line="259" w:lineRule="auto"/>
            </w:pPr>
            <w:r>
              <w:rPr>
                <w:rFonts w:ascii="Calibri" w:hAnsi="Calibri"/>
                <w:b/>
                <w:i w:val="0"/>
                <w:color w:val="212121"/>
                <w:sz w:val="19"/>
              </w:rPr>
              <w:t>Anhedonia (loss of interest/pleasure)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Markedly reduced enjoyment of previously pleasurable activities; a core diagnostic symptom.</w:t>
            </w:r>
          </w:p>
        </w:tc>
      </w:tr>
      <w:tr>
        <w:trPr>
          <w:cantSplit/>
        </w:trPr>
        <w:tc>
          <w:tcPr>
            <w:tcW w:type="dxa" w:w="2304"/>
            <w:vAlign w:val="top"/>
          </w:tcPr>
          <w:p>
            <w:pPr>
              <w:spacing w:after="40" w:before="0" w:line="259" w:lineRule="auto"/>
            </w:pPr>
            <w:r>
              <w:rPr>
                <w:rFonts w:ascii="Calibri" w:hAnsi="Calibri"/>
                <w:b/>
                <w:i w:val="0"/>
                <w:color w:val="212121"/>
                <w:sz w:val="19"/>
              </w:rPr>
              <w:t>Fatigue / loss of energy</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Persistent tiredness and reduced drive disproportionate to exertion.</w:t>
            </w:r>
          </w:p>
        </w:tc>
      </w:tr>
      <w:tr>
        <w:trPr>
          <w:cantSplit/>
        </w:trPr>
        <w:tc>
          <w:tcPr>
            <w:tcW w:type="dxa" w:w="2304"/>
            <w:vAlign w:val="top"/>
          </w:tcPr>
          <w:p>
            <w:pPr>
              <w:spacing w:after="40" w:before="0" w:line="259" w:lineRule="auto"/>
            </w:pPr>
            <w:r>
              <w:rPr>
                <w:rFonts w:ascii="Calibri" w:hAnsi="Calibri"/>
                <w:b/>
                <w:i w:val="0"/>
                <w:color w:val="212121"/>
                <w:sz w:val="19"/>
              </w:rPr>
              <w:t>Sleep disturbance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Insomnia (especially early-morning waking) or hypersomnia; often the presenting complaint.</w:t>
            </w:r>
          </w:p>
        </w:tc>
      </w:tr>
      <w:tr>
        <w:trPr>
          <w:cantSplit/>
        </w:trPr>
        <w:tc>
          <w:tcPr>
            <w:tcW w:type="dxa" w:w="2304"/>
            <w:vAlign w:val="top"/>
          </w:tcPr>
          <w:p>
            <w:pPr>
              <w:spacing w:after="40" w:before="0" w:line="259" w:lineRule="auto"/>
            </w:pPr>
            <w:r>
              <w:rPr>
                <w:rFonts w:ascii="Calibri" w:hAnsi="Calibri"/>
                <w:b/>
                <w:i w:val="0"/>
                <w:color w:val="212121"/>
                <w:sz w:val="19"/>
              </w:rPr>
              <w:t>Appetite or weight change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Reduced appetite with weight loss, or increased appetite/weight gain in atypical depression.</w:t>
            </w:r>
          </w:p>
        </w:tc>
      </w:tr>
      <w:tr>
        <w:trPr>
          <w:cantSplit/>
        </w:trPr>
        <w:tc>
          <w:tcPr>
            <w:tcW w:type="dxa" w:w="2304"/>
            <w:vAlign w:val="top"/>
          </w:tcPr>
          <w:p>
            <w:pPr>
              <w:spacing w:after="40" w:before="0" w:line="259" w:lineRule="auto"/>
            </w:pPr>
            <w:r>
              <w:rPr>
                <w:rFonts w:ascii="Calibri" w:hAnsi="Calibri"/>
                <w:b/>
                <w:i w:val="0"/>
                <w:color w:val="212121"/>
                <w:sz w:val="19"/>
              </w:rPr>
              <w:t>Poor concentration / indecisiveness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Difficulty focusing, remembering and making decisions; may mimic dementia in the elderly.</w:t>
            </w:r>
          </w:p>
        </w:tc>
      </w:tr>
      <w:tr>
        <w:trPr>
          <w:cantSplit/>
        </w:trPr>
        <w:tc>
          <w:tcPr>
            <w:tcW w:type="dxa" w:w="2304"/>
            <w:vAlign w:val="top"/>
          </w:tcPr>
          <w:p>
            <w:pPr>
              <w:spacing w:after="40" w:before="0" w:line="259" w:lineRule="auto"/>
            </w:pPr>
            <w:r>
              <w:rPr>
                <w:rFonts w:ascii="Calibri" w:hAnsi="Calibri"/>
                <w:b/>
                <w:i w:val="0"/>
                <w:color w:val="212121"/>
                <w:sz w:val="19"/>
              </w:rPr>
              <w:t>Feelings of worthlessness or guilt</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Excessive, often inappropriate self-blame and low self-worth.</w:t>
            </w:r>
          </w:p>
        </w:tc>
      </w:tr>
      <w:tr>
        <w:trPr>
          <w:cantSplit/>
        </w:trPr>
        <w:tc>
          <w:tcPr>
            <w:tcW w:type="dxa" w:w="2304"/>
            <w:vAlign w:val="top"/>
          </w:tcPr>
          <w:p>
            <w:pPr>
              <w:spacing w:after="40" w:before="0" w:line="259" w:lineRule="auto"/>
            </w:pPr>
            <w:r>
              <w:rPr>
                <w:rFonts w:ascii="Calibri" w:hAnsi="Calibri"/>
                <w:b/>
                <w:i w:val="0"/>
                <w:color w:val="212121"/>
                <w:sz w:val="19"/>
              </w:rPr>
              <w:t>Somatic complaints (aches, pains, ‘gas’, heaviness)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Unexplained bodily symptoms are a very frequent presentation of depression in Indian patients.</w:t>
            </w:r>
          </w:p>
        </w:tc>
      </w:tr>
      <w:tr>
        <w:trPr>
          <w:cantSplit/>
        </w:trPr>
        <w:tc>
          <w:tcPr>
            <w:tcW w:type="dxa" w:w="2304"/>
            <w:vAlign w:val="top"/>
          </w:tcPr>
          <w:p>
            <w:pPr>
              <w:spacing w:after="40" w:before="0" w:line="259" w:lineRule="auto"/>
            </w:pPr>
            <w:r>
              <w:rPr>
                <w:rFonts w:ascii="Calibri" w:hAnsi="Calibri"/>
                <w:b/>
                <w:i w:val="0"/>
                <w:color w:val="212121"/>
                <w:sz w:val="19"/>
              </w:rPr>
              <w:t>Psychomotor retardation or agitation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Observable slowing of movement/speech, or restless agitation.</w:t>
            </w:r>
          </w:p>
        </w:tc>
      </w:tr>
      <w:tr>
        <w:trPr>
          <w:cantSplit/>
        </w:trPr>
        <w:tc>
          <w:tcPr>
            <w:tcW w:type="dxa" w:w="2304"/>
            <w:vAlign w:val="top"/>
          </w:tcPr>
          <w:p>
            <w:pPr>
              <w:spacing w:after="40" w:before="0" w:line="259" w:lineRule="auto"/>
            </w:pPr>
            <w:r>
              <w:rPr>
                <w:rFonts w:ascii="Calibri" w:hAnsi="Calibri"/>
                <w:b/>
                <w:i w:val="0"/>
                <w:color w:val="212121"/>
                <w:sz w:val="19"/>
              </w:rPr>
              <w:t>Suicidal ideation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Recurrent thoughts of death, self-harm, plans or intent; requires urgent assessment.</w:t>
            </w:r>
          </w:p>
        </w:tc>
      </w:tr>
      <w:tr>
        <w:trPr>
          <w:cantSplit/>
        </w:trPr>
        <w:tc>
          <w:tcPr>
            <w:tcW w:type="dxa" w:w="2304"/>
            <w:vAlign w:val="top"/>
          </w:tcPr>
          <w:p>
            <w:pPr>
              <w:spacing w:after="40" w:before="0" w:line="259" w:lineRule="auto"/>
            </w:pPr>
            <w:r>
              <w:rPr>
                <w:rFonts w:ascii="Calibri" w:hAnsi="Calibri"/>
                <w:b/>
                <w:i w:val="0"/>
                <w:color w:val="212121"/>
                <w:sz w:val="19"/>
              </w:rPr>
              <w:t>Anxiety, worry and tension</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Prominent comorbid anxiety symptoms accompany many depressive episodes.</w:t>
            </w:r>
          </w:p>
        </w:tc>
      </w:tr>
      <w:tr>
        <w:trPr>
          <w:cantSplit/>
        </w:trPr>
        <w:tc>
          <w:tcPr>
            <w:tcW w:type="dxa" w:w="2304"/>
            <w:vAlign w:val="top"/>
          </w:tcPr>
          <w:p>
            <w:pPr>
              <w:spacing w:after="40" w:before="0" w:line="259" w:lineRule="auto"/>
            </w:pPr>
            <w:r>
              <w:rPr>
                <w:rFonts w:ascii="Calibri" w:hAnsi="Calibri"/>
                <w:b/>
                <w:i w:val="0"/>
                <w:color w:val="212121"/>
                <w:sz w:val="19"/>
              </w:rPr>
              <w:t>Psychotic features (delusions/hallucinations)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Mood-congruent delusions of guilt, poverty or nihilism in severe (psychotic) depression.</w:t>
            </w:r>
          </w:p>
        </w:tc>
      </w:tr>
      <w:tr>
        <w:trPr>
          <w:cantSplit/>
        </w:trPr>
        <w:tc>
          <w:tcPr>
            <w:tcW w:type="dxa" w:w="2304"/>
            <w:vAlign w:val="top"/>
          </w:tcPr>
          <w:p>
            <w:pPr>
              <w:spacing w:after="40" w:before="0" w:line="259" w:lineRule="auto"/>
            </w:pPr>
            <w:r>
              <w:rPr>
                <w:rFonts w:ascii="Calibri" w:hAnsi="Calibri"/>
                <w:b/>
                <w:i w:val="0"/>
                <w:color w:val="212121"/>
                <w:sz w:val="19"/>
              </w:rPr>
              <w:t>Catatonic features</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Mutism, stupor, posturing or negativism in severe depression; a psychiatric emergency.</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Depressed or flat/constricted affect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Reduced emotional range and reactivity observed during interview.</w:t>
            </w:r>
          </w:p>
        </w:tc>
      </w:tr>
      <w:tr>
        <w:trPr>
          <w:cantSplit/>
        </w:trPr>
        <w:tc>
          <w:tcPr>
            <w:tcW w:type="dxa" w:w="3456"/>
            <w:vAlign w:val="top"/>
          </w:tcPr>
          <w:p>
            <w:pPr>
              <w:spacing w:after="40" w:before="0" w:line="259" w:lineRule="auto"/>
            </w:pPr>
            <w:r>
              <w:rPr>
                <w:rFonts w:ascii="Calibri" w:hAnsi="Calibri"/>
                <w:b/>
                <w:i w:val="0"/>
                <w:color w:val="212121"/>
                <w:sz w:val="19"/>
              </w:rPr>
              <w:t>Psychomotor retardation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Slowed movements, increased response latency and reduced spontaneous activity.</w:t>
            </w:r>
          </w:p>
        </w:tc>
      </w:tr>
      <w:tr>
        <w:trPr>
          <w:cantSplit/>
        </w:trPr>
        <w:tc>
          <w:tcPr>
            <w:tcW w:type="dxa" w:w="3456"/>
            <w:vAlign w:val="top"/>
          </w:tcPr>
          <w:p>
            <w:pPr>
              <w:spacing w:after="40" w:before="0" w:line="259" w:lineRule="auto"/>
            </w:pPr>
            <w:r>
              <w:rPr>
                <w:rFonts w:ascii="Calibri" w:hAnsi="Calibri"/>
                <w:b/>
                <w:i w:val="0"/>
                <w:color w:val="212121"/>
                <w:sz w:val="19"/>
              </w:rPr>
              <w:t>Poor eye contact / downcast gaze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Non-verbal marker of low mood and withdrawal.</w:t>
            </w:r>
          </w:p>
        </w:tc>
      </w:tr>
      <w:tr>
        <w:trPr>
          <w:cantSplit/>
        </w:trPr>
        <w:tc>
          <w:tcPr>
            <w:tcW w:type="dxa" w:w="3456"/>
            <w:vAlign w:val="top"/>
          </w:tcPr>
          <w:p>
            <w:pPr>
              <w:spacing w:after="40" w:before="0" w:line="259" w:lineRule="auto"/>
            </w:pPr>
            <w:r>
              <w:rPr>
                <w:rFonts w:ascii="Calibri" w:hAnsi="Calibri"/>
                <w:b/>
                <w:i w:val="0"/>
                <w:color w:val="212121"/>
                <w:sz w:val="19"/>
              </w:rPr>
              <w:t>Slumped posture and reduced gesturing</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Hunched, low-energy body language accompanying psychomotor slowing.</w:t>
            </w:r>
          </w:p>
        </w:tc>
      </w:tr>
      <w:tr>
        <w:trPr>
          <w:cantSplit/>
        </w:trPr>
        <w:tc>
          <w:tcPr>
            <w:tcW w:type="dxa" w:w="3456"/>
            <w:vAlign w:val="top"/>
          </w:tcPr>
          <w:p>
            <w:pPr>
              <w:spacing w:after="40" w:before="0" w:line="259" w:lineRule="auto"/>
            </w:pPr>
            <w:r>
              <w:rPr>
                <w:rFonts w:ascii="Calibri" w:hAnsi="Calibri"/>
                <w:b/>
                <w:i w:val="0"/>
                <w:color w:val="212121"/>
                <w:sz w:val="19"/>
              </w:rPr>
              <w:t>Tearfulness</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Crying or watery eyes, often on discussing distressing topics.</w:t>
            </w:r>
          </w:p>
        </w:tc>
      </w:tr>
      <w:tr>
        <w:trPr>
          <w:cantSplit/>
        </w:trPr>
        <w:tc>
          <w:tcPr>
            <w:tcW w:type="dxa" w:w="3456"/>
            <w:vAlign w:val="top"/>
          </w:tcPr>
          <w:p>
            <w:pPr>
              <w:spacing w:after="40" w:before="0" w:line="259" w:lineRule="auto"/>
            </w:pPr>
            <w:r>
              <w:rPr>
                <w:rFonts w:ascii="Calibri" w:hAnsi="Calibri"/>
                <w:b/>
                <w:i w:val="0"/>
                <w:color w:val="212121"/>
                <w:sz w:val="19"/>
              </w:rPr>
              <w:t>Poverty of speech / low volume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Slow, quiet, monotonous speech with delayed, brief replies.</w:t>
            </w:r>
          </w:p>
        </w:tc>
      </w:tr>
      <w:tr>
        <w:trPr>
          <w:cantSplit/>
        </w:trPr>
        <w:tc>
          <w:tcPr>
            <w:tcW w:type="dxa" w:w="3456"/>
            <w:vAlign w:val="top"/>
          </w:tcPr>
          <w:p>
            <w:pPr>
              <w:spacing w:after="40" w:before="0" w:line="259" w:lineRule="auto"/>
            </w:pPr>
            <w:r>
              <w:rPr>
                <w:rFonts w:ascii="Calibri" w:hAnsi="Calibri"/>
                <w:b/>
                <w:i w:val="0"/>
                <w:color w:val="212121"/>
                <w:sz w:val="19"/>
              </w:rPr>
              <w:t>Neglected self-care / poor hygiene</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Unkempt appearance reflecting loss of motivation and energy.</w:t>
            </w:r>
          </w:p>
        </w:tc>
      </w:tr>
      <w:tr>
        <w:trPr>
          <w:cantSplit/>
        </w:trPr>
        <w:tc>
          <w:tcPr>
            <w:tcW w:type="dxa" w:w="3456"/>
            <w:vAlign w:val="top"/>
          </w:tcPr>
          <w:p>
            <w:pPr>
              <w:spacing w:after="40" w:before="0" w:line="259" w:lineRule="auto"/>
            </w:pPr>
            <w:r>
              <w:rPr>
                <w:rFonts w:ascii="Calibri" w:hAnsi="Calibri"/>
                <w:b/>
                <w:i w:val="0"/>
                <w:color w:val="212121"/>
                <w:sz w:val="19"/>
              </w:rPr>
              <w:t>Weight loss / signs of poor nutrition</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Objective weight loss and reduced dietary intake in melancholic depression.</w:t>
            </w:r>
          </w:p>
        </w:tc>
      </w:tr>
      <w:tr>
        <w:trPr>
          <w:cantSplit/>
        </w:trPr>
        <w:tc>
          <w:tcPr>
            <w:tcW w:type="dxa" w:w="3456"/>
            <w:vAlign w:val="top"/>
          </w:tcPr>
          <w:p>
            <w:pPr>
              <w:spacing w:after="40" w:before="0" w:line="259" w:lineRule="auto"/>
            </w:pPr>
            <w:r>
              <w:rPr>
                <w:rFonts w:ascii="Calibri" w:hAnsi="Calibri"/>
                <w:b/>
                <w:i w:val="0"/>
                <w:color w:val="212121"/>
                <w:sz w:val="19"/>
              </w:rPr>
              <w:t>Cognitive slowing (pseudodementia)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Impaired attention and memory on examination, reversible with treatment, chiefly in the elderly.</w:t>
            </w:r>
          </w:p>
        </w:tc>
      </w:tr>
      <w:tr>
        <w:trPr>
          <w:cantSplit/>
        </w:trPr>
        <w:tc>
          <w:tcPr>
            <w:tcW w:type="dxa" w:w="3456"/>
            <w:vAlign w:val="top"/>
          </w:tcPr>
          <w:p>
            <w:pPr>
              <w:spacing w:after="40" w:before="0" w:line="259" w:lineRule="auto"/>
            </w:pPr>
            <w:r>
              <w:rPr>
                <w:rFonts w:ascii="Calibri" w:hAnsi="Calibri"/>
                <w:b/>
                <w:i w:val="0"/>
                <w:color w:val="212121"/>
                <w:sz w:val="19"/>
              </w:rPr>
              <w:t>Signs of self-harm</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Healed or fresh cuts/wounds indicating deliberate self-harm; prompts risk assessment.</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Suicidal ideation, self-harm and attempted or completed suicide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Severe functional impairment (occupational, academic, social)</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Psychotic depression (mood-congruent delusions/hallucinations)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Depressive stupor / catatonia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Profound self-neglect, dehydration and malnutrition</w:t>
            </w:r>
          </w:p>
        </w:tc>
        <w:tc>
          <w:tcPr>
            <w:tcW w:type="dxa" w:w="2980"/>
            <w:vAlign w:val="top"/>
          </w:tcPr>
          <w:p>
            <w:pPr>
              <w:spacing w:after="40" w:before="0" w:line="259" w:lineRule="auto"/>
            </w:pPr>
            <w:r>
              <w:rPr>
                <w:rFonts w:ascii="Calibri" w:hAnsi="Calibri"/>
                <w:b w:val="0"/>
                <w:i w:val="0"/>
                <w:color w:val="212121"/>
                <w:sz w:val="19"/>
              </w:rPr>
              <w:t>Acute, direct consequences of a severe depressive episode; suicide is the most serious.</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Comorbid anxiety and substance/alcohol-use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Worsened control and outcomes of chronic illness (diabetes, cardiovascular disease)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and treatment-resistant episodes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Relationship breakdown, unemployment and financial decline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Impaired parenting and adverse effects on child development (perinatal depression)</w:t>
            </w:r>
          </w:p>
        </w:tc>
        <w:tc>
          <w:tcPr>
            <w:tcW w:type="dxa" w:w="2980"/>
            <w:vAlign w:val="top"/>
          </w:tcPr>
          <w:p>
            <w:pPr>
              <w:spacing w:after="40" w:before="0" w:line="259" w:lineRule="auto"/>
            </w:pPr>
            <w:r>
              <w:rPr>
                <w:rFonts w:ascii="Calibri" w:hAnsi="Calibri"/>
                <w:b w:val="0"/>
                <w:i w:val="0"/>
                <w:color w:val="212121"/>
                <w:sz w:val="19"/>
              </w:rPr>
              <w:t>Result from persistent or recurrent depression interacting with physical, social and family domains.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Completed suicide and premature mortality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Chronic disability and long-term loss of productivity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Excess cardiovascular and all-cause mortality via comorbid NCDs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Social isolation, stigma and, at the extreme, homelessness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 decline and higher later dementia risk in recurrent late-life depression</w:t>
            </w:r>
          </w:p>
        </w:tc>
        <w:tc>
          <w:tcPr>
            <w:tcW w:type="dxa" w:w="2980"/>
            <w:vAlign w:val="top"/>
          </w:tcPr>
          <w:p>
            <w:pPr>
              <w:spacing w:after="40" w:before="0" w:line="259" w:lineRule="auto"/>
            </w:pPr>
            <w:r>
              <w:rPr>
                <w:rFonts w:ascii="Calibri" w:hAnsi="Calibri"/>
                <w:b w:val="0"/>
                <w:i w:val="0"/>
                <w:color w:val="212121"/>
                <w:sz w:val="19"/>
              </w:rPr>
              <w:t>Irreversible, disabling long-term outcomes of untreated or inadequately treated depression.</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Anxiety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The commonest comorbidity; shared monoaminergic and stress-axis mechanisms increase severity, chronicity and suicide risk.</w:t>
            </w:r>
          </w:p>
          <w:p>
            <w:pPr>
              <w:spacing w:after="40" w:before="0" w:line="259" w:lineRule="auto"/>
            </w:pPr>
            <w:r>
              <w:rPr>
                <w:rFonts w:ascii="Calibri" w:hAnsi="Calibri"/>
                <w:b/>
                <w:i w:val="0"/>
                <w:color w:val="212121"/>
                <w:sz w:val="19"/>
              </w:rPr>
              <w:t>~40–60%</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Bidirectional link via inflammation and HPA-axis dysfunction; depression worsens glycaemic control and self-care, roughly doubling in diabetic patients.</w:t>
            </w:r>
          </w:p>
        </w:tc>
      </w:tr>
      <w:tr>
        <w:trPr>
          <w:cantSplit/>
        </w:trPr>
        <w:tc>
          <w:tcPr>
            <w:tcW w:type="dxa" w:w="2232"/>
            <w:vAlign w:val="top"/>
          </w:tcPr>
          <w:p>
            <w:pPr>
              <w:spacing w:after="40" w:before="0" w:line="259" w:lineRule="auto"/>
            </w:pPr>
            <w:r>
              <w:rPr>
                <w:rFonts w:ascii="Calibri" w:hAnsi="Calibri"/>
                <w:b/>
                <w:i w:val="0"/>
                <w:color w:val="212121"/>
                <w:sz w:val="19"/>
              </w:rPr>
              <w:t>Cardiovascular / coronary artery disease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Depression independently predicts and follows cardiac events, worsening prognosis after myocardial infarction.</w:t>
            </w:r>
          </w:p>
        </w:tc>
      </w:tr>
      <w:tr>
        <w:trPr>
          <w:cantSplit/>
        </w:trPr>
        <w:tc>
          <w:tcPr>
            <w:tcW w:type="dxa" w:w="2232"/>
            <w:vAlign w:val="top"/>
          </w:tcPr>
          <w:p>
            <w:pPr>
              <w:spacing w:after="40" w:before="0" w:line="259" w:lineRule="auto"/>
            </w:pPr>
            <w:r>
              <w:rPr>
                <w:rFonts w:ascii="Calibri" w:hAnsi="Calibri"/>
                <w:b/>
                <w:i w:val="0"/>
                <w:color w:val="212121"/>
                <w:sz w:val="19"/>
              </w:rPr>
              <w:t>Post-stroke depression</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Vascular disruption of frontostriatal mood circuits; affects roughly a third of stroke survivors and impairs rehabilitation.</w:t>
            </w:r>
          </w:p>
          <w:p>
            <w:pPr>
              <w:spacing w:after="40" w:before="0" w:line="259" w:lineRule="auto"/>
            </w:pPr>
            <w:r>
              <w:rPr>
                <w:rFonts w:ascii="Calibri" w:hAnsi="Calibri"/>
                <w:b/>
                <w:i w:val="0"/>
                <w:color w:val="212121"/>
                <w:sz w:val="19"/>
              </w:rPr>
              <w:t>~30%</w:t>
            </w:r>
          </w:p>
        </w:tc>
      </w:tr>
      <w:tr>
        <w:trPr>
          <w:cantSplit/>
        </w:trPr>
        <w:tc>
          <w:tcPr>
            <w:tcW w:type="dxa" w:w="2232"/>
            <w:vAlign w:val="top"/>
          </w:tcPr>
          <w:p>
            <w:pPr>
              <w:spacing w:after="40" w:before="0" w:line="259" w:lineRule="auto"/>
            </w:pPr>
            <w:r>
              <w:rPr>
                <w:rFonts w:ascii="Calibri" w:hAnsi="Calibri"/>
                <w:b/>
                <w:i w:val="0"/>
                <w:color w:val="212121"/>
                <w:sz w:val="19"/>
              </w:rPr>
              <w:t>Alcohol and substance-use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Strongly comorbid and mutually aggravating; substance use can both cause and result from depression and elevates suicide risk.</w:t>
            </w:r>
          </w:p>
        </w:tc>
      </w:tr>
      <w:tr>
        <w:trPr>
          <w:cantSplit/>
        </w:trPr>
        <w:tc>
          <w:tcPr>
            <w:tcW w:type="dxa" w:w="2232"/>
            <w:vAlign w:val="top"/>
          </w:tcPr>
          <w:p>
            <w:pPr>
              <w:spacing w:after="40" w:before="0" w:line="259" w:lineRule="auto"/>
            </w:pPr>
            <w:r>
              <w:rPr>
                <w:rFonts w:ascii="Calibri" w:hAnsi="Calibri"/>
                <w:b/>
                <w:i w:val="0"/>
                <w:color w:val="212121"/>
                <w:sz w:val="19"/>
              </w:rPr>
              <w:t>Hypothyroidism</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Treatment Interaction</w:t>
            </w:r>
          </w:p>
        </w:tc>
        <w:tc>
          <w:tcPr>
            <w:tcW w:type="dxa" w:w="4852"/>
            <w:vAlign w:val="top"/>
          </w:tcPr>
          <w:p>
            <w:pPr>
              <w:spacing w:after="40" w:before="0" w:line="259" w:lineRule="auto"/>
            </w:pPr>
            <w:r>
              <w:rPr>
                <w:rFonts w:ascii="Calibri" w:hAnsi="Calibri"/>
                <w:b w:val="0"/>
                <w:i w:val="0"/>
                <w:color w:val="212121"/>
                <w:sz w:val="19"/>
              </w:rPr>
              <w:t>Can mimic or precipitate depression; screening and thyroid correction can relieve mood symptoms.</w:t>
            </w:r>
          </w:p>
        </w:tc>
      </w:tr>
      <w:tr>
        <w:trPr>
          <w:cantSplit/>
        </w:trPr>
        <w:tc>
          <w:tcPr>
            <w:tcW w:type="dxa" w:w="2232"/>
            <w:vAlign w:val="top"/>
          </w:tcPr>
          <w:p>
            <w:pPr>
              <w:spacing w:after="40" w:before="0" w:line="259" w:lineRule="auto"/>
            </w:pPr>
            <w:r>
              <w:rPr>
                <w:rFonts w:ascii="Calibri" w:hAnsi="Calibri"/>
                <w:b/>
                <w:i w:val="0"/>
                <w:color w:val="212121"/>
                <w:sz w:val="19"/>
              </w:rPr>
              <w:t>Chronic pain</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Persistent pain and depression share neuro-inflammatory pathways and reinforce each other, reducing treatment response.</w:t>
            </w:r>
          </w:p>
        </w:tc>
      </w:tr>
      <w:tr>
        <w:trPr>
          <w:cantSplit/>
        </w:trPr>
        <w:tc>
          <w:tcPr>
            <w:tcW w:type="dxa" w:w="2232"/>
            <w:vAlign w:val="top"/>
          </w:tcPr>
          <w:p>
            <w:pPr>
              <w:spacing w:after="40" w:before="0" w:line="259" w:lineRule="auto"/>
            </w:pPr>
            <w:r>
              <w:rPr>
                <w:rFonts w:ascii="Calibri" w:hAnsi="Calibri"/>
                <w:b/>
                <w:i w:val="0"/>
                <w:color w:val="212121"/>
                <w:sz w:val="19"/>
              </w:rPr>
              <w:t>Obesity</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Bidirectional relationship driven by inflammation, inactivity and metabolic dysregulation; each worsens the other.</w:t>
            </w:r>
          </w:p>
        </w:tc>
      </w:tr>
      <w:tr>
        <w:trPr>
          <w:cantSplit/>
        </w:trPr>
        <w:tc>
          <w:tcPr>
            <w:tcW w:type="dxa" w:w="2232"/>
            <w:vAlign w:val="top"/>
          </w:tcPr>
          <w:p>
            <w:pPr>
              <w:spacing w:after="40" w:before="0" w:line="259" w:lineRule="auto"/>
            </w:pPr>
            <w:r>
              <w:rPr>
                <w:rFonts w:ascii="Calibri" w:hAnsi="Calibri"/>
                <w:b/>
                <w:i w:val="0"/>
                <w:color w:val="212121"/>
                <w:sz w:val="19"/>
              </w:rPr>
              <w:t>Perinatal (postpartum) depression</w:t>
            </w:r>
          </w:p>
        </w:tc>
        <w:tc>
          <w:tcPr>
            <w:tcW w:type="dxa" w:w="2520"/>
            <w:vAlign w:val="top"/>
          </w:tcPr>
          <w:p>
            <w:pPr>
              <w:spacing w:after="40" w:before="0" w:line="259" w:lineRule="auto"/>
            </w:pPr>
            <w:r>
              <w:rPr>
                <w:rFonts w:ascii="Calibri" w:hAnsi="Calibri"/>
                <w:b w:val="0"/>
                <w:i w:val="0"/>
                <w:color w:val="212121"/>
                <w:sz w:val="18"/>
              </w:rPr>
              <w:t>• Clinical Management Impact</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Common major-depressive presentation in the year after childbirth; affects mother and infant outcomes.</w:t>
            </w:r>
          </w:p>
          <w:p>
            <w:pPr>
              <w:spacing w:after="40" w:before="0" w:line="259" w:lineRule="auto"/>
            </w:pPr>
            <w:r>
              <w:rPr>
                <w:rFonts w:ascii="Calibri" w:hAnsi="Calibri"/>
                <w:b/>
                <w:i w:val="0"/>
                <w:color w:val="212121"/>
                <w:sz w:val="19"/>
              </w:rPr>
              <w:t>6.5–20%</w:t>
            </w:r>
          </w:p>
        </w:tc>
      </w:tr>
      <w:tr>
        <w:trPr>
          <w:cantSplit/>
        </w:trPr>
        <w:tc>
          <w:tcPr>
            <w:tcW w:type="dxa" w:w="2232"/>
            <w:vAlign w:val="top"/>
          </w:tcPr>
          <w:p>
            <w:pPr>
              <w:spacing w:after="40" w:before="0" w:line="259" w:lineRule="auto"/>
            </w:pPr>
            <w:r>
              <w:rPr>
                <w:rFonts w:ascii="Calibri" w:hAnsi="Calibri"/>
                <w:b/>
                <w:i w:val="0"/>
                <w:color w:val="212121"/>
                <w:sz w:val="19"/>
              </w:rPr>
              <w:t>Insomnia / sleep disorders</w:t>
            </w:r>
          </w:p>
        </w:tc>
        <w:tc>
          <w:tcPr>
            <w:tcW w:type="dxa" w:w="2520"/>
            <w:vAlign w:val="top"/>
          </w:tcPr>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Both a symptom and a driver of depression; residual insomnia predicts relapse and warrants specific treatment.</w:t>
            </w:r>
          </w:p>
        </w:tc>
      </w:tr>
      <w:tr>
        <w:trPr>
          <w:cantSplit/>
        </w:trPr>
        <w:tc>
          <w:tcPr>
            <w:tcW w:type="dxa" w:w="2232"/>
            <w:vAlign w:val="top"/>
          </w:tcPr>
          <w:p>
            <w:pPr>
              <w:spacing w:after="40" w:before="0" w:line="259" w:lineRule="auto"/>
            </w:pPr>
            <w:r>
              <w:rPr>
                <w:rFonts w:ascii="Calibri" w:hAnsi="Calibri"/>
                <w:b/>
                <w:i w:val="0"/>
                <w:color w:val="212121"/>
                <w:sz w:val="19"/>
              </w:rPr>
              <w:t>Dementia / cognitive decline</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Bidirectional Association</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Late-life and recurrent depression is both a risk factor for and an early feature of neurodegenerative decline.</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Recognise early warning signs—persistent low mood, loss of interest, disturbed sleep or appetite, fatigue, hopelessness—and seek help early.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Understand that depression is a treatable medical illness, not a personal weakness, to reduce stigma and delay.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Take up routine screening (PHQ-9/PHQ-2) in primary care, especially with chronic illness, after childbirth and in the 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Learn about safe help-seeking pathways, including national helplines and district mental-health programmes.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Involve family in recognising risk, supporting treatment adherence and removing access to means of self-harm.</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Postpartum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People with chronic illness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Families/caregivers</w:t>
            </w:r>
          </w:p>
        </w:tc>
        <w:tc>
          <w:tcPr>
            <w:tcW w:type="dxa" w:w="1036"/>
            <w:vAlign w:val="top"/>
          </w:tcPr>
          <w:p>
            <w:pPr>
              <w:spacing w:after="40" w:before="0" w:line="259" w:lineRule="auto"/>
            </w:pPr>
            <w:r>
              <w:rPr>
                <w:rFonts w:ascii="Calibri" w:hAnsi="Calibri"/>
                <w:b w:val="0"/>
                <w:i w:val="0"/>
                <w:color w:val="212121"/>
                <w:sz w:val="19"/>
              </w:rPr>
              <w:t>NA</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Undertake ≥ 150 minutes/week of moderate aerobic activity (brisk walking, cycling, swimming) as an evidence-based adjunct with effect comparable to psychotherapy.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resistance/strength training 2–3 days/week for additional mood and physical benefit.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structured yoga and breathing practices, which have supportive evidence in Indian populations.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small and build gradually (behavioural activation), scheduling activity even when motivation is low.</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Prefer outdoor, daylight and group-based activity to combine exercise with sunlight and social contact.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Sedentary 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Mild-to-moderate depression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Follow a whole-food, largely plant-based Indian diet rich in vegetables, fruit, whole grains, millets, pulses, nuts and fish.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Reduce ultra-processed foods, refined carbohydrates, sugary drinks and excess fried food, which are linked to higher depression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adequate B12, folate, iron and vitamin D—commonly deficient in vegetarian Indian diets and relevant to mood.</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Include omega-3 sources (fish, flaxseed, walnuts) that support brain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regular meals and avoid using alcohol or high-sugar snacks to self-soothe.</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 at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Poor-diet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Vegetarians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Perinatal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a fixed sleep–wake schedule, aiming for 7–9 hours per night.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sleep hygiene: limit screens, caffeine and heavy meals before bed and keep the bedroom dark and quiet.</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CBT for insomnia (CBT-I) as first-line for persistent insomnia rather than long-term sedatives.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residual insomnia actively, as it predicts relapse of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Get morning daylight exposure to strengthen circadian rhythm and mood.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Depressed patients with insomnia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Shift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Perinatal women</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structured tobacco-cessation support; quitting improves long-term mood and physical health.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Combine behavioural counselling with pharmacotherapy where appropriate and monitor mood during quitting.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the bidirectional link—treat depression to improve cessation success and vice versa.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Signpost to tobacco quit-lines and cessation clinics.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Depressed smokers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Tobacco users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Dual-diagnosis patients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hazardous drinking (e.g., AUDIT) and advise reducing or abstaining, as alcohol worsens mood, sleep and suicide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Manage alcohol-use disorder and depression together (integrated dual-diagnosis care).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as a coping mechanism and provide alternative stress-management strategies.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Warn about interactions between alcohol and antidepressants/sedatives.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Alcohol-use disorder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Dual-diagnosis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restart"/>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evidence-based psychotherapy—cognitive behavioural therapy (CBT), interpersonal therapy (IPT) or behavioural activation—as first-line for mild-to-moderate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antidepressant medication (e.g., SSRIs) for moderate-to-severe depression, with adherence support and review at 2–4 weeks and 4–6 weeks.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a suicide-risk assessment and collaborative safety plan at every visit; escalate to emergency/specialist care when risk is high.</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for and treat comorbid anxiety, substance use and physical illness together.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Strengthen social support and problem-solving; involve family and community resources.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 mindfulness-based and relaxation techniques and, for recurrent illness, relapse-prevention planning and maintenance treatment.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Patients with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Moderate-to-severe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Recurrent depression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 suicide-risk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Merge/>
            <w:vAlign w:val="top"/>
          </w:tcPr>
          <w:p>
            <w:pPr>
              <w:spacing w:after="40" w:before="0" w:line="259" w:lineRule="auto"/>
            </w:pP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Build stress-management, problem-solving and emotion-regulation skills before crises arise.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strong social connections and reduce isolation, a key protective factor.</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targeted early support during high-risk windows—bereavement, perinatal period, job loss, chronic-illness diagnosis.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early help-seeking and workplace/school mental-health literacy to reduce stigma.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Promote routine physical activity, healthy diet and sleep as everyday protective habits.</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General population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High-risk/vulnerable groups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Adolescents and students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Postpartum women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indianmhs.nimhans.ac.in/Docs/Report2.pdf" TargetMode="External"/><Relationship Id="rId10" Type="http://schemas.openxmlformats.org/officeDocument/2006/relationships/hyperlink" Target="https://www.who.int/news-room/fact-sheets/detail/depression" TargetMode="External"/><Relationship Id="rId11" Type="http://schemas.openxmlformats.org/officeDocument/2006/relationships/hyperlink" Target="https://www.who.int/india/health-topics/mental-health" TargetMode="External"/><Relationship Id="rId12" Type="http://schemas.openxmlformats.org/officeDocument/2006/relationships/hyperlink" Target="https://bjsm.bmj.com/content/57/18/1203" TargetMode="External"/><Relationship Id="rId13" Type="http://schemas.openxmlformats.org/officeDocument/2006/relationships/hyperlink" Target="https://link.springer.com/article/10.1186/s12916-017-0791-y" TargetMode="External"/><Relationship Id="rId14" Type="http://schemas.openxmlformats.org/officeDocument/2006/relationships/hyperlink" Target="https://www.ncbi.nlm.nih.gov/books/NBK430847/" TargetMode="External"/><Relationship Id="rId15" Type="http://schemas.openxmlformats.org/officeDocument/2006/relationships/hyperlink" Target="https://www.ncbi.nlm.nih.gov/books/NBK519070/" TargetMode="External"/><Relationship Id="rId16" Type="http://schemas.openxmlformats.org/officeDocument/2006/relationships/hyperlink" Target="https://www.ncbi.nlm.nih.gov/books/NBK559078/"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