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Anxiety Disorders (all)</w:t>
      </w:r>
    </w:p>
    <w:p>
      <w:pPr>
        <w:spacing w:before="0" w:after="160"/>
      </w:pPr>
      <w:r>
        <w:rPr>
          <w:rFonts w:ascii="Calibri" w:hAnsi="Calibri"/>
          <w:b/>
          <w:i w:val="0"/>
          <w:color w:val="212121"/>
          <w:sz w:val="22"/>
        </w:rPr>
        <w:t xml:space="preserve">AKA </w:t>
      </w:r>
      <w:r>
        <w:rPr>
          <w:rFonts w:ascii="Calibri" w:hAnsi="Calibri"/>
          <w:b w:val="0"/>
          <w:i w:val="0"/>
          <w:color w:val="212121"/>
          <w:sz w:val="22"/>
        </w:rPr>
        <w:t>i.e., Anxiety neurosis, Neurotic &amp; stress-related disorders, Nervousness, Chronic worry, ‘Tension’ / ‘Ghabrahat’ (common Indian idioms of distress)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Anxiety disorders are a group of mental disorders characterised by excessive fear, worry and related behavioural disturbances (typically avoidance), that are out of proportion to any actual threat, persist over time, and cause clinically significant distress or impairment in personal, social, occupational or other important areas of functioning. Fear is the emotional response to a real or perceived imminent threat, whereas anxiety is anticipation of a future threat; anxiety disorders differ from normal fear or worry by being excessive, persistent (often ≥ 6 months) and disabling. They form the single largest and most common class of mental disorders and include generalized anxiety disorder, panic disorder, agoraphobia, social anxiety disorder, specific phobias, separation anxiety disorder and selective mutism, and frequently co-occur with depression and with each other.</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Anxiety disorders are the world's most common mental disorders: WHO estimates 359 million people (about 4.4% of the global population) were living with an anxiety disorder in 2021, including roughly 72 million children and adolescents, yet only about 1 in 4 (≈27.6%) of those who need care actually receive it. In India, the National Mental Health Survey (NMHS) 2015–16 found a current prevalence of neurotic and stress-related disorders (the anxiety cluster, ICD-10 F40–F48) of about 3.7% (≈ 3.5%), making it the third-largest category of mental morbidity after substance-use and mood disorders; unlike the overall pattern, anxiety disorders are consistently more common in women. The treatment gap is very wide — the NMHS reported an overall treatment gap of about 84.5% for mental disorders — and mental-health conditions cost India an estimated USD 1.03 trillion between 2012 and 2030.</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Anxiety disorders are diagnosed clinically against standardised criteria (DSM-5 or ICD-11), supported by validated screening tools (e.g., GAD-7, Hamilton Anxiety Rating Scale) and by excluding organic mimics such as hyperthyroidism, arrhythmia, hypoglycaemia and stimulant/caffeine excess. Using generalized anxiety disorder as the exemplar, diagnosis rests on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excessive anxiety and worry (apprehensive expectation), present more days than not for at least 6 months, about a number of events or activities (for GAD; other subtypes have their own cue and duration criteria);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the worry is difficult to control;</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the anxiety/worry is associated with ≥ 3 of 6 symptoms — restlessness or feeling keyed-up/on edge, being easily fatigued, difficulty concentrating or mind going blank, irritability, muscle tension, and sleep disturbance (only one symptom required in children);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for panic disorder: recurrent unexpected panic attacks followed by ≥ 1 month of persistent concern about further attacks or a maladaptive change in behaviour; for phobic/social/agoraphobic disorders: marked, out-of-proportion fear cued by specific objects, social scrutiny or situations, with active avoidance;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the disturbance causes clinically significant distress or impairment in social, occupational or other important functioning;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the disturbance is not attributable to the physiological effects of a substance (e.g., caffeine, stimulants, alcohol/benzodiazepine withdrawal) or another medical condition (e.g., hyperthyroidism, phaeochromocytoma), and is not better explained by another mental disorder;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screening supports the diagnosis — a GAD-7 score ≥ 10 indicates probable anxiety disorder and warrants full assessment.</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Anxiety disorders (DSM-5 / ICD-11) are classified by the predominant focus of fear and the pattern of avoidance; separation anxiety and selective mutism, formerly grouped elsewhere, are now included. The principal types are:</w:t>
      </w:r>
    </w:p>
    <w:p>
      <w:pPr>
        <w:spacing w:before="0" w:after="80"/>
      </w:pPr>
      <w:r>
        <w:rPr>
          <w:rFonts w:ascii="Calibri" w:hAnsi="Calibri"/>
          <w:b w:val="0"/>
          <w:i w:val="0"/>
          <w:color w:val="212121"/>
          <w:sz w:val="21"/>
        </w:rPr>
        <w:t>(1) Generalized anxiety disorder (GAD) — persistent, excessive and hard-to-control worry about multiple everyday domains (health, finances, family, work) for ≥ 6 months, with somatic tension and autonomic symptoms;</w:t>
      </w:r>
    </w:p>
    <w:p>
      <w:pPr>
        <w:spacing w:before="0" w:after="80"/>
      </w:pPr>
      <w:r>
        <w:rPr>
          <w:rFonts w:ascii="Calibri" w:hAnsi="Calibri"/>
          <w:b w:val="0"/>
          <w:i w:val="0"/>
          <w:color w:val="212121"/>
          <w:sz w:val="21"/>
        </w:rPr>
        <w:t>(2) Panic disorder — recurrent, unexpected panic attacks (abrupt surges of intense fear with palpitations, breathlessness, chest pain, dizziness, derealisation and fear of dying) plus anticipatory anxiety and behavioural change;</w:t>
      </w:r>
    </w:p>
    <w:p>
      <w:pPr>
        <w:spacing w:before="0" w:after="80"/>
      </w:pPr>
      <w:r>
        <w:rPr>
          <w:rFonts w:ascii="Calibri" w:hAnsi="Calibri"/>
          <w:b w:val="0"/>
          <w:i w:val="0"/>
          <w:color w:val="212121"/>
          <w:sz w:val="21"/>
        </w:rPr>
        <w:t>(3) Agoraphobia — marked fear/avoidance of situations where escape may be difficult or help unavailable (crowds, public transport, open or enclosed spaces, being outside alone);</w:t>
      </w:r>
    </w:p>
    <w:p>
      <w:pPr>
        <w:spacing w:before="0" w:after="80"/>
      </w:pPr>
      <w:r>
        <w:rPr>
          <w:rFonts w:ascii="Calibri" w:hAnsi="Calibri"/>
          <w:b w:val="0"/>
          <w:i w:val="0"/>
          <w:color w:val="212121"/>
          <w:sz w:val="21"/>
        </w:rPr>
        <w:t>(4) Social anxiety disorder (social phobia) — intense fear of social or performance situations involving possible scrutiny or negative evaluation;</w:t>
      </w:r>
    </w:p>
    <w:p>
      <w:pPr>
        <w:spacing w:before="0" w:after="80"/>
      </w:pPr>
      <w:r>
        <w:rPr>
          <w:rFonts w:ascii="Calibri" w:hAnsi="Calibri"/>
          <w:b w:val="0"/>
          <w:i w:val="0"/>
          <w:color w:val="212121"/>
          <w:sz w:val="21"/>
        </w:rPr>
        <w:t>(5) Specific phobia — circumscribed, out-of-proportion fear of a particular object or situation (heights, animals, blood-injection-injury, flying);</w:t>
      </w:r>
    </w:p>
    <w:p>
      <w:pPr>
        <w:spacing w:before="0" w:after="80"/>
      </w:pPr>
      <w:r>
        <w:rPr>
          <w:rFonts w:ascii="Calibri" w:hAnsi="Calibri"/>
          <w:b w:val="0"/>
          <w:i w:val="0"/>
          <w:color w:val="212121"/>
          <w:sz w:val="21"/>
        </w:rPr>
        <w:t>(6) Separation anxiety disorder — developmentally inappropriate, excessive fear of separation from attachment figures (onset often in childhood but may persist/occur in adults); and selective mutism — consistent failure to speak in specific social situations despite speaking elsewhere;</w:t>
      </w:r>
    </w:p>
    <w:p>
      <w:pPr>
        <w:spacing w:before="0" w:after="80"/>
      </w:pPr>
      <w:r>
        <w:rPr>
          <w:rFonts w:ascii="Calibri" w:hAnsi="Calibri"/>
          <w:b w:val="0"/>
          <w:i w:val="0"/>
          <w:color w:val="212121"/>
          <w:sz w:val="21"/>
        </w:rPr>
        <w:t>(7) Substance/medication-induced anxiety disorder and anxiety disorder due to another medical condition — anxiety arising directly from caffeine, stimulants, thyroid disease, cardiopulmonary or other organic causes.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Genetic / heritable predisposition: Anxiety disorders aggregate in families with moderate heritability (~30–50%); polygenic risk is shared across anxiety, depression and the temperament trait of neuroticism.</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Neurobiological dysregulation: Hyperactivity of the amygdala and fear circuitry with impaired prefrontal top-down control, and dysregulation of serotonin, noradrenaline, GABA and the HPA (stress) axis, underlie pathological fear and worry.</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Temperament &amp; early environment: Behavioural inhibition, high neuroticism and an anxious/over-protective or critical parenting style raise vulnerability from childhood.</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Adverse childhood experiences &amp; trauma: Abuse, neglect, bullying, loss and other early adversity sensitise the stress response and strongly predict later anxiety.</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Chronic and acute stress: Ongoing psychosocial stress (financial insecurity, work/exam pressure, caregiving, migration, relationship conflict) and acute stressors precipitate onset and relapse.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Substances &amp; stimulants: Caffeine, nicotine, cannabis and stimulant use, and alcohol/benzodiazepine withdrawal, can trigger or worsen anxiety and panic.</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Physical illness: Thyroid dysfunction, cardiac and respiratory disease, chronic pain and vestibular disorders both mimic and provoke anxiety.</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Adolescents &amp; young adults (onset years)</w:t>
            </w:r>
          </w:p>
        </w:tc>
        <w:tc>
          <w:tcPr>
            <w:tcW w:type="dxa" w:w="4276"/>
            <w:vAlign w:val="top"/>
          </w:tcPr>
          <w:p>
            <w:pPr>
              <w:spacing w:after="60" w:line="259" w:lineRule="auto"/>
            </w:pPr>
            <w:r>
              <w:rPr>
                <w:rFonts w:ascii="Calibri" w:hAnsi="Calibri"/>
                <w:b w:val="0"/>
                <w:i w:val="0"/>
                <w:color w:val="212121"/>
                <w:sz w:val="19"/>
              </w:rPr>
              <w:t>Anxiety disorders characteristically begin early: symptoms most often have onset during childhood or adolescence, when developing fear circuitry meets academic, social-media, identity and peer pressures, so young people carry the highest incidence and a long duration of illness if untreated.</w:t>
            </w:r>
          </w:p>
          <w:p>
            <w:pPr>
              <w:spacing w:after="40" w:before="60" w:line="259" w:lineRule="auto"/>
            </w:pPr>
            <w:r>
              <w:rPr>
                <w:rFonts w:ascii="Calibri" w:hAnsi="Calibri"/>
                <w:b w:val="0"/>
                <w:i w:val="0"/>
                <w:color w:val="212121"/>
                <w:sz w:val="19"/>
              </w:rPr>
              <w:t>WHO: symptoms of anxiety often begin in childhood or adolescence; of the 359 million people with anxiety disorders in 2021, about 72 million were children and adolescents.</w:t>
            </w:r>
          </w:p>
          <w:p>
            <w:pPr>
              <w:spacing w:after="40" w:line="252" w:lineRule="auto"/>
            </w:pPr>
            <w:hyperlink r:id="rId9">
              <w:r>
                <w:rPr>
                  <w:rFonts w:ascii="Calibri" w:hAnsi="Calibri" w:cs="Calibri"/>
                  <w:sz w:val="18"/>
                  <w:color w:val="1155CC"/>
                  <w:u w:val="single"/>
                </w:rPr>
                <w:t xml:space="preserve">who.int — anxiety disorders fact sheet</w:t>
              </w:r>
            </w:hyperlink>
          </w:p>
          <w:p>
            <w:pPr>
              <w:spacing w:before="60" w:after="40"/>
            </w:pPr>
            <w:r>
              <w:rPr>
                <w:rFonts w:ascii="Calibri" w:hAnsi="Calibri"/>
                <w:b w:val="0"/>
                <w:i w:val="0"/>
                <w:color w:val="5A5A5A"/>
                <w:sz w:val="18"/>
              </w:rPr>
              <w:t>#earlyonset  #adolescents  #examstress  #socialmedia  #youthanxiety</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Working-age adults (30–49 yrs)</w:t>
            </w:r>
          </w:p>
        </w:tc>
        <w:tc>
          <w:tcPr>
            <w:tcW w:type="dxa" w:w="4276"/>
            <w:vAlign w:val="top"/>
          </w:tcPr>
          <w:p>
            <w:pPr>
              <w:spacing w:after="60" w:line="259" w:lineRule="auto"/>
            </w:pPr>
            <w:r>
              <w:rPr>
                <w:rFonts w:ascii="Calibri" w:hAnsi="Calibri"/>
                <w:b w:val="0"/>
                <w:i w:val="0"/>
                <w:color w:val="212121"/>
                <w:sz w:val="19"/>
              </w:rPr>
              <w:t>Anxiety remains highly prevalent through middle adulthood, when occupational, financial and caregiving pressures, urban living and comorbid depression and substance use converge to sustain and worsen symptoms.</w:t>
            </w:r>
          </w:p>
          <w:p>
            <w:pPr>
              <w:spacing w:after="40" w:before="60" w:line="259" w:lineRule="auto"/>
            </w:pPr>
            <w:r>
              <w:rPr>
                <w:rFonts w:ascii="Calibri" w:hAnsi="Calibri"/>
                <w:b w:val="0"/>
                <w:i w:val="0"/>
                <w:color w:val="212121"/>
                <w:sz w:val="19"/>
              </w:rPr>
              <w:t>NMHS 2015–16: neurotic and stress-related (anxiety-cluster) disorders had a current prevalence of about 3.7% in Indian adults and were higher in middle-aged, less-educated and lower-income groups.</w:t>
            </w:r>
          </w:p>
          <w:p>
            <w:pPr>
              <w:spacing w:after="40" w:line="252" w:lineRule="auto"/>
            </w:pPr>
            <w:hyperlink r:id="rId10">
              <w:r>
                <w:rPr>
                  <w:rFonts w:ascii="Calibri" w:hAnsi="Calibri" w:cs="Calibri"/>
                  <w:sz w:val="18"/>
                  <w:color w:val="1155CC"/>
                  <w:u w:val="single"/>
                </w:rPr>
                <w:t xml:space="preserve">journals.sagepub.com — NMHS 2016 prevalence</w:t>
              </w:r>
            </w:hyperlink>
          </w:p>
          <w:p>
            <w:pPr>
              <w:spacing w:before="60" w:after="40"/>
            </w:pPr>
            <w:r>
              <w:rPr>
                <w:rFonts w:ascii="Calibri" w:hAnsi="Calibri"/>
                <w:b w:val="0"/>
                <w:i w:val="0"/>
                <w:color w:val="5A5A5A"/>
                <w:sz w:val="18"/>
              </w:rPr>
              <w:t>#workingage  #workstress  #financialstress  #comorbidity  #NMHS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(60+ yrs)</w:t>
            </w:r>
          </w:p>
        </w:tc>
        <w:tc>
          <w:tcPr>
            <w:tcW w:type="dxa" w:w="4276"/>
            <w:vAlign w:val="top"/>
          </w:tcPr>
          <w:p>
            <w:pPr>
              <w:spacing w:after="60" w:line="259" w:lineRule="auto"/>
            </w:pPr>
            <w:r>
              <w:rPr>
                <w:rFonts w:ascii="Calibri" w:hAnsi="Calibri"/>
                <w:b w:val="0"/>
                <w:i w:val="0"/>
                <w:color w:val="212121"/>
                <w:sz w:val="19"/>
              </w:rPr>
              <w:t>Late-life anxiety is common but under-recognised, driven by physical illness and multimorbidity, sensory decline, bereavement, isolation, fear of falling and polypharmacy; it frequently overlaps with depression and cognitive change.</w:t>
            </w:r>
          </w:p>
          <w:p>
            <w:pPr>
              <w:spacing w:after="40" w:before="60" w:line="259" w:lineRule="auto"/>
            </w:pPr>
            <w:r>
              <w:rPr>
                <w:rFonts w:ascii="Calibri" w:hAnsi="Calibri"/>
                <w:b w:val="0"/>
                <w:i w:val="0"/>
                <w:color w:val="212121"/>
                <w:sz w:val="19"/>
              </w:rPr>
              <w:t>India's mental-health burden is about 2,443 DALYs per 100,000 population and is rising with population ageing (WHO India).</w:t>
            </w:r>
          </w:p>
          <w:p>
            <w:pPr>
              <w:spacing w:after="40" w:line="252" w:lineRule="auto"/>
            </w:pPr>
            <w:hyperlink r:id="rId11">
              <w:r>
                <w:rPr>
                  <w:rFonts w:ascii="Calibri" w:hAnsi="Calibri" w:cs="Calibri"/>
                  <w:sz w:val="18"/>
                  <w:color w:val="1155CC"/>
                  <w:u w:val="single"/>
                </w:rPr>
                <w:t xml:space="preserve">who.int/india — mental health burden (DALYs)</w:t>
              </w:r>
            </w:hyperlink>
          </w:p>
          <w:p>
            <w:pPr>
              <w:spacing w:before="60" w:after="40"/>
            </w:pPr>
            <w:r>
              <w:rPr>
                <w:rFonts w:ascii="Calibri" w:hAnsi="Calibri"/>
                <w:b w:val="0"/>
                <w:i w:val="0"/>
                <w:color w:val="5A5A5A"/>
                <w:sz w:val="18"/>
              </w:rPr>
              <w:t>#latelifeanxiety  #fearoffalling  #isolation  #multimorbidity  #underrecognised</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Women carry a disproportionate burden of anxiety disorders, reflecting hormonal transitions (perimenstrual, perinatal, perimenopausal), higher rates of trauma and gender-based violence, caregiving load and social disadvantage.</w:t>
            </w:r>
          </w:p>
          <w:p>
            <w:pPr>
              <w:spacing w:after="40" w:before="60" w:line="259" w:lineRule="auto"/>
            </w:pPr>
            <w:r>
              <w:rPr>
                <w:rFonts w:ascii="Calibri" w:hAnsi="Calibri"/>
                <w:b w:val="0"/>
                <w:i w:val="0"/>
                <w:color w:val="212121"/>
                <w:sz w:val="19"/>
              </w:rPr>
              <w:t>WHO: more women are affected by anxiety disorders than men; girls and women are more likely to experience them than boys and men.</w:t>
            </w:r>
          </w:p>
          <w:p>
            <w:pPr>
              <w:spacing w:after="40" w:line="252" w:lineRule="auto"/>
            </w:pPr>
            <w:hyperlink r:id="rId9">
              <w:r>
                <w:rPr>
                  <w:rFonts w:ascii="Calibri" w:hAnsi="Calibri" w:cs="Calibri"/>
                  <w:sz w:val="18"/>
                  <w:color w:val="1155CC"/>
                  <w:u w:val="single"/>
                </w:rPr>
                <w:t xml:space="preserve">who.int — anxiety disorders (sex differences)</w:t>
              </w:r>
            </w:hyperlink>
          </w:p>
          <w:p>
            <w:pPr>
              <w:spacing w:before="60" w:after="40"/>
            </w:pPr>
            <w:r>
              <w:rPr>
                <w:rFonts w:ascii="Calibri" w:hAnsi="Calibri"/>
                <w:b w:val="0"/>
                <w:i w:val="0"/>
                <w:color w:val="5A5A5A"/>
                <w:sz w:val="18"/>
              </w:rPr>
              <w:t>#women  #perinatalanxiety  #hormonal  #GBV  #caregiving</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Male (under-recognised)</w:t>
            </w:r>
          </w:p>
        </w:tc>
        <w:tc>
          <w:tcPr>
            <w:tcW w:type="dxa" w:w="4276"/>
            <w:vAlign w:val="top"/>
          </w:tcPr>
          <w:p>
            <w:pPr>
              <w:spacing w:after="60" w:line="259" w:lineRule="auto"/>
            </w:pPr>
            <w:r>
              <w:rPr>
                <w:rFonts w:ascii="Calibri" w:hAnsi="Calibri"/>
                <w:b w:val="0"/>
                <w:i w:val="0"/>
                <w:color w:val="212121"/>
                <w:sz w:val="19"/>
              </w:rPr>
              <w:t>Men have lower recorded anxiety prevalence but are frequently under-diagnosed: they present with irritability, somatic complaints or anger and often self-medicate with alcohol and tobacco, masking the disorder and worsening outcomes.</w:t>
            </w:r>
          </w:p>
          <w:p>
            <w:pPr>
              <w:spacing w:after="40" w:before="60" w:line="259" w:lineRule="auto"/>
            </w:pPr>
            <w:r>
              <w:rPr>
                <w:rFonts w:ascii="Calibri" w:hAnsi="Calibri"/>
                <w:b w:val="0"/>
                <w:i w:val="0"/>
                <w:color w:val="212121"/>
                <w:sz w:val="19"/>
              </w:rPr>
              <w:t>NMHS 2015–16: overall mental morbidity was higher in men, driven largely by substance-use disorders that commonly coexist with, and mask, underlying anxiety.</w:t>
            </w:r>
          </w:p>
          <w:p>
            <w:pPr>
              <w:spacing w:after="40" w:line="252" w:lineRule="auto"/>
            </w:pPr>
            <w:hyperlink r:id="rId10">
              <w:r>
                <w:rPr>
                  <w:rFonts w:ascii="Calibri" w:hAnsi="Calibri" w:cs="Calibri"/>
                  <w:sz w:val="18"/>
                  <w:color w:val="1155CC"/>
                  <w:u w:val="single"/>
                </w:rPr>
                <w:t xml:space="preserve">journals.sagepub.com — NMHS sex/substance-use pattern</w:t>
              </w:r>
            </w:hyperlink>
          </w:p>
          <w:p>
            <w:pPr>
              <w:spacing w:before="60" w:after="40"/>
            </w:pPr>
            <w:r>
              <w:rPr>
                <w:rFonts w:ascii="Calibri" w:hAnsi="Calibri"/>
                <w:b w:val="0"/>
                <w:i w:val="0"/>
                <w:color w:val="5A5A5A"/>
                <w:sz w:val="18"/>
              </w:rPr>
              <w:t>#men  #selfmedication  #alcohol  #somaticpresentation  #underdiagnosis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 income / low education households</w:t>
            </w:r>
          </w:p>
        </w:tc>
        <w:tc>
          <w:tcPr>
            <w:tcW w:type="dxa" w:w="4276"/>
            <w:vAlign w:val="top"/>
          </w:tcPr>
          <w:p>
            <w:pPr>
              <w:spacing w:after="60" w:line="259" w:lineRule="auto"/>
            </w:pPr>
            <w:r>
              <w:rPr>
                <w:rFonts w:ascii="Calibri" w:hAnsi="Calibri"/>
                <w:b w:val="0"/>
                <w:i w:val="0"/>
                <w:color w:val="212121"/>
                <w:sz w:val="19"/>
              </w:rPr>
              <w:t>Financial insecurity, indebtedness, unemployment and low education generate chronic stress and operate bidirectionally with anxiety — deprivation raises risk while anxiety impairs work and earning capacity.</w:t>
            </w:r>
          </w:p>
          <w:p>
            <w:pPr>
              <w:spacing w:after="40" w:before="60" w:line="259" w:lineRule="auto"/>
            </w:pPr>
            <w:r>
              <w:rPr>
                <w:rFonts w:ascii="Calibri" w:hAnsi="Calibri"/>
                <w:b w:val="0"/>
                <w:i w:val="0"/>
                <w:color w:val="212121"/>
                <w:sz w:val="19"/>
              </w:rPr>
              <w:t>NMHS 2015–16: mental morbidity, including neurotic and stress-related disorders, was higher among those with lower household income and lower education.</w:t>
            </w:r>
          </w:p>
          <w:p>
            <w:pPr>
              <w:spacing w:after="40" w:line="252" w:lineRule="auto"/>
            </w:pPr>
            <w:hyperlink r:id="rId10">
              <w:r>
                <w:rPr>
                  <w:rFonts w:ascii="Calibri" w:hAnsi="Calibri" w:cs="Calibri"/>
                  <w:sz w:val="18"/>
                  <w:color w:val="1155CC"/>
                  <w:u w:val="single"/>
                </w:rPr>
                <w:t xml:space="preserve">journals.sagepub.com — NMHS socio-economic correlates</w:t>
              </w:r>
            </w:hyperlink>
          </w:p>
          <w:p>
            <w:pPr>
              <w:spacing w:before="60" w:after="40"/>
            </w:pPr>
            <w:r>
              <w:rPr>
                <w:rFonts w:ascii="Calibri" w:hAnsi="Calibri"/>
                <w:b w:val="0"/>
                <w:i w:val="0"/>
                <w:color w:val="5A5A5A"/>
                <w:sz w:val="18"/>
              </w:rPr>
              <w:t>#poverty  #debt  #unemployment  #financialstress  #inequity</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Residence</w:t>
            </w:r>
          </w:p>
        </w:tc>
        <w:tc>
          <w:tcPr>
            <w:tcW w:type="dxa" w:w="2160"/>
            <w:vAlign w:val="top"/>
          </w:tcPr>
          <w:p>
            <w:pPr>
              <w:spacing w:after="40" w:before="0" w:line="259" w:lineRule="auto"/>
            </w:pPr>
            <w:r>
              <w:rPr>
                <w:rFonts w:ascii="Calibri" w:hAnsi="Calibri"/>
                <w:b w:val="0"/>
                <w:i w:val="0"/>
                <w:color w:val="212121"/>
                <w:sz w:val="19"/>
              </w:rPr>
              <w:t>Urban-metropolitan residents</w:t>
            </w:r>
          </w:p>
        </w:tc>
        <w:tc>
          <w:tcPr>
            <w:tcW w:type="dxa" w:w="4276"/>
            <w:vAlign w:val="top"/>
          </w:tcPr>
          <w:p>
            <w:pPr>
              <w:spacing w:after="60" w:line="259" w:lineRule="auto"/>
            </w:pPr>
            <w:r>
              <w:rPr>
                <w:rFonts w:ascii="Calibri" w:hAnsi="Calibri"/>
                <w:b w:val="0"/>
                <w:i w:val="0"/>
                <w:color w:val="212121"/>
                <w:sz w:val="19"/>
              </w:rPr>
              <w:t>Metro living concentrates long work hours, commuting, financial pressure, competition, social fragmentation and nuclear-family isolation, all of which raise anxiety while eroding traditional social support.</w:t>
            </w:r>
          </w:p>
          <w:p>
            <w:pPr>
              <w:spacing w:after="40" w:before="60" w:line="259" w:lineRule="auto"/>
            </w:pPr>
            <w:r>
              <w:rPr>
                <w:rFonts w:ascii="Calibri" w:hAnsi="Calibri"/>
                <w:b w:val="0"/>
                <w:i w:val="0"/>
                <w:color w:val="212121"/>
                <w:sz w:val="19"/>
              </w:rPr>
              <w:t>NMHS 2015–16: prevalence of mental morbidity was highest in urban-metro areas compared with urban non-metro and rural areas.</w:t>
            </w:r>
          </w:p>
          <w:p>
            <w:pPr>
              <w:spacing w:after="40" w:line="252" w:lineRule="auto"/>
            </w:pPr>
            <w:hyperlink r:id="rId10">
              <w:r>
                <w:rPr>
                  <w:rFonts w:ascii="Calibri" w:hAnsi="Calibri" w:cs="Calibri"/>
                  <w:sz w:val="18"/>
                  <w:color w:val="1155CC"/>
                  <w:u w:val="single"/>
                </w:rPr>
                <w:t xml:space="preserve">journals.sagepub.com — NMHS urban-metro gradient</w:t>
              </w:r>
            </w:hyperlink>
          </w:p>
          <w:p>
            <w:pPr>
              <w:spacing w:before="60" w:after="40"/>
            </w:pPr>
            <w:r>
              <w:rPr>
                <w:rFonts w:ascii="Calibri" w:hAnsi="Calibri"/>
                <w:b w:val="0"/>
                <w:i w:val="0"/>
                <w:color w:val="5A5A5A"/>
                <w:sz w:val="18"/>
              </w:rPr>
              <w:t>#urbanmetro  #worklife  #citystress  #socialisolation  #commuting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 setting</w:t>
            </w:r>
          </w:p>
        </w:tc>
        <w:tc>
          <w:tcPr>
            <w:tcW w:type="dxa" w:w="2160"/>
            <w:vAlign w:val="top"/>
          </w:tcPr>
          <w:p>
            <w:pPr>
              <w:spacing w:after="40" w:before="0" w:line="259" w:lineRule="auto"/>
            </w:pPr>
            <w:r>
              <w:rPr>
                <w:rFonts w:ascii="Calibri" w:hAnsi="Calibri"/>
                <w:b w:val="0"/>
                <w:i w:val="0"/>
                <w:color w:val="212121"/>
                <w:sz w:val="19"/>
              </w:rPr>
              <w:t>Disaster-, conflict- and displacement-affected populations</w:t>
            </w:r>
          </w:p>
        </w:tc>
        <w:tc>
          <w:tcPr>
            <w:tcW w:type="dxa" w:w="4276"/>
            <w:vAlign w:val="top"/>
          </w:tcPr>
          <w:p>
            <w:pPr>
              <w:spacing w:after="60" w:line="259" w:lineRule="auto"/>
            </w:pPr>
            <w:r>
              <w:rPr>
                <w:rFonts w:ascii="Calibri" w:hAnsi="Calibri"/>
                <w:b w:val="0"/>
                <w:i w:val="0"/>
                <w:color w:val="212121"/>
                <w:sz w:val="19"/>
              </w:rPr>
              <w:t>Populations exposed to disasters, conflict, displacement and chronic insecurity show markedly elevated anxiety, panic and stress-related disorders through repeated trauma and loss of safety and livelihood.</w:t>
            </w:r>
          </w:p>
          <w:p>
            <w:pPr>
              <w:spacing w:after="40" w:before="60" w:line="259" w:lineRule="auto"/>
            </w:pPr>
            <w:r>
              <w:rPr>
                <w:rFonts w:ascii="Calibri" w:hAnsi="Calibri"/>
                <w:b w:val="0"/>
                <w:i w:val="0"/>
                <w:color w:val="212121"/>
                <w:sz w:val="19"/>
              </w:rPr>
              <w:t>Globally about 1.1 billion people (nearly 1 in 7) were living with a mental disorder in 2021, with anxiety and depressive disorders the most common (WHO).</w:t>
            </w:r>
          </w:p>
          <w:p>
            <w:pPr>
              <w:spacing w:after="40" w:line="252" w:lineRule="auto"/>
            </w:pPr>
            <w:hyperlink r:id="rId12">
              <w:r>
                <w:rPr>
                  <w:rFonts w:ascii="Calibri" w:hAnsi="Calibri" w:cs="Calibri"/>
                  <w:sz w:val="18"/>
                  <w:color w:val="1155CC"/>
                  <w:u w:val="single"/>
                </w:rPr>
                <w:t xml:space="preserve">who.int — mental disorders fact sheet</w:t>
              </w:r>
            </w:hyperlink>
          </w:p>
          <w:p>
            <w:pPr>
              <w:spacing w:before="60" w:after="40"/>
            </w:pPr>
            <w:r>
              <w:rPr>
                <w:rFonts w:ascii="Calibri" w:hAnsi="Calibri"/>
                <w:b w:val="0"/>
                <w:i w:val="0"/>
                <w:color w:val="5A5A5A"/>
                <w:sz w:val="18"/>
              </w:rPr>
              <w:t>#disaster  #conflict  #displacement  #trauma  #insecurity</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 / physically inactive</w:t>
            </w:r>
          </w:p>
        </w:tc>
        <w:tc>
          <w:tcPr>
            <w:tcW w:type="dxa" w:w="2160"/>
            <w:vAlign w:val="top"/>
          </w:tcPr>
          <w:p>
            <w:pPr>
              <w:spacing w:after="40" w:before="0" w:line="259" w:lineRule="auto"/>
            </w:pPr>
            <w:r>
              <w:rPr>
                <w:rFonts w:ascii="Calibri" w:hAnsi="Calibri"/>
                <w:b w:val="0"/>
                <w:i w:val="0"/>
                <w:color w:val="212121"/>
                <w:sz w:val="19"/>
              </w:rPr>
              <w:t>Screen-bound, physically inactive adults</w:t>
            </w:r>
          </w:p>
        </w:tc>
        <w:tc>
          <w:tcPr>
            <w:tcW w:type="dxa" w:w="4276"/>
            <w:vAlign w:val="top"/>
          </w:tcPr>
          <w:p>
            <w:pPr>
              <w:spacing w:after="60" w:line="259" w:lineRule="auto"/>
            </w:pPr>
            <w:r>
              <w:rPr>
                <w:rFonts w:ascii="Calibri" w:hAnsi="Calibri"/>
                <w:b w:val="0"/>
                <w:i w:val="0"/>
                <w:color w:val="212121"/>
                <w:sz w:val="19"/>
              </w:rPr>
              <w:t>Physical inactivity is a modifiable risk factor for anxiety; regular exercise reduces anxiety symptoms via endorphin, BDNF, HPA-axis and interoceptive-exposure pathways, whereas sedentary, screen-heavy routines worsen arousal and rumination.</w:t>
            </w:r>
          </w:p>
          <w:p>
            <w:pPr>
              <w:spacing w:after="40" w:before="60" w:line="259" w:lineRule="auto"/>
            </w:pPr>
            <w:r>
              <w:rPr>
                <w:rFonts w:ascii="Calibri" w:hAnsi="Calibri"/>
                <w:b w:val="0"/>
                <w:i w:val="0"/>
                <w:color w:val="212121"/>
                <w:sz w:val="19"/>
              </w:rPr>
              <w:t>WHO: regular physical activity reduces symptoms of anxiety and depression; adults should do at least 150 minutes of moderate-intensity activity per week.</w:t>
            </w:r>
          </w:p>
          <w:p>
            <w:pPr>
              <w:spacing w:after="40" w:line="252" w:lineRule="auto"/>
            </w:pPr>
            <w:hyperlink r:id="rId13">
              <w:r>
                <w:rPr>
                  <w:rFonts w:ascii="Calibri" w:hAnsi="Calibri" w:cs="Calibri"/>
                  <w:sz w:val="18"/>
                  <w:color w:val="1155CC"/>
                  <w:u w:val="single"/>
                </w:rPr>
                <w:t xml:space="preserve">who.int — physical activity &amp; mental health</w:t>
              </w:r>
            </w:hyperlink>
          </w:p>
          <w:p>
            <w:pPr>
              <w:spacing w:before="60" w:after="40"/>
            </w:pPr>
            <w:r>
              <w:rPr>
                <w:rFonts w:ascii="Calibri" w:hAnsi="Calibri"/>
                <w:b w:val="0"/>
                <w:i w:val="0"/>
                <w:color w:val="5A5A5A"/>
                <w:sz w:val="18"/>
              </w:rPr>
              <w:t>#sedentary  #exercise  #screentime  #rumination  #lowactivity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Substance use</w:t>
            </w:r>
          </w:p>
        </w:tc>
        <w:tc>
          <w:tcPr>
            <w:tcW w:type="dxa" w:w="2160"/>
            <w:vAlign w:val="top"/>
          </w:tcPr>
          <w:p>
            <w:pPr>
              <w:spacing w:after="40" w:before="0" w:line="259" w:lineRule="auto"/>
            </w:pPr>
            <w:r>
              <w:rPr>
                <w:rFonts w:ascii="Calibri" w:hAnsi="Calibri"/>
                <w:b w:val="0"/>
                <w:i w:val="0"/>
                <w:color w:val="212121"/>
                <w:sz w:val="19"/>
              </w:rPr>
              <w:t>Caffeine, tobacco, alcohol &amp; cannabis users</w:t>
            </w:r>
          </w:p>
        </w:tc>
        <w:tc>
          <w:tcPr>
            <w:tcW w:type="dxa" w:w="4276"/>
            <w:vAlign w:val="top"/>
          </w:tcPr>
          <w:p>
            <w:pPr>
              <w:spacing w:after="60" w:line="259" w:lineRule="auto"/>
            </w:pPr>
            <w:r>
              <w:rPr>
                <w:rFonts w:ascii="Calibri" w:hAnsi="Calibri"/>
                <w:b w:val="0"/>
                <w:i w:val="0"/>
                <w:color w:val="212121"/>
                <w:sz w:val="19"/>
              </w:rPr>
              <w:t>Stimulants (caffeine, nicotine) directly provoke anxiety and panic, while alcohol and benzodiazepine withdrawal rebound anxiety; cannabis and self-medication set up a bidirectional cycle that maintains the disorder.</w:t>
            </w:r>
          </w:p>
          <w:p>
            <w:pPr>
              <w:spacing w:after="40" w:before="60" w:line="259" w:lineRule="auto"/>
            </w:pPr>
            <w:r>
              <w:rPr>
                <w:rFonts w:ascii="Calibri" w:hAnsi="Calibri"/>
                <w:b w:val="0"/>
                <w:i w:val="0"/>
                <w:color w:val="212121"/>
                <w:sz w:val="19"/>
              </w:rPr>
              <w:t>DSM-5 recognises caffeine-induced anxiety disorder; heavy caffeine, stimulant use and alcohol/sedative withdrawal are common, reversible triggers of anxiety and panic.</w:t>
            </w:r>
          </w:p>
          <w:p>
            <w:pPr>
              <w:spacing w:before="60" w:after="40"/>
            </w:pPr>
            <w:r>
              <w:rPr>
                <w:rFonts w:ascii="Calibri" w:hAnsi="Calibri"/>
                <w:b w:val="0"/>
                <w:i w:val="0"/>
                <w:color w:val="5A5A5A"/>
                <w:sz w:val="18"/>
              </w:rPr>
              <w:t>#caffeine  #nicotine  #alcohol  #cannabis  #withdrawal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Sleep</w:t>
            </w:r>
          </w:p>
        </w:tc>
        <w:tc>
          <w:tcPr>
            <w:tcW w:type="dxa" w:w="2160"/>
            <w:vAlign w:val="top"/>
          </w:tcPr>
          <w:p>
            <w:pPr>
              <w:spacing w:after="40" w:before="0" w:line="259" w:lineRule="auto"/>
            </w:pPr>
            <w:r>
              <w:rPr>
                <w:rFonts w:ascii="Calibri" w:hAnsi="Calibri"/>
                <w:b w:val="0"/>
                <w:i w:val="0"/>
                <w:color w:val="212121"/>
                <w:sz w:val="19"/>
              </w:rPr>
              <w:t>Insomniacs &amp; shift workers</w:t>
            </w:r>
          </w:p>
        </w:tc>
        <w:tc>
          <w:tcPr>
            <w:tcW w:type="dxa" w:w="4276"/>
            <w:vAlign w:val="top"/>
          </w:tcPr>
          <w:p>
            <w:pPr>
              <w:spacing w:after="60" w:line="259" w:lineRule="auto"/>
            </w:pPr>
            <w:r>
              <w:rPr>
                <w:rFonts w:ascii="Calibri" w:hAnsi="Calibri"/>
                <w:b w:val="0"/>
                <w:i w:val="0"/>
                <w:color w:val="212121"/>
                <w:sz w:val="19"/>
              </w:rPr>
              <w:t>Insomnia and circadian disruption are bidirectionally linked with anxiety — sleep loss heightens amygdala reactivity and next-day worry, while anxiety and hyper-arousal fragment sleep, creating a self-reinforcing loop.</w:t>
            </w:r>
          </w:p>
          <w:p>
            <w:pPr>
              <w:spacing w:after="40" w:before="60" w:line="259" w:lineRule="auto"/>
            </w:pPr>
            <w:r>
              <w:rPr>
                <w:rFonts w:ascii="Calibri" w:hAnsi="Calibri"/>
                <w:b w:val="0"/>
                <w:i w:val="0"/>
                <w:color w:val="212121"/>
                <w:sz w:val="19"/>
              </w:rPr>
              <w:t>Persistent insomnia is a strong, modifiable predictor of new-onset and relapsing anxiety disorders and often precedes symptomatic worsening.</w:t>
            </w:r>
          </w:p>
          <w:p>
            <w:pPr>
              <w:spacing w:before="60" w:after="40"/>
            </w:pPr>
            <w:r>
              <w:rPr>
                <w:rFonts w:ascii="Calibri" w:hAnsi="Calibri"/>
                <w:b w:val="0"/>
                <w:i w:val="0"/>
                <w:color w:val="5A5A5A"/>
                <w:sz w:val="18"/>
              </w:rPr>
              <w:t>#insomnia  #shiftwork  #circadian  #hyperarousal  #sleeploss</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Stimulant intake</w:t>
            </w:r>
          </w:p>
        </w:tc>
        <w:tc>
          <w:tcPr>
            <w:tcW w:type="dxa" w:w="2160"/>
            <w:vAlign w:val="top"/>
          </w:tcPr>
          <w:p>
            <w:pPr>
              <w:spacing w:after="40" w:before="0" w:line="259" w:lineRule="auto"/>
            </w:pPr>
            <w:r>
              <w:rPr>
                <w:rFonts w:ascii="Calibri" w:hAnsi="Calibri"/>
                <w:b w:val="0"/>
                <w:i w:val="0"/>
                <w:color w:val="212121"/>
                <w:sz w:val="19"/>
              </w:rPr>
              <w:t>High caffeine / energy-drink consumers</w:t>
            </w:r>
          </w:p>
        </w:tc>
        <w:tc>
          <w:tcPr>
            <w:tcW w:type="dxa" w:w="4276"/>
            <w:vAlign w:val="top"/>
          </w:tcPr>
          <w:p>
            <w:pPr>
              <w:spacing w:after="60" w:line="259" w:lineRule="auto"/>
            </w:pPr>
            <w:r>
              <w:rPr>
                <w:rFonts w:ascii="Calibri" w:hAnsi="Calibri"/>
                <w:b w:val="0"/>
                <w:i w:val="0"/>
                <w:color w:val="212121"/>
                <w:sz w:val="19"/>
              </w:rPr>
              <w:t>Caffeine is an adenosine antagonist that raises sympathetic arousal; high intake (strong tea/coffee, colas, energy drinks) can precipitate palpitations, restlessness, panic and insomnia, especially in susceptible or slow-metabolising individuals.</w:t>
            </w:r>
          </w:p>
          <w:p>
            <w:pPr>
              <w:spacing w:after="40" w:before="60" w:line="259" w:lineRule="auto"/>
            </w:pPr>
            <w:r>
              <w:rPr>
                <w:rFonts w:ascii="Calibri" w:hAnsi="Calibri"/>
                <w:b w:val="0"/>
                <w:i w:val="0"/>
                <w:color w:val="212121"/>
                <w:sz w:val="19"/>
              </w:rPr>
              <w:t>Intake above roughly 400 mg caffeine/day (or evening intake) is associated with worse anxiety, panic and insomnia; DSM-5 lists caffeine-induced anxiety disorder.</w:t>
            </w:r>
          </w:p>
          <w:p>
            <w:pPr>
              <w:spacing w:before="60" w:after="40"/>
            </w:pPr>
            <w:r>
              <w:rPr>
                <w:rFonts w:ascii="Calibri" w:hAnsi="Calibri"/>
                <w:b w:val="0"/>
                <w:i w:val="0"/>
                <w:color w:val="5A5A5A"/>
                <w:sz w:val="18"/>
              </w:rPr>
              <w:t>#caffeine  #energydrinks  #palpitations  #panic  #stimulant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Diet quality / micronutrients</w:t>
            </w:r>
          </w:p>
        </w:tc>
        <w:tc>
          <w:tcPr>
            <w:tcW w:type="dxa" w:w="2160"/>
            <w:vAlign w:val="top"/>
          </w:tcPr>
          <w:p>
            <w:pPr>
              <w:spacing w:after="40" w:before="0" w:line="259" w:lineRule="auto"/>
            </w:pPr>
            <w:r>
              <w:rPr>
                <w:rFonts w:ascii="Calibri" w:hAnsi="Calibri"/>
                <w:b w:val="0"/>
                <w:i w:val="0"/>
                <w:color w:val="212121"/>
                <w:sz w:val="19"/>
              </w:rPr>
              <w:t>Ultra-processed-diet &amp; B12/vitamin-D/magnesium-deficient</w:t>
            </w:r>
          </w:p>
        </w:tc>
        <w:tc>
          <w:tcPr>
            <w:tcW w:type="dxa" w:w="4276"/>
            <w:vAlign w:val="top"/>
          </w:tcPr>
          <w:p>
            <w:pPr>
              <w:spacing w:after="60" w:line="259" w:lineRule="auto"/>
            </w:pPr>
            <w:r>
              <w:rPr>
                <w:rFonts w:ascii="Calibri" w:hAnsi="Calibri"/>
                <w:b w:val="0"/>
                <w:i w:val="0"/>
                <w:color w:val="212121"/>
                <w:sz w:val="19"/>
              </w:rPr>
              <w:t>Diets high in refined sugar and ultra-processed foods and low in fruit, vegetables and omega-3s are linked to higher anxiety via inflammation and gut-brain signalling; deficiencies of vitamin B12, vitamin D and magnesium (common in Indian vegetarian/low-income diets) can worsen anxiety and fatigue.</w:t>
            </w:r>
          </w:p>
          <w:p>
            <w:pPr>
              <w:spacing w:after="40" w:before="60" w:line="259" w:lineRule="auto"/>
            </w:pPr>
            <w:r>
              <w:rPr>
                <w:rFonts w:ascii="Calibri" w:hAnsi="Calibri"/>
                <w:b w:val="0"/>
                <w:i w:val="0"/>
                <w:color w:val="212121"/>
                <w:sz w:val="19"/>
              </w:rPr>
              <w:t>Poor diet quality and micronutrient deficiency co-travel with sedentary behaviour and stress, compounding anxiety and depressive symptoms.</w:t>
            </w:r>
          </w:p>
          <w:p>
            <w:pPr>
              <w:spacing w:before="60" w:after="40"/>
            </w:pPr>
            <w:r>
              <w:rPr>
                <w:rFonts w:ascii="Calibri" w:hAnsi="Calibri"/>
                <w:b w:val="0"/>
                <w:i w:val="0"/>
                <w:color w:val="5A5A5A"/>
                <w:sz w:val="18"/>
              </w:rPr>
              <w:t>#ultraprocessed  #gutbrain  #B12  #vitaminD  #magnesium</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 with anxiety/mood disorder</w:t>
            </w:r>
          </w:p>
        </w:tc>
        <w:tc>
          <w:tcPr>
            <w:tcW w:type="dxa" w:w="4276"/>
            <w:vAlign w:val="top"/>
          </w:tcPr>
          <w:p>
            <w:pPr>
              <w:spacing w:after="60" w:line="259" w:lineRule="auto"/>
            </w:pPr>
            <w:r>
              <w:rPr>
                <w:rFonts w:ascii="Calibri" w:hAnsi="Calibri"/>
                <w:b w:val="0"/>
                <w:i w:val="0"/>
                <w:color w:val="212121"/>
                <w:sz w:val="19"/>
              </w:rPr>
              <w:t>A first-degree relative with an anxiety or mood disorder markedly raises risk; anxiety disorders show moderate heritability (~30–50%) and share polygenic risk with depression and the trait of neuroticism.</w:t>
            </w:r>
          </w:p>
          <w:p>
            <w:pPr>
              <w:spacing w:after="40" w:before="60" w:line="259" w:lineRule="auto"/>
            </w:pPr>
            <w:r>
              <w:rPr>
                <w:rFonts w:ascii="Calibri" w:hAnsi="Calibri"/>
                <w:b w:val="0"/>
                <w:i w:val="0"/>
                <w:color w:val="212121"/>
                <w:sz w:val="19"/>
              </w:rPr>
              <w:t>Familial aggregation and moderate heritability (~30–50%) are well established for anxiety disorders, interacting with early-life stress and temperament.</w:t>
            </w:r>
          </w:p>
          <w:p>
            <w:pPr>
              <w:spacing w:before="60" w:after="40"/>
            </w:pPr>
            <w:r>
              <w:rPr>
                <w:rFonts w:ascii="Calibri" w:hAnsi="Calibri"/>
                <w:b w:val="0"/>
                <w:i w:val="0"/>
                <w:color w:val="5A5A5A"/>
                <w:sz w:val="18"/>
              </w:rPr>
              <w:t>#familyhistory  #heritability  #neuroticism  #polygenic  #temperament</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Comorbid depression</w:t>
            </w:r>
          </w:p>
        </w:tc>
        <w:tc>
          <w:tcPr>
            <w:tcW w:type="dxa" w:w="2160"/>
            <w:vAlign w:val="top"/>
          </w:tcPr>
          <w:p>
            <w:pPr>
              <w:spacing w:after="40" w:before="0" w:line="259" w:lineRule="auto"/>
            </w:pPr>
            <w:r>
              <w:rPr>
                <w:rFonts w:ascii="Calibri" w:hAnsi="Calibri"/>
                <w:b w:val="0"/>
                <w:i w:val="0"/>
                <w:color w:val="212121"/>
                <w:sz w:val="19"/>
              </w:rPr>
              <w:t>Patients with coexisting depressive disorder</w:t>
            </w:r>
          </w:p>
        </w:tc>
        <w:tc>
          <w:tcPr>
            <w:tcW w:type="dxa" w:w="4276"/>
            <w:vAlign w:val="top"/>
          </w:tcPr>
          <w:p>
            <w:pPr>
              <w:spacing w:after="60" w:line="259" w:lineRule="auto"/>
            </w:pPr>
            <w:r>
              <w:rPr>
                <w:rFonts w:ascii="Calibri" w:hAnsi="Calibri"/>
                <w:b w:val="0"/>
                <w:i w:val="0"/>
                <w:color w:val="212121"/>
                <w:sz w:val="19"/>
              </w:rPr>
              <w:t>Anxiety and depression share pathophysiology and very frequently co-occur; comorbid depression increases disability, somatic presentation, chronicity and suicide risk, and is the rule rather than the exception.</w:t>
            </w:r>
          </w:p>
          <w:p>
            <w:pPr>
              <w:spacing w:after="40" w:before="60" w:line="259" w:lineRule="auto"/>
            </w:pPr>
            <w:r>
              <w:rPr>
                <w:rFonts w:ascii="Calibri" w:hAnsi="Calibri"/>
                <w:b w:val="0"/>
                <w:i w:val="0"/>
                <w:color w:val="212121"/>
                <w:sz w:val="19"/>
              </w:rPr>
              <w:t>WHO: depression affects about 332 million people (5.7% of adults; 6.9% of women vs 4.6% of men) and commonly coexists with anxiety, amplifying disability.</w:t>
            </w:r>
          </w:p>
          <w:p>
            <w:pPr>
              <w:spacing w:after="40" w:line="252" w:lineRule="auto"/>
            </w:pPr>
            <w:hyperlink r:id="rId14">
              <w:r>
                <w:rPr>
                  <w:rFonts w:ascii="Calibri" w:hAnsi="Calibri" w:cs="Calibri"/>
                  <w:sz w:val="18"/>
                  <w:color w:val="1155CC"/>
                  <w:u w:val="single"/>
                </w:rPr>
                <w:t xml:space="preserve">who.int — depression fact sheet</w:t>
              </w:r>
            </w:hyperlink>
          </w:p>
          <w:p>
            <w:pPr>
              <w:spacing w:before="60" w:after="40"/>
            </w:pPr>
            <w:r>
              <w:rPr>
                <w:rFonts w:ascii="Calibri" w:hAnsi="Calibri"/>
                <w:b w:val="0"/>
                <w:i w:val="0"/>
                <w:color w:val="5A5A5A"/>
                <w:sz w:val="18"/>
              </w:rPr>
              <w:t>#depression  #comorbidity  #mixedanxietydepression  #disability  #suiciderisk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Thyroid &amp; endocrine disease</w:t>
            </w:r>
          </w:p>
        </w:tc>
        <w:tc>
          <w:tcPr>
            <w:tcW w:type="dxa" w:w="2160"/>
            <w:vAlign w:val="top"/>
          </w:tcPr>
          <w:p>
            <w:pPr>
              <w:spacing w:after="40" w:before="0" w:line="259" w:lineRule="auto"/>
            </w:pPr>
            <w:r>
              <w:rPr>
                <w:rFonts w:ascii="Calibri" w:hAnsi="Calibri"/>
                <w:b w:val="0"/>
                <w:i w:val="0"/>
                <w:color w:val="212121"/>
                <w:sz w:val="19"/>
              </w:rPr>
              <w:t>Hyperthyroid / thyroid-dysfunction patients</w:t>
            </w:r>
          </w:p>
        </w:tc>
        <w:tc>
          <w:tcPr>
            <w:tcW w:type="dxa" w:w="4276"/>
            <w:vAlign w:val="top"/>
          </w:tcPr>
          <w:p>
            <w:pPr>
              <w:spacing w:after="60" w:line="259" w:lineRule="auto"/>
            </w:pPr>
            <w:r>
              <w:rPr>
                <w:rFonts w:ascii="Calibri" w:hAnsi="Calibri"/>
                <w:b w:val="0"/>
                <w:i w:val="0"/>
                <w:color w:val="212121"/>
                <w:sz w:val="19"/>
              </w:rPr>
              <w:t>Hyperthyroidism (and thyroid dysregulation) both mimics and provokes anxiety through adrenergic overactivity — palpitations, tremor, restlessness and heat intolerance — so thyroid status must be assessed in new or treatment-resistant anxiety.</w:t>
            </w:r>
          </w:p>
          <w:p>
            <w:pPr>
              <w:spacing w:after="40" w:before="60" w:line="259" w:lineRule="auto"/>
            </w:pPr>
            <w:r>
              <w:rPr>
                <w:rFonts w:ascii="Calibri" w:hAnsi="Calibri"/>
                <w:b w:val="0"/>
                <w:i w:val="0"/>
                <w:color w:val="212121"/>
                <w:sz w:val="19"/>
              </w:rPr>
              <w:t>Thyroid dysfunction is a common, reversible organic mimic and trigger of anxiety; screening TSH is standard in new anxiety presentations.</w:t>
            </w:r>
          </w:p>
          <w:p>
            <w:pPr>
              <w:spacing w:before="60" w:after="40"/>
            </w:pPr>
            <w:r>
              <w:rPr>
                <w:rFonts w:ascii="Calibri" w:hAnsi="Calibri"/>
                <w:b w:val="0"/>
                <w:i w:val="0"/>
                <w:color w:val="5A5A5A"/>
                <w:sz w:val="18"/>
              </w:rPr>
              <w:t>#hyperthyroidism  #thyroid  #adrenergic  #palpitations  #organicmimic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Cardio-respiratory disease</w:t>
            </w:r>
          </w:p>
        </w:tc>
        <w:tc>
          <w:tcPr>
            <w:tcW w:type="dxa" w:w="2160"/>
            <w:vAlign w:val="top"/>
          </w:tcPr>
          <w:p>
            <w:pPr>
              <w:spacing w:after="40" w:before="0" w:line="259" w:lineRule="auto"/>
            </w:pPr>
            <w:r>
              <w:rPr>
                <w:rFonts w:ascii="Calibri" w:hAnsi="Calibri"/>
                <w:b w:val="0"/>
                <w:i w:val="0"/>
                <w:color w:val="212121"/>
                <w:sz w:val="19"/>
              </w:rPr>
              <w:t>Cardiac (IHD/arrhythmia), asthma &amp; COPD patients</w:t>
            </w:r>
          </w:p>
        </w:tc>
        <w:tc>
          <w:tcPr>
            <w:tcW w:type="dxa" w:w="4276"/>
            <w:vAlign w:val="top"/>
          </w:tcPr>
          <w:p>
            <w:pPr>
              <w:spacing w:after="60" w:line="259" w:lineRule="auto"/>
            </w:pPr>
            <w:r>
              <w:rPr>
                <w:rFonts w:ascii="Calibri" w:hAnsi="Calibri"/>
                <w:b w:val="0"/>
                <w:i w:val="0"/>
                <w:color w:val="212121"/>
                <w:sz w:val="19"/>
              </w:rPr>
              <w:t>Anxiety is bidirectionally linked with cardiac and respiratory disease: breathlessness, palpitations and hypoxia trigger fear, while chronic anxiety raises sympathetic drive and worsens cardiovascular risk, adherence and outcomes.</w:t>
            </w:r>
          </w:p>
          <w:p>
            <w:pPr>
              <w:spacing w:after="40" w:before="60" w:line="259" w:lineRule="auto"/>
            </w:pPr>
            <w:r>
              <w:rPr>
                <w:rFonts w:ascii="Calibri" w:hAnsi="Calibri"/>
                <w:b w:val="0"/>
                <w:i w:val="0"/>
                <w:color w:val="212121"/>
                <w:sz w:val="19"/>
              </w:rPr>
              <w:t>Anxiety and panic are markedly over-represented in people with ischaemic heart disease, arrhythmia, asthma and COPD, and worsen symptom burden and prognosis.</w:t>
            </w:r>
          </w:p>
          <w:p>
            <w:pPr>
              <w:spacing w:before="60" w:after="40"/>
            </w:pPr>
            <w:r>
              <w:rPr>
                <w:rFonts w:ascii="Calibri" w:hAnsi="Calibri"/>
                <w:b w:val="0"/>
                <w:i w:val="0"/>
                <w:color w:val="5A5A5A"/>
                <w:sz w:val="18"/>
              </w:rPr>
              <w:t>#cardiac  #asthma  #COPD  #palpitations  #dyspnoea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Functional &amp; chronic-pain disorders</w:t>
            </w:r>
          </w:p>
        </w:tc>
        <w:tc>
          <w:tcPr>
            <w:tcW w:type="dxa" w:w="2160"/>
            <w:vAlign w:val="top"/>
          </w:tcPr>
          <w:p>
            <w:pPr>
              <w:spacing w:after="40" w:before="0" w:line="259" w:lineRule="auto"/>
            </w:pPr>
            <w:r>
              <w:rPr>
                <w:rFonts w:ascii="Calibri" w:hAnsi="Calibri"/>
                <w:b w:val="0"/>
                <w:i w:val="0"/>
                <w:color w:val="212121"/>
                <w:sz w:val="19"/>
              </w:rPr>
              <w:t>IBS, chronic pain &amp; migraine patients</w:t>
            </w:r>
          </w:p>
        </w:tc>
        <w:tc>
          <w:tcPr>
            <w:tcW w:type="dxa" w:w="4276"/>
            <w:vAlign w:val="top"/>
          </w:tcPr>
          <w:p>
            <w:pPr>
              <w:spacing w:after="60" w:line="259" w:lineRule="auto"/>
            </w:pPr>
            <w:r>
              <w:rPr>
                <w:rFonts w:ascii="Calibri" w:hAnsi="Calibri"/>
                <w:b w:val="0"/>
                <w:i w:val="0"/>
                <w:color w:val="212121"/>
                <w:sz w:val="19"/>
              </w:rPr>
              <w:t>Functional gastrointestinal disorders (IBS), chronic pain and migraine share gut-brain and central-sensitisation pathways with anxiety and reciprocally amplify each other, driving somatic presentation and health-care use.</w:t>
            </w:r>
          </w:p>
          <w:p>
            <w:pPr>
              <w:spacing w:after="40" w:before="60" w:line="259" w:lineRule="auto"/>
            </w:pPr>
            <w:r>
              <w:rPr>
                <w:rFonts w:ascii="Calibri" w:hAnsi="Calibri"/>
                <w:b w:val="0"/>
                <w:i w:val="0"/>
                <w:color w:val="212121"/>
                <w:sz w:val="19"/>
              </w:rPr>
              <w:t>Anxiety is highly comorbid with irritable bowel syndrome, chronic pain and migraine through shared gut-brain and central-sensitisation mechanisms.</w:t>
            </w:r>
          </w:p>
          <w:p>
            <w:pPr>
              <w:spacing w:before="60" w:after="40"/>
            </w:pPr>
            <w:r>
              <w:rPr>
                <w:rFonts w:ascii="Calibri" w:hAnsi="Calibri"/>
                <w:b w:val="0"/>
                <w:i w:val="0"/>
                <w:color w:val="5A5A5A"/>
                <w:sz w:val="18"/>
              </w:rPr>
              <w:t>#IBS  #chronicpain  #migraine  #gutbrain  #somatic</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WHO confirms regular physical activity reduces symptoms of anxiety and depression; ≥150 min/week of moderate activity (and yoga/breathing practices) lowers arousal and worry, while inactivity and prolonged sitting worsen anxiety.</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Diets high in refined sugar and ultra-processed foods and low in fruit, vegetables, fibre and omega-3s are linked to higher anxiety via inflammation and gut-brain signalling; B12, vitamin-D and magnesium deficiency (common in Indian diets) can worsen symptoms.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Insomnia and circadian disruption are bidirectionally linked with anxiety — sleep loss heightens amygdala reactivity and next-day worry, while hyper-arousal fragments sleep, forming a self-reinforcing loop.</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Nicotine and tobacco-use disorder are strongly comorbid with anxiety in a bidirectional relationship; smoking is often used to self-soothe, but withdrawal and chronic use increase anxiety and panic.</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Alcohol is commonly used to self-medicate anxiety, but tolerance, dependence and rebound/withdrawal anxiety worsen the disorder, adherence and suicide risk; alcohol-use disorder is a major, male-predominant comorbidity in India.</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Prior episodes, comorbid depression, adverse childhood experiences, trauma, high neuroticism and low resilience are the strongest predictors of onset, chronicity and relapse of anxiety disorders.</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supports general and cognitive function and dehydration can transiently worsen tension and concentration, but direct links to anxiety prevention are weak and under-studied.</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Caffeine is a direct, dose-dependent trigger of anxiety and panic; DSM-5 recognises caffeine-induced anxiety disorder, and intake &gt;400 mg/day (or in the evening) worsens anxiety and insomnia in susceptible people.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Personal and sleep hygiene support recovery; declining self-care can mark worsening illness, and in OCD-spectrum presentations hygiene-related compulsions may dominate, but general hygiene is a minor determinant of anxiety.</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Acute stressors — bereavement, job/financial loss, exams, relationship breakdown, trauma/violence, childbirth, physical illness and stimulant intake or sedative withdrawal — commonly precipitate onset, panic attacks or relapse.</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Slumped posture and shallow, upper-chest breathing can heighten the physical sensations of anxiety, while upright posture and slow diaphragmatic breathing modestly reduce arousal; overall a minor, adjunctive factor.</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Moderate-vigorous activity (min/week)</w:t>
            </w:r>
          </w:p>
        </w:tc>
        <w:tc>
          <w:tcPr>
            <w:tcW w:type="dxa" w:w="1655"/>
            <w:vAlign w:val="top"/>
          </w:tcPr>
          <w:p>
            <w:pPr>
              <w:spacing w:after="40" w:before="0" w:line="259" w:lineRule="auto"/>
            </w:pPr>
            <w:r>
              <w:rPr>
                <w:rFonts w:ascii="Calibri" w:hAnsi="Calibri"/>
                <w:b w:val="0"/>
                <w:i w:val="0"/>
                <w:color w:val="212121"/>
                <w:sz w:val="19"/>
              </w:rPr>
              <w:t>Adults, adolescents, sedentary</w:t>
            </w:r>
          </w:p>
        </w:tc>
        <w:tc>
          <w:tcPr>
            <w:tcW w:type="dxa" w:w="1512"/>
            <w:vAlign w:val="top"/>
          </w:tcPr>
          <w:p>
            <w:pPr>
              <w:spacing w:after="40" w:before="0" w:line="259" w:lineRule="auto"/>
            </w:pPr>
            <w:r>
              <w:rPr>
                <w:rFonts w:ascii="Calibri" w:hAnsi="Calibri"/>
                <w:b w:val="0"/>
                <w:i w:val="0"/>
                <w:color w:val="212121"/>
                <w:sz w:val="19"/>
              </w:rPr>
              <w:t>≥150 min/week moderate (or 75 min vigorous)</w:t>
            </w:r>
          </w:p>
        </w:tc>
        <w:tc>
          <w:tcPr>
            <w:tcW w:type="dxa" w:w="1512"/>
            <w:vAlign w:val="top"/>
          </w:tcPr>
          <w:p>
            <w:pPr>
              <w:spacing w:after="40" w:before="0" w:line="259" w:lineRule="auto"/>
            </w:pPr>
            <w:r>
              <w:rPr>
                <w:rFonts w:ascii="Calibri" w:hAnsi="Calibri"/>
                <w:b w:val="0"/>
                <w:i w:val="0"/>
                <w:color w:val="212121"/>
                <w:sz w:val="19"/>
              </w:rPr>
              <w:t>&lt;150 min/week</w:t>
            </w:r>
          </w:p>
        </w:tc>
        <w:tc>
          <w:tcPr>
            <w:tcW w:type="dxa" w:w="1468"/>
            <w:vAlign w:val="top"/>
          </w:tcPr>
          <w:p>
            <w:pPr>
              <w:spacing w:after="60" w:line="259" w:lineRule="auto"/>
            </w:pPr>
            <w:r>
              <w:rPr>
                <w:rFonts w:ascii="Calibri" w:hAnsi="Calibri"/>
                <w:b w:val="0"/>
                <w:i w:val="0"/>
                <w:color w:val="212121"/>
                <w:sz w:val="19"/>
              </w:rPr>
              <w:t>Meeting WHO targets lowers anxiety and depressive symptoms</w:t>
            </w:r>
          </w:p>
          <w:p>
            <w:pPr>
              <w:spacing w:after="40" w:line="252" w:lineRule="auto"/>
            </w:pPr>
            <w:hyperlink r:id="rId13">
              <w:r>
                <w:rPr>
                  <w:rFonts w:ascii="Calibri" w:hAnsi="Calibri" w:cs="Calibri"/>
                  <w:sz w:val="18"/>
                  <w:color w:val="1155CC"/>
                  <w:u w:val="single"/>
                </w:rPr>
                <w:t xml:space="preserve">https://www.who.int/news-room/fact-sheets/detail/physical-activity</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&lt;6 h or persistent insomnia</w:t>
            </w:r>
          </w:p>
        </w:tc>
        <w:tc>
          <w:tcPr>
            <w:tcW w:type="dxa" w:w="1468"/>
            <w:vAlign w:val="top"/>
          </w:tcPr>
          <w:p>
            <w:pPr>
              <w:spacing w:after="40" w:before="0" w:line="259" w:lineRule="auto"/>
            </w:pPr>
            <w:r>
              <w:rPr>
                <w:rFonts w:ascii="Calibri" w:hAnsi="Calibri"/>
                <w:b w:val="0"/>
                <w:i w:val="0"/>
                <w:color w:val="212121"/>
                <w:sz w:val="19"/>
              </w:rPr>
              <w:t>Short/fragmented sleep predicts new-onset and relapsing anxiety</w:t>
            </w:r>
          </w:p>
        </w:tc>
      </w:tr>
      <w:tr>
        <w:trPr>
          <w:cantSplit/>
        </w:trPr>
        <w:tc>
          <w:tcPr>
            <w:tcW w:type="dxa" w:w="1512"/>
            <w:vMerge w:val="restart"/>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GAD-7 (anxiety screen)</w:t>
            </w:r>
          </w:p>
        </w:tc>
        <w:tc>
          <w:tcPr>
            <w:tcW w:type="dxa" w:w="1655"/>
            <w:vAlign w:val="top"/>
          </w:tcPr>
          <w:p>
            <w:pPr>
              <w:spacing w:after="40" w:before="0" w:line="259" w:lineRule="auto"/>
            </w:pPr>
            <w:r>
              <w:rPr>
                <w:rFonts w:ascii="Calibri" w:hAnsi="Calibri"/>
                <w:b w:val="0"/>
                <w:i w:val="0"/>
                <w:color w:val="212121"/>
                <w:sz w:val="19"/>
              </w:rPr>
              <w:t>Adults in primary care</w:t>
            </w:r>
          </w:p>
        </w:tc>
        <w:tc>
          <w:tcPr>
            <w:tcW w:type="dxa" w:w="1512"/>
            <w:vAlign w:val="top"/>
          </w:tcPr>
          <w:p>
            <w:pPr>
              <w:spacing w:after="40" w:before="0" w:line="259" w:lineRule="auto"/>
            </w:pPr>
            <w:r>
              <w:rPr>
                <w:rFonts w:ascii="Calibri" w:hAnsi="Calibri"/>
                <w:b w:val="0"/>
                <w:i w:val="0"/>
                <w:color w:val="212121"/>
                <w:sz w:val="19"/>
              </w:rPr>
              <w:t>0–4 (minimal)</w:t>
            </w:r>
          </w:p>
        </w:tc>
        <w:tc>
          <w:tcPr>
            <w:tcW w:type="dxa" w:w="1512"/>
            <w:vAlign w:val="top"/>
          </w:tcPr>
          <w:p>
            <w:pPr>
              <w:spacing w:after="40" w:before="0" w:line="259" w:lineRule="auto"/>
            </w:pPr>
            <w:r>
              <w:rPr>
                <w:rFonts w:ascii="Calibri" w:hAnsi="Calibri"/>
                <w:b w:val="0"/>
                <w:i w:val="0"/>
                <w:color w:val="212121"/>
                <w:sz w:val="19"/>
              </w:rPr>
              <w:t>≥10 (moderate–severe anxiety)</w:t>
            </w:r>
          </w:p>
        </w:tc>
        <w:tc>
          <w:tcPr>
            <w:tcW w:type="dxa" w:w="1468"/>
            <w:vAlign w:val="top"/>
          </w:tcPr>
          <w:p>
            <w:pPr>
              <w:spacing w:after="40" w:before="0" w:line="259" w:lineRule="auto"/>
            </w:pPr>
            <w:r>
              <w:rPr>
                <w:rFonts w:ascii="Calibri" w:hAnsi="Calibri"/>
                <w:b w:val="0"/>
                <w:i w:val="0"/>
                <w:color w:val="212121"/>
                <w:sz w:val="19"/>
              </w:rPr>
              <w:t>Validated brief screen; ≥5 mild, ≥10 moderate, ≥15 severe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Hamilton Anxiety Rating Scale (HAM-A)</w:t>
            </w:r>
          </w:p>
        </w:tc>
        <w:tc>
          <w:tcPr>
            <w:tcW w:type="dxa" w:w="1655"/>
            <w:vAlign w:val="top"/>
          </w:tcPr>
          <w:p>
            <w:pPr>
              <w:spacing w:after="40" w:before="0" w:line="259" w:lineRule="auto"/>
            </w:pPr>
            <w:r>
              <w:rPr>
                <w:rFonts w:ascii="Calibri" w:hAnsi="Calibri"/>
                <w:b w:val="0"/>
                <w:i w:val="0"/>
                <w:color w:val="212121"/>
                <w:sz w:val="19"/>
              </w:rPr>
              <w:t>Adults on treatment</w:t>
            </w:r>
          </w:p>
        </w:tc>
        <w:tc>
          <w:tcPr>
            <w:tcW w:type="dxa" w:w="1512"/>
            <w:vAlign w:val="top"/>
          </w:tcPr>
          <w:p>
            <w:pPr>
              <w:spacing w:after="40" w:before="0" w:line="259" w:lineRule="auto"/>
            </w:pPr>
            <w:r>
              <w:rPr>
                <w:rFonts w:ascii="Calibri" w:hAnsi="Calibri"/>
                <w:b w:val="0"/>
                <w:i w:val="0"/>
                <w:color w:val="212121"/>
                <w:sz w:val="19"/>
              </w:rPr>
              <w:t>&lt;8 (no/minimal anxiety)</w:t>
            </w:r>
          </w:p>
        </w:tc>
        <w:tc>
          <w:tcPr>
            <w:tcW w:type="dxa" w:w="1512"/>
            <w:vAlign w:val="top"/>
          </w:tcPr>
          <w:p>
            <w:pPr>
              <w:spacing w:after="40" w:before="0" w:line="259" w:lineRule="auto"/>
            </w:pPr>
            <w:r>
              <w:rPr>
                <w:rFonts w:ascii="Calibri" w:hAnsi="Calibri"/>
                <w:b w:val="0"/>
                <w:i w:val="0"/>
                <w:color w:val="212121"/>
                <w:sz w:val="19"/>
              </w:rPr>
              <w:t>≥18 (moderate–severe)</w:t>
            </w:r>
          </w:p>
        </w:tc>
        <w:tc>
          <w:tcPr>
            <w:tcW w:type="dxa" w:w="1468"/>
            <w:vAlign w:val="top"/>
          </w:tcPr>
          <w:p>
            <w:pPr>
              <w:spacing w:after="40" w:before="0" w:line="259" w:lineRule="auto"/>
            </w:pPr>
            <w:r>
              <w:rPr>
                <w:rFonts w:ascii="Calibri" w:hAnsi="Calibri"/>
                <w:b w:val="0"/>
                <w:i w:val="0"/>
                <w:color w:val="212121"/>
                <w:sz w:val="19"/>
              </w:rPr>
              <w:t>Clinician-rated severity and treatment-response measure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PHQ-9 (comorbid depression)</w:t>
            </w:r>
          </w:p>
        </w:tc>
        <w:tc>
          <w:tcPr>
            <w:tcW w:type="dxa" w:w="1655"/>
            <w:vAlign w:val="top"/>
          </w:tcPr>
          <w:p>
            <w:pPr>
              <w:spacing w:after="40" w:before="0" w:line="259" w:lineRule="auto"/>
            </w:pPr>
            <w:r>
              <w:rPr>
                <w:rFonts w:ascii="Calibri" w:hAnsi="Calibri"/>
                <w:b w:val="0"/>
                <w:i w:val="0"/>
                <w:color w:val="212121"/>
                <w:sz w:val="19"/>
              </w:rPr>
              <w:t>Adults with anxiety</w:t>
            </w:r>
          </w:p>
        </w:tc>
        <w:tc>
          <w:tcPr>
            <w:tcW w:type="dxa" w:w="1512"/>
            <w:vAlign w:val="top"/>
          </w:tcPr>
          <w:p>
            <w:pPr>
              <w:spacing w:after="40" w:before="0" w:line="259" w:lineRule="auto"/>
            </w:pPr>
            <w:r>
              <w:rPr>
                <w:rFonts w:ascii="Calibri" w:hAnsi="Calibri"/>
                <w:b w:val="0"/>
                <w:i w:val="0"/>
                <w:color w:val="212121"/>
                <w:sz w:val="19"/>
              </w:rPr>
              <w:t>0–4 (minimal)</w:t>
            </w:r>
          </w:p>
        </w:tc>
        <w:tc>
          <w:tcPr>
            <w:tcW w:type="dxa" w:w="1512"/>
            <w:vAlign w:val="top"/>
          </w:tcPr>
          <w:p>
            <w:pPr>
              <w:spacing w:after="40" w:before="0" w:line="259" w:lineRule="auto"/>
            </w:pPr>
            <w:r>
              <w:rPr>
                <w:rFonts w:ascii="Calibri" w:hAnsi="Calibri"/>
                <w:b w:val="0"/>
                <w:i w:val="0"/>
                <w:color w:val="212121"/>
                <w:sz w:val="19"/>
              </w:rPr>
              <w:t>≥10 (moderate); item 9 ≥ 1 (suicidal ideation)</w:t>
            </w:r>
          </w:p>
        </w:tc>
        <w:tc>
          <w:tcPr>
            <w:tcW w:type="dxa" w:w="1468"/>
            <w:vAlign w:val="top"/>
          </w:tcPr>
          <w:p>
            <w:pPr>
              <w:spacing w:after="40" w:before="0" w:line="259" w:lineRule="auto"/>
            </w:pPr>
            <w:r>
              <w:rPr>
                <w:rFonts w:ascii="Calibri" w:hAnsi="Calibri"/>
                <w:b w:val="0"/>
                <w:i w:val="0"/>
                <w:color w:val="212121"/>
                <w:sz w:val="19"/>
              </w:rPr>
              <w:t>Screens frequent comorbid depression; escalate any suicidal ideation urgently</w:t>
            </w:r>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Caffeine intake (mg/day)</w:t>
            </w:r>
          </w:p>
        </w:tc>
        <w:tc>
          <w:tcPr>
            <w:tcW w:type="dxa" w:w="1655"/>
            <w:vAlign w:val="top"/>
          </w:tcPr>
          <w:p>
            <w:pPr>
              <w:spacing w:after="40" w:before="0" w:line="259" w:lineRule="auto"/>
            </w:pPr>
            <w:r>
              <w:rPr>
                <w:rFonts w:ascii="Calibri" w:hAnsi="Calibri"/>
                <w:b w:val="0"/>
                <w:i w:val="0"/>
                <w:color w:val="212121"/>
                <w:sz w:val="19"/>
              </w:rPr>
              <w:t>Adults with anxiety/insomnia/panic</w:t>
            </w:r>
          </w:p>
        </w:tc>
        <w:tc>
          <w:tcPr>
            <w:tcW w:type="dxa" w:w="1512"/>
            <w:vAlign w:val="top"/>
          </w:tcPr>
          <w:p>
            <w:pPr>
              <w:spacing w:after="40" w:before="0" w:line="259" w:lineRule="auto"/>
            </w:pPr>
            <w:r>
              <w:rPr>
                <w:rFonts w:ascii="Calibri" w:hAnsi="Calibri"/>
                <w:b w:val="0"/>
                <w:i w:val="0"/>
                <w:color w:val="212121"/>
                <w:sz w:val="19"/>
              </w:rPr>
              <w:t>&lt;400 mg/day (and none in evening)</w:t>
            </w:r>
          </w:p>
        </w:tc>
        <w:tc>
          <w:tcPr>
            <w:tcW w:type="dxa" w:w="1512"/>
            <w:vAlign w:val="top"/>
          </w:tcPr>
          <w:p>
            <w:pPr>
              <w:spacing w:after="40" w:before="0" w:line="259" w:lineRule="auto"/>
            </w:pPr>
            <w:r>
              <w:rPr>
                <w:rFonts w:ascii="Calibri" w:hAnsi="Calibri"/>
                <w:b w:val="0"/>
                <w:i w:val="0"/>
                <w:color w:val="212121"/>
                <w:sz w:val="19"/>
              </w:rPr>
              <w:t>&gt;400 mg/day or evening intake</w:t>
            </w:r>
          </w:p>
        </w:tc>
        <w:tc>
          <w:tcPr>
            <w:tcW w:type="dxa" w:w="1468"/>
            <w:vAlign w:val="top"/>
          </w:tcPr>
          <w:p>
            <w:pPr>
              <w:spacing w:after="40" w:before="0" w:line="259" w:lineRule="auto"/>
            </w:pPr>
            <w:r>
              <w:rPr>
                <w:rFonts w:ascii="Calibri" w:hAnsi="Calibri"/>
                <w:b w:val="0"/>
                <w:i w:val="0"/>
                <w:color w:val="212121"/>
                <w:sz w:val="19"/>
              </w:rPr>
              <w:t>Excess caffeine precipitates anxiety, palpitations, panic and insomnia</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AUDIT score</w:t>
            </w:r>
          </w:p>
        </w:tc>
        <w:tc>
          <w:tcPr>
            <w:tcW w:type="dxa" w:w="1655"/>
            <w:vAlign w:val="top"/>
          </w:tcPr>
          <w:p>
            <w:pPr>
              <w:spacing w:after="40" w:before="0" w:line="259" w:lineRule="auto"/>
            </w:pPr>
            <w:r>
              <w:rPr>
                <w:rFonts w:ascii="Calibri" w:hAnsi="Calibri"/>
                <w:b w:val="0"/>
                <w:i w:val="0"/>
                <w:color w:val="212121"/>
                <w:sz w:val="19"/>
              </w:rPr>
              <w:t>Adults, men, self-medicating drinkers</w:t>
            </w:r>
          </w:p>
        </w:tc>
        <w:tc>
          <w:tcPr>
            <w:tcW w:type="dxa" w:w="1512"/>
            <w:vAlign w:val="top"/>
          </w:tcPr>
          <w:p>
            <w:pPr>
              <w:spacing w:after="40" w:before="0" w:line="259" w:lineRule="auto"/>
            </w:pPr>
            <w:r>
              <w:rPr>
                <w:rFonts w:ascii="Calibri" w:hAnsi="Calibri"/>
                <w:b w:val="0"/>
                <w:i w:val="0"/>
                <w:color w:val="212121"/>
                <w:sz w:val="19"/>
              </w:rPr>
              <w:t>0–7 (low risk)</w:t>
            </w:r>
          </w:p>
        </w:tc>
        <w:tc>
          <w:tcPr>
            <w:tcW w:type="dxa" w:w="1512"/>
            <w:vAlign w:val="top"/>
          </w:tcPr>
          <w:p>
            <w:pPr>
              <w:spacing w:after="40" w:before="0" w:line="259" w:lineRule="auto"/>
            </w:pPr>
            <w:r>
              <w:rPr>
                <w:rFonts w:ascii="Calibri" w:hAnsi="Calibri"/>
                <w:b w:val="0"/>
                <w:i w:val="0"/>
                <w:color w:val="212121"/>
                <w:sz w:val="19"/>
              </w:rPr>
              <w:t>≥8 (hazardous); ≥20 (likely dependence)</w:t>
            </w:r>
          </w:p>
        </w:tc>
        <w:tc>
          <w:tcPr>
            <w:tcW w:type="dxa" w:w="1468"/>
            <w:vAlign w:val="top"/>
          </w:tcPr>
          <w:p>
            <w:pPr>
              <w:spacing w:after="40" w:before="0" w:line="259" w:lineRule="auto"/>
            </w:pPr>
            <w:r>
              <w:rPr>
                <w:rFonts w:ascii="Calibri" w:hAnsi="Calibri"/>
                <w:b w:val="0"/>
                <w:i w:val="0"/>
                <w:color w:val="212121"/>
                <w:sz w:val="19"/>
              </w:rPr>
              <w:t>Alcohol used to cope with anxiety worsens rebound anxiety and dependence</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Tobacco use (any form/day)</w:t>
            </w:r>
          </w:p>
        </w:tc>
        <w:tc>
          <w:tcPr>
            <w:tcW w:type="dxa" w:w="1655"/>
            <w:vAlign w:val="top"/>
          </w:tcPr>
          <w:p>
            <w:pPr>
              <w:spacing w:after="40" w:before="0" w:line="259" w:lineRule="auto"/>
            </w:pPr>
            <w:r>
              <w:rPr>
                <w:rFonts w:ascii="Calibri" w:hAnsi="Calibri"/>
                <w:b w:val="0"/>
                <w:i w:val="0"/>
                <w:color w:val="212121"/>
                <w:sz w:val="19"/>
              </w:rPr>
              <w:t>Adolescents, adults</w:t>
            </w:r>
          </w:p>
        </w:tc>
        <w:tc>
          <w:tcPr>
            <w:tcW w:type="dxa" w:w="1512"/>
            <w:vAlign w:val="top"/>
          </w:tcPr>
          <w:p>
            <w:pPr>
              <w:spacing w:after="40" w:before="0" w:line="259" w:lineRule="auto"/>
            </w:pPr>
            <w:r>
              <w:rPr>
                <w:rFonts w:ascii="Calibri" w:hAnsi="Calibri"/>
                <w:b w:val="0"/>
                <w:i w:val="0"/>
                <w:color w:val="212121"/>
                <w:sz w:val="19"/>
              </w:rPr>
              <w:t>0 (no tobacco)</w:t>
            </w:r>
          </w:p>
        </w:tc>
        <w:tc>
          <w:tcPr>
            <w:tcW w:type="dxa" w:w="1512"/>
            <w:vAlign w:val="top"/>
          </w:tcPr>
          <w:p>
            <w:pPr>
              <w:spacing w:after="40" w:before="0" w:line="259" w:lineRule="auto"/>
            </w:pPr>
            <w:r>
              <w:rPr>
                <w:rFonts w:ascii="Calibri" w:hAnsi="Calibri"/>
                <w:b w:val="0"/>
                <w:i w:val="0"/>
                <w:color w:val="212121"/>
                <w:sz w:val="19"/>
              </w:rPr>
              <w:t>≥1 use/day</w:t>
            </w:r>
          </w:p>
        </w:tc>
        <w:tc>
          <w:tcPr>
            <w:tcW w:type="dxa" w:w="1468"/>
            <w:vAlign w:val="top"/>
          </w:tcPr>
          <w:p>
            <w:pPr>
              <w:spacing w:after="40" w:before="0" w:line="259" w:lineRule="auto"/>
            </w:pPr>
            <w:r>
              <w:rPr>
                <w:rFonts w:ascii="Calibri" w:hAnsi="Calibri"/>
                <w:b w:val="0"/>
                <w:i w:val="0"/>
                <w:color w:val="212121"/>
                <w:sz w:val="19"/>
              </w:rPr>
              <w:t>Nicotine dependence is bidirectionally linked with anxiety</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Perceived stress / recent life events</w:t>
            </w:r>
          </w:p>
        </w:tc>
        <w:tc>
          <w:tcPr>
            <w:tcW w:type="dxa" w:w="1655"/>
            <w:vAlign w:val="top"/>
          </w:tcPr>
          <w:p>
            <w:pPr>
              <w:spacing w:after="40" w:before="0" w:line="259" w:lineRule="auto"/>
            </w:pPr>
            <w:r>
              <w:rPr>
                <w:rFonts w:ascii="Calibri" w:hAnsi="Calibri"/>
                <w:b w:val="0"/>
                <w:i w:val="0"/>
                <w:color w:val="212121"/>
                <w:sz w:val="19"/>
              </w:rPr>
              <w:t>Adults under psychosocial stress</w:t>
            </w:r>
          </w:p>
        </w:tc>
        <w:tc>
          <w:tcPr>
            <w:tcW w:type="dxa" w:w="1512"/>
            <w:vAlign w:val="top"/>
          </w:tcPr>
          <w:p>
            <w:pPr>
              <w:spacing w:after="40" w:before="0" w:line="259" w:lineRule="auto"/>
            </w:pPr>
            <w:r>
              <w:rPr>
                <w:rFonts w:ascii="Calibri" w:hAnsi="Calibri"/>
                <w:b w:val="0"/>
                <w:i w:val="0"/>
                <w:color w:val="212121"/>
                <w:sz w:val="19"/>
              </w:rPr>
              <w:t>Low perceived stress; no major recent loss</w:t>
            </w:r>
          </w:p>
        </w:tc>
        <w:tc>
          <w:tcPr>
            <w:tcW w:type="dxa" w:w="1512"/>
            <w:vAlign w:val="top"/>
          </w:tcPr>
          <w:p>
            <w:pPr>
              <w:spacing w:after="40" w:before="0" w:line="259" w:lineRule="auto"/>
            </w:pPr>
            <w:r>
              <w:rPr>
                <w:rFonts w:ascii="Calibri" w:hAnsi="Calibri"/>
                <w:b w:val="0"/>
                <w:i w:val="0"/>
                <w:color w:val="212121"/>
                <w:sz w:val="19"/>
              </w:rPr>
              <w:t>Major recent loss/trauma or high perceived stress</w:t>
            </w:r>
          </w:p>
        </w:tc>
        <w:tc>
          <w:tcPr>
            <w:tcW w:type="dxa" w:w="1468"/>
            <w:vAlign w:val="top"/>
          </w:tcPr>
          <w:p>
            <w:pPr>
              <w:spacing w:after="40" w:before="0" w:line="259" w:lineRule="auto"/>
            </w:pPr>
            <w:r>
              <w:rPr>
                <w:rFonts w:ascii="Calibri" w:hAnsi="Calibri"/>
                <w:b w:val="0"/>
                <w:i w:val="0"/>
                <w:color w:val="212121"/>
                <w:sz w:val="19"/>
              </w:rPr>
              <w:t>Stressful events precipitate onset, panic attacks and relapse</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Panic attack frequency</w:t>
            </w:r>
          </w:p>
        </w:tc>
        <w:tc>
          <w:tcPr>
            <w:tcW w:type="dxa" w:w="1655"/>
            <w:vAlign w:val="top"/>
          </w:tcPr>
          <w:p>
            <w:pPr>
              <w:spacing w:after="40" w:before="0" w:line="259" w:lineRule="auto"/>
            </w:pPr>
            <w:r>
              <w:rPr>
                <w:rFonts w:ascii="Calibri" w:hAnsi="Calibri"/>
                <w:b w:val="0"/>
                <w:i w:val="0"/>
                <w:color w:val="212121"/>
                <w:sz w:val="19"/>
              </w:rPr>
              <w:t>Panic disorder patients</w:t>
            </w:r>
          </w:p>
        </w:tc>
        <w:tc>
          <w:tcPr>
            <w:tcW w:type="dxa" w:w="1512"/>
            <w:vAlign w:val="top"/>
          </w:tcPr>
          <w:p>
            <w:pPr>
              <w:spacing w:after="40" w:before="0" w:line="259" w:lineRule="auto"/>
            </w:pPr>
            <w:r>
              <w:rPr>
                <w:rFonts w:ascii="Calibri" w:hAnsi="Calibri"/>
                <w:b w:val="0"/>
                <w:i w:val="0"/>
                <w:color w:val="212121"/>
                <w:sz w:val="19"/>
              </w:rPr>
              <w:t>No attacks</w:t>
            </w:r>
          </w:p>
        </w:tc>
        <w:tc>
          <w:tcPr>
            <w:tcW w:type="dxa" w:w="1512"/>
            <w:vAlign w:val="top"/>
          </w:tcPr>
          <w:p>
            <w:pPr>
              <w:spacing w:after="40" w:before="0" w:line="259" w:lineRule="auto"/>
            </w:pPr>
            <w:r>
              <w:rPr>
                <w:rFonts w:ascii="Calibri" w:hAnsi="Calibri"/>
                <w:b w:val="0"/>
                <w:i w:val="0"/>
                <w:color w:val="212121"/>
                <w:sz w:val="19"/>
              </w:rPr>
              <w:t>Recurrent unexpected attacks + anticipatory anxiety/avoidance</w:t>
            </w:r>
          </w:p>
        </w:tc>
        <w:tc>
          <w:tcPr>
            <w:tcW w:type="dxa" w:w="1468"/>
            <w:vAlign w:val="top"/>
          </w:tcPr>
          <w:p>
            <w:pPr>
              <w:spacing w:after="40" w:before="0" w:line="259" w:lineRule="auto"/>
            </w:pPr>
            <w:r>
              <w:rPr>
                <w:rFonts w:ascii="Calibri" w:hAnsi="Calibri"/>
                <w:b w:val="0"/>
                <w:i w:val="0"/>
                <w:color w:val="212121"/>
                <w:sz w:val="19"/>
              </w:rPr>
              <w:t>Tracks panic-disorder severity and treatment response</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Thyroid-stimulating hormone (TSH) ± free T4</w:t>
            </w:r>
          </w:p>
        </w:tc>
        <w:tc>
          <w:tcPr>
            <w:tcW w:type="dxa" w:w="892"/>
            <w:vAlign w:val="top"/>
          </w:tcPr>
          <w:p>
            <w:pPr>
              <w:spacing w:after="40" w:before="0" w:line="259" w:lineRule="auto"/>
            </w:pPr>
            <w:r>
              <w:rPr>
                <w:rFonts w:ascii="Calibri" w:hAnsi="Calibri"/>
                <w:b w:val="0"/>
                <w:i w:val="0"/>
                <w:color w:val="212121"/>
                <w:sz w:val="16"/>
              </w:rPr>
              <w:t>Thyroid function test</w:t>
            </w:r>
          </w:p>
        </w:tc>
        <w:tc>
          <w:tcPr>
            <w:tcW w:type="dxa" w:w="950"/>
            <w:vAlign w:val="top"/>
          </w:tcPr>
          <w:p>
            <w:pPr>
              <w:spacing w:after="40" w:before="0" w:line="259" w:lineRule="auto"/>
            </w:pPr>
            <w:r>
              <w:rPr>
                <w:rFonts w:ascii="Calibri" w:hAnsi="Calibri"/>
                <w:b w:val="0"/>
                <w:i w:val="0"/>
                <w:color w:val="212121"/>
                <w:sz w:val="16"/>
              </w:rPr>
              <w:t>TSH 0.4–4.0 mIU/L</w:t>
            </w:r>
          </w:p>
        </w:tc>
        <w:tc>
          <w:tcPr>
            <w:tcW w:type="dxa" w:w="950"/>
            <w:vAlign w:val="top"/>
          </w:tcPr>
          <w:p>
            <w:pPr>
              <w:spacing w:after="40" w:before="0" w:line="259" w:lineRule="auto"/>
            </w:pPr>
            <w:r>
              <w:rPr>
                <w:rFonts w:ascii="Calibri" w:hAnsi="Calibri"/>
                <w:b w:val="0"/>
                <w:i w:val="0"/>
                <w:color w:val="212121"/>
                <w:sz w:val="16"/>
              </w:rPr>
              <w:t>TSH &lt;0.4 (hyperthyroid) or &gt;4.0 mIU/L</w:t>
            </w:r>
          </w:p>
        </w:tc>
        <w:tc>
          <w:tcPr>
            <w:tcW w:type="dxa" w:w="1036"/>
            <w:vAlign w:val="top"/>
          </w:tcPr>
          <w:p>
            <w:pPr>
              <w:spacing w:after="40" w:before="0" w:line="259" w:lineRule="auto"/>
            </w:pPr>
            <w:r>
              <w:rPr>
                <w:rFonts w:ascii="Calibri" w:hAnsi="Calibri"/>
                <w:b w:val="0"/>
                <w:i w:val="0"/>
                <w:color w:val="212121"/>
                <w:sz w:val="16"/>
              </w:rPr>
              <w:t>Hyperthyroidism is a classic reversible mimic/trigger of anxiety (palpitations, tremor, restlessness, heat intolerance)</w:t>
            </w:r>
          </w:p>
        </w:tc>
        <w:tc>
          <w:tcPr>
            <w:tcW w:type="dxa" w:w="1036"/>
            <w:vAlign w:val="top"/>
          </w:tcPr>
          <w:p>
            <w:pPr>
              <w:spacing w:after="40" w:before="0" w:line="259" w:lineRule="auto"/>
            </w:pPr>
            <w:r>
              <w:rPr>
                <w:rFonts w:ascii="Calibri" w:hAnsi="Calibri"/>
                <w:b w:val="0"/>
                <w:i w:val="0"/>
                <w:color w:val="212121"/>
                <w:sz w:val="16"/>
              </w:rPr>
              <w:t>New/atypical or treatment-resistant anxiety, palpitations, weight loss</w:t>
            </w:r>
          </w:p>
        </w:tc>
        <w:tc>
          <w:tcPr>
            <w:tcW w:type="dxa" w:w="720"/>
            <w:vAlign w:val="top"/>
          </w:tcPr>
          <w:p>
            <w:pPr>
              <w:spacing w:after="40" w:before="0" w:line="259" w:lineRule="auto"/>
            </w:pPr>
            <w:r>
              <w:rPr>
                <w:rFonts w:ascii="Calibri" w:hAnsi="Calibri"/>
                <w:b w:val="0"/>
                <w:i w:val="0"/>
                <w:color w:val="212121"/>
                <w:sz w:val="16"/>
              </w:rPr>
              <w:t>Mental health; Food</w:t>
            </w:r>
          </w:p>
        </w:tc>
        <w:tc>
          <w:tcPr>
            <w:tcW w:type="dxa" w:w="720"/>
            <w:vAlign w:val="top"/>
          </w:tcPr>
          <w:p>
            <w:pPr>
              <w:spacing w:after="40" w:before="0" w:line="259" w:lineRule="auto"/>
            </w:pPr>
            <w:r>
              <w:rPr>
                <w:rFonts w:ascii="Calibri" w:hAnsi="Calibri"/>
                <w:b w:val="0"/>
                <w:i w:val="0"/>
                <w:color w:val="212121"/>
                <w:sz w:val="16"/>
              </w:rPr>
              <w:t>Screening (exclude organic)</w:t>
            </w:r>
          </w:p>
        </w:tc>
        <w:tc>
          <w:tcPr>
            <w:tcW w:type="dxa" w:w="720"/>
            <w:vAlign w:val="top"/>
          </w:tcPr>
          <w:p>
            <w:pPr>
              <w:spacing w:after="40" w:before="0" w:line="259" w:lineRule="auto"/>
            </w:pPr>
            <w:r>
              <w:rPr>
                <w:rFonts w:ascii="Calibri" w:hAnsi="Calibri"/>
                <w:b w:val="0"/>
                <w:i w:val="0"/>
                <w:color w:val="212121"/>
                <w:sz w:val="16"/>
              </w:rPr>
              <w:t>Check before/with starting psychotropics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Cardiac</w:t>
            </w:r>
          </w:p>
        </w:tc>
        <w:tc>
          <w:tcPr>
            <w:tcW w:type="dxa" w:w="1036"/>
            <w:vAlign w:val="top"/>
          </w:tcPr>
          <w:p>
            <w:pPr>
              <w:spacing w:after="40" w:before="0" w:line="259" w:lineRule="auto"/>
            </w:pPr>
            <w:r>
              <w:rPr>
                <w:rFonts w:ascii="Calibri" w:hAnsi="Calibri"/>
                <w:b w:val="0"/>
                <w:i w:val="0"/>
                <w:color w:val="212121"/>
                <w:sz w:val="16"/>
              </w:rPr>
              <w:t>12-lead ECG (± Holter)</w:t>
            </w:r>
          </w:p>
        </w:tc>
        <w:tc>
          <w:tcPr>
            <w:tcW w:type="dxa" w:w="892"/>
            <w:vAlign w:val="top"/>
          </w:tcPr>
          <w:p>
            <w:pPr>
              <w:spacing w:after="40" w:before="0" w:line="259" w:lineRule="auto"/>
            </w:pPr>
            <w:r>
              <w:rPr>
                <w:rFonts w:ascii="Calibri" w:hAnsi="Calibri"/>
                <w:b w:val="0"/>
                <w:i w:val="0"/>
                <w:color w:val="212121"/>
                <w:sz w:val="16"/>
              </w:rPr>
              <w:t>Electrocardiogram</w:t>
            </w:r>
          </w:p>
        </w:tc>
        <w:tc>
          <w:tcPr>
            <w:tcW w:type="dxa" w:w="950"/>
            <w:vAlign w:val="top"/>
          </w:tcPr>
          <w:p>
            <w:pPr>
              <w:spacing w:after="40" w:before="0" w:line="259" w:lineRule="auto"/>
            </w:pPr>
            <w:r>
              <w:rPr>
                <w:rFonts w:ascii="Calibri" w:hAnsi="Calibri"/>
                <w:b w:val="0"/>
                <w:i w:val="0"/>
                <w:color w:val="212121"/>
                <w:sz w:val="16"/>
              </w:rPr>
              <w:t>Sinus rhythm, normal intervals</w:t>
            </w:r>
          </w:p>
        </w:tc>
        <w:tc>
          <w:tcPr>
            <w:tcW w:type="dxa" w:w="950"/>
            <w:vAlign w:val="top"/>
          </w:tcPr>
          <w:p>
            <w:pPr>
              <w:spacing w:after="40" w:before="0" w:line="259" w:lineRule="auto"/>
            </w:pPr>
            <w:r>
              <w:rPr>
                <w:rFonts w:ascii="Calibri" w:hAnsi="Calibri"/>
                <w:b w:val="0"/>
                <w:i w:val="0"/>
                <w:color w:val="212121"/>
                <w:sz w:val="16"/>
              </w:rPr>
              <w:t>Arrhythmia, tachycardia, long QT</w:t>
            </w:r>
          </w:p>
        </w:tc>
        <w:tc>
          <w:tcPr>
            <w:tcW w:type="dxa" w:w="1036"/>
            <w:vAlign w:val="top"/>
          </w:tcPr>
          <w:p>
            <w:pPr>
              <w:spacing w:after="40" w:before="0" w:line="259" w:lineRule="auto"/>
            </w:pPr>
            <w:r>
              <w:rPr>
                <w:rFonts w:ascii="Calibri" w:hAnsi="Calibri"/>
                <w:b w:val="0"/>
                <w:i w:val="0"/>
                <w:color w:val="212121"/>
                <w:sz w:val="16"/>
              </w:rPr>
              <w:t>Excludes arrhythmia as a cause of palpitations/panic and gives a baseline QT before QT-prolonging drugs (some SSRIs)</w:t>
            </w:r>
          </w:p>
        </w:tc>
        <w:tc>
          <w:tcPr>
            <w:tcW w:type="dxa" w:w="1036"/>
            <w:vAlign w:val="top"/>
          </w:tcPr>
          <w:p>
            <w:pPr>
              <w:spacing w:after="40" w:before="0" w:line="259" w:lineRule="auto"/>
            </w:pPr>
            <w:r>
              <w:rPr>
                <w:rFonts w:ascii="Calibri" w:hAnsi="Calibri"/>
                <w:b w:val="0"/>
                <w:i w:val="0"/>
                <w:color w:val="212121"/>
                <w:sz w:val="16"/>
              </w:rPr>
              <w:t>Panic disorder, palpitations, chest pain, elderly</w:t>
            </w:r>
          </w:p>
        </w:tc>
        <w:tc>
          <w:tcPr>
            <w:tcW w:type="dxa" w:w="720"/>
            <w:vAlign w:val="top"/>
          </w:tcPr>
          <w:p>
            <w:pPr>
              <w:spacing w:after="40" w:before="0" w:line="259" w:lineRule="auto"/>
            </w:pPr>
            <w:r>
              <w:rPr>
                <w:rFonts w:ascii="Calibri" w:hAnsi="Calibri"/>
                <w:b w:val="0"/>
                <w:i w:val="0"/>
                <w:color w:val="212121"/>
                <w:sz w:val="16"/>
              </w:rPr>
              <w:t>Caffeine; Mental health</w:t>
            </w:r>
          </w:p>
        </w:tc>
        <w:tc>
          <w:tcPr>
            <w:tcW w:type="dxa" w:w="720"/>
            <w:vAlign w:val="top"/>
          </w:tcPr>
          <w:p>
            <w:pPr>
              <w:spacing w:after="40" w:before="0" w:line="259" w:lineRule="auto"/>
            </w:pPr>
            <w:r>
              <w:rPr>
                <w:rFonts w:ascii="Calibri" w:hAnsi="Calibri"/>
                <w:b w:val="0"/>
                <w:i w:val="0"/>
                <w:color w:val="212121"/>
                <w:sz w:val="16"/>
              </w:rPr>
              <w:t>Exclude cardiac cause / drug safety</w:t>
            </w:r>
          </w:p>
        </w:tc>
        <w:tc>
          <w:tcPr>
            <w:tcW w:type="dxa" w:w="720"/>
            <w:vAlign w:val="top"/>
          </w:tcPr>
          <w:p>
            <w:pPr>
              <w:spacing w:after="40" w:before="0" w:line="259" w:lineRule="auto"/>
            </w:pPr>
            <w:r>
              <w:rPr>
                <w:rFonts w:ascii="Calibri" w:hAnsi="Calibri"/>
                <w:b w:val="0"/>
                <w:i w:val="0"/>
                <w:color w:val="212121"/>
                <w:sz w:val="16"/>
              </w:rPr>
              <w:t>Reassurance value is high once normal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Capillary/plasma glucose</w:t>
            </w:r>
          </w:p>
        </w:tc>
        <w:tc>
          <w:tcPr>
            <w:tcW w:type="dxa" w:w="892"/>
            <w:vAlign w:val="top"/>
          </w:tcPr>
          <w:p>
            <w:pPr>
              <w:spacing w:after="40" w:before="0" w:line="259" w:lineRule="auto"/>
            </w:pPr>
            <w:r>
              <w:rPr>
                <w:rFonts w:ascii="Calibri" w:hAnsi="Calibri"/>
                <w:b w:val="0"/>
                <w:i w:val="0"/>
                <w:color w:val="212121"/>
                <w:sz w:val="16"/>
              </w:rPr>
              <w:t>Blood glucose</w:t>
            </w:r>
          </w:p>
        </w:tc>
        <w:tc>
          <w:tcPr>
            <w:tcW w:type="dxa" w:w="950"/>
            <w:vAlign w:val="top"/>
          </w:tcPr>
          <w:p>
            <w:pPr>
              <w:spacing w:after="40" w:before="0" w:line="259" w:lineRule="auto"/>
            </w:pPr>
            <w:r>
              <w:rPr>
                <w:rFonts w:ascii="Calibri" w:hAnsi="Calibri"/>
                <w:b w:val="0"/>
                <w:i w:val="0"/>
                <w:color w:val="212121"/>
                <w:sz w:val="16"/>
              </w:rPr>
              <w:t>70–140 mg/dL</w:t>
            </w:r>
          </w:p>
        </w:tc>
        <w:tc>
          <w:tcPr>
            <w:tcW w:type="dxa" w:w="950"/>
            <w:vAlign w:val="top"/>
          </w:tcPr>
          <w:p>
            <w:pPr>
              <w:spacing w:after="40" w:before="0" w:line="259" w:lineRule="auto"/>
            </w:pPr>
            <w:r>
              <w:rPr>
                <w:rFonts w:ascii="Calibri" w:hAnsi="Calibri"/>
                <w:b w:val="0"/>
                <w:i w:val="0"/>
                <w:color w:val="212121"/>
                <w:sz w:val="16"/>
              </w:rPr>
              <w:t>&lt;70 mg/dL (hypoglycaemia)</w:t>
            </w:r>
          </w:p>
        </w:tc>
        <w:tc>
          <w:tcPr>
            <w:tcW w:type="dxa" w:w="1036"/>
            <w:vAlign w:val="top"/>
          </w:tcPr>
          <w:p>
            <w:pPr>
              <w:spacing w:after="40" w:before="0" w:line="259" w:lineRule="auto"/>
            </w:pPr>
            <w:r>
              <w:rPr>
                <w:rFonts w:ascii="Calibri" w:hAnsi="Calibri"/>
                <w:b w:val="0"/>
                <w:i w:val="0"/>
                <w:color w:val="212121"/>
                <w:sz w:val="16"/>
              </w:rPr>
              <w:t>Hypoglycaemia produces adrenergic symptoms (tremor, sweating, palpitations) that mimic panic</w:t>
            </w:r>
          </w:p>
        </w:tc>
        <w:tc>
          <w:tcPr>
            <w:tcW w:type="dxa" w:w="1036"/>
            <w:vAlign w:val="top"/>
          </w:tcPr>
          <w:p>
            <w:pPr>
              <w:spacing w:after="40" w:before="0" w:line="259" w:lineRule="auto"/>
            </w:pPr>
            <w:r>
              <w:rPr>
                <w:rFonts w:ascii="Calibri" w:hAnsi="Calibri"/>
                <w:b w:val="0"/>
                <w:i w:val="0"/>
                <w:color w:val="212121"/>
                <w:sz w:val="16"/>
              </w:rPr>
              <w:t>Diabetics on treatment, episodic adrenergic symptoms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Exclude organic mimic</w:t>
            </w:r>
          </w:p>
        </w:tc>
        <w:tc>
          <w:tcPr>
            <w:tcW w:type="dxa" w:w="720"/>
            <w:vAlign w:val="top"/>
          </w:tcPr>
          <w:p>
            <w:pPr>
              <w:spacing w:after="40" w:before="0" w:line="259" w:lineRule="auto"/>
            </w:pPr>
            <w:r>
              <w:rPr>
                <w:rFonts w:ascii="Calibri" w:hAnsi="Calibri"/>
                <w:b w:val="0"/>
                <w:i w:val="0"/>
                <w:color w:val="212121"/>
                <w:sz w:val="16"/>
              </w:rPr>
              <w:t>Especially if attacks relate to fasting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Haematological</w:t>
            </w:r>
          </w:p>
        </w:tc>
        <w:tc>
          <w:tcPr>
            <w:tcW w:type="dxa" w:w="1036"/>
            <w:vAlign w:val="top"/>
          </w:tcPr>
          <w:p>
            <w:pPr>
              <w:spacing w:after="40" w:before="0" w:line="259" w:lineRule="auto"/>
            </w:pPr>
            <w:r>
              <w:rPr>
                <w:rFonts w:ascii="Calibri" w:hAnsi="Calibri"/>
                <w:b w:val="0"/>
                <w:i w:val="0"/>
                <w:color w:val="212121"/>
                <w:sz w:val="16"/>
              </w:rPr>
              <w:t>Complete blood count (CBC)</w:t>
            </w:r>
          </w:p>
        </w:tc>
        <w:tc>
          <w:tcPr>
            <w:tcW w:type="dxa" w:w="892"/>
            <w:vAlign w:val="top"/>
          </w:tcPr>
          <w:p>
            <w:pPr>
              <w:spacing w:after="40" w:before="0" w:line="259" w:lineRule="auto"/>
            </w:pPr>
            <w:r>
              <w:rPr>
                <w:rFonts w:ascii="Calibri" w:hAnsi="Calibri"/>
                <w:b w:val="0"/>
                <w:i w:val="0"/>
                <w:color w:val="212121"/>
                <w:sz w:val="16"/>
              </w:rPr>
              <w:t>Haemogram</w:t>
            </w:r>
          </w:p>
        </w:tc>
        <w:tc>
          <w:tcPr>
            <w:tcW w:type="dxa" w:w="950"/>
            <w:vAlign w:val="top"/>
          </w:tcPr>
          <w:p>
            <w:pPr>
              <w:spacing w:after="40" w:before="0" w:line="259" w:lineRule="auto"/>
            </w:pPr>
            <w:r>
              <w:rPr>
                <w:rFonts w:ascii="Calibri" w:hAnsi="Calibri"/>
                <w:b w:val="0"/>
                <w:i w:val="0"/>
                <w:color w:val="212121"/>
                <w:sz w:val="16"/>
              </w:rPr>
              <w:t>Hb M 13–17, F 12–15 g/dL</w:t>
            </w:r>
          </w:p>
        </w:tc>
        <w:tc>
          <w:tcPr>
            <w:tcW w:type="dxa" w:w="950"/>
            <w:vAlign w:val="top"/>
          </w:tcPr>
          <w:p>
            <w:pPr>
              <w:spacing w:after="40" w:before="0" w:line="259" w:lineRule="auto"/>
            </w:pPr>
            <w:r>
              <w:rPr>
                <w:rFonts w:ascii="Calibri" w:hAnsi="Calibri"/>
                <w:b w:val="0"/>
                <w:i w:val="0"/>
                <w:color w:val="212121"/>
                <w:sz w:val="16"/>
              </w:rPr>
              <w:t>Anaemia</w:t>
            </w:r>
          </w:p>
        </w:tc>
        <w:tc>
          <w:tcPr>
            <w:tcW w:type="dxa" w:w="1036"/>
            <w:vAlign w:val="top"/>
          </w:tcPr>
          <w:p>
            <w:pPr>
              <w:spacing w:after="40" w:before="0" w:line="259" w:lineRule="auto"/>
            </w:pPr>
            <w:r>
              <w:rPr>
                <w:rFonts w:ascii="Calibri" w:hAnsi="Calibri"/>
                <w:b w:val="0"/>
                <w:i w:val="0"/>
                <w:color w:val="212121"/>
                <w:sz w:val="16"/>
              </w:rPr>
              <w:t>Anaemia causes fatigue, palpitations and breathlessness that overlap with anxiety</w:t>
            </w:r>
          </w:p>
        </w:tc>
        <w:tc>
          <w:tcPr>
            <w:tcW w:type="dxa" w:w="1036"/>
            <w:vAlign w:val="top"/>
          </w:tcPr>
          <w:p>
            <w:pPr>
              <w:spacing w:after="40" w:before="0" w:line="259" w:lineRule="auto"/>
            </w:pPr>
            <w:r>
              <w:rPr>
                <w:rFonts w:ascii="Calibri" w:hAnsi="Calibri"/>
                <w:b w:val="0"/>
                <w:i w:val="0"/>
                <w:color w:val="212121"/>
                <w:sz w:val="16"/>
              </w:rPr>
              <w:t>Women, low-income, vegetarian diets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Baseline / exclude organic</w:t>
            </w:r>
          </w:p>
        </w:tc>
        <w:tc>
          <w:tcPr>
            <w:tcW w:type="dxa" w:w="720"/>
            <w:vAlign w:val="top"/>
          </w:tcPr>
          <w:p>
            <w:pPr>
              <w:spacing w:after="40" w:before="0" w:line="259" w:lineRule="auto"/>
            </w:pPr>
            <w:r>
              <w:rPr>
                <w:rFonts w:ascii="Calibri" w:hAnsi="Calibri"/>
                <w:b w:val="0"/>
                <w:i w:val="0"/>
                <w:color w:val="212121"/>
                <w:sz w:val="16"/>
              </w:rPr>
              <w:t>Iron-deficiency anaemia common in Indian women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Vitamin B12, vitamin D (± magnesium)</w:t>
            </w:r>
          </w:p>
        </w:tc>
        <w:tc>
          <w:tcPr>
            <w:tcW w:type="dxa" w:w="892"/>
            <w:vAlign w:val="top"/>
          </w:tcPr>
          <w:p>
            <w:pPr>
              <w:spacing w:after="40" w:before="0" w:line="259" w:lineRule="auto"/>
            </w:pPr>
            <w:r>
              <w:rPr>
                <w:rFonts w:ascii="Calibri" w:hAnsi="Calibri"/>
                <w:b w:val="0"/>
                <w:i w:val="0"/>
                <w:color w:val="212121"/>
                <w:sz w:val="16"/>
              </w:rPr>
              <w:t>Micronutrient panel</w:t>
            </w:r>
          </w:p>
        </w:tc>
        <w:tc>
          <w:tcPr>
            <w:tcW w:type="dxa" w:w="950"/>
            <w:vAlign w:val="top"/>
          </w:tcPr>
          <w:p>
            <w:pPr>
              <w:spacing w:after="40" w:before="0" w:line="259" w:lineRule="auto"/>
            </w:pPr>
            <w:r>
              <w:rPr>
                <w:rFonts w:ascii="Calibri" w:hAnsi="Calibri"/>
                <w:b w:val="0"/>
                <w:i w:val="0"/>
                <w:color w:val="212121"/>
                <w:sz w:val="16"/>
              </w:rPr>
              <w:t>B12 200–900 pg/mL; 25-OH-D ≥20 ng/mL</w:t>
            </w:r>
          </w:p>
        </w:tc>
        <w:tc>
          <w:tcPr>
            <w:tcW w:type="dxa" w:w="950"/>
            <w:vAlign w:val="top"/>
          </w:tcPr>
          <w:p>
            <w:pPr>
              <w:spacing w:after="40" w:before="0" w:line="259" w:lineRule="auto"/>
            </w:pPr>
            <w:r>
              <w:rPr>
                <w:rFonts w:ascii="Calibri" w:hAnsi="Calibri"/>
                <w:b w:val="0"/>
                <w:i w:val="0"/>
                <w:color w:val="212121"/>
                <w:sz w:val="16"/>
              </w:rPr>
              <w:t>B12 &lt;200 pg/mL; vitamin D &lt;20 ng/mL</w:t>
            </w:r>
          </w:p>
        </w:tc>
        <w:tc>
          <w:tcPr>
            <w:tcW w:type="dxa" w:w="1036"/>
            <w:vAlign w:val="top"/>
          </w:tcPr>
          <w:p>
            <w:pPr>
              <w:spacing w:after="40" w:before="0" w:line="259" w:lineRule="auto"/>
            </w:pPr>
            <w:r>
              <w:rPr>
                <w:rFonts w:ascii="Calibri" w:hAnsi="Calibri"/>
                <w:b w:val="0"/>
                <w:i w:val="0"/>
                <w:color w:val="212121"/>
                <w:sz w:val="16"/>
              </w:rPr>
              <w:t>Deficiency (common in Indian vegetarian/low-sun groups) can worsen anxiety, fatigue and cognitive symptoms</w:t>
            </w:r>
          </w:p>
        </w:tc>
        <w:tc>
          <w:tcPr>
            <w:tcW w:type="dxa" w:w="1036"/>
            <w:vAlign w:val="top"/>
          </w:tcPr>
          <w:p>
            <w:pPr>
              <w:spacing w:after="40" w:before="0" w:line="259" w:lineRule="auto"/>
            </w:pPr>
            <w:r>
              <w:rPr>
                <w:rFonts w:ascii="Calibri" w:hAnsi="Calibri"/>
                <w:b w:val="0"/>
                <w:i w:val="0"/>
                <w:color w:val="212121"/>
                <w:sz w:val="16"/>
              </w:rPr>
              <w:t>Vegetarians, elderly, housebound, low-income</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Reversible contributor</w:t>
            </w:r>
          </w:p>
        </w:tc>
        <w:tc>
          <w:tcPr>
            <w:tcW w:type="dxa" w:w="720"/>
            <w:vAlign w:val="top"/>
          </w:tcPr>
          <w:p>
            <w:pPr>
              <w:spacing w:after="40" w:before="0" w:line="259" w:lineRule="auto"/>
            </w:pPr>
            <w:r>
              <w:rPr>
                <w:rFonts w:ascii="Calibri" w:hAnsi="Calibri"/>
                <w:b w:val="0"/>
                <w:i w:val="0"/>
                <w:color w:val="212121"/>
                <w:sz w:val="16"/>
              </w:rPr>
              <w:t>Correct deficiency alongside primary treatment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electrolytes, calcium, renal &amp; liver function</w:t>
            </w:r>
          </w:p>
        </w:tc>
        <w:tc>
          <w:tcPr>
            <w:tcW w:type="dxa" w:w="892"/>
            <w:vAlign w:val="top"/>
          </w:tcPr>
          <w:p>
            <w:pPr>
              <w:spacing w:after="40" w:before="0" w:line="259" w:lineRule="auto"/>
            </w:pPr>
            <w:r>
              <w:rPr>
                <w:rFonts w:ascii="Calibri" w:hAnsi="Calibri"/>
                <w:b w:val="0"/>
                <w:i w:val="0"/>
                <w:color w:val="212121"/>
                <w:sz w:val="16"/>
              </w:rPr>
              <w:t>Metabolic panel</w:t>
            </w:r>
          </w:p>
        </w:tc>
        <w:tc>
          <w:tcPr>
            <w:tcW w:type="dxa" w:w="950"/>
            <w:vAlign w:val="top"/>
          </w:tcPr>
          <w:p>
            <w:pPr>
              <w:spacing w:after="40" w:before="0" w:line="259" w:lineRule="auto"/>
            </w:pPr>
            <w:r>
              <w:rPr>
                <w:rFonts w:ascii="Calibri" w:hAnsi="Calibri"/>
                <w:b w:val="0"/>
                <w:i w:val="0"/>
                <w:color w:val="212121"/>
                <w:sz w:val="16"/>
              </w:rPr>
              <w:t>Within lab reference range</w:t>
            </w:r>
          </w:p>
        </w:tc>
        <w:tc>
          <w:tcPr>
            <w:tcW w:type="dxa" w:w="950"/>
            <w:vAlign w:val="top"/>
          </w:tcPr>
          <w:p>
            <w:pPr>
              <w:spacing w:after="40" w:before="0" w:line="259" w:lineRule="auto"/>
            </w:pPr>
            <w:r>
              <w:rPr>
                <w:rFonts w:ascii="Calibri" w:hAnsi="Calibri"/>
                <w:b w:val="0"/>
                <w:i w:val="0"/>
                <w:color w:val="212121"/>
                <w:sz w:val="16"/>
              </w:rPr>
              <w:t>Na/Ca disturbance; deranged RFT/LFT</w:t>
            </w:r>
          </w:p>
        </w:tc>
        <w:tc>
          <w:tcPr>
            <w:tcW w:type="dxa" w:w="1036"/>
            <w:vAlign w:val="top"/>
          </w:tcPr>
          <w:p>
            <w:pPr>
              <w:spacing w:after="40" w:before="0" w:line="259" w:lineRule="auto"/>
            </w:pPr>
            <w:r>
              <w:rPr>
                <w:rFonts w:ascii="Calibri" w:hAnsi="Calibri"/>
                <w:b w:val="0"/>
                <w:i w:val="0"/>
                <w:color w:val="212121"/>
                <w:sz w:val="16"/>
              </w:rPr>
              <w:t>Excludes metabolic causes of anxiety/agitation and gives a safe baseline for psychotropics</w:t>
            </w:r>
          </w:p>
        </w:tc>
        <w:tc>
          <w:tcPr>
            <w:tcW w:type="dxa" w:w="1036"/>
            <w:vAlign w:val="top"/>
          </w:tcPr>
          <w:p>
            <w:pPr>
              <w:spacing w:after="40" w:before="0" w:line="259" w:lineRule="auto"/>
            </w:pPr>
            <w:r>
              <w:rPr>
                <w:rFonts w:ascii="Calibri" w:hAnsi="Calibri"/>
                <w:b w:val="0"/>
                <w:i w:val="0"/>
                <w:color w:val="212121"/>
                <w:sz w:val="16"/>
              </w:rPr>
              <w:t>Elderly, alcohol users, before pharmacotherapy</w:t>
            </w:r>
          </w:p>
        </w:tc>
        <w:tc>
          <w:tcPr>
            <w:tcW w:type="dxa" w:w="720"/>
            <w:vAlign w:val="top"/>
          </w:tcPr>
          <w:p>
            <w:pPr>
              <w:spacing w:after="40" w:before="0" w:line="259" w:lineRule="auto"/>
            </w:pPr>
            <w:r>
              <w:rPr>
                <w:rFonts w:ascii="Calibri" w:hAnsi="Calibri"/>
                <w:b w:val="0"/>
                <w:i w:val="0"/>
                <w:color w:val="212121"/>
                <w:sz w:val="16"/>
              </w:rPr>
              <w:t>Alcohol; Food</w:t>
            </w:r>
          </w:p>
        </w:tc>
        <w:tc>
          <w:tcPr>
            <w:tcW w:type="dxa" w:w="720"/>
            <w:vAlign w:val="top"/>
          </w:tcPr>
          <w:p>
            <w:pPr>
              <w:spacing w:after="40" w:before="0" w:line="259" w:lineRule="auto"/>
            </w:pPr>
            <w:r>
              <w:rPr>
                <w:rFonts w:ascii="Calibri" w:hAnsi="Calibri"/>
                <w:b w:val="0"/>
                <w:i w:val="0"/>
                <w:color w:val="212121"/>
                <w:sz w:val="16"/>
              </w:rPr>
              <w:t>Baseline / safety</w:t>
            </w:r>
          </w:p>
        </w:tc>
        <w:tc>
          <w:tcPr>
            <w:tcW w:type="dxa" w:w="720"/>
            <w:vAlign w:val="top"/>
          </w:tcPr>
          <w:p>
            <w:pPr>
              <w:spacing w:after="40" w:before="0" w:line="259" w:lineRule="auto"/>
            </w:pPr>
            <w:r>
              <w:rPr>
                <w:rFonts w:ascii="Calibri" w:hAnsi="Calibri"/>
                <w:b w:val="0"/>
                <w:i w:val="0"/>
                <w:color w:val="212121"/>
                <w:sz w:val="16"/>
              </w:rPr>
              <w:t>Hypocalcaemia can cause tetany/anxiety-like symptoms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Toxicology</w:t>
            </w:r>
          </w:p>
        </w:tc>
        <w:tc>
          <w:tcPr>
            <w:tcW w:type="dxa" w:w="1036"/>
            <w:vAlign w:val="top"/>
          </w:tcPr>
          <w:p>
            <w:pPr>
              <w:spacing w:after="40" w:before="0" w:line="259" w:lineRule="auto"/>
            </w:pPr>
            <w:r>
              <w:rPr>
                <w:rFonts w:ascii="Calibri" w:hAnsi="Calibri"/>
                <w:b w:val="0"/>
                <w:i w:val="0"/>
                <w:color w:val="212121"/>
                <w:sz w:val="16"/>
              </w:rPr>
              <w:t>Urine drug screen / caffeine &amp; stimulant history</w:t>
            </w:r>
          </w:p>
        </w:tc>
        <w:tc>
          <w:tcPr>
            <w:tcW w:type="dxa" w:w="892"/>
            <w:vAlign w:val="top"/>
          </w:tcPr>
          <w:p>
            <w:pPr>
              <w:spacing w:after="40" w:before="0" w:line="259" w:lineRule="auto"/>
            </w:pPr>
            <w:r>
              <w:rPr>
                <w:rFonts w:ascii="Calibri" w:hAnsi="Calibri"/>
                <w:b w:val="0"/>
                <w:i w:val="0"/>
                <w:color w:val="212121"/>
                <w:sz w:val="16"/>
              </w:rPr>
              <w:t>Substance screen</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Stimulants/cannabis positive; heavy caffeine</w:t>
            </w:r>
          </w:p>
        </w:tc>
        <w:tc>
          <w:tcPr>
            <w:tcW w:type="dxa" w:w="1036"/>
            <w:vAlign w:val="top"/>
          </w:tcPr>
          <w:p>
            <w:pPr>
              <w:spacing w:after="40" w:before="0" w:line="259" w:lineRule="auto"/>
            </w:pPr>
            <w:r>
              <w:rPr>
                <w:rFonts w:ascii="Calibri" w:hAnsi="Calibri"/>
                <w:b w:val="0"/>
                <w:i w:val="0"/>
                <w:color w:val="212121"/>
                <w:sz w:val="16"/>
              </w:rPr>
              <w:t>Identifies substance/stimulant-induced anxiety and intoxication/withdrawal states</w:t>
            </w:r>
          </w:p>
        </w:tc>
        <w:tc>
          <w:tcPr>
            <w:tcW w:type="dxa" w:w="1036"/>
            <w:vAlign w:val="top"/>
          </w:tcPr>
          <w:p>
            <w:pPr>
              <w:spacing w:after="40" w:before="0" w:line="259" w:lineRule="auto"/>
            </w:pPr>
            <w:r>
              <w:rPr>
                <w:rFonts w:ascii="Calibri" w:hAnsi="Calibri"/>
                <w:b w:val="0"/>
                <w:i w:val="0"/>
                <w:color w:val="212121"/>
                <w:sz w:val="16"/>
              </w:rPr>
              <w:t>Suspected substance use, energy-drink/stimulant users</w:t>
            </w:r>
          </w:p>
        </w:tc>
        <w:tc>
          <w:tcPr>
            <w:tcW w:type="dxa" w:w="720"/>
            <w:vAlign w:val="top"/>
          </w:tcPr>
          <w:p>
            <w:pPr>
              <w:spacing w:after="40" w:before="0" w:line="259" w:lineRule="auto"/>
            </w:pPr>
            <w:r>
              <w:rPr>
                <w:rFonts w:ascii="Calibri" w:hAnsi="Calibri"/>
                <w:b w:val="0"/>
                <w:i w:val="0"/>
                <w:color w:val="212121"/>
                <w:sz w:val="16"/>
              </w:rPr>
              <w:t>Caffeine; Alcohol; Smoking</w:t>
            </w:r>
          </w:p>
        </w:tc>
        <w:tc>
          <w:tcPr>
            <w:tcW w:type="dxa" w:w="720"/>
            <w:vAlign w:val="top"/>
          </w:tcPr>
          <w:p>
            <w:pPr>
              <w:spacing w:after="40" w:before="0" w:line="259" w:lineRule="auto"/>
            </w:pPr>
            <w:r>
              <w:rPr>
                <w:rFonts w:ascii="Calibri" w:hAnsi="Calibri"/>
                <w:b w:val="0"/>
                <w:i w:val="0"/>
                <w:color w:val="212121"/>
                <w:sz w:val="16"/>
              </w:rPr>
              <w:t>Diagnostic / reversible cause</w:t>
            </w:r>
          </w:p>
        </w:tc>
        <w:tc>
          <w:tcPr>
            <w:tcW w:type="dxa" w:w="720"/>
            <w:vAlign w:val="top"/>
          </w:tcPr>
          <w:p>
            <w:pPr>
              <w:spacing w:after="40" w:before="0" w:line="259" w:lineRule="auto"/>
            </w:pPr>
            <w:r>
              <w:rPr>
                <w:rFonts w:ascii="Calibri" w:hAnsi="Calibri"/>
                <w:b w:val="0"/>
                <w:i w:val="0"/>
                <w:color w:val="212121"/>
                <w:sz w:val="16"/>
              </w:rPr>
              <w:t>DSM-5 caffeine- and substance-induced anxiety disorders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 (selected)</w:t>
            </w:r>
          </w:p>
        </w:tc>
        <w:tc>
          <w:tcPr>
            <w:tcW w:type="dxa" w:w="1036"/>
            <w:vAlign w:val="top"/>
          </w:tcPr>
          <w:p>
            <w:pPr>
              <w:spacing w:after="40" w:before="0" w:line="259" w:lineRule="auto"/>
            </w:pPr>
            <w:r>
              <w:rPr>
                <w:rFonts w:ascii="Calibri" w:hAnsi="Calibri"/>
                <w:b w:val="0"/>
                <w:i w:val="0"/>
                <w:color w:val="212121"/>
                <w:sz w:val="16"/>
              </w:rPr>
              <w:t>24-h urinary metanephrines / plasma free metanephrines</w:t>
            </w:r>
          </w:p>
        </w:tc>
        <w:tc>
          <w:tcPr>
            <w:tcW w:type="dxa" w:w="892"/>
            <w:vAlign w:val="top"/>
          </w:tcPr>
          <w:p>
            <w:pPr>
              <w:spacing w:after="40" w:before="0" w:line="259" w:lineRule="auto"/>
            </w:pPr>
            <w:r>
              <w:rPr>
                <w:rFonts w:ascii="Calibri" w:hAnsi="Calibri"/>
                <w:b w:val="0"/>
                <w:i w:val="0"/>
                <w:color w:val="212121"/>
                <w:sz w:val="16"/>
              </w:rPr>
              <w:t>Phaeochromocytoma screen</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Markedly elevated metanephrines</w:t>
            </w:r>
          </w:p>
        </w:tc>
        <w:tc>
          <w:tcPr>
            <w:tcW w:type="dxa" w:w="1036"/>
            <w:vAlign w:val="top"/>
          </w:tcPr>
          <w:p>
            <w:pPr>
              <w:spacing w:after="40" w:before="0" w:line="259" w:lineRule="auto"/>
            </w:pPr>
            <w:r>
              <w:rPr>
                <w:rFonts w:ascii="Calibri" w:hAnsi="Calibri"/>
                <w:b w:val="0"/>
                <w:i w:val="0"/>
                <w:color w:val="212121"/>
                <w:sz w:val="16"/>
              </w:rPr>
              <w:t>Excludes phaeochromocytoma in atypical, paroxysmal anxiety with severe hypertension, headache and sweating</w:t>
            </w:r>
          </w:p>
        </w:tc>
        <w:tc>
          <w:tcPr>
            <w:tcW w:type="dxa" w:w="1036"/>
            <w:vAlign w:val="top"/>
          </w:tcPr>
          <w:p>
            <w:pPr>
              <w:spacing w:after="40" w:before="0" w:line="259" w:lineRule="auto"/>
            </w:pPr>
            <w:r>
              <w:rPr>
                <w:rFonts w:ascii="Calibri" w:hAnsi="Calibri"/>
                <w:b w:val="0"/>
                <w:i w:val="0"/>
                <w:color w:val="212121"/>
                <w:sz w:val="16"/>
              </w:rPr>
              <w:t>Atypical paroxysmal spells with hypertensive surges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Selective (rule out rare mimic)</w:t>
            </w:r>
          </w:p>
        </w:tc>
        <w:tc>
          <w:tcPr>
            <w:tcW w:type="dxa" w:w="720"/>
            <w:vAlign w:val="top"/>
          </w:tcPr>
          <w:p>
            <w:pPr>
              <w:spacing w:after="40" w:before="0" w:line="259" w:lineRule="auto"/>
            </w:pPr>
            <w:r>
              <w:rPr>
                <w:rFonts w:ascii="Calibri" w:hAnsi="Calibri"/>
                <w:b w:val="0"/>
                <w:i w:val="0"/>
                <w:color w:val="212121"/>
                <w:sz w:val="16"/>
              </w:rPr>
              <w:t>Only when clinical features suggest it — not routine</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Presenting complaints &amp; HPI</w:t>
            </w:r>
          </w:p>
        </w:tc>
        <w:tc>
          <w:tcPr>
            <w:tcW w:type="dxa" w:w="979"/>
            <w:vAlign w:val="top"/>
          </w:tcPr>
          <w:p>
            <w:pPr>
              <w:spacing w:after="40" w:before="0" w:line="259" w:lineRule="auto"/>
            </w:pPr>
            <w:r>
              <w:rPr>
                <w:rFonts w:ascii="Calibri" w:hAnsi="Calibri"/>
                <w:b w:val="0"/>
                <w:i w:val="0"/>
                <w:color w:val="212121"/>
                <w:sz w:val="16"/>
              </w:rPr>
              <w:t>Nature/focus of fear, worry, panic, avoidance; onset, duration, triggers</w:t>
            </w:r>
          </w:p>
        </w:tc>
        <w:tc>
          <w:tcPr>
            <w:tcW w:type="dxa" w:w="950"/>
            <w:vAlign w:val="top"/>
          </w:tcPr>
          <w:p>
            <w:pPr>
              <w:spacing w:after="40" w:before="0" w:line="259" w:lineRule="auto"/>
            </w:pPr>
            <w:r>
              <w:rPr>
                <w:rFonts w:ascii="Calibri" w:hAnsi="Calibri"/>
                <w:b w:val="0"/>
                <w:i w:val="0"/>
                <w:color w:val="212121"/>
                <w:sz w:val="16"/>
              </w:rPr>
              <w:t>No disorder present</w:t>
            </w:r>
          </w:p>
        </w:tc>
        <w:tc>
          <w:tcPr>
            <w:tcW w:type="dxa" w:w="950"/>
            <w:vAlign w:val="top"/>
          </w:tcPr>
          <w:p>
            <w:pPr>
              <w:spacing w:after="40" w:before="0" w:line="259" w:lineRule="auto"/>
            </w:pPr>
            <w:r>
              <w:rPr>
                <w:rFonts w:ascii="Calibri" w:hAnsi="Calibri"/>
                <w:b w:val="0"/>
                <w:i w:val="0"/>
                <w:color w:val="212121"/>
                <w:sz w:val="16"/>
              </w:rPr>
              <w:t>Excessive, persistent, hard-to-control fear/worry with distress or avoidance</w:t>
            </w:r>
          </w:p>
        </w:tc>
        <w:tc>
          <w:tcPr>
            <w:tcW w:type="dxa" w:w="1036"/>
            <w:vAlign w:val="top"/>
          </w:tcPr>
          <w:p>
            <w:pPr>
              <w:spacing w:after="40" w:before="0" w:line="259" w:lineRule="auto"/>
            </w:pPr>
            <w:r>
              <w:rPr>
                <w:rFonts w:ascii="Calibri" w:hAnsi="Calibri"/>
                <w:b w:val="0"/>
                <w:i w:val="0"/>
                <w:color w:val="212121"/>
                <w:sz w:val="16"/>
              </w:rPr>
              <w:t>Establishes the anxiety subtype (GAD, panic, phobia, social, agoraphobia) and severity</w:t>
            </w:r>
          </w:p>
        </w:tc>
        <w:tc>
          <w:tcPr>
            <w:tcW w:type="dxa" w:w="1036"/>
            <w:vAlign w:val="top"/>
          </w:tcPr>
          <w:p>
            <w:pPr>
              <w:spacing w:after="40" w:before="0" w:line="259" w:lineRule="auto"/>
            </w:pPr>
            <w:r>
              <w:rPr>
                <w:rFonts w:ascii="Calibri" w:hAnsi="Calibri"/>
                <w:b w:val="0"/>
                <w:i w:val="0"/>
                <w:color w:val="212121"/>
                <w:sz w:val="16"/>
              </w:rPr>
              <w:t>All presenting patients</w:t>
            </w:r>
          </w:p>
        </w:tc>
        <w:tc>
          <w:tcPr>
            <w:tcW w:type="dxa" w:w="720"/>
            <w:vAlign w:val="top"/>
          </w:tcPr>
          <w:p>
            <w:pPr>
              <w:spacing w:after="40" w:before="0" w:line="259" w:lineRule="auto"/>
            </w:pPr>
            <w:r>
              <w:rPr>
                <w:rFonts w:ascii="Calibri" w:hAnsi="Calibri"/>
                <w:b w:val="0"/>
                <w:i w:val="0"/>
                <w:color w:val="212121"/>
                <w:sz w:val="16"/>
              </w:rPr>
              <w:t>Mental health; Provoking factors</w:t>
            </w:r>
          </w:p>
        </w:tc>
        <w:tc>
          <w:tcPr>
            <w:tcW w:type="dxa" w:w="720"/>
            <w:vAlign w:val="top"/>
          </w:tcPr>
          <w:p>
            <w:pPr>
              <w:spacing w:after="40" w:before="0" w:line="259" w:lineRule="auto"/>
            </w:pPr>
            <w:r>
              <w:rPr>
                <w:rFonts w:ascii="Calibri" w:hAnsi="Calibri"/>
                <w:b w:val="0"/>
                <w:i w:val="0"/>
                <w:color w:val="212121"/>
                <w:sz w:val="16"/>
              </w:rPr>
              <w:t>Core diagnostic</w:t>
            </w:r>
          </w:p>
        </w:tc>
        <w:tc>
          <w:tcPr>
            <w:tcW w:type="dxa" w:w="720"/>
            <w:vAlign w:val="top"/>
          </w:tcPr>
          <w:p>
            <w:pPr>
              <w:spacing w:after="40" w:before="0" w:line="259" w:lineRule="auto"/>
            </w:pPr>
            <w:r>
              <w:rPr>
                <w:rFonts w:ascii="Calibri" w:hAnsi="Calibri"/>
                <w:b w:val="0"/>
                <w:i w:val="0"/>
                <w:color w:val="212121"/>
                <w:sz w:val="16"/>
              </w:rPr>
              <w:t>Somatic complaints (‘ghabrahat’, palpitations, ‘gas’) often mask anxiety in India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Mental State Examination</w:t>
            </w:r>
          </w:p>
        </w:tc>
        <w:tc>
          <w:tcPr>
            <w:tcW w:type="dxa" w:w="950"/>
            <w:vAlign w:val="top"/>
          </w:tcPr>
          <w:p>
            <w:pPr>
              <w:spacing w:after="40" w:before="0" w:line="259" w:lineRule="auto"/>
            </w:pPr>
            <w:r>
              <w:rPr>
                <w:rFonts w:ascii="Calibri" w:hAnsi="Calibri"/>
                <w:b w:val="0"/>
                <w:i w:val="0"/>
                <w:color w:val="212121"/>
                <w:sz w:val="16"/>
              </w:rPr>
              <w:t>MSE</w:t>
            </w:r>
          </w:p>
        </w:tc>
        <w:tc>
          <w:tcPr>
            <w:tcW w:type="dxa" w:w="979"/>
            <w:vAlign w:val="top"/>
          </w:tcPr>
          <w:p>
            <w:pPr>
              <w:spacing w:after="40" w:before="0" w:line="259" w:lineRule="auto"/>
            </w:pPr>
            <w:r>
              <w:rPr>
                <w:rFonts w:ascii="Calibri" w:hAnsi="Calibri"/>
                <w:b w:val="0"/>
                <w:i w:val="0"/>
                <w:color w:val="212121"/>
                <w:sz w:val="16"/>
              </w:rPr>
              <w:t>Appearance, motor tension, mood/affect, thought content (worry/phobia), cognition, insight</w:t>
            </w:r>
          </w:p>
        </w:tc>
        <w:tc>
          <w:tcPr>
            <w:tcW w:type="dxa" w:w="950"/>
            <w:vAlign w:val="top"/>
          </w:tcPr>
          <w:p>
            <w:pPr>
              <w:spacing w:after="40" w:before="0" w:line="259" w:lineRule="auto"/>
            </w:pPr>
            <w:r>
              <w:rPr>
                <w:rFonts w:ascii="Calibri" w:hAnsi="Calibri"/>
                <w:b w:val="0"/>
                <w:i w:val="0"/>
                <w:color w:val="212121"/>
                <w:sz w:val="16"/>
              </w:rPr>
              <w:t>Calm, organised thought, intact insight</w:t>
            </w:r>
          </w:p>
        </w:tc>
        <w:tc>
          <w:tcPr>
            <w:tcW w:type="dxa" w:w="950"/>
            <w:vAlign w:val="top"/>
          </w:tcPr>
          <w:p>
            <w:pPr>
              <w:spacing w:after="40" w:before="0" w:line="259" w:lineRule="auto"/>
            </w:pPr>
            <w:r>
              <w:rPr>
                <w:rFonts w:ascii="Calibri" w:hAnsi="Calibri"/>
                <w:b w:val="0"/>
                <w:i w:val="0"/>
                <w:color w:val="212121"/>
                <w:sz w:val="16"/>
              </w:rPr>
              <w:t>Anxious/tense affect, apprehensive worry, avoidance, catastrophic cognitions</w:t>
            </w:r>
          </w:p>
        </w:tc>
        <w:tc>
          <w:tcPr>
            <w:tcW w:type="dxa" w:w="1036"/>
            <w:vAlign w:val="top"/>
          </w:tcPr>
          <w:p>
            <w:pPr>
              <w:spacing w:after="40" w:before="0" w:line="259" w:lineRule="auto"/>
            </w:pPr>
            <w:r>
              <w:rPr>
                <w:rFonts w:ascii="Calibri" w:hAnsi="Calibri"/>
                <w:b w:val="0"/>
                <w:i w:val="0"/>
                <w:color w:val="212121"/>
                <w:sz w:val="16"/>
              </w:rPr>
              <w:t>Cross-sectional assessment of current anxiety psychopathology and severity</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Core diagnostic</w:t>
            </w:r>
          </w:p>
        </w:tc>
        <w:tc>
          <w:tcPr>
            <w:tcW w:type="dxa" w:w="720"/>
            <w:vAlign w:val="top"/>
          </w:tcPr>
          <w:p>
            <w:pPr>
              <w:spacing w:after="40" w:before="0" w:line="259" w:lineRule="auto"/>
            </w:pPr>
            <w:r>
              <w:rPr>
                <w:rFonts w:ascii="Calibri" w:hAnsi="Calibri"/>
                <w:b w:val="0"/>
                <w:i w:val="0"/>
                <w:color w:val="212121"/>
                <w:sz w:val="16"/>
              </w:rPr>
              <w:t>Distinguish from psychosis, mania and organic states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Risk assessment</w:t>
            </w:r>
          </w:p>
        </w:tc>
        <w:tc>
          <w:tcPr>
            <w:tcW w:type="dxa" w:w="950"/>
            <w:vAlign w:val="top"/>
          </w:tcPr>
          <w:p>
            <w:pPr>
              <w:spacing w:after="40" w:before="0" w:line="259" w:lineRule="auto"/>
            </w:pPr>
            <w:r>
              <w:rPr>
                <w:rFonts w:ascii="Calibri" w:hAnsi="Calibri"/>
                <w:b w:val="0"/>
                <w:i w:val="0"/>
                <w:color w:val="212121"/>
                <w:sz w:val="16"/>
              </w:rPr>
              <w:t>Suicide / self-harm</w:t>
            </w:r>
          </w:p>
        </w:tc>
        <w:tc>
          <w:tcPr>
            <w:tcW w:type="dxa" w:w="979"/>
            <w:vAlign w:val="top"/>
          </w:tcPr>
          <w:p>
            <w:pPr>
              <w:spacing w:after="40" w:before="0" w:line="259" w:lineRule="auto"/>
            </w:pPr>
            <w:r>
              <w:rPr>
                <w:rFonts w:ascii="Calibri" w:hAnsi="Calibri"/>
                <w:b w:val="0"/>
                <w:i w:val="0"/>
                <w:color w:val="212121"/>
                <w:sz w:val="16"/>
              </w:rPr>
              <w:t>Ideation, plan, intent, means; comorbid depression, substance use</w:t>
            </w:r>
          </w:p>
        </w:tc>
        <w:tc>
          <w:tcPr>
            <w:tcW w:type="dxa" w:w="950"/>
            <w:vAlign w:val="top"/>
          </w:tcPr>
          <w:p>
            <w:pPr>
              <w:spacing w:after="40" w:before="0" w:line="259" w:lineRule="auto"/>
            </w:pPr>
            <w:r>
              <w:rPr>
                <w:rFonts w:ascii="Calibri" w:hAnsi="Calibri"/>
                <w:b w:val="0"/>
                <w:i w:val="0"/>
                <w:color w:val="212121"/>
                <w:sz w:val="16"/>
              </w:rPr>
              <w:t>No ideation; protective factors present</w:t>
            </w:r>
          </w:p>
        </w:tc>
        <w:tc>
          <w:tcPr>
            <w:tcW w:type="dxa" w:w="950"/>
            <w:vAlign w:val="top"/>
          </w:tcPr>
          <w:p>
            <w:pPr>
              <w:spacing w:after="40" w:before="0" w:line="259" w:lineRule="auto"/>
            </w:pPr>
            <w:r>
              <w:rPr>
                <w:rFonts w:ascii="Calibri" w:hAnsi="Calibri"/>
                <w:b w:val="0"/>
                <w:i w:val="0"/>
                <w:color w:val="212121"/>
                <w:sz w:val="16"/>
              </w:rPr>
              <w:t>Active ideation, plan or intent; prior attempt</w:t>
            </w:r>
          </w:p>
        </w:tc>
        <w:tc>
          <w:tcPr>
            <w:tcW w:type="dxa" w:w="1036"/>
            <w:vAlign w:val="top"/>
          </w:tcPr>
          <w:p>
            <w:pPr>
              <w:spacing w:after="40" w:before="0" w:line="259" w:lineRule="auto"/>
            </w:pPr>
            <w:r>
              <w:rPr>
                <w:rFonts w:ascii="Calibri" w:hAnsi="Calibri"/>
                <w:b w:val="0"/>
                <w:i w:val="0"/>
                <w:color w:val="212121"/>
                <w:sz w:val="16"/>
              </w:rPr>
              <w:t>Anxiety (especially with comorbid depression/substance use) raises suicide risk and determines level of care</w:t>
            </w:r>
          </w:p>
        </w:tc>
        <w:tc>
          <w:tcPr>
            <w:tcW w:type="dxa" w:w="1036"/>
            <w:vAlign w:val="top"/>
          </w:tcPr>
          <w:p>
            <w:pPr>
              <w:spacing w:after="40" w:before="0" w:line="259" w:lineRule="auto"/>
            </w:pPr>
            <w:r>
              <w:rPr>
                <w:rFonts w:ascii="Calibri" w:hAnsi="Calibri"/>
                <w:b w:val="0"/>
                <w:i w:val="0"/>
                <w:color w:val="212121"/>
                <w:sz w:val="16"/>
              </w:rPr>
              <w:t>Anxiety + depression, panic, substance users</w:t>
            </w:r>
          </w:p>
        </w:tc>
        <w:tc>
          <w:tcPr>
            <w:tcW w:type="dxa" w:w="720"/>
            <w:vAlign w:val="top"/>
          </w:tcPr>
          <w:p>
            <w:pPr>
              <w:spacing w:after="40" w:before="0" w:line="259" w:lineRule="auto"/>
            </w:pPr>
            <w:r>
              <w:rPr>
                <w:rFonts w:ascii="Calibri" w:hAnsi="Calibri"/>
                <w:b w:val="0"/>
                <w:i w:val="0"/>
                <w:color w:val="212121"/>
                <w:sz w:val="16"/>
              </w:rPr>
              <w:t>Mental health; Alcohol</w:t>
            </w:r>
          </w:p>
        </w:tc>
        <w:tc>
          <w:tcPr>
            <w:tcW w:type="dxa" w:w="720"/>
            <w:vAlign w:val="top"/>
          </w:tcPr>
          <w:p>
            <w:pPr>
              <w:spacing w:after="40" w:before="0" w:line="259" w:lineRule="auto"/>
            </w:pPr>
            <w:r>
              <w:rPr>
                <w:rFonts w:ascii="Calibri" w:hAnsi="Calibri"/>
                <w:b w:val="0"/>
                <w:i w:val="0"/>
                <w:color w:val="212121"/>
                <w:sz w:val="16"/>
              </w:rPr>
              <w:t>Safety-critical</w:t>
            </w:r>
          </w:p>
        </w:tc>
        <w:tc>
          <w:tcPr>
            <w:tcW w:type="dxa" w:w="720"/>
            <w:vAlign w:val="top"/>
          </w:tcPr>
          <w:p>
            <w:pPr>
              <w:spacing w:after="40" w:before="0" w:line="259" w:lineRule="auto"/>
            </w:pPr>
            <w:r>
              <w:rPr>
                <w:rFonts w:ascii="Calibri" w:hAnsi="Calibri"/>
                <w:b w:val="0"/>
                <w:i w:val="0"/>
                <w:color w:val="212121"/>
                <w:sz w:val="16"/>
              </w:rPr>
              <w:t>India's age-adjusted suicide rate ~21.1/100,000 — escalate promptly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Substance, caffeine &amp; medication history</w:t>
            </w:r>
          </w:p>
        </w:tc>
        <w:tc>
          <w:tcPr>
            <w:tcW w:type="dxa" w:w="979"/>
            <w:vAlign w:val="top"/>
          </w:tcPr>
          <w:p>
            <w:pPr>
              <w:spacing w:after="40" w:before="0" w:line="259" w:lineRule="auto"/>
            </w:pPr>
            <w:r>
              <w:rPr>
                <w:rFonts w:ascii="Calibri" w:hAnsi="Calibri"/>
                <w:b w:val="0"/>
                <w:i w:val="0"/>
                <w:color w:val="212121"/>
                <w:sz w:val="16"/>
              </w:rPr>
              <w:t>Caffeine, tobacco, alcohol, cannabis, stimulants; thyroid/steroid/bronchodilator drugs</w:t>
            </w:r>
          </w:p>
        </w:tc>
        <w:tc>
          <w:tcPr>
            <w:tcW w:type="dxa" w:w="950"/>
            <w:vAlign w:val="top"/>
          </w:tcPr>
          <w:p>
            <w:pPr>
              <w:spacing w:after="40" w:before="0" w:line="259" w:lineRule="auto"/>
            </w:pPr>
            <w:r>
              <w:rPr>
                <w:rFonts w:ascii="Calibri" w:hAnsi="Calibri"/>
                <w:b w:val="0"/>
                <w:i w:val="0"/>
                <w:color w:val="212121"/>
                <w:sz w:val="16"/>
              </w:rPr>
              <w:t>No stimulant excess or triggering drug</w:t>
            </w:r>
          </w:p>
        </w:tc>
        <w:tc>
          <w:tcPr>
            <w:tcW w:type="dxa" w:w="950"/>
            <w:vAlign w:val="top"/>
          </w:tcPr>
          <w:p>
            <w:pPr>
              <w:spacing w:after="40" w:before="0" w:line="259" w:lineRule="auto"/>
            </w:pPr>
            <w:r>
              <w:rPr>
                <w:rFonts w:ascii="Calibri" w:hAnsi="Calibri"/>
                <w:b w:val="0"/>
                <w:i w:val="0"/>
                <w:color w:val="212121"/>
                <w:sz w:val="16"/>
              </w:rPr>
              <w:t>Heavy caffeine/stimulant use, alcohol/sedative withdrawal, offending drug</w:t>
            </w:r>
          </w:p>
        </w:tc>
        <w:tc>
          <w:tcPr>
            <w:tcW w:type="dxa" w:w="1036"/>
            <w:vAlign w:val="top"/>
          </w:tcPr>
          <w:p>
            <w:pPr>
              <w:spacing w:after="40" w:before="0" w:line="259" w:lineRule="auto"/>
            </w:pPr>
            <w:r>
              <w:rPr>
                <w:rFonts w:ascii="Calibri" w:hAnsi="Calibri"/>
                <w:b w:val="0"/>
                <w:i w:val="0"/>
                <w:color w:val="212121"/>
                <w:sz w:val="16"/>
              </w:rPr>
              <w:t>Identifies substance/medication-induced anxiety — often fully reversible</w:t>
            </w:r>
          </w:p>
        </w:tc>
        <w:tc>
          <w:tcPr>
            <w:tcW w:type="dxa" w:w="1036"/>
            <w:vAlign w:val="top"/>
          </w:tcPr>
          <w:p>
            <w:pPr>
              <w:spacing w:after="40" w:before="0" w:line="259" w:lineRule="auto"/>
            </w:pPr>
            <w:r>
              <w:rPr>
                <w:rFonts w:ascii="Calibri" w:hAnsi="Calibri"/>
                <w:b w:val="0"/>
                <w:i w:val="0"/>
                <w:color w:val="212121"/>
                <w:sz w:val="16"/>
              </w:rPr>
              <w:t>Energy-drink users, drinkers, patients on stimulant drugs</w:t>
            </w:r>
          </w:p>
        </w:tc>
        <w:tc>
          <w:tcPr>
            <w:tcW w:type="dxa" w:w="720"/>
            <w:vAlign w:val="top"/>
          </w:tcPr>
          <w:p>
            <w:pPr>
              <w:spacing w:after="40" w:before="0" w:line="259" w:lineRule="auto"/>
            </w:pPr>
            <w:r>
              <w:rPr>
                <w:rFonts w:ascii="Calibri" w:hAnsi="Calibri"/>
                <w:b w:val="0"/>
                <w:i w:val="0"/>
                <w:color w:val="212121"/>
                <w:sz w:val="16"/>
              </w:rPr>
              <w:t>Caffeine; Alcohol; Smoking</w:t>
            </w:r>
          </w:p>
        </w:tc>
        <w:tc>
          <w:tcPr>
            <w:tcW w:type="dxa" w:w="720"/>
            <w:vAlign w:val="top"/>
          </w:tcPr>
          <w:p>
            <w:pPr>
              <w:spacing w:after="40" w:before="0" w:line="259" w:lineRule="auto"/>
            </w:pPr>
            <w:r>
              <w:rPr>
                <w:rFonts w:ascii="Calibri" w:hAnsi="Calibri"/>
                <w:b w:val="0"/>
                <w:i w:val="0"/>
                <w:color w:val="212121"/>
                <w:sz w:val="16"/>
              </w:rPr>
              <w:t>Diagnostic / reversible</w:t>
            </w:r>
          </w:p>
        </w:tc>
        <w:tc>
          <w:tcPr>
            <w:tcW w:type="dxa" w:w="720"/>
            <w:vAlign w:val="top"/>
          </w:tcPr>
          <w:p>
            <w:pPr>
              <w:spacing w:after="40" w:before="0" w:line="259" w:lineRule="auto"/>
            </w:pPr>
            <w:r>
              <w:rPr>
                <w:rFonts w:ascii="Calibri" w:hAnsi="Calibri"/>
                <w:b w:val="0"/>
                <w:i w:val="0"/>
                <w:color w:val="212121"/>
                <w:sz w:val="16"/>
              </w:rPr>
              <w:t>Screen every presentation for caffeine and withdrawal states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&amp; personal psychiatric history</w:t>
            </w:r>
          </w:p>
        </w:tc>
        <w:tc>
          <w:tcPr>
            <w:tcW w:type="dxa" w:w="979"/>
            <w:vAlign w:val="top"/>
          </w:tcPr>
          <w:p>
            <w:pPr>
              <w:spacing w:after="40" w:before="0" w:line="259" w:lineRule="auto"/>
            </w:pPr>
            <w:r>
              <w:rPr>
                <w:rFonts w:ascii="Calibri" w:hAnsi="Calibri"/>
                <w:b w:val="0"/>
                <w:i w:val="0"/>
                <w:color w:val="212121"/>
                <w:sz w:val="16"/>
              </w:rPr>
              <w:t>First-degree relatives with anxiety/mood disorder; prior episodes, ACEs, temperament</w:t>
            </w:r>
          </w:p>
        </w:tc>
        <w:tc>
          <w:tcPr>
            <w:tcW w:type="dxa" w:w="950"/>
            <w:vAlign w:val="top"/>
          </w:tcPr>
          <w:p>
            <w:pPr>
              <w:spacing w:after="40" w:before="0" w:line="259" w:lineRule="auto"/>
            </w:pPr>
            <w:r>
              <w:rPr>
                <w:rFonts w:ascii="Calibri" w:hAnsi="Calibri"/>
                <w:b w:val="0"/>
                <w:i w:val="0"/>
                <w:color w:val="212121"/>
                <w:sz w:val="16"/>
              </w:rPr>
              <w:t>No family or personal history</w:t>
            </w:r>
          </w:p>
        </w:tc>
        <w:tc>
          <w:tcPr>
            <w:tcW w:type="dxa" w:w="950"/>
            <w:vAlign w:val="top"/>
          </w:tcPr>
          <w:p>
            <w:pPr>
              <w:spacing w:after="40" w:before="0" w:line="259" w:lineRule="auto"/>
            </w:pPr>
            <w:r>
              <w:rPr>
                <w:rFonts w:ascii="Calibri" w:hAnsi="Calibri"/>
                <w:b w:val="0"/>
                <w:i w:val="0"/>
                <w:color w:val="212121"/>
                <w:sz w:val="16"/>
              </w:rPr>
              <w:t>Positive family history; prior episodes; early trauma</w:t>
            </w:r>
          </w:p>
        </w:tc>
        <w:tc>
          <w:tcPr>
            <w:tcW w:type="dxa" w:w="1036"/>
            <w:vAlign w:val="top"/>
          </w:tcPr>
          <w:p>
            <w:pPr>
              <w:spacing w:after="40" w:before="0" w:line="259" w:lineRule="auto"/>
            </w:pPr>
            <w:r>
              <w:rPr>
                <w:rFonts w:ascii="Calibri" w:hAnsi="Calibri"/>
                <w:b w:val="0"/>
                <w:i w:val="0"/>
                <w:color w:val="212121"/>
                <w:sz w:val="16"/>
              </w:rPr>
              <w:t>Genetic loading, early adversity and prior episodes inform diagnosis and relapse risk</w:t>
            </w:r>
          </w:p>
        </w:tc>
        <w:tc>
          <w:tcPr>
            <w:tcW w:type="dxa" w:w="1036"/>
            <w:vAlign w:val="top"/>
          </w:tcPr>
          <w:p>
            <w:pPr>
              <w:spacing w:after="40" w:before="0" w:line="259" w:lineRule="auto"/>
            </w:pPr>
            <w:r>
              <w:rPr>
                <w:rFonts w:ascii="Calibri" w:hAnsi="Calibri"/>
                <w:b w:val="0"/>
                <w:i w:val="0"/>
                <w:color w:val="212121"/>
                <w:sz w:val="16"/>
              </w:rPr>
              <w:t>Relatives of patients, recurrent illness, trauma history</w:t>
            </w:r>
          </w:p>
        </w:tc>
        <w:tc>
          <w:tcPr>
            <w:tcW w:type="dxa" w:w="720"/>
            <w:vAlign w:val="top"/>
          </w:tcPr>
          <w:p>
            <w:pPr>
              <w:spacing w:after="40" w:before="0" w:line="259" w:lineRule="auto"/>
            </w:pPr>
            <w:r>
              <w:rPr>
                <w:rFonts w:ascii="Calibri" w:hAnsi="Calibri"/>
                <w:b w:val="0"/>
                <w:i w:val="0"/>
                <w:color w:val="212121"/>
                <w:sz w:val="16"/>
              </w:rPr>
              <w:t>Mental health; 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Note behavioural inhibition and childhood onset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Targeted physical exam</w:t>
            </w:r>
          </w:p>
        </w:tc>
        <w:tc>
          <w:tcPr>
            <w:tcW w:type="dxa" w:w="979"/>
            <w:vAlign w:val="top"/>
          </w:tcPr>
          <w:p>
            <w:pPr>
              <w:spacing w:after="40" w:before="0" w:line="259" w:lineRule="auto"/>
            </w:pPr>
            <w:r>
              <w:rPr>
                <w:rFonts w:ascii="Calibri" w:hAnsi="Calibri"/>
                <w:b w:val="0"/>
                <w:i w:val="0"/>
                <w:color w:val="212121"/>
                <w:sz w:val="16"/>
              </w:rPr>
              <w:t>Pulse/BP, thyroid, tremor, cardiac and respiratory exam</w:t>
            </w:r>
          </w:p>
        </w:tc>
        <w:tc>
          <w:tcPr>
            <w:tcW w:type="dxa" w:w="950"/>
            <w:vAlign w:val="top"/>
          </w:tcPr>
          <w:p>
            <w:pPr>
              <w:spacing w:after="40" w:before="0" w:line="259" w:lineRule="auto"/>
            </w:pPr>
            <w:r>
              <w:rPr>
                <w:rFonts w:ascii="Calibri" w:hAnsi="Calibri"/>
                <w:b w:val="0"/>
                <w:i w:val="0"/>
                <w:color w:val="212121"/>
                <w:sz w:val="16"/>
              </w:rPr>
              <w:t>Normal examination</w:t>
            </w:r>
          </w:p>
        </w:tc>
        <w:tc>
          <w:tcPr>
            <w:tcW w:type="dxa" w:w="950"/>
            <w:vAlign w:val="top"/>
          </w:tcPr>
          <w:p>
            <w:pPr>
              <w:spacing w:after="40" w:before="0" w:line="259" w:lineRule="auto"/>
            </w:pPr>
            <w:r>
              <w:rPr>
                <w:rFonts w:ascii="Calibri" w:hAnsi="Calibri"/>
                <w:b w:val="0"/>
                <w:i w:val="0"/>
                <w:color w:val="212121"/>
                <w:sz w:val="16"/>
              </w:rPr>
              <w:t>Tachycardia, goitre/thyroid signs, arrhythmia, wheeze</w:t>
            </w:r>
          </w:p>
        </w:tc>
        <w:tc>
          <w:tcPr>
            <w:tcW w:type="dxa" w:w="1036"/>
            <w:vAlign w:val="top"/>
          </w:tcPr>
          <w:p>
            <w:pPr>
              <w:spacing w:after="40" w:before="0" w:line="259" w:lineRule="auto"/>
            </w:pPr>
            <w:r>
              <w:rPr>
                <w:rFonts w:ascii="Calibri" w:hAnsi="Calibri"/>
                <w:b w:val="0"/>
                <w:i w:val="0"/>
                <w:color w:val="212121"/>
                <w:sz w:val="16"/>
              </w:rPr>
              <w:t>Screens for organic mimics (thyroid, cardiac, respiratory) that cause or worsen anxiety</w:t>
            </w:r>
          </w:p>
        </w:tc>
        <w:tc>
          <w:tcPr>
            <w:tcW w:type="dxa" w:w="1036"/>
            <w:vAlign w:val="top"/>
          </w:tcPr>
          <w:p>
            <w:pPr>
              <w:spacing w:after="40" w:before="0" w:line="259" w:lineRule="auto"/>
            </w:pPr>
            <w:r>
              <w:rPr>
                <w:rFonts w:ascii="Calibri" w:hAnsi="Calibri"/>
                <w:b w:val="0"/>
                <w:i w:val="0"/>
                <w:color w:val="212121"/>
                <w:sz w:val="16"/>
              </w:rPr>
              <w:t>Palpitations, breathlessness, weight loss, elderly</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Exclude organic cause</w:t>
            </w:r>
          </w:p>
        </w:tc>
        <w:tc>
          <w:tcPr>
            <w:tcW w:type="dxa" w:w="720"/>
            <w:vAlign w:val="top"/>
          </w:tcPr>
          <w:p>
            <w:pPr>
              <w:spacing w:after="40" w:before="0" w:line="259" w:lineRule="auto"/>
            </w:pPr>
            <w:r>
              <w:rPr>
                <w:rFonts w:ascii="Calibri" w:hAnsi="Calibri"/>
                <w:b w:val="0"/>
                <w:i w:val="0"/>
                <w:color w:val="212121"/>
                <w:sz w:val="16"/>
              </w:rPr>
              <w:t>A normal exam also provides therapeutic reassurance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Psychosocial &amp; functional assessment</w:t>
            </w:r>
          </w:p>
        </w:tc>
        <w:tc>
          <w:tcPr>
            <w:tcW w:type="dxa" w:w="979"/>
            <w:vAlign w:val="top"/>
          </w:tcPr>
          <w:p>
            <w:pPr>
              <w:spacing w:after="40" w:before="0" w:line="259" w:lineRule="auto"/>
            </w:pPr>
            <w:r>
              <w:rPr>
                <w:rFonts w:ascii="Calibri" w:hAnsi="Calibri"/>
                <w:b w:val="0"/>
                <w:i w:val="0"/>
                <w:color w:val="212121"/>
                <w:sz w:val="16"/>
              </w:rPr>
              <w:t>Stressors, trauma, avoidance, support, work/school/social functioning</w:t>
            </w:r>
          </w:p>
        </w:tc>
        <w:tc>
          <w:tcPr>
            <w:tcW w:type="dxa" w:w="950"/>
            <w:vAlign w:val="top"/>
          </w:tcPr>
          <w:p>
            <w:pPr>
              <w:spacing w:after="40" w:before="0" w:line="259" w:lineRule="auto"/>
            </w:pPr>
            <w:r>
              <w:rPr>
                <w:rFonts w:ascii="Calibri" w:hAnsi="Calibri"/>
                <w:b w:val="0"/>
                <w:i w:val="0"/>
                <w:color w:val="212121"/>
                <w:sz w:val="16"/>
              </w:rPr>
              <w:t>Adequate support; no major stressor; intact functioning</w:t>
            </w:r>
          </w:p>
        </w:tc>
        <w:tc>
          <w:tcPr>
            <w:tcW w:type="dxa" w:w="950"/>
            <w:vAlign w:val="top"/>
          </w:tcPr>
          <w:p>
            <w:pPr>
              <w:spacing w:after="40" w:before="0" w:line="259" w:lineRule="auto"/>
            </w:pPr>
            <w:r>
              <w:rPr>
                <w:rFonts w:ascii="Calibri" w:hAnsi="Calibri"/>
                <w:b w:val="0"/>
                <w:i w:val="0"/>
                <w:color w:val="212121"/>
                <w:sz w:val="16"/>
              </w:rPr>
              <w:t>Recent stressor/trauma, avoidance, functional decline</w:t>
            </w:r>
          </w:p>
        </w:tc>
        <w:tc>
          <w:tcPr>
            <w:tcW w:type="dxa" w:w="1036"/>
            <w:vAlign w:val="top"/>
          </w:tcPr>
          <w:p>
            <w:pPr>
              <w:spacing w:after="40" w:before="0" w:line="259" w:lineRule="auto"/>
            </w:pPr>
            <w:r>
              <w:rPr>
                <w:rFonts w:ascii="Calibri" w:hAnsi="Calibri"/>
                <w:b w:val="0"/>
                <w:i w:val="0"/>
                <w:color w:val="212121"/>
                <w:sz w:val="16"/>
              </w:rPr>
              <w:t>Identifies precipitants and targets for CBT, exposure and psychosocial support</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Provoking factors; Mental health</w:t>
            </w:r>
          </w:p>
        </w:tc>
        <w:tc>
          <w:tcPr>
            <w:tcW w:type="dxa" w:w="720"/>
            <w:vAlign w:val="top"/>
          </w:tcPr>
          <w:p>
            <w:pPr>
              <w:spacing w:after="40" w:before="0" w:line="259" w:lineRule="auto"/>
            </w:pPr>
            <w:r>
              <w:rPr>
                <w:rFonts w:ascii="Calibri" w:hAnsi="Calibri"/>
                <w:b w:val="0"/>
                <w:i w:val="0"/>
                <w:color w:val="212121"/>
                <w:sz w:val="16"/>
              </w:rPr>
              <w:t>Management planning</w:t>
            </w:r>
          </w:p>
        </w:tc>
        <w:tc>
          <w:tcPr>
            <w:tcW w:type="dxa" w:w="720"/>
            <w:vAlign w:val="top"/>
          </w:tcPr>
          <w:p>
            <w:pPr>
              <w:spacing w:after="40" w:before="0" w:line="259" w:lineRule="auto"/>
            </w:pPr>
            <w:r>
              <w:rPr>
                <w:rFonts w:ascii="Calibri" w:hAnsi="Calibri"/>
                <w:b w:val="0"/>
                <w:i w:val="0"/>
                <w:color w:val="212121"/>
                <w:sz w:val="16"/>
              </w:rPr>
              <w:t>Guides psychotherapy and graded exposure</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Excessive, uncontrollable worry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Persistent apprehension about multiple everyday matters — the core of generalized anxiety disorder.</w:t>
            </w:r>
          </w:p>
        </w:tc>
      </w:tr>
      <w:tr>
        <w:trPr>
          <w:cantSplit/>
        </w:trPr>
        <w:tc>
          <w:tcPr>
            <w:tcW w:type="dxa" w:w="2304"/>
            <w:vAlign w:val="top"/>
          </w:tcPr>
          <w:p>
            <w:pPr>
              <w:spacing w:after="40" w:before="0" w:line="259" w:lineRule="auto"/>
            </w:pPr>
            <w:r>
              <w:rPr>
                <w:rFonts w:ascii="Calibri" w:hAnsi="Calibri"/>
                <w:b/>
                <w:i w:val="0"/>
                <w:color w:val="212121"/>
                <w:sz w:val="19"/>
              </w:rPr>
              <w:t>Restlessness / feeling keyed-up or on edge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Inner tension and inability to relax; a defining GAD symptom.</w:t>
            </w:r>
          </w:p>
        </w:tc>
      </w:tr>
      <w:tr>
        <w:trPr>
          <w:cantSplit/>
        </w:trPr>
        <w:tc>
          <w:tcPr>
            <w:tcW w:type="dxa" w:w="2304"/>
            <w:vAlign w:val="top"/>
          </w:tcPr>
          <w:p>
            <w:pPr>
              <w:spacing w:after="40" w:before="0" w:line="259" w:lineRule="auto"/>
            </w:pPr>
            <w:r>
              <w:rPr>
                <w:rFonts w:ascii="Calibri" w:hAnsi="Calibri"/>
                <w:b/>
                <w:i w:val="0"/>
                <w:color w:val="212121"/>
                <w:sz w:val="19"/>
              </w:rPr>
              <w:t>Fearfulness and sense of impending danger/doom</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Anticipatory dread, prominent in panic disorder and phobic states.</w:t>
            </w:r>
          </w:p>
        </w:tc>
      </w:tr>
      <w:tr>
        <w:trPr>
          <w:cantSplit/>
        </w:trPr>
        <w:tc>
          <w:tcPr>
            <w:tcW w:type="dxa" w:w="2304"/>
            <w:vAlign w:val="top"/>
          </w:tcPr>
          <w:p>
            <w:pPr>
              <w:spacing w:after="40" w:before="0" w:line="259" w:lineRule="auto"/>
            </w:pPr>
            <w:r>
              <w:rPr>
                <w:rFonts w:ascii="Calibri" w:hAnsi="Calibri"/>
                <w:b/>
                <w:i w:val="0"/>
                <w:color w:val="212121"/>
                <w:sz w:val="19"/>
              </w:rPr>
              <w:t>Palpitations / awareness of fast heartbeat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Adrenergic symptom that frequently drives cardiac worry and repeat presentations.</w:t>
            </w:r>
          </w:p>
        </w:tc>
      </w:tr>
      <w:tr>
        <w:trPr>
          <w:cantSplit/>
        </w:trPr>
        <w:tc>
          <w:tcPr>
            <w:tcW w:type="dxa" w:w="2304"/>
            <w:vAlign w:val="top"/>
          </w:tcPr>
          <w:p>
            <w:pPr>
              <w:spacing w:after="40" w:before="0" w:line="259" w:lineRule="auto"/>
            </w:pPr>
            <w:r>
              <w:rPr>
                <w:rFonts w:ascii="Calibri" w:hAnsi="Calibri"/>
                <w:b/>
                <w:i w:val="0"/>
                <w:color w:val="212121"/>
                <w:sz w:val="19"/>
              </w:rPr>
              <w:t>Shortness of breath / chest tightness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Hyperventilation and air-hunger, central to panic attacks.</w:t>
            </w:r>
          </w:p>
        </w:tc>
      </w:tr>
      <w:tr>
        <w:trPr>
          <w:cantSplit/>
        </w:trPr>
        <w:tc>
          <w:tcPr>
            <w:tcW w:type="dxa" w:w="2304"/>
            <w:vAlign w:val="top"/>
          </w:tcPr>
          <w:p>
            <w:pPr>
              <w:spacing w:after="40" w:before="0" w:line="259" w:lineRule="auto"/>
            </w:pPr>
            <w:r>
              <w:rPr>
                <w:rFonts w:ascii="Calibri" w:hAnsi="Calibri"/>
                <w:b/>
                <w:i w:val="0"/>
                <w:color w:val="212121"/>
                <w:sz w:val="19"/>
              </w:rPr>
              <w:t>Sweating, trembling or shaking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Autonomic over-activity during anxiety and panic.</w:t>
            </w:r>
          </w:p>
        </w:tc>
      </w:tr>
      <w:tr>
        <w:trPr>
          <w:cantSplit/>
        </w:trPr>
        <w:tc>
          <w:tcPr>
            <w:tcW w:type="dxa" w:w="2304"/>
            <w:vAlign w:val="top"/>
          </w:tcPr>
          <w:p>
            <w:pPr>
              <w:spacing w:after="40" w:before="0" w:line="259" w:lineRule="auto"/>
            </w:pPr>
            <w:r>
              <w:rPr>
                <w:rFonts w:ascii="Calibri" w:hAnsi="Calibri"/>
                <w:b/>
                <w:i w:val="0"/>
                <w:color w:val="212121"/>
                <w:sz w:val="19"/>
              </w:rPr>
              <w:t>Dizziness, light-headedness or unsteadiness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Often from hyperventilation; feeds fear of collapse in agoraphobia/panic.</w:t>
            </w:r>
          </w:p>
        </w:tc>
      </w:tr>
      <w:tr>
        <w:trPr>
          <w:cantSplit/>
        </w:trPr>
        <w:tc>
          <w:tcPr>
            <w:tcW w:type="dxa" w:w="2304"/>
            <w:vAlign w:val="top"/>
          </w:tcPr>
          <w:p>
            <w:pPr>
              <w:spacing w:after="40" w:before="0" w:line="259" w:lineRule="auto"/>
            </w:pPr>
            <w:r>
              <w:rPr>
                <w:rFonts w:ascii="Calibri" w:hAnsi="Calibri"/>
                <w:b/>
                <w:i w:val="0"/>
                <w:color w:val="212121"/>
                <w:sz w:val="19"/>
              </w:rPr>
              <w:t>Muscle tension, aches and easy fatigue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Chronic somatic tension and tiredness, common in GAD.</w:t>
            </w:r>
          </w:p>
        </w:tc>
      </w:tr>
      <w:tr>
        <w:trPr>
          <w:cantSplit/>
        </w:trPr>
        <w:tc>
          <w:tcPr>
            <w:tcW w:type="dxa" w:w="2304"/>
            <w:vAlign w:val="top"/>
          </w:tcPr>
          <w:p>
            <w:pPr>
              <w:spacing w:after="40" w:before="0" w:line="259" w:lineRule="auto"/>
            </w:pPr>
            <w:r>
              <w:rPr>
                <w:rFonts w:ascii="Calibri" w:hAnsi="Calibri"/>
                <w:b/>
                <w:i w:val="0"/>
                <w:color w:val="212121"/>
                <w:sz w:val="19"/>
              </w:rPr>
              <w:t>Difficulty concentrating or mind going blank</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Worry consumes attention, impairing work and studies.</w:t>
            </w:r>
          </w:p>
        </w:tc>
      </w:tr>
      <w:tr>
        <w:trPr>
          <w:cantSplit/>
        </w:trPr>
        <w:tc>
          <w:tcPr>
            <w:tcW w:type="dxa" w:w="2304"/>
            <w:vAlign w:val="top"/>
          </w:tcPr>
          <w:p>
            <w:pPr>
              <w:spacing w:after="40" w:before="0" w:line="259" w:lineRule="auto"/>
            </w:pPr>
            <w:r>
              <w:rPr>
                <w:rFonts w:ascii="Calibri" w:hAnsi="Calibri"/>
                <w:b/>
                <w:i w:val="0"/>
                <w:color w:val="212121"/>
                <w:sz w:val="19"/>
              </w:rPr>
              <w:t>Irritability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Frequent in GAD and often the dominant presentation in men and adolescents.</w:t>
            </w:r>
          </w:p>
        </w:tc>
      </w:tr>
      <w:tr>
        <w:trPr>
          <w:cantSplit/>
        </w:trPr>
        <w:tc>
          <w:tcPr>
            <w:tcW w:type="dxa" w:w="2304"/>
            <w:vAlign w:val="top"/>
          </w:tcPr>
          <w:p>
            <w:pPr>
              <w:spacing w:after="40" w:before="0" w:line="259" w:lineRule="auto"/>
            </w:pPr>
            <w:r>
              <w:rPr>
                <w:rFonts w:ascii="Calibri" w:hAnsi="Calibri"/>
                <w:b/>
                <w:i w:val="0"/>
                <w:color w:val="212121"/>
                <w:sz w:val="19"/>
              </w:rPr>
              <w:t>Sleep disturbance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Difficulty falling/staying asleep due to hyper-arousal and worry.</w:t>
            </w:r>
          </w:p>
        </w:tc>
      </w:tr>
      <w:tr>
        <w:trPr>
          <w:cantSplit/>
        </w:trPr>
        <w:tc>
          <w:tcPr>
            <w:tcW w:type="dxa" w:w="2304"/>
            <w:vAlign w:val="top"/>
          </w:tcPr>
          <w:p>
            <w:pPr>
              <w:spacing w:after="40" w:before="0" w:line="259" w:lineRule="auto"/>
            </w:pPr>
            <w:r>
              <w:rPr>
                <w:rFonts w:ascii="Calibri" w:hAnsi="Calibri"/>
                <w:b/>
                <w:i w:val="0"/>
                <w:color w:val="212121"/>
                <w:sz w:val="19"/>
              </w:rPr>
              <w:t>Gastrointestinal upset (nausea, ‘gas’, loose stools)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Gut-brain symptoms; a very common idiom of distress in Indian primary care and overlaps with IBS.</w:t>
            </w:r>
          </w:p>
        </w:tc>
      </w:tr>
      <w:tr>
        <w:trPr>
          <w:cantSplit/>
        </w:trPr>
        <w:tc>
          <w:tcPr>
            <w:tcW w:type="dxa" w:w="2304"/>
            <w:vAlign w:val="top"/>
          </w:tcPr>
          <w:p>
            <w:pPr>
              <w:spacing w:after="40" w:before="0" w:line="259" w:lineRule="auto"/>
            </w:pPr>
            <w:r>
              <w:rPr>
                <w:rFonts w:ascii="Calibri" w:hAnsi="Calibri"/>
                <w:b/>
                <w:i w:val="0"/>
                <w:color w:val="212121"/>
                <w:sz w:val="19"/>
              </w:rPr>
              <w:t>Numbness/tingling, hot flushes or chills (paraesthesias)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Occur during panic attacks and hyperventilation.</w:t>
            </w:r>
          </w:p>
        </w:tc>
      </w:tr>
      <w:tr>
        <w:trPr>
          <w:cantSplit/>
        </w:trPr>
        <w:tc>
          <w:tcPr>
            <w:tcW w:type="dxa" w:w="2304"/>
            <w:vAlign w:val="top"/>
          </w:tcPr>
          <w:p>
            <w:pPr>
              <w:spacing w:after="40" w:before="0" w:line="259" w:lineRule="auto"/>
            </w:pPr>
            <w:r>
              <w:rPr>
                <w:rFonts w:ascii="Calibri" w:hAnsi="Calibri"/>
                <w:b/>
                <w:i w:val="0"/>
                <w:color w:val="212121"/>
                <w:sz w:val="19"/>
              </w:rPr>
              <w:t>Derealisation / depersonalisation or fear of losing control/dying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Frightening dissociative and cognitive symptoms characteristic of severe panic attacks.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Tachycardia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Raised resting heart rate from sympathetic over-activity during anxiety/panic.</w:t>
            </w:r>
          </w:p>
        </w:tc>
      </w:tr>
      <w:tr>
        <w:trPr>
          <w:cantSplit/>
        </w:trPr>
        <w:tc>
          <w:tcPr>
            <w:tcW w:type="dxa" w:w="3456"/>
            <w:vAlign w:val="top"/>
          </w:tcPr>
          <w:p>
            <w:pPr>
              <w:spacing w:after="40" w:before="0" w:line="259" w:lineRule="auto"/>
            </w:pPr>
            <w:r>
              <w:rPr>
                <w:rFonts w:ascii="Calibri" w:hAnsi="Calibri"/>
                <w:b/>
                <w:i w:val="0"/>
                <w:color w:val="212121"/>
                <w:sz w:val="19"/>
              </w:rPr>
              <w:t>Tachypnoea / hyperventilation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Rapid shallow breathing that can produce dizziness and paraesthesias.</w:t>
            </w:r>
          </w:p>
        </w:tc>
      </w:tr>
      <w:tr>
        <w:trPr>
          <w:cantSplit/>
        </w:trPr>
        <w:tc>
          <w:tcPr>
            <w:tcW w:type="dxa" w:w="3456"/>
            <w:vAlign w:val="top"/>
          </w:tcPr>
          <w:p>
            <w:pPr>
              <w:spacing w:after="40" w:before="0" w:line="259" w:lineRule="auto"/>
            </w:pPr>
            <w:r>
              <w:rPr>
                <w:rFonts w:ascii="Calibri" w:hAnsi="Calibri"/>
                <w:b/>
                <w:i w:val="0"/>
                <w:color w:val="212121"/>
                <w:sz w:val="19"/>
              </w:rPr>
              <w:t>Diaphoresis (sweating), cool clammy skin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Autonomic arousal, often with sweaty palms.</w:t>
            </w:r>
          </w:p>
        </w:tc>
      </w:tr>
      <w:tr>
        <w:trPr>
          <w:cantSplit/>
        </w:trPr>
        <w:tc>
          <w:tcPr>
            <w:tcW w:type="dxa" w:w="3456"/>
            <w:vAlign w:val="top"/>
          </w:tcPr>
          <w:p>
            <w:pPr>
              <w:spacing w:after="40" w:before="0" w:line="259" w:lineRule="auto"/>
            </w:pPr>
            <w:r>
              <w:rPr>
                <w:rFonts w:ascii="Calibri" w:hAnsi="Calibri"/>
                <w:b/>
                <w:i w:val="0"/>
                <w:color w:val="212121"/>
                <w:sz w:val="19"/>
              </w:rPr>
              <w:t>Fine tremor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Postural tremor of the outstretched hands from adrenergic drive.</w:t>
            </w:r>
          </w:p>
        </w:tc>
      </w:tr>
      <w:tr>
        <w:trPr>
          <w:cantSplit/>
        </w:trPr>
        <w:tc>
          <w:tcPr>
            <w:tcW w:type="dxa" w:w="3456"/>
            <w:vAlign w:val="top"/>
          </w:tcPr>
          <w:p>
            <w:pPr>
              <w:spacing w:after="40" w:before="0" w:line="259" w:lineRule="auto"/>
            </w:pPr>
            <w:r>
              <w:rPr>
                <w:rFonts w:ascii="Calibri" w:hAnsi="Calibri"/>
                <w:b/>
                <w:i w:val="0"/>
                <w:color w:val="212121"/>
                <w:sz w:val="19"/>
              </w:rPr>
              <w:t>Psychomotor agitation / restlessness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Fidgeting, pacing, inability to sit still on examination.</w:t>
            </w:r>
          </w:p>
        </w:tc>
      </w:tr>
      <w:tr>
        <w:trPr>
          <w:cantSplit/>
        </w:trPr>
        <w:tc>
          <w:tcPr>
            <w:tcW w:type="dxa" w:w="3456"/>
            <w:vAlign w:val="top"/>
          </w:tcPr>
          <w:p>
            <w:pPr>
              <w:spacing w:after="40" w:before="0" w:line="259" w:lineRule="auto"/>
            </w:pPr>
            <w:r>
              <w:rPr>
                <w:rFonts w:ascii="Calibri" w:hAnsi="Calibri"/>
                <w:b/>
                <w:i w:val="0"/>
                <w:color w:val="212121"/>
                <w:sz w:val="19"/>
              </w:rPr>
              <w:t>Muscle tension / exaggerated startle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Increased tone and heightened startle response reflect hyper-arousal.</w:t>
            </w:r>
          </w:p>
        </w:tc>
      </w:tr>
      <w:tr>
        <w:trPr>
          <w:cantSplit/>
        </w:trPr>
        <w:tc>
          <w:tcPr>
            <w:tcW w:type="dxa" w:w="3456"/>
            <w:vAlign w:val="top"/>
          </w:tcPr>
          <w:p>
            <w:pPr>
              <w:spacing w:after="40" w:before="0" w:line="259" w:lineRule="auto"/>
            </w:pPr>
            <w:r>
              <w:rPr>
                <w:rFonts w:ascii="Calibri" w:hAnsi="Calibri"/>
                <w:b/>
                <w:i w:val="0"/>
                <w:color w:val="212121"/>
                <w:sz w:val="19"/>
              </w:rPr>
              <w:t>Hypervigilance and scanning behaviour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Heightened alertness to perceived threat during interview.</w:t>
            </w:r>
          </w:p>
        </w:tc>
      </w:tr>
      <w:tr>
        <w:trPr>
          <w:cantSplit/>
        </w:trPr>
        <w:tc>
          <w:tcPr>
            <w:tcW w:type="dxa" w:w="3456"/>
            <w:vAlign w:val="top"/>
          </w:tcPr>
          <w:p>
            <w:pPr>
              <w:spacing w:after="40" w:before="0" w:line="259" w:lineRule="auto"/>
            </w:pPr>
            <w:r>
              <w:rPr>
                <w:rFonts w:ascii="Calibri" w:hAnsi="Calibri"/>
                <w:b/>
                <w:i w:val="0"/>
                <w:color w:val="212121"/>
                <w:sz w:val="19"/>
              </w:rPr>
              <w:t>Avoidance behaviour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Reluctance to enter feared situations (crowds, social settings) — hallmark of phobic/agoraphobic disorders.</w:t>
            </w:r>
          </w:p>
        </w:tc>
      </w:tr>
      <w:tr>
        <w:trPr>
          <w:cantSplit/>
        </w:trPr>
        <w:tc>
          <w:tcPr>
            <w:tcW w:type="dxa" w:w="3456"/>
            <w:vAlign w:val="top"/>
          </w:tcPr>
          <w:p>
            <w:pPr>
              <w:spacing w:after="40" w:before="0" w:line="259" w:lineRule="auto"/>
            </w:pPr>
            <w:r>
              <w:rPr>
                <w:rFonts w:ascii="Calibri" w:hAnsi="Calibri"/>
                <w:b/>
                <w:i w:val="0"/>
                <w:color w:val="212121"/>
                <w:sz w:val="19"/>
              </w:rPr>
              <w:t>Mild mydriasis (dilated pupils)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Sympathetic pupil dilation during acute anxiety/panic.</w:t>
            </w:r>
          </w:p>
        </w:tc>
      </w:tr>
      <w:tr>
        <w:trPr>
          <w:cantSplit/>
        </w:trPr>
        <w:tc>
          <w:tcPr>
            <w:tcW w:type="dxa" w:w="3456"/>
            <w:vAlign w:val="top"/>
          </w:tcPr>
          <w:p>
            <w:pPr>
              <w:spacing w:after="40" w:before="0" w:line="259" w:lineRule="auto"/>
            </w:pPr>
            <w:r>
              <w:rPr>
                <w:rFonts w:ascii="Calibri" w:hAnsi="Calibri"/>
                <w:b/>
                <w:i w:val="0"/>
                <w:color w:val="212121"/>
                <w:sz w:val="19"/>
              </w:rPr>
              <w:t>Carpopedal spasm (in acute hyperventilation)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Respiratory alkalosis from hyperventilation can cause tetany-like cramping in the hands/feet.</w:t>
            </w:r>
          </w:p>
        </w:tc>
      </w:tr>
      <w:tr>
        <w:trPr>
          <w:cantSplit/>
        </w:trPr>
        <w:tc>
          <w:tcPr>
            <w:tcW w:type="dxa" w:w="3456"/>
            <w:vAlign w:val="top"/>
          </w:tcPr>
          <w:p>
            <w:pPr>
              <w:spacing w:after="40" w:before="0" w:line="259" w:lineRule="auto"/>
            </w:pPr>
            <w:r>
              <w:rPr>
                <w:rFonts w:ascii="Calibri" w:hAnsi="Calibri"/>
                <w:b/>
                <w:i w:val="0"/>
                <w:color w:val="212121"/>
                <w:sz w:val="19"/>
              </w:rPr>
              <w:t>Normal physical examination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largely normal exam is typical — anxiety remains a clinical diagnosis after excluding organic mimics.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panic attacks with hyperventilation and derealisation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functional impairment — school refusal, work absence, inability to travel or socialise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avoidance and agoraphobic restriction of daily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Repeated emergency visits and unnecessary investigations for palpitations/chest pain/breathlessness</w:t>
            </w:r>
          </w:p>
        </w:tc>
        <w:tc>
          <w:tcPr>
            <w:tcW w:type="dxa" w:w="2980"/>
            <w:vAlign w:val="top"/>
          </w:tcPr>
          <w:p>
            <w:pPr>
              <w:spacing w:after="40" w:before="0" w:line="259" w:lineRule="auto"/>
            </w:pPr>
            <w:r>
              <w:rPr>
                <w:rFonts w:ascii="Calibri" w:hAnsi="Calibri"/>
                <w:b w:val="0"/>
                <w:i w:val="0"/>
                <w:color w:val="212121"/>
                <w:sz w:val="19"/>
              </w:rPr>
              <w:t>Immediate, illness-driven consequences of severe anxiety and panic</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Comorbid depression (mixed anxiety-depression) with heightened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Substance-use disorders from self-medication (alcohol, tobacco, benzodiazepines)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insomnia and hyper-arousal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Functional somatic disorders — irritable bowel syndrome, chronic tension headache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 educational and occupational under-achievement and relationship strain</w:t>
            </w:r>
          </w:p>
        </w:tc>
        <w:tc>
          <w:tcPr>
            <w:tcW w:type="dxa" w:w="2980"/>
            <w:vAlign w:val="top"/>
          </w:tcPr>
          <w:p>
            <w:pPr>
              <w:spacing w:after="40" w:before="0" w:line="259" w:lineRule="auto"/>
            </w:pPr>
            <w:r>
              <w:rPr>
                <w:rFonts w:ascii="Calibri" w:hAnsi="Calibri"/>
                <w:b w:val="0"/>
                <w:i w:val="0"/>
                <w:color w:val="212121"/>
                <w:sz w:val="19"/>
              </w:rPr>
              <w:t>Consequences of persistent, undertreated anxiety compounded by a wide (~84.5%) treatment gap</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Suicidal behaviour and self-harm (especially with comorbid depression/substance 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treatment-resistant and relapsing disability and dependency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cardiovascular morbidity from sustained sympathetic over-activity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Long-term unemployment, loss of income and educational attainment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 isolation, family breakdown and stigma</w:t>
            </w:r>
          </w:p>
        </w:tc>
        <w:tc>
          <w:tcPr>
            <w:tcW w:type="dxa" w:w="2980"/>
            <w:vAlign w:val="top"/>
          </w:tcPr>
          <w:p>
            <w:pPr>
              <w:spacing w:after="40" w:before="0" w:line="259" w:lineRule="auto"/>
            </w:pPr>
            <w:r>
              <w:rPr>
                <w:rFonts w:ascii="Calibri" w:hAnsi="Calibri"/>
                <w:b w:val="0"/>
                <w:i w:val="0"/>
                <w:color w:val="212121"/>
                <w:sz w:val="19"/>
              </w:rPr>
              <w:t>Irreversible, disabling and societal outcomes of longstanding, inadequately treated anxiety</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Depressive disorder</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Anxiety and depression share pathophysiology and very frequently co-occur (mixed anxiety-depression); comorbidity increases disability, somatic presentation, chronicity and suicide risk.</w:t>
            </w:r>
          </w:p>
        </w:tc>
      </w:tr>
      <w:tr>
        <w:trPr>
          <w:cantSplit/>
        </w:trPr>
        <w:tc>
          <w:tcPr>
            <w:tcW w:type="dxa" w:w="2232"/>
            <w:vAlign w:val="top"/>
          </w:tcPr>
          <w:p>
            <w:pPr>
              <w:spacing w:after="40" w:before="0" w:line="259" w:lineRule="auto"/>
            </w:pPr>
            <w:r>
              <w:rPr>
                <w:rFonts w:ascii="Calibri" w:hAnsi="Calibri"/>
                <w:b/>
                <w:i w:val="0"/>
                <w:color w:val="212121"/>
                <w:sz w:val="19"/>
              </w:rPr>
              <w:t>Other anxiety disorders (panic, phobias, social, GAD)</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Anxiety subtypes routinely coexist — e.g., panic disorder with agoraphobia, social anxiety with GAD — compounding severity and avoidance.</w:t>
            </w:r>
          </w:p>
        </w:tc>
      </w:tr>
      <w:tr>
        <w:trPr>
          <w:cantSplit/>
        </w:trPr>
        <w:tc>
          <w:tcPr>
            <w:tcW w:type="dxa" w:w="2232"/>
            <w:vAlign w:val="top"/>
          </w:tcPr>
          <w:p>
            <w:pPr>
              <w:spacing w:after="40" w:before="0" w:line="259" w:lineRule="auto"/>
            </w:pPr>
            <w:r>
              <w:rPr>
                <w:rFonts w:ascii="Calibri" w:hAnsi="Calibri"/>
                <w:b/>
                <w:i w:val="0"/>
                <w:color w:val="212121"/>
                <w:sz w:val="19"/>
              </w:rPr>
              <w:t>Alcohol- &amp; sedative-use disorders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Alcohol, tobacco and benzodiazepines are commonly used to self-medicate anxiety, but tolerance, dependence and rebound/withdrawal anxiety worsen the disorder and suicide risk.</w:t>
            </w:r>
          </w:p>
        </w:tc>
      </w:tr>
      <w:tr>
        <w:trPr>
          <w:cantSplit/>
        </w:trPr>
        <w:tc>
          <w:tcPr>
            <w:tcW w:type="dxa" w:w="2232"/>
            <w:vAlign w:val="top"/>
          </w:tcPr>
          <w:p>
            <w:pPr>
              <w:spacing w:after="40" w:before="0" w:line="259" w:lineRule="auto"/>
            </w:pPr>
            <w:r>
              <w:rPr>
                <w:rFonts w:ascii="Calibri" w:hAnsi="Calibri"/>
                <w:b/>
                <w:i w:val="0"/>
                <w:color w:val="212121"/>
                <w:sz w:val="19"/>
              </w:rPr>
              <w:t>Insomnia &amp; sleep disorders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Sleep disturbance is a bidirectional risk factor — sleep loss heightens amygdala reactivity and worry, while anxiety fragments sleep.</w:t>
            </w:r>
          </w:p>
        </w:tc>
      </w:tr>
      <w:tr>
        <w:trPr>
          <w:cantSplit/>
        </w:trPr>
        <w:tc>
          <w:tcPr>
            <w:tcW w:type="dxa" w:w="2232"/>
            <w:vAlign w:val="top"/>
          </w:tcPr>
          <w:p>
            <w:pPr>
              <w:spacing w:after="40" w:before="0" w:line="259" w:lineRule="auto"/>
            </w:pPr>
            <w:r>
              <w:rPr>
                <w:rFonts w:ascii="Calibri" w:hAnsi="Calibri"/>
                <w:b/>
                <w:i w:val="0"/>
                <w:color w:val="212121"/>
                <w:sz w:val="19"/>
              </w:rPr>
              <w:t>Obsessive-compulsive &amp; related disorders (OCD)</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Formerly grouped with anxiety; shares fear/avoidance mechanisms and frequently coexists, altering treatment (higher SSRI doses, ERP therapy).</w:t>
            </w:r>
          </w:p>
        </w:tc>
      </w:tr>
      <w:tr>
        <w:trPr>
          <w:cantSplit/>
        </w:trPr>
        <w:tc>
          <w:tcPr>
            <w:tcW w:type="dxa" w:w="2232"/>
            <w:vAlign w:val="top"/>
          </w:tcPr>
          <w:p>
            <w:pPr>
              <w:spacing w:after="40" w:before="0" w:line="259" w:lineRule="auto"/>
            </w:pPr>
            <w:r>
              <w:rPr>
                <w:rFonts w:ascii="Calibri" w:hAnsi="Calibri"/>
                <w:b/>
                <w:i w:val="0"/>
                <w:color w:val="212121"/>
                <w:sz w:val="19"/>
              </w:rPr>
              <w:t>Post-traumatic stress disorder (PTSD)</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Trauma- and stress-related disorder with overlapping hyper-arousal, avoidance and fear circuitry; commonly comorbid with anxiety.</w:t>
            </w:r>
          </w:p>
        </w:tc>
      </w:tr>
      <w:tr>
        <w:trPr>
          <w:cantSplit/>
        </w:trPr>
        <w:tc>
          <w:tcPr>
            <w:tcW w:type="dxa" w:w="2232"/>
            <w:vAlign w:val="top"/>
          </w:tcPr>
          <w:p>
            <w:pPr>
              <w:spacing w:after="40" w:before="0" w:line="259" w:lineRule="auto"/>
            </w:pPr>
            <w:r>
              <w:rPr>
                <w:rFonts w:ascii="Calibri" w:hAnsi="Calibri"/>
                <w:b/>
                <w:i w:val="0"/>
                <w:color w:val="212121"/>
                <w:sz w:val="19"/>
              </w:rPr>
              <w:t>Hyperthyroidism / thyroid dysfunction</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Adrenergic overactivity mimics and provokes anxiety; must be screened and treated, as correction can resolve symptoms.</w:t>
            </w:r>
          </w:p>
        </w:tc>
      </w:tr>
      <w:tr>
        <w:trPr>
          <w:cantSplit/>
        </w:trPr>
        <w:tc>
          <w:tcPr>
            <w:tcW w:type="dxa" w:w="2232"/>
            <w:vAlign w:val="top"/>
          </w:tcPr>
          <w:p>
            <w:pPr>
              <w:spacing w:after="40" w:before="0" w:line="259" w:lineRule="auto"/>
            </w:pPr>
            <w:r>
              <w:rPr>
                <w:rFonts w:ascii="Calibri" w:hAnsi="Calibri"/>
                <w:b/>
                <w:i w:val="0"/>
                <w:color w:val="212121"/>
                <w:sz w:val="19"/>
              </w:rPr>
              <w:t>Ischaemic heart disease &amp; arrhythmia</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Anxiety/panic overlap with and are worsened by cardiac disease; sustained sympathetic drive raises cardiovascular risk and complicates diagnosis of chest pain/palpitations.</w:t>
            </w:r>
          </w:p>
        </w:tc>
      </w:tr>
      <w:tr>
        <w:trPr>
          <w:cantSplit/>
        </w:trPr>
        <w:tc>
          <w:tcPr>
            <w:tcW w:type="dxa" w:w="2232"/>
            <w:vAlign w:val="top"/>
          </w:tcPr>
          <w:p>
            <w:pPr>
              <w:spacing w:after="40" w:before="0" w:line="259" w:lineRule="auto"/>
            </w:pPr>
            <w:r>
              <w:rPr>
                <w:rFonts w:ascii="Calibri" w:hAnsi="Calibri"/>
                <w:b/>
                <w:i w:val="0"/>
                <w:color w:val="212121"/>
                <w:sz w:val="19"/>
              </w:rPr>
              <w:t>Asthma &amp; COPD</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Breathlessness and hypoxia trigger fear/panic while anxiety worsens perceived dyspnoea, adherence and control — a bidirectional loop.</w:t>
            </w:r>
          </w:p>
        </w:tc>
      </w:tr>
      <w:tr>
        <w:trPr>
          <w:cantSplit/>
        </w:trPr>
        <w:tc>
          <w:tcPr>
            <w:tcW w:type="dxa" w:w="2232"/>
            <w:vAlign w:val="top"/>
          </w:tcPr>
          <w:p>
            <w:pPr>
              <w:spacing w:after="40" w:before="0" w:line="259" w:lineRule="auto"/>
            </w:pPr>
            <w:r>
              <w:rPr>
                <w:rFonts w:ascii="Calibri" w:hAnsi="Calibri"/>
                <w:b/>
                <w:i w:val="0"/>
                <w:color w:val="212121"/>
                <w:sz w:val="19"/>
              </w:rPr>
              <w:t>Irritable bowel syndrome &amp; functional GI disorders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Shared gut-brain and central-sensitisation pathways; anxiety and IBS reciprocally amplify each other and drive somatic presentation.</w:t>
            </w:r>
          </w:p>
        </w:tc>
      </w:tr>
      <w:tr>
        <w:trPr>
          <w:cantSplit/>
        </w:trPr>
        <w:tc>
          <w:tcPr>
            <w:tcW w:type="dxa" w:w="2232"/>
            <w:vAlign w:val="top"/>
          </w:tcPr>
          <w:p>
            <w:pPr>
              <w:spacing w:after="40" w:before="0" w:line="259" w:lineRule="auto"/>
            </w:pPr>
            <w:r>
              <w:rPr>
                <w:rFonts w:ascii="Calibri" w:hAnsi="Calibri"/>
                <w:b/>
                <w:i w:val="0"/>
                <w:color w:val="212121"/>
                <w:sz w:val="19"/>
              </w:rPr>
              <w:t>Migraine &amp; chronic pain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Central sensitisation links anxiety with migraine and chronic pain, each worsening the other's severity and disability.</w:t>
            </w:r>
          </w:p>
        </w:tc>
      </w:tr>
      <w:tr>
        <w:trPr>
          <w:cantSplit/>
        </w:trPr>
        <w:tc>
          <w:tcPr>
            <w:tcW w:type="dxa" w:w="2232"/>
            <w:vAlign w:val="top"/>
          </w:tcPr>
          <w:p>
            <w:pPr>
              <w:spacing w:after="40" w:before="0" w:line="259" w:lineRule="auto"/>
            </w:pPr>
            <w:r>
              <w:rPr>
                <w:rFonts w:ascii="Calibri" w:hAnsi="Calibri"/>
                <w:b/>
                <w:i w:val="0"/>
                <w:color w:val="212121"/>
                <w:sz w:val="19"/>
              </w:rPr>
              <w:t>Suicide &amp; self-harm</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A fatal outcome of severe anxiety, greatly amplified by comorbid depression and substance use; India's age-adjusted suicide rate is about 21.1 per 100,000.</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anxiety disorders are common (the world's most common mental disorders) and highly treatable — seeking help is a strength, not ‘weakness’ or mere ‘tension’.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warning signs — persistent uncontrollable worry, panic attacks, avoidance, restlessness, sleep disturbance and unexplained somatic symptoms (palpitations, ‘gas’, dizziness) — and seek early assessment.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that palpitations, breathlessness and dizziness in panic are frightening but not dangerous once cardiac/thyroid causes are excluded; repeated ER visits and scans can reinforce fear.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slow diaphragmatic breathing, grounding and relaxation techniques as first-line self-help for acute 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Cut down caffeine and energy drinks and avoid using alcohol, tobacco or sedatives to cope, as these worsen anxiety over time.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where to get help — primary health centres, the District Mental Health Programme and Tele-MANAS (national mental-health helpline 14416).</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public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&amp; young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Family members/caregivers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High-stress and urban groups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evidence-based psychological therapy — cognitive behavioural therapy (CBT) with graded exposure is first-line for most anxiety disorders.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pharmacotherapy where indicated — SSRIs/SNRIs are first-line; avoid long-term benzodiazepines because of dependence and rebound 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a suicide-risk assessment at every contact, especially with comorbid depression or substance use, and act on ideation urgently.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comorbidity together — address coexisting depression, substance use and insomnia rather than in isolation.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Teach relaxation, breathing retraining and mindfulness, and support relapse prevention with psychoeducation and follow-up.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collaborative/stepped care integrated into primary care to help bridge India's wide treatment gap.</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an anxiety disorder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Panic/GAD/phobia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comorbid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 suicide-risk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≥150 minutes/week of moderate activity (brisk walking, cycling, swimming) as an adjunct that reduces anxiety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yoga, pranayama and breathing practices, which have evidence for lowering anxiety in Indian populations.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Start small and build gradually; even short bouts help reduce arousal, worry and improve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activity as safe interoceptive exposure — getting used to a raised heart rate reduces fear of bodily sensations in panic.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prolonged sitting and evening screen time to lower hyper-arousal before bed.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anxiety/panic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and urban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comorbid depression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Cut caffeine and energy drinks (aim &lt;400 mg/day, none in the evening), the commonest dietary trigger of anxiety and panic.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balanced, minimally processed diet rich in whole grains/millets, pulses, fruit, vegetables and nuts, limiting refined sugar and ultra-processed foods.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vitamin B12, vitamin D and magnesium — supplement where deficient, especially in vegetarians, women and the 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regular meal timing and avoid long fasts that provoke adrenergic, panic-like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omega-3 sources (fish, flaxseed, walnuts) as part of an overall healthy dietary pattern.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 caffeine/energy-drink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at risk of 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Vegetarians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and elderly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consistent sleep–wake schedule and aim for 7–9 hours/night to reduce hyper-arousal and worry.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sleep hygiene — limit evening screens, caffeine and alcohol; keep the bedroom dark, cool and quiet.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CBT for insomnia (CBT-I) as first-line for persistent insomnia rather than long-term hypnotics.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insomnia actively, as it independently worsens anxiety and predicts relapse.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Wind down with relaxation or breathing exercises rather than screen time or worry ‘in bed’.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anxiety/insomnia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comorbid depression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with AUDIT and give brief advice; avoid using alcohol to cope with anxiety, stress or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Explain that alcohol gives short-term relief but causes rebound anxiety, worse sleep and dependence.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abstinence or reduction in hazardous users, and provide supervised, safe withdrawal for dependent drinkers (withdrawal anxiety and seizures are risks).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Link to de-addiction services and relapse-prevention support.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Counsel that alcohol undermines the efficacy of anti-anxiety treatment.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Self-medicating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Dual-diagnosis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at suicide risk</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tobacco-cessation support to everyone with anxiety — quitting is safe and improves anxiety and physical health in the long term.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Explain that nicotine relieves withdrawal but does not treat anxiety; dependence and withdrawal actually raise 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behavioural counselling with pharmacotherapy (nicotine replacement) and follow-up.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all forms of tobacco common in India (cigarettes, bidis, smokeless/gutkha).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Anticipate that cessation can transiently increase anxiety — support and monitor through this period.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Tobacco users with 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&amp; young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Smokeless-tobacco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psychotropics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ho.int/news-room/fact-sheets/detail/anxiety-disorders" TargetMode="External"/><Relationship Id="rId10" Type="http://schemas.openxmlformats.org/officeDocument/2006/relationships/hyperlink" Target="https://journals.sagepub.com/doi/10.1177/0020764020907941" TargetMode="External"/><Relationship Id="rId11" Type="http://schemas.openxmlformats.org/officeDocument/2006/relationships/hyperlink" Target="https://www.who.int/india/health-topics/mental-health" TargetMode="External"/><Relationship Id="rId12" Type="http://schemas.openxmlformats.org/officeDocument/2006/relationships/hyperlink" Target="https://www.who.int/news-room/fact-sheets/detail/mental-disorders" TargetMode="External"/><Relationship Id="rId13" Type="http://schemas.openxmlformats.org/officeDocument/2006/relationships/hyperlink" Target="https://www.who.int/news-room/fact-sheets/detail/physical-activity" TargetMode="External"/><Relationship Id="rId14" Type="http://schemas.openxmlformats.org/officeDocument/2006/relationships/hyperlink" Target="https://www.who.int/news-room/fact-sheets/detail/depres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