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Generalized Anxiety Disorder</w:t>
      </w:r>
    </w:p>
    <w:p>
      <w:pPr>
        <w:spacing w:before="0" w:after="160"/>
      </w:pPr>
      <w:r>
        <w:rPr>
          <w:rFonts w:ascii="Calibri" w:hAnsi="Calibri"/>
          <w:b/>
          <w:i w:val="0"/>
          <w:color w:val="212121"/>
          <w:sz w:val="22"/>
        </w:rPr>
        <w:t xml:space="preserve">AKA </w:t>
      </w:r>
      <w:r>
        <w:rPr>
          <w:rFonts w:ascii="Calibri" w:hAnsi="Calibri"/>
          <w:b w:val="0"/>
          <w:i w:val="0"/>
          <w:color w:val="212121"/>
          <w:sz w:val="22"/>
        </w:rPr>
        <w:t>i.e., GAD, Chronic anxiety, Generalised anxiety neurosis, Free-floating anxiety</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Generalized Anxiety Disorder (GAD) is a chronic mental health condition characterised by persistent, excessive and difficult-to-control worry about multiple everyday events or activities, occurring more days than not for at least six months. The worry is accompanied by psychological and somatic symptoms such as restlessness, easy fatigue, poor concentration, irritability, muscle tension and disturbed sleep, and causes clinically significant distress or impairment in daily functioning. Unlike ordinary worry, the anxiety in GAD is out of proportion to the actual likelihood or impact of the feared events, is pervasive across many domains of life, and is self-perpetuating.</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Generalized anxiety disorder is one of the most common mental disorders seen in Indian community and primary-care settings, yet it remains largely under-recognised and undertreated. Community surveys report GAD in roughly 3% of Indian adults — a recent rural Jammu study found a current prevalence of 3.14%, making it the second most common psychiatric condition after alcohol-use disorder. India’s National Mental Health Survey (2015–16) documented a high overall burden of mental morbidity together with a wide treatment gap for common mental disorders. Globally, the WHO estimated that about 359 million people — 4.4% of the world’s population — were living with an anxiety disorder in 2021; cross-national data show lifetime GAD is lower in low-income countries (~1.6%) than in high-income countries (~5.0%), reflecting differences in ascertainment, help-seeking and living conditions.</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GAD is a clinical diagnosis based on DSM-5-TR criteria; there is no confirmatory laboratory test, and investigations are used mainly to exclude organic mimics (e.g., hyperthyroidism, arrhythmia, hypoglycaemia, substance effects). Diagnosis requires: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excessive anxiety and worry (apprehensive expectation) about several events or activities, occurring more days than not for at least 6 months;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the individual finds it difficult to control the worry;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the anxiety and worry are associated with at least three of six symptoms — restlessness or feeling keyed-up/on edge, being easily fatigued, difficulty concentrating or mind going blank, irritability, muscle tension, and sleep disturbance (only one symptom is required in children);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the disturbance causes clinically significant distress or impairment in social, occupational or other important areas of functioning;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the symptoms are not attributable to a substance (e.g., caffeine, stimulants, medication, drug of abuse) or another medical condition, and are not better explained by another mental disorder (e.g., panic disorder, social anxiety disorder, OCD, PTSD).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Validated screening tools such as the GAD-7 (score ≥ 10 indicating probable moderate-to-severe anxiety) aid case-finding and severity grading but do not replace a full clinical assessment.</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GAD does not have discrete pathological subtypes; it is instead stratified clinically by severity, course and comorbidity, and is distinguished from related anxiety disorders:</w:t>
      </w:r>
    </w:p>
    <w:p>
      <w:pPr>
        <w:spacing w:before="0" w:after="80"/>
      </w:pPr>
      <w:r>
        <w:rPr>
          <w:rFonts w:ascii="Calibri" w:hAnsi="Calibri"/>
          <w:b w:val="0"/>
          <w:i w:val="0"/>
          <w:color w:val="212121"/>
          <w:sz w:val="21"/>
        </w:rPr>
        <w:t>(1) By severity — commonly graded with the GAD-7 scale as minimal (0–4), mild (5–9), moderate (10–14) and severe (15–21) anxiety, which guides whether watchful waiting, psychotherapy, or combined pharmacotherapy is indicated;</w:t>
      </w:r>
    </w:p>
    <w:p>
      <w:pPr>
        <w:spacing w:before="0" w:after="80"/>
      </w:pPr>
      <w:r>
        <w:rPr>
          <w:rFonts w:ascii="Calibri" w:hAnsi="Calibri"/>
          <w:b w:val="0"/>
          <w:i w:val="0"/>
          <w:color w:val="212121"/>
          <w:sz w:val="21"/>
        </w:rPr>
        <w:t>(2) By age of onset and course — an early-onset form beginning in childhood or adolescence tends to be more chronic, trait-like and familial, whereas a later-onset form often emerges in adulthood after life stressors, physical illness, financial strain or bereavement;</w:t>
      </w:r>
    </w:p>
    <w:p>
      <w:pPr>
        <w:spacing w:before="0" w:after="80"/>
      </w:pPr>
      <w:r>
        <w:rPr>
          <w:rFonts w:ascii="Calibri" w:hAnsi="Calibri"/>
          <w:b w:val="0"/>
          <w:i w:val="0"/>
          <w:color w:val="212121"/>
          <w:sz w:val="21"/>
        </w:rPr>
        <w:t>(3) Pure versus comorbid GAD — ‘pure’ GAD without another current disorder is relatively uncommon, as most cases coexist with major depression, other anxiety disorders, insomnia or substance use, which increases chronicity and disability; and</w:t>
      </w:r>
    </w:p>
    <w:p>
      <w:pPr>
        <w:spacing w:before="0" w:after="80"/>
      </w:pPr>
      <w:r>
        <w:rPr>
          <w:rFonts w:ascii="Calibri" w:hAnsi="Calibri"/>
          <w:b w:val="0"/>
          <w:i w:val="0"/>
          <w:color w:val="212121"/>
          <w:sz w:val="21"/>
        </w:rPr>
        <w:t>(4) Differentiation within the anxiety-disorder family — GAD is characterised by free-floating, pervasive worry across many domains, distinguishing it from panic disorder (discrete panic attacks), social anxiety disorder (fear of scrutiny), specific phobia, obsessive-compulsive disorder and post-traumatic stress disorder, although these conditions frequently co-occur.</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Genetic predisposition: GAD aggregates in families with heritability estimated around 30%, and shares genetic vulnerability (pleiotropy) with major depressive disorder.</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Neurobiological dysregulation: Low serotonergic and elevated noradrenergic activity, amygdala hyper-reactivity and impaired prefrontal top-down control underlie pathological, uncontrollable worry.</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Temperament and personality: Behavioural inhibition, neuroticism, harm-avoidance and intolerance of uncertainty predispose individuals to chronic worry.</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Chronic stress and adverse experiences: Childhood adversity, trauma, insecure attachment and ongoing psychosocial or financial stress sensitise the HPA (stress-response) axis.</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Female sex and hormonal factors: Women are affected roughly twice as often as men, reflecting hormonal, reproductive and psychosocial influences.</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Substance and lifestyle factors: Caffeine, nicotine, alcohol and stimulant use, poor sleep and physical inactivity can precipitate or perpetuate anxiety.</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Medical and iatrogenic triggers: Hyperthyroidism, cardiorespiratory disease and certain drugs (corticosteroids, bronchodilators, thyroxine, decongestants) can provoke or mimic GAD.</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(working-age)</w:t>
            </w:r>
          </w:p>
        </w:tc>
        <w:tc>
          <w:tcPr>
            <w:tcW w:type="dxa" w:w="4276"/>
            <w:vAlign w:val="top"/>
          </w:tcPr>
          <w:p>
            <w:pPr>
              <w:spacing w:after="60" w:line="259" w:lineRule="auto"/>
            </w:pPr>
            <w:r>
              <w:rPr>
                <w:rFonts w:ascii="Calibri" w:hAnsi="Calibri"/>
                <w:b w:val="0"/>
                <w:i w:val="0"/>
                <w:color w:val="212121"/>
                <w:sz w:val="19"/>
              </w:rPr>
              <w:t>GAD peaks during the productive working years, when cumulative occupational, financial and family stressors interact with an already trait-anxious temperament to sustain chronic, uncontrollable worry.</w:t>
            </w:r>
          </w:p>
          <w:p>
            <w:pPr>
              <w:spacing w:after="40" w:before="60" w:line="259" w:lineRule="auto"/>
            </w:pPr>
            <w:r>
              <w:rPr>
                <w:rFonts w:ascii="Calibri" w:hAnsi="Calibri"/>
                <w:b w:val="0"/>
                <w:i w:val="0"/>
                <w:color w:val="212121"/>
                <w:sz w:val="19"/>
              </w:rPr>
              <w:t>In US adults the past-year prevalence of GAD is highest at ages 30–44 (about 3.5%); the median age of onset is around 30 years.</w:t>
            </w:r>
          </w:p>
          <w:p>
            <w:pPr>
              <w:spacing w:after="40" w:line="252" w:lineRule="auto"/>
            </w:pPr>
            <w:hyperlink r:id="rId9">
              <w:r>
                <w:rPr>
                  <w:rFonts w:ascii="Calibri" w:hAnsi="Calibri" w:cs="Calibri"/>
                  <w:sz w:val="18"/>
                  <w:color w:val="1155CC"/>
                  <w:u w:val="single"/>
                </w:rPr>
                <w:t xml:space="preserve">nimh.nih.gov — GAD statistics</w:t>
              </w:r>
            </w:hyperlink>
          </w:p>
          <w:p>
            <w:pPr>
              <w:spacing w:before="60" w:after="40"/>
            </w:pPr>
            <w:r>
              <w:rPr>
                <w:rFonts w:ascii="Calibri" w:hAnsi="Calibri"/>
                <w:b w:val="0"/>
                <w:i w:val="0"/>
                <w:color w:val="5A5A5A"/>
                <w:sz w:val="18"/>
              </w:rPr>
              <w:t>#workingage  #worry  #chronicstress  #burnout  #productiveyears</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Late-life GAD is common but frequently missed because worry is attributed to physical illness or ‘normal ageing’; it clusters with chronic disease, disability, bereavement and social isolation.</w:t>
            </w:r>
          </w:p>
          <w:p>
            <w:pPr>
              <w:spacing w:after="40" w:before="60" w:line="259" w:lineRule="auto"/>
            </w:pPr>
            <w:r>
              <w:rPr>
                <w:rFonts w:ascii="Calibri" w:hAnsi="Calibri"/>
                <w:b w:val="0"/>
                <w:i w:val="0"/>
                <w:color w:val="212121"/>
                <w:sz w:val="19"/>
              </w:rPr>
              <w:t>GAD is among the most frequent anxiety disorders in older adults, and India’s National Mental Health Survey highlighted a very large treatment gap for mental disorders in the elderly.</w:t>
            </w:r>
          </w:p>
          <w:p>
            <w:pPr>
              <w:spacing w:after="40" w:line="252" w:lineRule="auto"/>
            </w:pPr>
            <w:hyperlink r:id="rId10">
              <w:r>
                <w:rPr>
                  <w:rFonts w:ascii="Calibri" w:hAnsi="Calibri" w:cs="Calibri"/>
                  <w:sz w:val="18"/>
                  <w:color w:val="1155CC"/>
                  <w:u w:val="single"/>
                </w:rPr>
                <w:t xml:space="preserve">pubmed — NMHS older-adults treatment gap</w:t>
              </w:r>
            </w:hyperlink>
          </w:p>
          <w:p>
            <w:pPr>
              <w:spacing w:before="60" w:after="40"/>
            </w:pPr>
            <w:r>
              <w:rPr>
                <w:rFonts w:ascii="Calibri" w:hAnsi="Calibri"/>
                <w:b w:val="0"/>
                <w:i w:val="0"/>
                <w:color w:val="5A5A5A"/>
                <w:sz w:val="18"/>
              </w:rPr>
              <w:t>#latelife  #underdiagnosed  #comorbidity  #isolation  #ageing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w:t>
            </w:r>
          </w:p>
        </w:tc>
        <w:tc>
          <w:tcPr>
            <w:tcW w:type="dxa" w:w="4276"/>
            <w:vAlign w:val="top"/>
          </w:tcPr>
          <w:p>
            <w:pPr>
              <w:spacing w:after="60" w:line="259" w:lineRule="auto"/>
            </w:pPr>
            <w:r>
              <w:rPr>
                <w:rFonts w:ascii="Calibri" w:hAnsi="Calibri"/>
                <w:b w:val="0"/>
                <w:i w:val="0"/>
                <w:color w:val="212121"/>
                <w:sz w:val="19"/>
              </w:rPr>
              <w:t>Hormonal fluctuations, reproductive-cycle events and greater exposure to caregiving, domestic and financial stress raise women’s vulnerability to persistent worry.</w:t>
            </w:r>
          </w:p>
          <w:p>
            <w:pPr>
              <w:spacing w:after="40" w:before="60" w:line="259" w:lineRule="auto"/>
            </w:pPr>
            <w:r>
              <w:rPr>
                <w:rFonts w:ascii="Calibri" w:hAnsi="Calibri"/>
                <w:b w:val="0"/>
                <w:i w:val="0"/>
                <w:color w:val="212121"/>
                <w:sz w:val="19"/>
              </w:rPr>
              <w:t>GAD is roughly twice as common in women as in men (past-year prevalence about 3.4% vs 1.9% in adults).</w:t>
            </w:r>
          </w:p>
          <w:p>
            <w:pPr>
              <w:spacing w:after="40" w:line="252" w:lineRule="auto"/>
            </w:pPr>
            <w:hyperlink r:id="rId9">
              <w:r>
                <w:rPr>
                  <w:rFonts w:ascii="Calibri" w:hAnsi="Calibri" w:cs="Calibri"/>
                  <w:sz w:val="18"/>
                  <w:color w:val="1155CC"/>
                  <w:u w:val="single"/>
                </w:rPr>
                <w:t xml:space="preserve">nimh.nih.gov — GAD statistics</w:t>
              </w:r>
            </w:hyperlink>
          </w:p>
          <w:p>
            <w:pPr>
              <w:spacing w:before="60" w:after="40"/>
            </w:pPr>
            <w:r>
              <w:rPr>
                <w:rFonts w:ascii="Calibri" w:hAnsi="Calibri"/>
                <w:b w:val="0"/>
                <w:i w:val="0"/>
                <w:color w:val="5A5A5A"/>
                <w:sz w:val="18"/>
              </w:rPr>
              <w:t>#women  #twiceasrisk  #hormonal  #caregiverstress  #gendergap</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 financially insecure adults</w:t>
            </w:r>
          </w:p>
        </w:tc>
        <w:tc>
          <w:tcPr>
            <w:tcW w:type="dxa" w:w="4276"/>
            <w:vAlign w:val="top"/>
          </w:tcPr>
          <w:p>
            <w:pPr>
              <w:spacing w:after="60" w:line="259" w:lineRule="auto"/>
            </w:pPr>
            <w:r>
              <w:rPr>
                <w:rFonts w:ascii="Calibri" w:hAnsi="Calibri"/>
                <w:b w:val="0"/>
                <w:i w:val="0"/>
                <w:color w:val="212121"/>
                <w:sz w:val="19"/>
              </w:rPr>
              <w:t>Financial strain, debt, job insecurity and unmet needs are powerful, chronic stressors that fuel and maintain generalized worry; within countries GAD is inversely associated with socioeconomic status.</w:t>
            </w:r>
          </w:p>
          <w:p>
            <w:pPr>
              <w:spacing w:after="40" w:before="60" w:line="259" w:lineRule="auto"/>
            </w:pPr>
            <w:r>
              <w:rPr>
                <w:rFonts w:ascii="Calibri" w:hAnsi="Calibri"/>
                <w:b w:val="0"/>
                <w:i w:val="0"/>
                <w:color w:val="212121"/>
                <w:sz w:val="19"/>
              </w:rPr>
              <w:t>Across countries GAD shows a negative association with socioeconomic status, so lower-income and financially insecure groups within a population carry disproportionate worry burden.</w:t>
            </w:r>
          </w:p>
          <w:p>
            <w:pPr>
              <w:spacing w:after="40" w:line="252" w:lineRule="auto"/>
            </w:pPr>
            <w:hyperlink r:id="rId11">
              <w:r>
                <w:rPr>
                  <w:rFonts w:ascii="Calibri" w:hAnsi="Calibri" w:cs="Calibri"/>
                  <w:sz w:val="18"/>
                  <w:color w:val="1155CC"/>
                  <w:u w:val="single"/>
                </w:rPr>
                <w:t xml:space="preserve">pubmed — cross-national epidemiology of DSM-5 GAD</w:t>
              </w:r>
            </w:hyperlink>
          </w:p>
          <w:p>
            <w:pPr>
              <w:spacing w:before="60" w:after="40"/>
            </w:pPr>
            <w:r>
              <w:rPr>
                <w:rFonts w:ascii="Calibri" w:hAnsi="Calibri"/>
                <w:b w:val="0"/>
                <w:i w:val="0"/>
                <w:color w:val="5A5A5A"/>
                <w:sz w:val="18"/>
              </w:rPr>
              <w:t>#financialstress  #debt  #insecurity  #SES  #chronicworry</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w:t>
            </w:r>
          </w:p>
        </w:tc>
        <w:tc>
          <w:tcPr>
            <w:tcW w:type="dxa" w:w="2160"/>
            <w:vAlign w:val="top"/>
          </w:tcPr>
          <w:p>
            <w:pPr>
              <w:spacing w:after="40" w:before="0" w:line="259" w:lineRule="auto"/>
            </w:pPr>
            <w:r>
              <w:rPr>
                <w:rFonts w:ascii="Calibri" w:hAnsi="Calibri"/>
                <w:b w:val="0"/>
                <w:i w:val="0"/>
                <w:color w:val="212121"/>
                <w:sz w:val="19"/>
              </w:rPr>
              <w:t>Rural Indian communities</w:t>
            </w:r>
          </w:p>
        </w:tc>
        <w:tc>
          <w:tcPr>
            <w:tcW w:type="dxa" w:w="4276"/>
            <w:vAlign w:val="top"/>
          </w:tcPr>
          <w:p>
            <w:pPr>
              <w:spacing w:after="60" w:line="259" w:lineRule="auto"/>
            </w:pPr>
            <w:r>
              <w:rPr>
                <w:rFonts w:ascii="Calibri" w:hAnsi="Calibri"/>
                <w:b w:val="0"/>
                <w:i w:val="0"/>
                <w:color w:val="212121"/>
                <w:sz w:val="19"/>
              </w:rPr>
              <w:t>Agrarian income volatility, indebtedness, limited mental-health services and stigma leave rural anxiety largely untreated, allowing GAD to become chronic.</w:t>
            </w:r>
          </w:p>
          <w:p>
            <w:pPr>
              <w:spacing w:after="40" w:before="60" w:line="259" w:lineRule="auto"/>
            </w:pPr>
            <w:r>
              <w:rPr>
                <w:rFonts w:ascii="Calibri" w:hAnsi="Calibri"/>
                <w:b w:val="0"/>
                <w:i w:val="0"/>
                <w:color w:val="212121"/>
                <w:sz w:val="19"/>
              </w:rPr>
              <w:t>A rural community study in Jammu found generalized anxiety disorder in 3.14% of adults — the second most common psychiatric condition after alcohol dependence (12.30%).</w:t>
            </w:r>
          </w:p>
          <w:p>
            <w:pPr>
              <w:spacing w:after="40" w:line="252" w:lineRule="auto"/>
            </w:pPr>
            <w:hyperlink r:id="rId12">
              <w:r>
                <w:rPr>
                  <w:rFonts w:ascii="Calibri" w:hAnsi="Calibri" w:cs="Calibri"/>
                  <w:sz w:val="18"/>
                  <w:color w:val="1155CC"/>
                  <w:u w:val="single"/>
                </w:rPr>
                <w:t xml:space="preserve">pubmed — psychiatric disorders in rural Jammu</w:t>
              </w:r>
            </w:hyperlink>
          </w:p>
          <w:p>
            <w:pPr>
              <w:spacing w:before="60" w:after="40"/>
            </w:pPr>
            <w:r>
              <w:rPr>
                <w:rFonts w:ascii="Calibri" w:hAnsi="Calibri"/>
                <w:b w:val="0"/>
                <w:i w:val="0"/>
                <w:color w:val="5A5A5A"/>
                <w:sz w:val="18"/>
              </w:rPr>
              <w:t>#rural  #agrarianstress  #stigma  #treatmentgap  #India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Setting</w:t>
            </w:r>
          </w:p>
        </w:tc>
        <w:tc>
          <w:tcPr>
            <w:tcW w:type="dxa" w:w="2160"/>
            <w:vAlign w:val="top"/>
          </w:tcPr>
          <w:p>
            <w:pPr>
              <w:spacing w:after="40" w:before="0" w:line="259" w:lineRule="auto"/>
            </w:pPr>
            <w:r>
              <w:rPr>
                <w:rFonts w:ascii="Calibri" w:hAnsi="Calibri"/>
                <w:b w:val="0"/>
                <w:i w:val="0"/>
                <w:color w:val="212121"/>
                <w:sz w:val="19"/>
              </w:rPr>
              <w:t>Urban metros &amp; migrant workers</w:t>
            </w:r>
          </w:p>
        </w:tc>
        <w:tc>
          <w:tcPr>
            <w:tcW w:type="dxa" w:w="4276"/>
            <w:vAlign w:val="top"/>
          </w:tcPr>
          <w:p>
            <w:pPr>
              <w:spacing w:after="60" w:line="259" w:lineRule="auto"/>
            </w:pPr>
            <w:r>
              <w:rPr>
                <w:rFonts w:ascii="Calibri" w:hAnsi="Calibri"/>
                <w:b w:val="0"/>
                <w:i w:val="0"/>
                <w:color w:val="212121"/>
                <w:sz w:val="19"/>
              </w:rPr>
              <w:t>Rapid urbanisation, long commutes, job competition, social disconnection and always-on work culture create sustained low-grade stress that predisposes to generalized worry.</w:t>
            </w:r>
          </w:p>
          <w:p>
            <w:pPr>
              <w:spacing w:after="40" w:before="60" w:line="259" w:lineRule="auto"/>
            </w:pPr>
            <w:r>
              <w:rPr>
                <w:rFonts w:ascii="Calibri" w:hAnsi="Calibri"/>
                <w:b w:val="0"/>
                <w:i w:val="0"/>
                <w:color w:val="212121"/>
                <w:sz w:val="19"/>
              </w:rPr>
              <w:t>WHO estimates the economic loss to India from mental-health conditions between 2012 and 2030 at about USD 1.03 trillion, reflecting the heavy urban and workforce burden of anxiety and depression.</w:t>
            </w:r>
          </w:p>
          <w:p>
            <w:pPr>
              <w:spacing w:after="40" w:line="252" w:lineRule="auto"/>
            </w:pPr>
            <w:hyperlink r:id="rId13">
              <w:r>
                <w:rPr>
                  <w:rFonts w:ascii="Calibri" w:hAnsi="Calibri" w:cs="Calibri"/>
                  <w:sz w:val="18"/>
                  <w:color w:val="1155CC"/>
                  <w:u w:val="single"/>
                </w:rPr>
                <w:t xml:space="preserve">who.int/india — mental health</w:t>
              </w:r>
            </w:hyperlink>
          </w:p>
          <w:p>
            <w:pPr>
              <w:spacing w:before="60" w:after="40"/>
            </w:pPr>
            <w:r>
              <w:rPr>
                <w:rFonts w:ascii="Calibri" w:hAnsi="Calibri"/>
                <w:b w:val="0"/>
                <w:i w:val="0"/>
                <w:color w:val="5A5A5A"/>
                <w:sz w:val="18"/>
              </w:rPr>
              <w:t>#urbanstress  #migrants  #worklife  #megacity  #burnout</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w:t>
            </w:r>
          </w:p>
        </w:tc>
        <w:tc>
          <w:tcPr>
            <w:tcW w:type="dxa" w:w="2160"/>
            <w:vAlign w:val="top"/>
          </w:tcPr>
          <w:p>
            <w:pPr>
              <w:spacing w:after="40" w:before="0" w:line="259" w:lineRule="auto"/>
            </w:pPr>
            <w:r>
              <w:rPr>
                <w:rFonts w:ascii="Calibri" w:hAnsi="Calibri"/>
                <w:b w:val="0"/>
                <w:i w:val="0"/>
                <w:color w:val="212121"/>
                <w:sz w:val="19"/>
              </w:rPr>
              <w:t>Physically inactive adults, desk workers, students</w:t>
            </w:r>
          </w:p>
        </w:tc>
        <w:tc>
          <w:tcPr>
            <w:tcW w:type="dxa" w:w="4276"/>
            <w:vAlign w:val="top"/>
          </w:tcPr>
          <w:p>
            <w:pPr>
              <w:spacing w:after="60" w:line="259" w:lineRule="auto"/>
            </w:pPr>
            <w:r>
              <w:rPr>
                <w:rFonts w:ascii="Calibri" w:hAnsi="Calibri"/>
                <w:b w:val="0"/>
                <w:i w:val="0"/>
                <w:color w:val="212121"/>
                <w:sz w:val="19"/>
              </w:rPr>
              <w:t>Physical inactivity is associated with higher anxiety, whereas regular activity buffers the stress response, improves sleep and lowers the risk of new-onset anxiety.</w:t>
            </w:r>
          </w:p>
          <w:p>
            <w:pPr>
              <w:spacing w:after="40" w:before="60" w:line="259" w:lineRule="auto"/>
            </w:pPr>
            <w:r>
              <w:rPr>
                <w:rFonts w:ascii="Calibri" w:hAnsi="Calibri"/>
                <w:b w:val="0"/>
                <w:i w:val="0"/>
                <w:color w:val="212121"/>
                <w:sz w:val="19"/>
              </w:rPr>
              <w:t>A meta-analysis of prospective cohort studies found that higher physical activity protects against incident anxiety.</w:t>
            </w:r>
          </w:p>
          <w:p>
            <w:pPr>
              <w:spacing w:after="40" w:line="252" w:lineRule="auto"/>
            </w:pPr>
            <w:hyperlink r:id="rId14">
              <w:r>
                <w:rPr>
                  <w:rFonts w:ascii="Calibri" w:hAnsi="Calibri" w:cs="Calibri"/>
                  <w:sz w:val="18"/>
                  <w:color w:val="1155CC"/>
                  <w:u w:val="single"/>
                </w:rPr>
                <w:t xml:space="preserve">pubmed — physical activity protects from incident anxiety</w:t>
              </w:r>
            </w:hyperlink>
          </w:p>
          <w:p>
            <w:pPr>
              <w:spacing w:before="60" w:after="40"/>
            </w:pPr>
            <w:r>
              <w:rPr>
                <w:rFonts w:ascii="Calibri" w:hAnsi="Calibri"/>
                <w:b w:val="0"/>
                <w:i w:val="0"/>
                <w:color w:val="5A5A5A"/>
                <w:sz w:val="18"/>
              </w:rPr>
              <w:t>#sedentary  #inactivity  #deskbound  #screenbound  #lowMVPA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Smokers &amp; nicotine-dependent adults</w:t>
            </w:r>
          </w:p>
        </w:tc>
        <w:tc>
          <w:tcPr>
            <w:tcW w:type="dxa" w:w="4276"/>
            <w:vAlign w:val="top"/>
          </w:tcPr>
          <w:p>
            <w:pPr>
              <w:spacing w:after="60" w:line="259" w:lineRule="auto"/>
            </w:pPr>
            <w:r>
              <w:rPr>
                <w:rFonts w:ascii="Calibri" w:hAnsi="Calibri"/>
                <w:b w:val="0"/>
                <w:i w:val="0"/>
                <w:color w:val="212121"/>
                <w:sz w:val="19"/>
              </w:rPr>
              <w:t>Nicotine acutely relieves but chronically worsens anxiety, and dependence plus withdrawal cycles heighten arousal; smoking is a risk factor for developing anxiety disorders.</w:t>
            </w:r>
          </w:p>
          <w:p>
            <w:pPr>
              <w:spacing w:after="40" w:before="60" w:line="259" w:lineRule="auto"/>
            </w:pPr>
            <w:r>
              <w:rPr>
                <w:rFonts w:ascii="Calibri" w:hAnsi="Calibri"/>
                <w:b w:val="0"/>
                <w:i w:val="0"/>
                <w:color w:val="212121"/>
                <w:sz w:val="19"/>
              </w:rPr>
              <w:t>A systematic review of population-based studies supports cigarette smoking and nicotine dependence as risk factors for anxiety disorders, including GAD.</w:t>
            </w:r>
          </w:p>
          <w:p>
            <w:pPr>
              <w:spacing w:after="40" w:line="252" w:lineRule="auto"/>
            </w:pPr>
            <w:hyperlink r:id="rId15">
              <w:r>
                <w:rPr>
                  <w:rFonts w:ascii="Calibri" w:hAnsi="Calibri" w:cs="Calibri"/>
                  <w:sz w:val="18"/>
                  <w:color w:val="1155CC"/>
                  <w:u w:val="single"/>
                </w:rPr>
                <w:t xml:space="preserve">pubmed — smoking, nicotine dependence &amp; anxiety</w:t>
              </w:r>
            </w:hyperlink>
          </w:p>
          <w:p>
            <w:pPr>
              <w:spacing w:before="60" w:after="40"/>
            </w:pPr>
            <w:r>
              <w:rPr>
                <w:rFonts w:ascii="Calibri" w:hAnsi="Calibri"/>
                <w:b w:val="0"/>
                <w:i w:val="0"/>
                <w:color w:val="5A5A5A"/>
                <w:sz w:val="18"/>
              </w:rPr>
              <w:t>#smoking  #nicotine  #withdrawal  #tobacco  #arousal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Hazardous / heavy drinkers</w:t>
            </w:r>
          </w:p>
        </w:tc>
        <w:tc>
          <w:tcPr>
            <w:tcW w:type="dxa" w:w="4276"/>
            <w:vAlign w:val="top"/>
          </w:tcPr>
          <w:p>
            <w:pPr>
              <w:spacing w:after="60" w:line="259" w:lineRule="auto"/>
            </w:pPr>
            <w:r>
              <w:rPr>
                <w:rFonts w:ascii="Calibri" w:hAnsi="Calibri"/>
                <w:b w:val="0"/>
                <w:i w:val="0"/>
                <w:color w:val="212121"/>
                <w:sz w:val="19"/>
              </w:rPr>
              <w:t>Alcohol is often used to self-medicate worry, but rebound anxiety and withdrawal perpetuate the disorder; GAD and alcohol-use disorder are strongly and bidirectionally linked.</w:t>
            </w:r>
          </w:p>
          <w:p>
            <w:pPr>
              <w:spacing w:after="40" w:before="60" w:line="259" w:lineRule="auto"/>
            </w:pPr>
            <w:r>
              <w:rPr>
                <w:rFonts w:ascii="Calibri" w:hAnsi="Calibri"/>
                <w:b w:val="0"/>
                <w:i w:val="0"/>
                <w:color w:val="212121"/>
                <w:sz w:val="19"/>
              </w:rPr>
              <w:t>Epidemiological data show a strong association between generalized anxiety disorder and substance-use disorders, alcohol being the most common.</w:t>
            </w:r>
          </w:p>
          <w:p>
            <w:pPr>
              <w:spacing w:after="40" w:line="252" w:lineRule="auto"/>
            </w:pPr>
            <w:hyperlink r:id="rId16">
              <w:r>
                <w:rPr>
                  <w:rFonts w:ascii="Calibri" w:hAnsi="Calibri" w:cs="Calibri"/>
                  <w:sz w:val="18"/>
                  <w:color w:val="1155CC"/>
                  <w:u w:val="single"/>
                </w:rPr>
                <w:t xml:space="preserve">pubmed — GAD &amp; substance-use disorders</w:t>
              </w:r>
            </w:hyperlink>
          </w:p>
          <w:p>
            <w:pPr>
              <w:spacing w:before="60" w:after="40"/>
            </w:pPr>
            <w:r>
              <w:rPr>
                <w:rFonts w:ascii="Calibri" w:hAnsi="Calibri"/>
                <w:b w:val="0"/>
                <w:i w:val="0"/>
                <w:color w:val="5A5A5A"/>
                <w:sz w:val="18"/>
              </w:rPr>
              <w:t>#alcohol  #selfmedication  #withdrawal  #reboundanxiety  #AUD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Caffeine</w:t>
            </w:r>
          </w:p>
        </w:tc>
        <w:tc>
          <w:tcPr>
            <w:tcW w:type="dxa" w:w="2160"/>
            <w:vAlign w:val="top"/>
          </w:tcPr>
          <w:p>
            <w:pPr>
              <w:spacing w:after="40" w:before="0" w:line="259" w:lineRule="auto"/>
            </w:pPr>
            <w:r>
              <w:rPr>
                <w:rFonts w:ascii="Calibri" w:hAnsi="Calibri"/>
                <w:b w:val="0"/>
                <w:i w:val="0"/>
                <w:color w:val="212121"/>
                <w:sz w:val="19"/>
              </w:rPr>
              <w:t>High caffeine / energy-drink users</w:t>
            </w:r>
          </w:p>
        </w:tc>
        <w:tc>
          <w:tcPr>
            <w:tcW w:type="dxa" w:w="4276"/>
            <w:vAlign w:val="top"/>
          </w:tcPr>
          <w:p>
            <w:pPr>
              <w:spacing w:after="60" w:line="259" w:lineRule="auto"/>
            </w:pPr>
            <w:r>
              <w:rPr>
                <w:rFonts w:ascii="Calibri" w:hAnsi="Calibri"/>
                <w:b w:val="0"/>
                <w:i w:val="0"/>
                <w:color w:val="212121"/>
                <w:sz w:val="19"/>
              </w:rPr>
              <w:t>Caffeine is a stimulant that heightens sympathetic arousal, palpitations and restlessness; anxiety-prone individuals are especially sensitive and can experience caffeine-provoked anxiety or panic.</w:t>
            </w:r>
          </w:p>
          <w:p>
            <w:pPr>
              <w:spacing w:after="40" w:before="60" w:line="259" w:lineRule="auto"/>
            </w:pPr>
            <w:r>
              <w:rPr>
                <w:rFonts w:ascii="Calibri" w:hAnsi="Calibri"/>
                <w:b w:val="0"/>
                <w:i w:val="0"/>
                <w:color w:val="212121"/>
                <w:sz w:val="19"/>
              </w:rPr>
              <w:t>Patients with anxiety and panic disorders show increased sensitivity to caffeine, with intake correlating with self-rated anxiety.</w:t>
            </w:r>
          </w:p>
          <w:p>
            <w:pPr>
              <w:spacing w:after="40" w:line="252" w:lineRule="auto"/>
            </w:pPr>
            <w:hyperlink r:id="rId17">
              <w:r>
                <w:rPr>
                  <w:rFonts w:ascii="Calibri" w:hAnsi="Calibri" w:cs="Calibri"/>
                  <w:sz w:val="18"/>
                  <w:color w:val="1155CC"/>
                  <w:u w:val="single"/>
                </w:rPr>
                <w:t xml:space="preserve">pubmed — increased caffeine sensitivity in panic</w:t>
              </w:r>
            </w:hyperlink>
          </w:p>
          <w:p>
            <w:pPr>
              <w:spacing w:before="60" w:after="40"/>
            </w:pPr>
            <w:r>
              <w:rPr>
                <w:rFonts w:ascii="Calibri" w:hAnsi="Calibri"/>
                <w:b w:val="0"/>
                <w:i w:val="0"/>
                <w:color w:val="5A5A5A"/>
                <w:sz w:val="18"/>
              </w:rPr>
              <w:t>#caffeine  #energydrinks  #stimulant  #palpitations  #jitters</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pattern</w:t>
            </w:r>
          </w:p>
        </w:tc>
        <w:tc>
          <w:tcPr>
            <w:tcW w:type="dxa" w:w="2160"/>
            <w:vAlign w:val="top"/>
          </w:tcPr>
          <w:p>
            <w:pPr>
              <w:spacing w:after="40" w:before="0" w:line="259" w:lineRule="auto"/>
            </w:pPr>
            <w:r>
              <w:rPr>
                <w:rFonts w:ascii="Calibri" w:hAnsi="Calibri"/>
                <w:b w:val="0"/>
                <w:i w:val="0"/>
                <w:color w:val="212121"/>
                <w:sz w:val="19"/>
              </w:rPr>
              <w:t>Irregular meals, high-caffeine, ultra-processed diet</w:t>
            </w:r>
          </w:p>
        </w:tc>
        <w:tc>
          <w:tcPr>
            <w:tcW w:type="dxa" w:w="4276"/>
            <w:vAlign w:val="top"/>
          </w:tcPr>
          <w:p>
            <w:pPr>
              <w:spacing w:after="60" w:line="259" w:lineRule="auto"/>
            </w:pPr>
            <w:r>
              <w:rPr>
                <w:rFonts w:ascii="Calibri" w:hAnsi="Calibri"/>
                <w:b w:val="0"/>
                <w:i w:val="0"/>
                <w:color w:val="212121"/>
                <w:sz w:val="19"/>
              </w:rPr>
              <w:t>Skipped meals with reactive hypoglycaemia, heavy tea/coffee and energy-drink use, and ultra-processed, high-sugar diets can amplify adrenergic symptoms and worry, while nutrient-poor diets offer little buffering; regular, balanced meals steady arousal.</w:t>
            </w:r>
          </w:p>
          <w:p>
            <w:pPr>
              <w:spacing w:after="40" w:before="60" w:line="259" w:lineRule="auto"/>
            </w:pPr>
            <w:r>
              <w:rPr>
                <w:rFonts w:ascii="Calibri" w:hAnsi="Calibri"/>
                <w:b w:val="0"/>
                <w:i w:val="0"/>
                <w:color w:val="212121"/>
                <w:sz w:val="19"/>
              </w:rPr>
              <w:t>Reactive dips in blood glucose and high stimulant intake can mimic and worsen anxiety symptoms; a balanced meal pattern with limited caffeine supports steadier arousal.</w:t>
            </w:r>
          </w:p>
          <w:p>
            <w:pPr>
              <w:spacing w:before="60" w:after="40"/>
            </w:pPr>
            <w:r>
              <w:rPr>
                <w:rFonts w:ascii="Calibri" w:hAnsi="Calibri"/>
                <w:b w:val="0"/>
                <w:i w:val="0"/>
                <w:color w:val="5A5A5A"/>
                <w:sz w:val="18"/>
              </w:rPr>
              <w:t>#skippedmeals  #reactivehypoglycemia  #ultraprocessed  #highsugar  #stimulantload</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relatives with anxiety or depression</w:t>
            </w:r>
          </w:p>
        </w:tc>
        <w:tc>
          <w:tcPr>
            <w:tcW w:type="dxa" w:w="4276"/>
            <w:vAlign w:val="top"/>
          </w:tcPr>
          <w:p>
            <w:pPr>
              <w:spacing w:after="60" w:line="259" w:lineRule="auto"/>
            </w:pPr>
            <w:r>
              <w:rPr>
                <w:rFonts w:ascii="Calibri" w:hAnsi="Calibri"/>
                <w:b w:val="0"/>
                <w:i w:val="0"/>
                <w:color w:val="212121"/>
                <w:sz w:val="19"/>
              </w:rPr>
              <w:t>Inherited susceptibility and shared family environment strongly raise risk; GAD and major depression share genetic vulnerability (pleiotropy).</w:t>
            </w:r>
          </w:p>
          <w:p>
            <w:pPr>
              <w:spacing w:after="40" w:before="60" w:line="259" w:lineRule="auto"/>
            </w:pPr>
            <w:r>
              <w:rPr>
                <w:rFonts w:ascii="Calibri" w:hAnsi="Calibri"/>
                <w:b w:val="0"/>
                <w:i w:val="0"/>
                <w:color w:val="212121"/>
                <w:sz w:val="19"/>
              </w:rPr>
              <w:t>GAD runs in families, and up to 80% of people with lifetime GAD also have a comorbid mood disorder, reflecting overlapping genetic and neurobiological pathways.</w:t>
            </w:r>
          </w:p>
          <w:p>
            <w:pPr>
              <w:spacing w:after="40" w:line="252" w:lineRule="auto"/>
            </w:pPr>
            <w:hyperlink r:id="rId18">
              <w:r>
                <w:rPr>
                  <w:rFonts w:ascii="Calibri" w:hAnsi="Calibri" w:cs="Calibri"/>
                  <w:sz w:val="18"/>
                  <w:color w:val="1155CC"/>
                  <w:u w:val="single"/>
                </w:rPr>
                <w:t xml:space="preserve">pubmed — GAD &amp; MDD comorbidity, genetic pleiotropy</w:t>
              </w:r>
            </w:hyperlink>
          </w:p>
          <w:p>
            <w:pPr>
              <w:spacing w:before="60" w:after="40"/>
            </w:pPr>
            <w:r>
              <w:rPr>
                <w:rFonts w:ascii="Calibri" w:hAnsi="Calibri"/>
                <w:b w:val="0"/>
                <w:i w:val="0"/>
                <w:color w:val="5A5A5A"/>
                <w:sz w:val="18"/>
              </w:rPr>
              <w:t>#familyhistory  #heritable  #pleiotropy  #neuroticism  #geneenvironment</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Depression</w:t>
            </w:r>
          </w:p>
        </w:tc>
        <w:tc>
          <w:tcPr>
            <w:tcW w:type="dxa" w:w="2160"/>
            <w:vAlign w:val="top"/>
          </w:tcPr>
          <w:p>
            <w:pPr>
              <w:spacing w:after="40" w:before="0" w:line="259" w:lineRule="auto"/>
            </w:pPr>
            <w:r>
              <w:rPr>
                <w:rFonts w:ascii="Calibri" w:hAnsi="Calibri"/>
                <w:b w:val="0"/>
                <w:i w:val="0"/>
                <w:color w:val="212121"/>
                <w:sz w:val="19"/>
              </w:rPr>
              <w:t>Patients with major depressive disorder</w:t>
            </w:r>
          </w:p>
        </w:tc>
        <w:tc>
          <w:tcPr>
            <w:tcW w:type="dxa" w:w="4276"/>
            <w:vAlign w:val="top"/>
          </w:tcPr>
          <w:p>
            <w:pPr>
              <w:spacing w:after="60" w:line="259" w:lineRule="auto"/>
            </w:pPr>
            <w:r>
              <w:rPr>
                <w:rFonts w:ascii="Calibri" w:hAnsi="Calibri"/>
                <w:b w:val="0"/>
                <w:i w:val="0"/>
                <w:color w:val="212121"/>
                <w:sz w:val="19"/>
              </w:rPr>
              <w:t>GAD and depression share neurobiology and reinforce each other; comorbidity increases chronicity, disability and suicide risk and complicates treatment.</w:t>
            </w:r>
          </w:p>
          <w:p>
            <w:pPr>
              <w:spacing w:after="40" w:before="60" w:line="259" w:lineRule="auto"/>
            </w:pPr>
            <w:r>
              <w:rPr>
                <w:rFonts w:ascii="Calibri" w:hAnsi="Calibri"/>
                <w:b w:val="0"/>
                <w:i w:val="0"/>
                <w:color w:val="212121"/>
                <w:sz w:val="19"/>
              </w:rPr>
              <w:t>Up to 80% of subjects with lifetime GAD also have a comorbid mood disorder; about 42% of GAD patients experience at least one major depressive episode in their lifetime.</w:t>
            </w:r>
          </w:p>
          <w:p>
            <w:pPr>
              <w:spacing w:after="40" w:line="252" w:lineRule="auto"/>
            </w:pPr>
            <w:hyperlink r:id="rId19">
              <w:r>
                <w:rPr>
                  <w:rFonts w:ascii="Calibri" w:hAnsi="Calibri" w:cs="Calibri"/>
                  <w:sz w:val="18"/>
                  <w:color w:val="1155CC"/>
                  <w:u w:val="single"/>
                </w:rPr>
                <w:t xml:space="preserve">pubmed — psychiatric comorbidity in GAD</w:t>
              </w:r>
            </w:hyperlink>
          </w:p>
          <w:p>
            <w:pPr>
              <w:spacing w:before="60" w:after="40"/>
            </w:pPr>
            <w:r>
              <w:rPr>
                <w:rFonts w:ascii="Calibri" w:hAnsi="Calibri"/>
                <w:b w:val="0"/>
                <w:i w:val="0"/>
                <w:color w:val="5A5A5A"/>
                <w:sz w:val="18"/>
              </w:rPr>
              <w:t>#depression  #comorbidity  #mixedanxietydepression  #suiciderisk  #chronicity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Irritable bowel syndrome</w:t>
            </w:r>
          </w:p>
        </w:tc>
        <w:tc>
          <w:tcPr>
            <w:tcW w:type="dxa" w:w="2160"/>
            <w:vAlign w:val="top"/>
          </w:tcPr>
          <w:p>
            <w:pPr>
              <w:spacing w:after="40" w:before="0" w:line="259" w:lineRule="auto"/>
            </w:pPr>
            <w:r>
              <w:rPr>
                <w:rFonts w:ascii="Calibri" w:hAnsi="Calibri"/>
                <w:b w:val="0"/>
                <w:i w:val="0"/>
                <w:color w:val="212121"/>
                <w:sz w:val="19"/>
              </w:rPr>
              <w:t>Patients with IBS / functional GI disorders</w:t>
            </w:r>
          </w:p>
        </w:tc>
        <w:tc>
          <w:tcPr>
            <w:tcW w:type="dxa" w:w="4276"/>
            <w:vAlign w:val="top"/>
          </w:tcPr>
          <w:p>
            <w:pPr>
              <w:spacing w:after="60" w:line="259" w:lineRule="auto"/>
            </w:pPr>
            <w:r>
              <w:rPr>
                <w:rFonts w:ascii="Calibri" w:hAnsi="Calibri"/>
                <w:b w:val="0"/>
                <w:i w:val="0"/>
                <w:color w:val="212121"/>
                <w:sz w:val="19"/>
              </w:rPr>
              <w:t>Gut-brain axis dysregulation links IBS and anxiety bidirectionally; visceral hypersensitivity and stress-reactive gut motility both drive and are driven by chronic worry.</w:t>
            </w:r>
          </w:p>
          <w:p>
            <w:pPr>
              <w:spacing w:after="40" w:before="60" w:line="259" w:lineRule="auto"/>
            </w:pPr>
            <w:r>
              <w:rPr>
                <w:rFonts w:ascii="Calibri" w:hAnsi="Calibri"/>
                <w:b w:val="0"/>
                <w:i w:val="0"/>
                <w:color w:val="212121"/>
                <w:sz w:val="19"/>
              </w:rPr>
              <w:t>Lifetime prevalence of anxiety disorders in IBS patients is up to 54% (and of major depression up to 76%); about one-third of people with IBS have anxiety or depression.</w:t>
            </w:r>
          </w:p>
          <w:p>
            <w:pPr>
              <w:spacing w:after="40" w:line="252" w:lineRule="auto"/>
            </w:pPr>
            <w:hyperlink r:id="rId20">
              <w:r>
                <w:rPr>
                  <w:rFonts w:ascii="Calibri" w:hAnsi="Calibri" w:cs="Calibri"/>
                  <w:sz w:val="18"/>
                  <w:color w:val="1155CC"/>
                  <w:u w:val="single"/>
                </w:rPr>
                <w:t xml:space="preserve">pubmed — psychiatric morbidity in IBS</w:t>
              </w:r>
            </w:hyperlink>
          </w:p>
          <w:p>
            <w:pPr>
              <w:spacing w:before="60" w:after="40"/>
            </w:pPr>
            <w:r>
              <w:rPr>
                <w:rFonts w:ascii="Calibri" w:hAnsi="Calibri"/>
                <w:b w:val="0"/>
                <w:i w:val="0"/>
                <w:color w:val="5A5A5A"/>
                <w:sz w:val="18"/>
              </w:rPr>
              <w:t>#IBS  #gutbrain  #visceralhypersensitivity  #functionalGI  #bidirectional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Thyroid dysfunction</w:t>
            </w:r>
          </w:p>
        </w:tc>
        <w:tc>
          <w:tcPr>
            <w:tcW w:type="dxa" w:w="2160"/>
            <w:vAlign w:val="top"/>
          </w:tcPr>
          <w:p>
            <w:pPr>
              <w:spacing w:after="40" w:before="0" w:line="259" w:lineRule="auto"/>
            </w:pPr>
            <w:r>
              <w:rPr>
                <w:rFonts w:ascii="Calibri" w:hAnsi="Calibri"/>
                <w:b w:val="0"/>
                <w:i w:val="0"/>
                <w:color w:val="212121"/>
                <w:sz w:val="19"/>
              </w:rPr>
              <w:t>Patients with hyper/hypothyroidism</w:t>
            </w:r>
          </w:p>
        </w:tc>
        <w:tc>
          <w:tcPr>
            <w:tcW w:type="dxa" w:w="4276"/>
            <w:vAlign w:val="top"/>
          </w:tcPr>
          <w:p>
            <w:pPr>
              <w:spacing w:after="60" w:line="259" w:lineRule="auto"/>
            </w:pPr>
            <w:r>
              <w:rPr>
                <w:rFonts w:ascii="Calibri" w:hAnsi="Calibri"/>
                <w:b w:val="0"/>
                <w:i w:val="0"/>
                <w:color w:val="212121"/>
                <w:sz w:val="19"/>
              </w:rPr>
              <w:t>Thyroid hormone excess (and sometimes deficiency) produces adrenergic symptoms — palpitations, tremor, restlessness — that mimic or precipitate anxiety, so thyroid disease must be screened for and treated before diagnosing primary GAD.</w:t>
            </w:r>
          </w:p>
          <w:p>
            <w:pPr>
              <w:spacing w:after="40" w:before="60" w:line="259" w:lineRule="auto"/>
            </w:pPr>
            <w:r>
              <w:rPr>
                <w:rFonts w:ascii="Calibri" w:hAnsi="Calibri"/>
                <w:b w:val="0"/>
                <w:i w:val="0"/>
                <w:color w:val="212121"/>
                <w:sz w:val="19"/>
              </w:rPr>
              <w:t>Thyroid dysfunction is recognised in the differential and comorbidity of anxiety disorders, and thyroid screening is advised in new presentations of generalized anxiety.</w:t>
            </w:r>
          </w:p>
          <w:p>
            <w:pPr>
              <w:spacing w:after="40" w:line="252" w:lineRule="auto"/>
            </w:pPr>
            <w:hyperlink r:id="rId21">
              <w:r>
                <w:rPr>
                  <w:rFonts w:ascii="Calibri" w:hAnsi="Calibri" w:cs="Calibri"/>
                  <w:sz w:val="18"/>
                  <w:color w:val="1155CC"/>
                  <w:u w:val="single"/>
                </w:rPr>
                <w:t xml:space="preserve">pubmed — thyroid dysfunction in anxiety disorders</w:t>
              </w:r>
            </w:hyperlink>
          </w:p>
          <w:p>
            <w:pPr>
              <w:spacing w:before="60" w:after="40"/>
            </w:pPr>
            <w:r>
              <w:rPr>
                <w:rFonts w:ascii="Calibri" w:hAnsi="Calibri"/>
                <w:b w:val="0"/>
                <w:i w:val="0"/>
                <w:color w:val="5A5A5A"/>
                <w:sz w:val="18"/>
              </w:rPr>
              <w:t>#thyroid  #hyperthyroidism  #adrenergic  #mimic  #screening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Coronary heart disease</w:t>
            </w:r>
          </w:p>
        </w:tc>
        <w:tc>
          <w:tcPr>
            <w:tcW w:type="dxa" w:w="2160"/>
            <w:vAlign w:val="top"/>
          </w:tcPr>
          <w:p>
            <w:pPr>
              <w:spacing w:after="40" w:before="0" w:line="259" w:lineRule="auto"/>
            </w:pPr>
            <w:r>
              <w:rPr>
                <w:rFonts w:ascii="Calibri" w:hAnsi="Calibri"/>
                <w:b w:val="0"/>
                <w:i w:val="0"/>
                <w:color w:val="212121"/>
                <w:sz w:val="19"/>
              </w:rPr>
              <w:t>Patients with cardiac disease</w:t>
            </w:r>
          </w:p>
        </w:tc>
        <w:tc>
          <w:tcPr>
            <w:tcW w:type="dxa" w:w="4276"/>
            <w:vAlign w:val="top"/>
          </w:tcPr>
          <w:p>
            <w:pPr>
              <w:spacing w:after="60" w:line="259" w:lineRule="auto"/>
            </w:pPr>
            <w:r>
              <w:rPr>
                <w:rFonts w:ascii="Calibri" w:hAnsi="Calibri"/>
                <w:b w:val="0"/>
                <w:i w:val="0"/>
                <w:color w:val="212121"/>
                <w:sz w:val="19"/>
              </w:rPr>
              <w:t>Chronic anxiety and worry contribute to autonomic dysregulation, hypertension and adverse cardiac outcomes; GAD in established coronary disease worsens prognosis.</w:t>
            </w:r>
          </w:p>
          <w:p>
            <w:pPr>
              <w:spacing w:after="40" w:before="60" w:line="259" w:lineRule="auto"/>
            </w:pPr>
            <w:r>
              <w:rPr>
                <w:rFonts w:ascii="Calibri" w:hAnsi="Calibri"/>
                <w:b w:val="0"/>
                <w:i w:val="0"/>
                <w:color w:val="212121"/>
                <w:sz w:val="19"/>
              </w:rPr>
              <w:t>In patients with stable coronary heart disease, generalized anxiety disorder is associated with an increased risk of cardiovascular events.</w:t>
            </w:r>
          </w:p>
          <w:p>
            <w:pPr>
              <w:spacing w:after="40" w:line="252" w:lineRule="auto"/>
            </w:pPr>
            <w:hyperlink r:id="rId22">
              <w:r>
                <w:rPr>
                  <w:rFonts w:ascii="Calibri" w:hAnsi="Calibri" w:cs="Calibri"/>
                  <w:sz w:val="18"/>
                  <w:color w:val="1155CC"/>
                  <w:u w:val="single"/>
                </w:rPr>
                <w:t xml:space="preserve">pubmed — GAD &amp; cardiovascular events in CHD</w:t>
              </w:r>
            </w:hyperlink>
          </w:p>
          <w:p>
            <w:pPr>
              <w:spacing w:before="60" w:after="40"/>
            </w:pPr>
            <w:r>
              <w:rPr>
                <w:rFonts w:ascii="Calibri" w:hAnsi="Calibri"/>
                <w:b w:val="0"/>
                <w:i w:val="0"/>
                <w:color w:val="5A5A5A"/>
                <w:sz w:val="18"/>
              </w:rPr>
              <w:t>#heartdisease  #autonomic  #prognosis  #cardiacrisk  #worry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Chronic illness / chronic pain</w:t>
            </w:r>
          </w:p>
        </w:tc>
        <w:tc>
          <w:tcPr>
            <w:tcW w:type="dxa" w:w="2160"/>
            <w:vAlign w:val="top"/>
          </w:tcPr>
          <w:p>
            <w:pPr>
              <w:spacing w:after="40" w:before="0" w:line="259" w:lineRule="auto"/>
            </w:pPr>
            <w:r>
              <w:rPr>
                <w:rFonts w:ascii="Calibri" w:hAnsi="Calibri"/>
                <w:b w:val="0"/>
                <w:i w:val="0"/>
                <w:color w:val="212121"/>
                <w:sz w:val="19"/>
              </w:rPr>
              <w:t>Patients with chronic pain, COPD, diabetes</w:t>
            </w:r>
          </w:p>
        </w:tc>
        <w:tc>
          <w:tcPr>
            <w:tcW w:type="dxa" w:w="4276"/>
            <w:vAlign w:val="top"/>
          </w:tcPr>
          <w:p>
            <w:pPr>
              <w:spacing w:after="60" w:line="259" w:lineRule="auto"/>
            </w:pPr>
            <w:r>
              <w:rPr>
                <w:rFonts w:ascii="Calibri" w:hAnsi="Calibri"/>
                <w:b w:val="0"/>
                <w:i w:val="0"/>
                <w:color w:val="212121"/>
                <w:sz w:val="19"/>
              </w:rPr>
              <w:t>Living with a long-term illness, uncertainty about prognosis, disability and symptom burden are potent, sustained stressors that predispose to and are worsened by generalized anxiety.</w:t>
            </w:r>
          </w:p>
          <w:p>
            <w:pPr>
              <w:spacing w:after="40" w:before="60" w:line="259" w:lineRule="auto"/>
            </w:pPr>
            <w:r>
              <w:rPr>
                <w:rFonts w:ascii="Calibri" w:hAnsi="Calibri"/>
                <w:b w:val="0"/>
                <w:i w:val="0"/>
                <w:color w:val="212121"/>
                <w:sz w:val="19"/>
              </w:rPr>
              <w:t>Managing a chronic illness is a recognised risk factor for GAD, and anxiety in turn amplifies somatic symptoms and reduces treatment adherence.</w:t>
            </w:r>
          </w:p>
          <w:p>
            <w:pPr>
              <w:spacing w:after="40" w:line="252" w:lineRule="auto"/>
            </w:pPr>
            <w:hyperlink r:id="rId23">
              <w:r>
                <w:rPr>
                  <w:rFonts w:ascii="Calibri" w:hAnsi="Calibri" w:cs="Calibri"/>
                  <w:sz w:val="18"/>
                  <w:color w:val="1155CC"/>
                  <w:u w:val="single"/>
                </w:rPr>
                <w:t xml:space="preserve">clevelandclinic.org — GAD risk factors</w:t>
              </w:r>
            </w:hyperlink>
          </w:p>
          <w:p>
            <w:pPr>
              <w:spacing w:before="60" w:after="40"/>
            </w:pPr>
            <w:r>
              <w:rPr>
                <w:rFonts w:ascii="Calibri" w:hAnsi="Calibri"/>
                <w:b w:val="0"/>
                <w:i w:val="0"/>
                <w:color w:val="5A5A5A"/>
                <w:sz w:val="18"/>
              </w:rPr>
              <w:t>#chronicillness  #chronicpain  #COPD  #diabetes  #illnessworry</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Regular physical activity protects against incident anxiety and reduces symptom severity; aerobic and resistance exercise both lower physiological and psychological anxiety, while inactivity is linked to higher anxiety.</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Irregular meals, high-sugar/ultra-processed diets and heavy stimulant (caffeine) intake can amplify adrenergic arousal and worry, whereas regular balanced meals and whole-food, Mediterranean-type patterns are associated with lower anxiety.</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Sleep and GAD are bidirectionally linked; an Indian population-based study found generalized anxiety disorder (but not depression) strongly associated with insomnia, and poor sleep heightens next-day worry and arousal.</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Cigarette smoking and nicotine dependence are risk factors for anxiety disorders including GAD; nicotine gives transient relief but withdrawal cycles worsen chronic anxiety.</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Alcohol is commonly used to self-medicate worry, but rebound anxiety and withdrawal perpetuate symptoms; GAD and alcohol-use disorder are strongly and bidirectionally associated.</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GAD is itself a mental disorder and rarely occurs alone; up to 80% of people with lifetime GAD have a comorbid mood disorder, and comorbidity worsens chronicity, disability and suicide risk.</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hydration supports general well-being and may ease fatigue and tension, but direct evidence linking water intake to anxiety control is weak and under-studied.</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Caffeine is a sympathomimetic stimulant that provokes palpitations, restlessness and, in sensitive or anxiety-prone individuals, frank anxiety or panic; intake correlates with self-rated anxiety.</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General and sleep hygiene support routine and rest; poor sleep hygiene and irregular routines can aggravate anxiety, but hygiene has no direct causal role in GAD.</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Acute psychosocial stressors, financial strain, interpersonal conflict, bereavement, stimulant or caffeine use, and physical illness commonly precipitate or exacerbate episodes of generalized worry.</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Moderate-vigorous activity (minutes/week)</w:t>
            </w:r>
          </w:p>
        </w:tc>
        <w:tc>
          <w:tcPr>
            <w:tcW w:type="dxa" w:w="1655"/>
            <w:vAlign w:val="top"/>
          </w:tcPr>
          <w:p>
            <w:pPr>
              <w:spacing w:after="40" w:before="0" w:line="259" w:lineRule="auto"/>
            </w:pPr>
            <w:r>
              <w:rPr>
                <w:rFonts w:ascii="Calibri" w:hAnsi="Calibri"/>
                <w:b w:val="0"/>
                <w:i w:val="0"/>
                <w:color w:val="212121"/>
                <w:sz w:val="19"/>
              </w:rPr>
              <w:t>Adults, students, desk workers</w:t>
            </w:r>
          </w:p>
        </w:tc>
        <w:tc>
          <w:tcPr>
            <w:tcW w:type="dxa" w:w="1512"/>
            <w:vAlign w:val="top"/>
          </w:tcPr>
          <w:p>
            <w:pPr>
              <w:spacing w:after="40" w:before="0" w:line="259" w:lineRule="auto"/>
            </w:pPr>
            <w:r>
              <w:rPr>
                <w:rFonts w:ascii="Calibri" w:hAnsi="Calibri"/>
                <w:b w:val="0"/>
                <w:i w:val="0"/>
                <w:color w:val="212121"/>
                <w:sz w:val="19"/>
              </w:rPr>
              <w:t>≥ 150 min/week</w:t>
            </w:r>
          </w:p>
        </w:tc>
        <w:tc>
          <w:tcPr>
            <w:tcW w:type="dxa" w:w="1512"/>
            <w:vAlign w:val="top"/>
          </w:tcPr>
          <w:p>
            <w:pPr>
              <w:spacing w:after="40" w:before="0" w:line="259" w:lineRule="auto"/>
            </w:pPr>
            <w:r>
              <w:rPr>
                <w:rFonts w:ascii="Calibri" w:hAnsi="Calibri"/>
                <w:b w:val="0"/>
                <w:i w:val="0"/>
                <w:color w:val="212121"/>
                <w:sz w:val="19"/>
              </w:rPr>
              <w:t>&lt; 150 min/week</w:t>
            </w:r>
          </w:p>
        </w:tc>
        <w:tc>
          <w:tcPr>
            <w:tcW w:type="dxa" w:w="1468"/>
            <w:vAlign w:val="top"/>
          </w:tcPr>
          <w:p>
            <w:pPr>
              <w:spacing w:after="60" w:line="259" w:lineRule="auto"/>
            </w:pPr>
            <w:r>
              <w:rPr>
                <w:rFonts w:ascii="Calibri" w:hAnsi="Calibri"/>
                <w:b w:val="0"/>
                <w:i w:val="0"/>
                <w:color w:val="212121"/>
                <w:sz w:val="19"/>
              </w:rPr>
              <w:t>Regular activity lowers incident anxiety and eases symptoms</w:t>
            </w:r>
          </w:p>
          <w:p>
            <w:pPr>
              <w:spacing w:after="40" w:line="252" w:lineRule="auto"/>
            </w:pPr>
            <w:hyperlink r:id="rId14">
              <w:r>
                <w:rPr>
                  <w:rFonts w:ascii="Calibri" w:hAnsi="Calibri" w:cs="Calibri"/>
                  <w:sz w:val="18"/>
                  <w:color w:val="1155CC"/>
                  <w:u w:val="single"/>
                </w:rPr>
                <w:t xml:space="preserve">https://pubmed.ncbi.nlm.nih.gov/31209958/</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Daily leisure sitting time</w:t>
            </w:r>
          </w:p>
        </w:tc>
        <w:tc>
          <w:tcPr>
            <w:tcW w:type="dxa" w:w="1655"/>
            <w:vAlign w:val="top"/>
          </w:tcPr>
          <w:p>
            <w:pPr>
              <w:spacing w:after="40" w:before="0" w:line="259" w:lineRule="auto"/>
            </w:pPr>
            <w:r>
              <w:rPr>
                <w:rFonts w:ascii="Calibri" w:hAnsi="Calibri"/>
                <w:b w:val="0"/>
                <w:i w:val="0"/>
                <w:color w:val="212121"/>
                <w:sz w:val="19"/>
              </w:rPr>
              <w:t>Office workers, students</w:t>
            </w:r>
          </w:p>
        </w:tc>
        <w:tc>
          <w:tcPr>
            <w:tcW w:type="dxa" w:w="1512"/>
            <w:vAlign w:val="top"/>
          </w:tcPr>
          <w:p>
            <w:pPr>
              <w:spacing w:after="40" w:before="0" w:line="259" w:lineRule="auto"/>
            </w:pPr>
            <w:r>
              <w:rPr>
                <w:rFonts w:ascii="Calibri" w:hAnsi="Calibri"/>
                <w:b w:val="0"/>
                <w:i w:val="0"/>
                <w:color w:val="212121"/>
                <w:sz w:val="19"/>
              </w:rPr>
              <w:t>&lt; 6 h/day, with movement breaks</w:t>
            </w:r>
          </w:p>
        </w:tc>
        <w:tc>
          <w:tcPr>
            <w:tcW w:type="dxa" w:w="1512"/>
            <w:vAlign w:val="top"/>
          </w:tcPr>
          <w:p>
            <w:pPr>
              <w:spacing w:after="40" w:before="0" w:line="259" w:lineRule="auto"/>
            </w:pPr>
            <w:r>
              <w:rPr>
                <w:rFonts w:ascii="Calibri" w:hAnsi="Calibri"/>
                <w:b w:val="0"/>
                <w:i w:val="0"/>
                <w:color w:val="212121"/>
                <w:sz w:val="19"/>
              </w:rPr>
              <w:t>Prolonged uninterrupted sitting</w:t>
            </w:r>
          </w:p>
        </w:tc>
        <w:tc>
          <w:tcPr>
            <w:tcW w:type="dxa" w:w="1468"/>
            <w:vAlign w:val="top"/>
          </w:tcPr>
          <w:p>
            <w:pPr>
              <w:spacing w:after="40" w:before="0" w:line="259" w:lineRule="auto"/>
            </w:pPr>
            <w:r>
              <w:rPr>
                <w:rFonts w:ascii="Calibri" w:hAnsi="Calibri"/>
                <w:b w:val="0"/>
                <w:i w:val="0"/>
                <w:color w:val="212121"/>
                <w:sz w:val="19"/>
              </w:rPr>
              <w:t>Sedentary behaviour associates with higher anxiety</w:t>
            </w:r>
          </w:p>
        </w:tc>
      </w:tr>
      <w:tr>
        <w:trPr>
          <w:cantSplit/>
        </w:trPr>
        <w:tc>
          <w:tcPr>
            <w:tcW w:type="dxa" w:w="1512"/>
            <w:vMerge w:val="restart"/>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(hours/night)</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7–9 h/night</w:t>
            </w:r>
          </w:p>
        </w:tc>
        <w:tc>
          <w:tcPr>
            <w:tcW w:type="dxa" w:w="1512"/>
            <w:vAlign w:val="top"/>
          </w:tcPr>
          <w:p>
            <w:pPr>
              <w:spacing w:after="40" w:before="0" w:line="259" w:lineRule="auto"/>
            </w:pPr>
            <w:r>
              <w:rPr>
                <w:rFonts w:ascii="Calibri" w:hAnsi="Calibri"/>
                <w:b w:val="0"/>
                <w:i w:val="0"/>
                <w:color w:val="212121"/>
                <w:sz w:val="19"/>
              </w:rPr>
              <w:t>&lt; 6 h/night or chronically disrupted</w:t>
            </w:r>
          </w:p>
        </w:tc>
        <w:tc>
          <w:tcPr>
            <w:tcW w:type="dxa" w:w="1468"/>
            <w:vAlign w:val="top"/>
          </w:tcPr>
          <w:p>
            <w:pPr>
              <w:spacing w:after="60" w:line="259" w:lineRule="auto"/>
            </w:pPr>
            <w:r>
              <w:rPr>
                <w:rFonts w:ascii="Calibri" w:hAnsi="Calibri"/>
                <w:b w:val="0"/>
                <w:i w:val="0"/>
                <w:color w:val="212121"/>
                <w:sz w:val="19"/>
              </w:rPr>
              <w:t>Short/fragmented sleep heightens worry and arousal</w:t>
            </w:r>
          </w:p>
          <w:p>
            <w:pPr>
              <w:spacing w:after="40" w:line="252" w:lineRule="auto"/>
            </w:pPr>
            <w:hyperlink r:id="rId24">
              <w:r>
                <w:rPr>
                  <w:rFonts w:ascii="Calibri" w:hAnsi="Calibri" w:cs="Calibri"/>
                  <w:sz w:val="18"/>
                  <w:color w:val="1155CC"/>
                  <w:u w:val="single"/>
                </w:rPr>
                <w:t xml:space="preserve">https://pubmed.ncbi.nlm.nih.gov/30455849/</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Insomnia (onset/maintenance)</w:t>
            </w:r>
          </w:p>
        </w:tc>
        <w:tc>
          <w:tcPr>
            <w:tcW w:type="dxa" w:w="1655"/>
            <w:vAlign w:val="top"/>
          </w:tcPr>
          <w:p>
            <w:pPr>
              <w:spacing w:after="40" w:before="0" w:line="259" w:lineRule="auto"/>
            </w:pPr>
            <w:r>
              <w:rPr>
                <w:rFonts w:ascii="Calibri" w:hAnsi="Calibri"/>
                <w:b w:val="0"/>
                <w:i w:val="0"/>
                <w:color w:val="212121"/>
                <w:sz w:val="19"/>
              </w:rPr>
              <w:t>Adults with GAD</w:t>
            </w:r>
          </w:p>
        </w:tc>
        <w:tc>
          <w:tcPr>
            <w:tcW w:type="dxa" w:w="1512"/>
            <w:vAlign w:val="top"/>
          </w:tcPr>
          <w:p>
            <w:pPr>
              <w:spacing w:after="40" w:before="0" w:line="259" w:lineRule="auto"/>
            </w:pPr>
            <w:r>
              <w:rPr>
                <w:rFonts w:ascii="Calibri" w:hAnsi="Calibri"/>
                <w:b w:val="0"/>
                <w:i w:val="0"/>
                <w:color w:val="212121"/>
                <w:sz w:val="19"/>
              </w:rPr>
              <w:t>No clinically significant insomnia</w:t>
            </w:r>
          </w:p>
        </w:tc>
        <w:tc>
          <w:tcPr>
            <w:tcW w:type="dxa" w:w="1512"/>
            <w:vAlign w:val="top"/>
          </w:tcPr>
          <w:p>
            <w:pPr>
              <w:spacing w:after="40" w:before="0" w:line="259" w:lineRule="auto"/>
            </w:pPr>
            <w:r>
              <w:rPr>
                <w:rFonts w:ascii="Calibri" w:hAnsi="Calibri"/>
                <w:b w:val="0"/>
                <w:i w:val="0"/>
                <w:color w:val="212121"/>
                <w:sz w:val="19"/>
              </w:rPr>
              <w:t>Chronic insomnia (&gt; 3 nights/week)</w:t>
            </w:r>
          </w:p>
        </w:tc>
        <w:tc>
          <w:tcPr>
            <w:tcW w:type="dxa" w:w="1468"/>
            <w:vAlign w:val="top"/>
          </w:tcPr>
          <w:p>
            <w:pPr>
              <w:spacing w:after="60" w:line="259" w:lineRule="auto"/>
            </w:pPr>
            <w:r>
              <w:rPr>
                <w:rFonts w:ascii="Calibri" w:hAnsi="Calibri"/>
                <w:b w:val="0"/>
                <w:i w:val="0"/>
                <w:color w:val="212121"/>
                <w:sz w:val="19"/>
              </w:rPr>
              <w:t>Insomnia is strongly, bidirectionally linked with GAD</w:t>
            </w:r>
          </w:p>
          <w:p>
            <w:pPr>
              <w:spacing w:after="40" w:line="252" w:lineRule="auto"/>
            </w:pPr>
            <w:hyperlink r:id="rId24">
              <w:r>
                <w:rPr>
                  <w:rFonts w:ascii="Calibri" w:hAnsi="Calibri" w:cs="Calibri"/>
                  <w:sz w:val="18"/>
                  <w:color w:val="1155CC"/>
                  <w:u w:val="single"/>
                </w:rPr>
                <w:t xml:space="preserve">https://pubmed.ncbi.nlm.nih.gov/30455849/</w:t>
              </w:r>
            </w:hyperlink>
          </w:p>
        </w:tc>
      </w:tr>
      <w:tr>
        <w:trPr>
          <w:cantSplit/>
        </w:trPr>
        <w:tc>
          <w:tcPr>
            <w:tcW w:type="dxa" w:w="1512"/>
            <w:vAlign w:val="center"/>
          </w:tcPr>
          <w:p>
            <w:pPr>
              <w:spacing w:after="40"/>
            </w:pPr>
            <w:r>
              <w:rPr>
                <w:rFonts w:ascii="Calibri" w:hAnsi="Calibri"/>
                <w:b w:val="0"/>
                <w:i w:val="0"/>
                <w:color w:val="212121"/>
                <w:sz w:val="19"/>
              </w:rPr>
              <w:t>Caffeine</w:t>
            </w:r>
          </w:p>
        </w:tc>
        <w:tc>
          <w:tcPr>
            <w:tcW w:type="dxa" w:w="1944"/>
            <w:vAlign w:val="top"/>
          </w:tcPr>
          <w:p>
            <w:pPr>
              <w:spacing w:after="40" w:before="0" w:line="259" w:lineRule="auto"/>
            </w:pPr>
            <w:r>
              <w:rPr>
                <w:rFonts w:ascii="Calibri" w:hAnsi="Calibri"/>
                <w:b w:val="0"/>
                <w:i w:val="0"/>
                <w:color w:val="212121"/>
                <w:sz w:val="19"/>
              </w:rPr>
              <w:t>Caffeine intake (mg/day)</w:t>
            </w:r>
          </w:p>
        </w:tc>
        <w:tc>
          <w:tcPr>
            <w:tcW w:type="dxa" w:w="1655"/>
            <w:vAlign w:val="top"/>
          </w:tcPr>
          <w:p>
            <w:pPr>
              <w:spacing w:after="40" w:before="0" w:line="259" w:lineRule="auto"/>
            </w:pPr>
            <w:r>
              <w:rPr>
                <w:rFonts w:ascii="Calibri" w:hAnsi="Calibri"/>
                <w:b w:val="0"/>
                <w:i w:val="0"/>
                <w:color w:val="212121"/>
                <w:sz w:val="19"/>
              </w:rPr>
              <w:t>Adults; anxiety-prone individuals</w:t>
            </w:r>
          </w:p>
        </w:tc>
        <w:tc>
          <w:tcPr>
            <w:tcW w:type="dxa" w:w="1512"/>
            <w:vAlign w:val="top"/>
          </w:tcPr>
          <w:p>
            <w:pPr>
              <w:spacing w:after="40" w:before="0" w:line="259" w:lineRule="auto"/>
            </w:pPr>
            <w:r>
              <w:rPr>
                <w:rFonts w:ascii="Calibri" w:hAnsi="Calibri"/>
                <w:b w:val="0"/>
                <w:i w:val="0"/>
                <w:color w:val="212121"/>
                <w:sz w:val="19"/>
              </w:rPr>
              <w:t>&lt; 400 mg/day (sensitive: &lt; 200 mg/day)</w:t>
            </w:r>
          </w:p>
        </w:tc>
        <w:tc>
          <w:tcPr>
            <w:tcW w:type="dxa" w:w="1512"/>
            <w:vAlign w:val="top"/>
          </w:tcPr>
          <w:p>
            <w:pPr>
              <w:spacing w:after="40" w:before="0" w:line="259" w:lineRule="auto"/>
            </w:pPr>
            <w:r>
              <w:rPr>
                <w:rFonts w:ascii="Calibri" w:hAnsi="Calibri"/>
                <w:b w:val="0"/>
                <w:i w:val="0"/>
                <w:color w:val="212121"/>
                <w:sz w:val="19"/>
              </w:rPr>
              <w:t>&gt; 400 mg/day or evening intake</w:t>
            </w:r>
          </w:p>
        </w:tc>
        <w:tc>
          <w:tcPr>
            <w:tcW w:type="dxa" w:w="1468"/>
            <w:vAlign w:val="top"/>
          </w:tcPr>
          <w:p>
            <w:pPr>
              <w:spacing w:after="60" w:line="259" w:lineRule="auto"/>
            </w:pPr>
            <w:r>
              <w:rPr>
                <w:rFonts w:ascii="Calibri" w:hAnsi="Calibri"/>
                <w:b w:val="0"/>
                <w:i w:val="0"/>
                <w:color w:val="212121"/>
                <w:sz w:val="19"/>
              </w:rPr>
              <w:t>Caffeine can provoke palpitations, restlessness and panic</w:t>
            </w:r>
          </w:p>
          <w:p>
            <w:pPr>
              <w:spacing w:after="40" w:line="252" w:lineRule="auto"/>
            </w:pPr>
            <w:hyperlink r:id="rId17">
              <w:r>
                <w:rPr>
                  <w:rFonts w:ascii="Calibri" w:hAnsi="Calibri" w:cs="Calibri"/>
                  <w:sz w:val="18"/>
                  <w:color w:val="1155CC"/>
                  <w:u w:val="single"/>
                </w:rPr>
                <w:t xml:space="preserve">https://pubmed.ncbi.nlm.nih.gov/6497568/</w:t>
              </w:r>
            </w:hyperlink>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Teenagers, adults</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 1 cigarette/day</w:t>
            </w:r>
          </w:p>
        </w:tc>
        <w:tc>
          <w:tcPr>
            <w:tcW w:type="dxa" w:w="1468"/>
            <w:vAlign w:val="top"/>
          </w:tcPr>
          <w:p>
            <w:pPr>
              <w:spacing w:after="60" w:line="259" w:lineRule="auto"/>
            </w:pPr>
            <w:r>
              <w:rPr>
                <w:rFonts w:ascii="Calibri" w:hAnsi="Calibri"/>
                <w:b w:val="0"/>
                <w:i w:val="0"/>
                <w:color w:val="212121"/>
                <w:sz w:val="19"/>
              </w:rPr>
              <w:t>Smoking and nicotine withdrawal aggravate anxiety</w:t>
            </w:r>
          </w:p>
          <w:p>
            <w:pPr>
              <w:spacing w:after="40" w:line="252" w:lineRule="auto"/>
            </w:pPr>
            <w:hyperlink r:id="rId15">
              <w:r>
                <w:rPr>
                  <w:rFonts w:ascii="Calibri" w:hAnsi="Calibri" w:cs="Calibri"/>
                  <w:sz w:val="18"/>
                  <w:color w:val="1155CC"/>
                  <w:u w:val="single"/>
                </w:rPr>
                <w:t xml:space="preserve">https://pubmed.ncbi.nlm.nih.gov/23083451/</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(standard drinks/week)</w:t>
            </w:r>
          </w:p>
        </w:tc>
        <w:tc>
          <w:tcPr>
            <w:tcW w:type="dxa" w:w="1655"/>
            <w:vAlign w:val="top"/>
          </w:tcPr>
          <w:p>
            <w:pPr>
              <w:spacing w:after="40" w:before="0" w:line="259" w:lineRule="auto"/>
            </w:pPr>
            <w:r>
              <w:rPr>
                <w:rFonts w:ascii="Calibri" w:hAnsi="Calibri"/>
                <w:b w:val="0"/>
                <w:i w:val="0"/>
                <w:color w:val="212121"/>
                <w:sz w:val="19"/>
              </w:rPr>
              <w:t>Adults; heavy drinkers</w:t>
            </w:r>
          </w:p>
        </w:tc>
        <w:tc>
          <w:tcPr>
            <w:tcW w:type="dxa" w:w="1512"/>
            <w:vAlign w:val="top"/>
          </w:tcPr>
          <w:p>
            <w:pPr>
              <w:spacing w:after="40" w:before="0" w:line="259" w:lineRule="auto"/>
            </w:pPr>
            <w:r>
              <w:rPr>
                <w:rFonts w:ascii="Calibri" w:hAnsi="Calibri"/>
                <w:b w:val="0"/>
                <w:i w:val="0"/>
                <w:color w:val="212121"/>
                <w:sz w:val="19"/>
              </w:rPr>
              <w:t>Abstain or drink minimally</w:t>
            </w:r>
          </w:p>
        </w:tc>
        <w:tc>
          <w:tcPr>
            <w:tcW w:type="dxa" w:w="1512"/>
            <w:vAlign w:val="top"/>
          </w:tcPr>
          <w:p>
            <w:pPr>
              <w:spacing w:after="40" w:before="0" w:line="259" w:lineRule="auto"/>
            </w:pPr>
            <w:r>
              <w:rPr>
                <w:rFonts w:ascii="Calibri" w:hAnsi="Calibri"/>
                <w:b w:val="0"/>
                <w:i w:val="0"/>
                <w:color w:val="212121"/>
                <w:sz w:val="19"/>
              </w:rPr>
              <w:t>Hazardous/heavy use or drinking to calm nerves</w:t>
            </w:r>
          </w:p>
        </w:tc>
        <w:tc>
          <w:tcPr>
            <w:tcW w:type="dxa" w:w="1468"/>
            <w:vAlign w:val="top"/>
          </w:tcPr>
          <w:p>
            <w:pPr>
              <w:spacing w:after="60" w:line="259" w:lineRule="auto"/>
            </w:pPr>
            <w:r>
              <w:rPr>
                <w:rFonts w:ascii="Calibri" w:hAnsi="Calibri"/>
                <w:b w:val="0"/>
                <w:i w:val="0"/>
                <w:color w:val="212121"/>
                <w:sz w:val="19"/>
              </w:rPr>
              <w:t>Alcohol misuse and GAD are strongly comorbid</w:t>
            </w:r>
          </w:p>
          <w:p>
            <w:pPr>
              <w:spacing w:after="40" w:line="252" w:lineRule="auto"/>
            </w:pPr>
            <w:hyperlink r:id="rId16">
              <w:r>
                <w:rPr>
                  <w:rFonts w:ascii="Calibri" w:hAnsi="Calibri" w:cs="Calibri"/>
                  <w:sz w:val="18"/>
                  <w:color w:val="1155CC"/>
                  <w:u w:val="single"/>
                </w:rPr>
                <w:t xml:space="preserve">https://pubmed.ncbi.nlm.nih.gov/20923623/</w:t>
              </w:r>
            </w:hyperlink>
          </w:p>
        </w:tc>
      </w:tr>
      <w:tr>
        <w:trPr>
          <w:cantSplit/>
        </w:trPr>
        <w:tc>
          <w:tcPr>
            <w:tcW w:type="dxa" w:w="1512"/>
            <w:vMerge w:val="restart"/>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GAD-7 score</w:t>
            </w:r>
          </w:p>
        </w:tc>
        <w:tc>
          <w:tcPr>
            <w:tcW w:type="dxa" w:w="1655"/>
            <w:vAlign w:val="top"/>
          </w:tcPr>
          <w:p>
            <w:pPr>
              <w:spacing w:after="40" w:before="0" w:line="259" w:lineRule="auto"/>
            </w:pPr>
            <w:r>
              <w:rPr>
                <w:rFonts w:ascii="Calibri" w:hAnsi="Calibri"/>
                <w:b w:val="0"/>
                <w:i w:val="0"/>
                <w:color w:val="212121"/>
                <w:sz w:val="19"/>
              </w:rPr>
              <w:t>Adults being screened/monitored</w:t>
            </w:r>
          </w:p>
        </w:tc>
        <w:tc>
          <w:tcPr>
            <w:tcW w:type="dxa" w:w="1512"/>
            <w:vAlign w:val="top"/>
          </w:tcPr>
          <w:p>
            <w:pPr>
              <w:spacing w:after="40" w:before="0" w:line="259" w:lineRule="auto"/>
            </w:pPr>
            <w:r>
              <w:rPr>
                <w:rFonts w:ascii="Calibri" w:hAnsi="Calibri"/>
                <w:b w:val="0"/>
                <w:i w:val="0"/>
                <w:color w:val="212121"/>
                <w:sz w:val="19"/>
              </w:rPr>
              <w:t>0–4 (minimal)</w:t>
            </w:r>
          </w:p>
        </w:tc>
        <w:tc>
          <w:tcPr>
            <w:tcW w:type="dxa" w:w="1512"/>
            <w:vAlign w:val="top"/>
          </w:tcPr>
          <w:p>
            <w:pPr>
              <w:spacing w:after="40" w:before="0" w:line="259" w:lineRule="auto"/>
            </w:pPr>
            <w:r>
              <w:rPr>
                <w:rFonts w:ascii="Calibri" w:hAnsi="Calibri"/>
                <w:b w:val="0"/>
                <w:i w:val="0"/>
                <w:color w:val="212121"/>
                <w:sz w:val="19"/>
              </w:rPr>
              <w:t>≥ 10 (moderate–severe)</w:t>
            </w:r>
          </w:p>
        </w:tc>
        <w:tc>
          <w:tcPr>
            <w:tcW w:type="dxa" w:w="1468"/>
            <w:vAlign w:val="top"/>
          </w:tcPr>
          <w:p>
            <w:pPr>
              <w:spacing w:after="60" w:line="259" w:lineRule="auto"/>
            </w:pPr>
            <w:r>
              <w:rPr>
                <w:rFonts w:ascii="Calibri" w:hAnsi="Calibri"/>
                <w:b w:val="0"/>
                <w:i w:val="0"/>
                <w:color w:val="212121"/>
                <w:sz w:val="19"/>
              </w:rPr>
              <w:t>GAD-7 grades severity and tracks treatment response</w:t>
            </w:r>
          </w:p>
          <w:p>
            <w:pPr>
              <w:spacing w:after="40" w:line="252" w:lineRule="auto"/>
            </w:pPr>
            <w:hyperlink r:id="rId25">
              <w:r>
                <w:rPr>
                  <w:rFonts w:ascii="Calibri" w:hAnsi="Calibri" w:cs="Calibri"/>
                  <w:sz w:val="18"/>
                  <w:color w:val="1155CC"/>
                  <w:u w:val="single"/>
                </w:rPr>
                <w:t xml:space="preserve">https://www.nimh.nih.gov/health/publications/generalized-anxiety-disorder-gad</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PHQ-9 (comorbid depression screen)</w:t>
            </w:r>
          </w:p>
        </w:tc>
        <w:tc>
          <w:tcPr>
            <w:tcW w:type="dxa" w:w="1655"/>
            <w:vAlign w:val="top"/>
          </w:tcPr>
          <w:p>
            <w:pPr>
              <w:spacing w:after="40" w:before="0" w:line="259" w:lineRule="auto"/>
            </w:pPr>
            <w:r>
              <w:rPr>
                <w:rFonts w:ascii="Calibri" w:hAnsi="Calibri"/>
                <w:b w:val="0"/>
                <w:i w:val="0"/>
                <w:color w:val="212121"/>
                <w:sz w:val="19"/>
              </w:rPr>
              <w:t>Adults with GAD</w:t>
            </w:r>
          </w:p>
        </w:tc>
        <w:tc>
          <w:tcPr>
            <w:tcW w:type="dxa" w:w="1512"/>
            <w:vAlign w:val="top"/>
          </w:tcPr>
          <w:p>
            <w:pPr>
              <w:spacing w:after="40" w:before="0" w:line="259" w:lineRule="auto"/>
            </w:pPr>
            <w:r>
              <w:rPr>
                <w:rFonts w:ascii="Calibri" w:hAnsi="Calibri"/>
                <w:b w:val="0"/>
                <w:i w:val="0"/>
                <w:color w:val="212121"/>
                <w:sz w:val="19"/>
              </w:rPr>
              <w:t>0–4 (minimal)</w:t>
            </w:r>
          </w:p>
        </w:tc>
        <w:tc>
          <w:tcPr>
            <w:tcW w:type="dxa" w:w="1512"/>
            <w:vAlign w:val="top"/>
          </w:tcPr>
          <w:p>
            <w:pPr>
              <w:spacing w:after="40" w:before="0" w:line="259" w:lineRule="auto"/>
            </w:pPr>
            <w:r>
              <w:rPr>
                <w:rFonts w:ascii="Calibri" w:hAnsi="Calibri"/>
                <w:b w:val="0"/>
                <w:i w:val="0"/>
                <w:color w:val="212121"/>
                <w:sz w:val="19"/>
              </w:rPr>
              <w:t>≥ 10 (probable depression)</w:t>
            </w:r>
          </w:p>
        </w:tc>
        <w:tc>
          <w:tcPr>
            <w:tcW w:type="dxa" w:w="1468"/>
            <w:vAlign w:val="top"/>
          </w:tcPr>
          <w:p>
            <w:pPr>
              <w:spacing w:after="60" w:line="259" w:lineRule="auto"/>
            </w:pPr>
            <w:r>
              <w:rPr>
                <w:rFonts w:ascii="Calibri" w:hAnsi="Calibri"/>
                <w:b w:val="0"/>
                <w:i w:val="0"/>
                <w:color w:val="212121"/>
                <w:sz w:val="19"/>
              </w:rPr>
              <w:t>Comorbid depression is common and worsens outcomes</w:t>
            </w:r>
          </w:p>
          <w:p>
            <w:pPr>
              <w:spacing w:after="40" w:line="252" w:lineRule="auto"/>
            </w:pPr>
            <w:hyperlink r:id="rId18">
              <w:r>
                <w:rPr>
                  <w:rFonts w:ascii="Calibri" w:hAnsi="Calibri" w:cs="Calibri"/>
                  <w:sz w:val="18"/>
                  <w:color w:val="1155CC"/>
                  <w:u w:val="single"/>
                </w:rPr>
                <w:t xml:space="preserve">https://pubmed.ncbi.nlm.nih.gov/14969778/</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Thyroid function (TSH, free T4)</w:t>
            </w:r>
          </w:p>
        </w:tc>
        <w:tc>
          <w:tcPr>
            <w:tcW w:type="dxa" w:w="892"/>
            <w:vAlign w:val="top"/>
          </w:tcPr>
          <w:p>
            <w:pPr>
              <w:spacing w:after="40" w:before="0" w:line="259" w:lineRule="auto"/>
            </w:pPr>
            <w:r>
              <w:rPr>
                <w:rFonts w:ascii="Calibri" w:hAnsi="Calibri"/>
                <w:b w:val="0"/>
                <w:i w:val="0"/>
                <w:color w:val="212121"/>
                <w:sz w:val="16"/>
              </w:rPr>
              <w:t>Thyroid Panel</w:t>
            </w:r>
          </w:p>
        </w:tc>
        <w:tc>
          <w:tcPr>
            <w:tcW w:type="dxa" w:w="950"/>
            <w:vAlign w:val="top"/>
          </w:tcPr>
          <w:p>
            <w:pPr>
              <w:spacing w:after="40" w:before="0" w:line="259" w:lineRule="auto"/>
            </w:pPr>
            <w:r>
              <w:rPr>
                <w:rFonts w:ascii="Calibri" w:hAnsi="Calibri"/>
                <w:b w:val="0"/>
                <w:i w:val="0"/>
                <w:color w:val="212121"/>
                <w:sz w:val="16"/>
              </w:rPr>
              <w:t>TSH ~0.4–4.0 mIU/L</w:t>
            </w:r>
          </w:p>
        </w:tc>
        <w:tc>
          <w:tcPr>
            <w:tcW w:type="dxa" w:w="950"/>
            <w:vAlign w:val="top"/>
          </w:tcPr>
          <w:p>
            <w:pPr>
              <w:spacing w:after="40" w:before="0" w:line="259" w:lineRule="auto"/>
            </w:pPr>
            <w:r>
              <w:rPr>
                <w:rFonts w:ascii="Calibri" w:hAnsi="Calibri"/>
                <w:b w:val="0"/>
                <w:i w:val="0"/>
                <w:color w:val="212121"/>
                <w:sz w:val="16"/>
              </w:rPr>
              <w:t>Suppressed TSH with high free T4 (hyperthyroid)</w:t>
            </w:r>
          </w:p>
        </w:tc>
        <w:tc>
          <w:tcPr>
            <w:tcW w:type="dxa" w:w="1036"/>
            <w:vAlign w:val="top"/>
          </w:tcPr>
          <w:p>
            <w:pPr>
              <w:spacing w:after="40" w:before="0" w:line="259" w:lineRule="auto"/>
            </w:pPr>
            <w:r>
              <w:rPr>
                <w:rFonts w:ascii="Calibri" w:hAnsi="Calibri"/>
                <w:b w:val="0"/>
                <w:i w:val="0"/>
                <w:color w:val="212121"/>
                <w:sz w:val="16"/>
              </w:rPr>
              <w:t>Excludes hyperthyroidism, which mimics/precipitates anxiety</w:t>
            </w:r>
          </w:p>
        </w:tc>
        <w:tc>
          <w:tcPr>
            <w:tcW w:type="dxa" w:w="1036"/>
            <w:vAlign w:val="top"/>
          </w:tcPr>
          <w:p>
            <w:pPr>
              <w:spacing w:after="40" w:before="0" w:line="259" w:lineRule="auto"/>
            </w:pPr>
            <w:r>
              <w:rPr>
                <w:rFonts w:ascii="Calibri" w:hAnsi="Calibri"/>
                <w:b w:val="0"/>
                <w:i w:val="0"/>
                <w:color w:val="212121"/>
                <w:sz w:val="16"/>
              </w:rPr>
              <w:t>New GAD presentations, palpitations, weight loss, tremor</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Exclude mimic</w:t>
            </w:r>
          </w:p>
        </w:tc>
        <w:tc>
          <w:tcPr>
            <w:tcW w:type="dxa" w:w="720"/>
            <w:vAlign w:val="top"/>
          </w:tcPr>
          <w:p>
            <w:pPr>
              <w:spacing w:after="40" w:before="0" w:line="259" w:lineRule="auto"/>
            </w:pPr>
            <w:r>
              <w:rPr>
                <w:rFonts w:ascii="Calibri" w:hAnsi="Calibri"/>
                <w:b w:val="0"/>
                <w:i w:val="0"/>
                <w:color w:val="212121"/>
                <w:sz w:val="16"/>
              </w:rPr>
              <w:t>Screen before labelling primary GAD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Blood glucose (fasting/random)</w:t>
            </w:r>
          </w:p>
        </w:tc>
        <w:tc>
          <w:tcPr>
            <w:tcW w:type="dxa" w:w="892"/>
            <w:vAlign w:val="top"/>
          </w:tcPr>
          <w:p>
            <w:pPr>
              <w:spacing w:after="40" w:before="0" w:line="259" w:lineRule="auto"/>
            </w:pPr>
            <w:r>
              <w:rPr>
                <w:rFonts w:ascii="Calibri" w:hAnsi="Calibri"/>
                <w:b w:val="0"/>
                <w:i w:val="0"/>
                <w:color w:val="212121"/>
                <w:sz w:val="16"/>
              </w:rPr>
              <w:t>Blood Glucose Test</w:t>
            </w:r>
          </w:p>
        </w:tc>
        <w:tc>
          <w:tcPr>
            <w:tcW w:type="dxa" w:w="950"/>
            <w:vAlign w:val="top"/>
          </w:tcPr>
          <w:p>
            <w:pPr>
              <w:spacing w:after="40" w:before="0" w:line="259" w:lineRule="auto"/>
            </w:pPr>
            <w:r>
              <w:rPr>
                <w:rFonts w:ascii="Calibri" w:hAnsi="Calibri"/>
                <w:b w:val="0"/>
                <w:i w:val="0"/>
                <w:color w:val="212121"/>
                <w:sz w:val="16"/>
              </w:rPr>
              <w:t>Fasting 70–99 mg/dL</w:t>
            </w:r>
          </w:p>
        </w:tc>
        <w:tc>
          <w:tcPr>
            <w:tcW w:type="dxa" w:w="950"/>
            <w:vAlign w:val="top"/>
          </w:tcPr>
          <w:p>
            <w:pPr>
              <w:spacing w:after="40" w:before="0" w:line="259" w:lineRule="auto"/>
            </w:pPr>
            <w:r>
              <w:rPr>
                <w:rFonts w:ascii="Calibri" w:hAnsi="Calibri"/>
                <w:b w:val="0"/>
                <w:i w:val="0"/>
                <w:color w:val="212121"/>
                <w:sz w:val="16"/>
              </w:rPr>
              <w:t>Hypoglycaemia &lt; 70 mg/dL during episodes</w:t>
            </w:r>
          </w:p>
        </w:tc>
        <w:tc>
          <w:tcPr>
            <w:tcW w:type="dxa" w:w="1036"/>
            <w:vAlign w:val="top"/>
          </w:tcPr>
          <w:p>
            <w:pPr>
              <w:spacing w:after="40" w:before="0" w:line="259" w:lineRule="auto"/>
            </w:pPr>
            <w:r>
              <w:rPr>
                <w:rFonts w:ascii="Calibri" w:hAnsi="Calibri"/>
                <w:b w:val="0"/>
                <w:i w:val="0"/>
                <w:color w:val="212121"/>
                <w:sz w:val="16"/>
              </w:rPr>
              <w:t>Reactive hypoglycaemia can mimic adrenergic anxiety</w:t>
            </w:r>
          </w:p>
        </w:tc>
        <w:tc>
          <w:tcPr>
            <w:tcW w:type="dxa" w:w="1036"/>
            <w:vAlign w:val="top"/>
          </w:tcPr>
          <w:p>
            <w:pPr>
              <w:spacing w:after="40" w:before="0" w:line="259" w:lineRule="auto"/>
            </w:pPr>
            <w:r>
              <w:rPr>
                <w:rFonts w:ascii="Calibri" w:hAnsi="Calibri"/>
                <w:b w:val="0"/>
                <w:i w:val="0"/>
                <w:color w:val="212121"/>
                <w:sz w:val="16"/>
              </w:rPr>
              <w:t>Meal-skippers, diabetics on treatment, adrenergic spells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Exclude mimic</w:t>
            </w:r>
          </w:p>
        </w:tc>
        <w:tc>
          <w:tcPr>
            <w:tcW w:type="dxa" w:w="720"/>
            <w:vAlign w:val="top"/>
          </w:tcPr>
          <w:p>
            <w:pPr>
              <w:spacing w:after="40" w:before="0" w:line="259" w:lineRule="auto"/>
            </w:pPr>
            <w:r>
              <w:rPr>
                <w:rFonts w:ascii="Calibri" w:hAnsi="Calibri"/>
                <w:b w:val="0"/>
                <w:i w:val="0"/>
                <w:color w:val="212121"/>
                <w:sz w:val="16"/>
              </w:rPr>
              <w:t>Correlate symptoms with glucose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Complete blood count (haemoglobin)</w:t>
            </w:r>
          </w:p>
        </w:tc>
        <w:tc>
          <w:tcPr>
            <w:tcW w:type="dxa" w:w="892"/>
            <w:vAlign w:val="top"/>
          </w:tcPr>
          <w:p>
            <w:pPr>
              <w:spacing w:after="40" w:before="0" w:line="259" w:lineRule="auto"/>
            </w:pPr>
            <w:r>
              <w:rPr>
                <w:rFonts w:ascii="Calibri" w:hAnsi="Calibri"/>
                <w:b w:val="0"/>
                <w:i w:val="0"/>
                <w:color w:val="212121"/>
                <w:sz w:val="16"/>
              </w:rPr>
              <w:t>CBC</w:t>
            </w:r>
          </w:p>
        </w:tc>
        <w:tc>
          <w:tcPr>
            <w:tcW w:type="dxa" w:w="950"/>
            <w:vAlign w:val="top"/>
          </w:tcPr>
          <w:p>
            <w:pPr>
              <w:spacing w:after="40" w:before="0" w:line="259" w:lineRule="auto"/>
            </w:pPr>
            <w:r>
              <w:rPr>
                <w:rFonts w:ascii="Calibri" w:hAnsi="Calibri"/>
                <w:b w:val="0"/>
                <w:i w:val="0"/>
                <w:color w:val="212121"/>
                <w:sz w:val="16"/>
              </w:rPr>
              <w:t>Hb: M 13–17, F 12–15 g/dL</w:t>
            </w:r>
          </w:p>
        </w:tc>
        <w:tc>
          <w:tcPr>
            <w:tcW w:type="dxa" w:w="950"/>
            <w:vAlign w:val="top"/>
          </w:tcPr>
          <w:p>
            <w:pPr>
              <w:spacing w:after="40" w:before="0" w:line="259" w:lineRule="auto"/>
            </w:pPr>
            <w:r>
              <w:rPr>
                <w:rFonts w:ascii="Calibri" w:hAnsi="Calibri"/>
                <w:b w:val="0"/>
                <w:i w:val="0"/>
                <w:color w:val="212121"/>
                <w:sz w:val="16"/>
              </w:rPr>
              <w:t>Anaemia (low Hb)</w:t>
            </w:r>
          </w:p>
        </w:tc>
        <w:tc>
          <w:tcPr>
            <w:tcW w:type="dxa" w:w="1036"/>
            <w:vAlign w:val="top"/>
          </w:tcPr>
          <w:p>
            <w:pPr>
              <w:spacing w:after="40" w:before="0" w:line="259" w:lineRule="auto"/>
            </w:pPr>
            <w:r>
              <w:rPr>
                <w:rFonts w:ascii="Calibri" w:hAnsi="Calibri"/>
                <w:b w:val="0"/>
                <w:i w:val="0"/>
                <w:color w:val="212121"/>
                <w:sz w:val="16"/>
              </w:rPr>
              <w:t>Anaemia causes fatigue and palpitations resembling anxiety</w:t>
            </w:r>
          </w:p>
        </w:tc>
        <w:tc>
          <w:tcPr>
            <w:tcW w:type="dxa" w:w="1036"/>
            <w:vAlign w:val="top"/>
          </w:tcPr>
          <w:p>
            <w:pPr>
              <w:spacing w:after="40" w:before="0" w:line="259" w:lineRule="auto"/>
            </w:pPr>
            <w:r>
              <w:rPr>
                <w:rFonts w:ascii="Calibri" w:hAnsi="Calibri"/>
                <w:b w:val="0"/>
                <w:i w:val="0"/>
                <w:color w:val="212121"/>
                <w:sz w:val="16"/>
              </w:rPr>
              <w:t>Women of reproductive age, poor diet, fatigue</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Exclude mimic</w:t>
            </w:r>
          </w:p>
        </w:tc>
        <w:tc>
          <w:tcPr>
            <w:tcW w:type="dxa" w:w="720"/>
            <w:vAlign w:val="top"/>
          </w:tcPr>
          <w:p>
            <w:pPr>
              <w:spacing w:after="40" w:before="0" w:line="259" w:lineRule="auto"/>
            </w:pPr>
            <w:r>
              <w:rPr>
                <w:rFonts w:ascii="Calibri" w:hAnsi="Calibri"/>
                <w:b w:val="0"/>
                <w:i w:val="0"/>
                <w:color w:val="212121"/>
                <w:sz w:val="16"/>
              </w:rPr>
              <w:t>Common in India; treat if found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calcium &amp; magnesium</w:t>
            </w:r>
          </w:p>
        </w:tc>
        <w:tc>
          <w:tcPr>
            <w:tcW w:type="dxa" w:w="892"/>
            <w:vAlign w:val="top"/>
          </w:tcPr>
          <w:p>
            <w:pPr>
              <w:spacing w:after="40" w:before="0" w:line="259" w:lineRule="auto"/>
            </w:pPr>
            <w:r>
              <w:rPr>
                <w:rFonts w:ascii="Calibri" w:hAnsi="Calibri"/>
                <w:b w:val="0"/>
                <w:i w:val="0"/>
                <w:color w:val="212121"/>
                <w:sz w:val="16"/>
              </w:rPr>
              <w:t>Electrolyte Panel</w:t>
            </w:r>
          </w:p>
        </w:tc>
        <w:tc>
          <w:tcPr>
            <w:tcW w:type="dxa" w:w="950"/>
            <w:vAlign w:val="top"/>
          </w:tcPr>
          <w:p>
            <w:pPr>
              <w:spacing w:after="40" w:before="0" w:line="259" w:lineRule="auto"/>
            </w:pPr>
            <w:r>
              <w:rPr>
                <w:rFonts w:ascii="Calibri" w:hAnsi="Calibri"/>
                <w:b w:val="0"/>
                <w:i w:val="0"/>
                <w:color w:val="212121"/>
                <w:sz w:val="16"/>
              </w:rPr>
              <w:t>Ca 8.5–10.5 mg/dL</w:t>
            </w:r>
          </w:p>
        </w:tc>
        <w:tc>
          <w:tcPr>
            <w:tcW w:type="dxa" w:w="950"/>
            <w:vAlign w:val="top"/>
          </w:tcPr>
          <w:p>
            <w:pPr>
              <w:spacing w:after="40" w:before="0" w:line="259" w:lineRule="auto"/>
            </w:pPr>
            <w:r>
              <w:rPr>
                <w:rFonts w:ascii="Calibri" w:hAnsi="Calibri"/>
                <w:b w:val="0"/>
                <w:i w:val="0"/>
                <w:color w:val="212121"/>
                <w:sz w:val="16"/>
              </w:rPr>
              <w:t>Hypocalcaemia/hypomagnesaemia</w:t>
            </w:r>
          </w:p>
        </w:tc>
        <w:tc>
          <w:tcPr>
            <w:tcW w:type="dxa" w:w="1036"/>
            <w:vAlign w:val="top"/>
          </w:tcPr>
          <w:p>
            <w:pPr>
              <w:spacing w:after="40" w:before="0" w:line="259" w:lineRule="auto"/>
            </w:pPr>
            <w:r>
              <w:rPr>
                <w:rFonts w:ascii="Calibri" w:hAnsi="Calibri"/>
                <w:b w:val="0"/>
                <w:i w:val="0"/>
                <w:color w:val="212121"/>
                <w:sz w:val="16"/>
              </w:rPr>
              <w:t>Electrolyte disturbance causes tremor, tetany, anxiety-like arousal</w:t>
            </w:r>
          </w:p>
        </w:tc>
        <w:tc>
          <w:tcPr>
            <w:tcW w:type="dxa" w:w="1036"/>
            <w:vAlign w:val="top"/>
          </w:tcPr>
          <w:p>
            <w:pPr>
              <w:spacing w:after="40" w:before="0" w:line="259" w:lineRule="auto"/>
            </w:pPr>
            <w:r>
              <w:rPr>
                <w:rFonts w:ascii="Calibri" w:hAnsi="Calibri"/>
                <w:b w:val="0"/>
                <w:i w:val="0"/>
                <w:color w:val="212121"/>
                <w:sz w:val="16"/>
              </w:rPr>
              <w:t>Poor intake, malabsorption, tremor/paraesthesia</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Exclude mimic</w:t>
            </w:r>
          </w:p>
        </w:tc>
        <w:tc>
          <w:tcPr>
            <w:tcW w:type="dxa" w:w="720"/>
            <w:vAlign w:val="top"/>
          </w:tcPr>
          <w:p>
            <w:pPr>
              <w:spacing w:after="40" w:before="0" w:line="259" w:lineRule="auto"/>
            </w:pPr>
            <w:r>
              <w:rPr>
                <w:rFonts w:ascii="Calibri" w:hAnsi="Calibri"/>
                <w:b w:val="0"/>
                <w:i w:val="0"/>
                <w:color w:val="212121"/>
                <w:sz w:val="16"/>
              </w:rPr>
              <w:t>Consider with tetany/cramps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Cardiac</w:t>
            </w:r>
          </w:p>
        </w:tc>
        <w:tc>
          <w:tcPr>
            <w:tcW w:type="dxa" w:w="1036"/>
            <w:vAlign w:val="top"/>
          </w:tcPr>
          <w:p>
            <w:pPr>
              <w:spacing w:after="40" w:before="0" w:line="259" w:lineRule="auto"/>
            </w:pPr>
            <w:r>
              <w:rPr>
                <w:rFonts w:ascii="Calibri" w:hAnsi="Calibri"/>
                <w:b w:val="0"/>
                <w:i w:val="0"/>
                <w:color w:val="212121"/>
                <w:sz w:val="16"/>
              </w:rPr>
              <w:t>Electrocardiogram (ECG)</w:t>
            </w:r>
          </w:p>
        </w:tc>
        <w:tc>
          <w:tcPr>
            <w:tcW w:type="dxa" w:w="892"/>
            <w:vAlign w:val="top"/>
          </w:tcPr>
          <w:p>
            <w:pPr>
              <w:spacing w:after="40" w:before="0" w:line="259" w:lineRule="auto"/>
            </w:pPr>
            <w:r>
              <w:rPr>
                <w:rFonts w:ascii="Calibri" w:hAnsi="Calibri"/>
                <w:b w:val="0"/>
                <w:i w:val="0"/>
                <w:color w:val="212121"/>
                <w:sz w:val="16"/>
              </w:rPr>
              <w:t>12-lead ECG</w:t>
            </w:r>
          </w:p>
        </w:tc>
        <w:tc>
          <w:tcPr>
            <w:tcW w:type="dxa" w:w="950"/>
            <w:vAlign w:val="top"/>
          </w:tcPr>
          <w:p>
            <w:pPr>
              <w:spacing w:after="40" w:before="0" w:line="259" w:lineRule="auto"/>
            </w:pPr>
            <w:r>
              <w:rPr>
                <w:rFonts w:ascii="Calibri" w:hAnsi="Calibri"/>
                <w:b w:val="0"/>
                <w:i w:val="0"/>
                <w:color w:val="212121"/>
                <w:sz w:val="16"/>
              </w:rPr>
              <w:t>Sinus rhythm, no arrhythmia</w:t>
            </w:r>
          </w:p>
        </w:tc>
        <w:tc>
          <w:tcPr>
            <w:tcW w:type="dxa" w:w="950"/>
            <w:vAlign w:val="top"/>
          </w:tcPr>
          <w:p>
            <w:pPr>
              <w:spacing w:after="40" w:before="0" w:line="259" w:lineRule="auto"/>
            </w:pPr>
            <w:r>
              <w:rPr>
                <w:rFonts w:ascii="Calibri" w:hAnsi="Calibri"/>
                <w:b w:val="0"/>
                <w:i w:val="0"/>
                <w:color w:val="212121"/>
                <w:sz w:val="16"/>
              </w:rPr>
              <w:t>Sinus tachycardia; exclude paroxysmal arrhythmia</w:t>
            </w:r>
          </w:p>
        </w:tc>
        <w:tc>
          <w:tcPr>
            <w:tcW w:type="dxa" w:w="1036"/>
            <w:vAlign w:val="top"/>
          </w:tcPr>
          <w:p>
            <w:pPr>
              <w:spacing w:after="40" w:before="0" w:line="259" w:lineRule="auto"/>
            </w:pPr>
            <w:r>
              <w:rPr>
                <w:rFonts w:ascii="Calibri" w:hAnsi="Calibri"/>
                <w:b w:val="0"/>
                <w:i w:val="0"/>
                <w:color w:val="212121"/>
                <w:sz w:val="16"/>
              </w:rPr>
              <w:t>Evaluates palpitations/chest tightness and cardiac risk</w:t>
            </w:r>
          </w:p>
        </w:tc>
        <w:tc>
          <w:tcPr>
            <w:tcW w:type="dxa" w:w="1036"/>
            <w:vAlign w:val="top"/>
          </w:tcPr>
          <w:p>
            <w:pPr>
              <w:spacing w:after="40" w:before="0" w:line="259" w:lineRule="auto"/>
            </w:pPr>
            <w:r>
              <w:rPr>
                <w:rFonts w:ascii="Calibri" w:hAnsi="Calibri"/>
                <w:b w:val="0"/>
                <w:i w:val="0"/>
                <w:color w:val="212121"/>
                <w:sz w:val="16"/>
              </w:rPr>
              <w:t>Palpitations, chest tightness, older adults, cardiac history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Exclude mimic</w:t>
            </w:r>
          </w:p>
        </w:tc>
        <w:tc>
          <w:tcPr>
            <w:tcW w:type="dxa" w:w="720"/>
            <w:vAlign w:val="top"/>
          </w:tcPr>
          <w:p>
            <w:pPr>
              <w:spacing w:after="40" w:before="0" w:line="259" w:lineRule="auto"/>
            </w:pPr>
            <w:r>
              <w:rPr>
                <w:rFonts w:ascii="Calibri" w:hAnsi="Calibri"/>
                <w:b w:val="0"/>
                <w:i w:val="0"/>
                <w:color w:val="212121"/>
                <w:sz w:val="16"/>
              </w:rPr>
              <w:t>GAD also worsens cardiac prognosis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Toxicology / history</w:t>
            </w:r>
          </w:p>
        </w:tc>
        <w:tc>
          <w:tcPr>
            <w:tcW w:type="dxa" w:w="1036"/>
            <w:vAlign w:val="top"/>
          </w:tcPr>
          <w:p>
            <w:pPr>
              <w:spacing w:after="40" w:before="0" w:line="259" w:lineRule="auto"/>
            </w:pPr>
            <w:r>
              <w:rPr>
                <w:rFonts w:ascii="Calibri" w:hAnsi="Calibri"/>
                <w:b w:val="0"/>
                <w:i w:val="0"/>
                <w:color w:val="212121"/>
                <w:sz w:val="16"/>
              </w:rPr>
              <w:t>Substance &amp; stimulant screen</w:t>
            </w:r>
          </w:p>
        </w:tc>
        <w:tc>
          <w:tcPr>
            <w:tcW w:type="dxa" w:w="892"/>
            <w:vAlign w:val="top"/>
          </w:tcPr>
          <w:p>
            <w:pPr>
              <w:spacing w:after="40" w:before="0" w:line="259" w:lineRule="auto"/>
            </w:pPr>
            <w:r>
              <w:rPr>
                <w:rFonts w:ascii="Calibri" w:hAnsi="Calibri"/>
                <w:b w:val="0"/>
                <w:i w:val="0"/>
                <w:color w:val="212121"/>
                <w:sz w:val="16"/>
              </w:rPr>
              <w:t>Urine drug screen + intake history</w:t>
            </w:r>
          </w:p>
        </w:tc>
        <w:tc>
          <w:tcPr>
            <w:tcW w:type="dxa" w:w="950"/>
            <w:vAlign w:val="top"/>
          </w:tcPr>
          <w:p>
            <w:pPr>
              <w:spacing w:after="40" w:before="0" w:line="259" w:lineRule="auto"/>
            </w:pPr>
            <w:r>
              <w:rPr>
                <w:rFonts w:ascii="Calibri" w:hAnsi="Calibri"/>
                <w:b w:val="0"/>
                <w:i w:val="0"/>
                <w:color w:val="212121"/>
                <w:sz w:val="16"/>
              </w:rPr>
              <w:t>No causative substance</w:t>
            </w:r>
          </w:p>
        </w:tc>
        <w:tc>
          <w:tcPr>
            <w:tcW w:type="dxa" w:w="950"/>
            <w:vAlign w:val="top"/>
          </w:tcPr>
          <w:p>
            <w:pPr>
              <w:spacing w:after="40" w:before="0" w:line="259" w:lineRule="auto"/>
            </w:pPr>
            <w:r>
              <w:rPr>
                <w:rFonts w:ascii="Calibri" w:hAnsi="Calibri"/>
                <w:b w:val="0"/>
                <w:i w:val="0"/>
                <w:color w:val="212121"/>
                <w:sz w:val="16"/>
              </w:rPr>
              <w:t>Caffeine/stimulant excess, cannabis, withdrawal states</w:t>
            </w:r>
          </w:p>
        </w:tc>
        <w:tc>
          <w:tcPr>
            <w:tcW w:type="dxa" w:w="1036"/>
            <w:vAlign w:val="top"/>
          </w:tcPr>
          <w:p>
            <w:pPr>
              <w:spacing w:after="40" w:before="0" w:line="259" w:lineRule="auto"/>
            </w:pPr>
            <w:r>
              <w:rPr>
                <w:rFonts w:ascii="Calibri" w:hAnsi="Calibri"/>
                <w:b w:val="0"/>
                <w:i w:val="0"/>
                <w:color w:val="212121"/>
                <w:sz w:val="16"/>
              </w:rPr>
              <w:t>Identifies substance-induced or -aggravated anxiety</w:t>
            </w:r>
          </w:p>
        </w:tc>
        <w:tc>
          <w:tcPr>
            <w:tcW w:type="dxa" w:w="1036"/>
            <w:vAlign w:val="top"/>
          </w:tcPr>
          <w:p>
            <w:pPr>
              <w:spacing w:after="40" w:before="0" w:line="259" w:lineRule="auto"/>
            </w:pPr>
            <w:r>
              <w:rPr>
                <w:rFonts w:ascii="Calibri" w:hAnsi="Calibri"/>
                <w:b w:val="0"/>
                <w:i w:val="0"/>
                <w:color w:val="212121"/>
                <w:sz w:val="16"/>
              </w:rPr>
              <w:t>High caffeine/energy-drink use, substance users</w:t>
            </w:r>
          </w:p>
        </w:tc>
        <w:tc>
          <w:tcPr>
            <w:tcW w:type="dxa" w:w="720"/>
            <w:vAlign w:val="top"/>
          </w:tcPr>
          <w:p>
            <w:pPr>
              <w:spacing w:after="40" w:before="0" w:line="259" w:lineRule="auto"/>
            </w:pPr>
            <w:r>
              <w:rPr>
                <w:rFonts w:ascii="Calibri" w:hAnsi="Calibri"/>
                <w:b w:val="0"/>
                <w:i w:val="0"/>
                <w:color w:val="212121"/>
                <w:sz w:val="16"/>
              </w:rPr>
              <w:t>Caffeine; Alcohol</w:t>
            </w:r>
          </w:p>
        </w:tc>
        <w:tc>
          <w:tcPr>
            <w:tcW w:type="dxa" w:w="720"/>
            <w:vAlign w:val="top"/>
          </w:tcPr>
          <w:p>
            <w:pPr>
              <w:spacing w:after="40" w:before="0" w:line="259" w:lineRule="auto"/>
            </w:pPr>
            <w:r>
              <w:rPr>
                <w:rFonts w:ascii="Calibri" w:hAnsi="Calibri"/>
                <w:b w:val="0"/>
                <w:i w:val="0"/>
                <w:color w:val="212121"/>
                <w:sz w:val="16"/>
              </w:rPr>
              <w:t>Exclude mimic</w:t>
            </w:r>
          </w:p>
        </w:tc>
        <w:tc>
          <w:tcPr>
            <w:tcW w:type="dxa" w:w="720"/>
            <w:vAlign w:val="top"/>
          </w:tcPr>
          <w:p>
            <w:pPr>
              <w:spacing w:after="40" w:before="0" w:line="259" w:lineRule="auto"/>
            </w:pPr>
            <w:r>
              <w:rPr>
                <w:rFonts w:ascii="Calibri" w:hAnsi="Calibri"/>
                <w:b w:val="0"/>
                <w:i w:val="0"/>
                <w:color w:val="212121"/>
                <w:sz w:val="16"/>
              </w:rPr>
              <w:t>Quantify caffeine and alcohol</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Excessive worry, restlessness, fatigue, poor concentration, muscle tension, sleep disturbance</w:t>
            </w:r>
          </w:p>
        </w:tc>
        <w:tc>
          <w:tcPr>
            <w:tcW w:type="dxa" w:w="950"/>
            <w:vAlign w:val="top"/>
          </w:tcPr>
          <w:p>
            <w:pPr>
              <w:spacing w:after="40" w:before="0" w:line="259" w:lineRule="auto"/>
            </w:pPr>
            <w:r>
              <w:rPr>
                <w:rFonts w:ascii="Calibri" w:hAnsi="Calibri"/>
                <w:b w:val="0"/>
                <w:i w:val="0"/>
                <w:color w:val="212121"/>
                <w:sz w:val="16"/>
              </w:rPr>
              <w:t>None / situational only</w:t>
            </w:r>
          </w:p>
        </w:tc>
        <w:tc>
          <w:tcPr>
            <w:tcW w:type="dxa" w:w="950"/>
            <w:vAlign w:val="top"/>
          </w:tcPr>
          <w:p>
            <w:pPr>
              <w:spacing w:after="40" w:before="0" w:line="259" w:lineRule="auto"/>
            </w:pPr>
            <w:r>
              <w:rPr>
                <w:rFonts w:ascii="Calibri" w:hAnsi="Calibri"/>
                <w:b w:val="0"/>
                <w:i w:val="0"/>
                <w:color w:val="212121"/>
                <w:sz w:val="16"/>
              </w:rPr>
              <w:t>Uncontrollable worry most days ≥ 6 months + ≥ 3 symptoms</w:t>
            </w:r>
          </w:p>
        </w:tc>
        <w:tc>
          <w:tcPr>
            <w:tcW w:type="dxa" w:w="1036"/>
            <w:vAlign w:val="top"/>
          </w:tcPr>
          <w:p>
            <w:pPr>
              <w:spacing w:after="40" w:before="0" w:line="259" w:lineRule="auto"/>
            </w:pPr>
            <w:r>
              <w:rPr>
                <w:rFonts w:ascii="Calibri" w:hAnsi="Calibri"/>
                <w:b w:val="0"/>
                <w:i w:val="0"/>
                <w:color w:val="212121"/>
                <w:sz w:val="16"/>
              </w:rPr>
              <w:t>Core DSM-5-TR features of GAD</w:t>
            </w:r>
          </w:p>
        </w:tc>
        <w:tc>
          <w:tcPr>
            <w:tcW w:type="dxa" w:w="1036"/>
            <w:vAlign w:val="top"/>
          </w:tcPr>
          <w:p>
            <w:pPr>
              <w:spacing w:after="40" w:before="0" w:line="259" w:lineRule="auto"/>
            </w:pPr>
            <w:r>
              <w:rPr>
                <w:rFonts w:ascii="Calibri" w:hAnsi="Calibri"/>
                <w:b w:val="0"/>
                <w:i w:val="0"/>
                <w:color w:val="212121"/>
                <w:sz w:val="16"/>
              </w:rPr>
              <w:t>Adults with pervasive worry, somatic complaints</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Distinguish from normal worry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Screening tool</w:t>
            </w:r>
          </w:p>
        </w:tc>
        <w:tc>
          <w:tcPr>
            <w:tcW w:type="dxa" w:w="950"/>
            <w:vAlign w:val="top"/>
          </w:tcPr>
          <w:p>
            <w:pPr>
              <w:spacing w:after="40" w:before="0" w:line="259" w:lineRule="auto"/>
            </w:pPr>
            <w:r>
              <w:rPr>
                <w:rFonts w:ascii="Calibri" w:hAnsi="Calibri"/>
                <w:b w:val="0"/>
                <w:i w:val="0"/>
                <w:color w:val="212121"/>
                <w:sz w:val="16"/>
              </w:rPr>
              <w:t>GAD-7 questionnaire</w:t>
            </w:r>
          </w:p>
        </w:tc>
        <w:tc>
          <w:tcPr>
            <w:tcW w:type="dxa" w:w="979"/>
            <w:vAlign w:val="top"/>
          </w:tcPr>
          <w:p>
            <w:pPr>
              <w:spacing w:after="40" w:before="0" w:line="259" w:lineRule="auto"/>
            </w:pPr>
            <w:r>
              <w:rPr>
                <w:rFonts w:ascii="Calibri" w:hAnsi="Calibri"/>
                <w:b w:val="0"/>
                <w:i w:val="0"/>
                <w:color w:val="212121"/>
                <w:sz w:val="16"/>
              </w:rPr>
              <w:t>7-item anxiety severity score</w:t>
            </w:r>
          </w:p>
        </w:tc>
        <w:tc>
          <w:tcPr>
            <w:tcW w:type="dxa" w:w="950"/>
            <w:vAlign w:val="top"/>
          </w:tcPr>
          <w:p>
            <w:pPr>
              <w:spacing w:after="40" w:before="0" w:line="259" w:lineRule="auto"/>
            </w:pPr>
            <w:r>
              <w:rPr>
                <w:rFonts w:ascii="Calibri" w:hAnsi="Calibri"/>
                <w:b w:val="0"/>
                <w:i w:val="0"/>
                <w:color w:val="212121"/>
                <w:sz w:val="16"/>
              </w:rPr>
              <w:t>0–4 (minimal)</w:t>
            </w:r>
          </w:p>
        </w:tc>
        <w:tc>
          <w:tcPr>
            <w:tcW w:type="dxa" w:w="950"/>
            <w:vAlign w:val="top"/>
          </w:tcPr>
          <w:p>
            <w:pPr>
              <w:spacing w:after="40" w:before="0" w:line="259" w:lineRule="auto"/>
            </w:pPr>
            <w:r>
              <w:rPr>
                <w:rFonts w:ascii="Calibri" w:hAnsi="Calibri"/>
                <w:b w:val="0"/>
                <w:i w:val="0"/>
                <w:color w:val="212121"/>
                <w:sz w:val="16"/>
              </w:rPr>
              <w:t>≥ 10 (moderate–severe)</w:t>
            </w:r>
          </w:p>
        </w:tc>
        <w:tc>
          <w:tcPr>
            <w:tcW w:type="dxa" w:w="1036"/>
            <w:vAlign w:val="top"/>
          </w:tcPr>
          <w:p>
            <w:pPr>
              <w:spacing w:after="40" w:before="0" w:line="259" w:lineRule="auto"/>
            </w:pPr>
            <w:r>
              <w:rPr>
                <w:rFonts w:ascii="Calibri" w:hAnsi="Calibri"/>
                <w:b w:val="0"/>
                <w:i w:val="0"/>
                <w:color w:val="212121"/>
                <w:sz w:val="16"/>
              </w:rPr>
              <w:t>Quantifies severity, aids case-finding and monitoring</w:t>
            </w:r>
          </w:p>
        </w:tc>
        <w:tc>
          <w:tcPr>
            <w:tcW w:type="dxa" w:w="1036"/>
            <w:vAlign w:val="top"/>
          </w:tcPr>
          <w:p>
            <w:pPr>
              <w:spacing w:after="40" w:before="0" w:line="259" w:lineRule="auto"/>
            </w:pPr>
            <w:r>
              <w:rPr>
                <w:rFonts w:ascii="Calibri" w:hAnsi="Calibri"/>
                <w:b w:val="0"/>
                <w:i w:val="0"/>
                <w:color w:val="212121"/>
                <w:sz w:val="16"/>
              </w:rPr>
              <w:t>Primary-care and community screening</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Does not replace clinical assessment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Substance &amp; caffeine history</w:t>
            </w:r>
          </w:p>
        </w:tc>
        <w:tc>
          <w:tcPr>
            <w:tcW w:type="dxa" w:w="979"/>
            <w:vAlign w:val="top"/>
          </w:tcPr>
          <w:p>
            <w:pPr>
              <w:spacing w:after="40" w:before="0" w:line="259" w:lineRule="auto"/>
            </w:pPr>
            <w:r>
              <w:rPr>
                <w:rFonts w:ascii="Calibri" w:hAnsi="Calibri"/>
                <w:b w:val="0"/>
                <w:i w:val="0"/>
                <w:color w:val="212121"/>
                <w:sz w:val="16"/>
              </w:rPr>
              <w:t>Caffeine, nicotine, alcohol, stimulants, medications</w:t>
            </w:r>
          </w:p>
        </w:tc>
        <w:tc>
          <w:tcPr>
            <w:tcW w:type="dxa" w:w="950"/>
            <w:vAlign w:val="top"/>
          </w:tcPr>
          <w:p>
            <w:pPr>
              <w:spacing w:after="40" w:before="0" w:line="259" w:lineRule="auto"/>
            </w:pPr>
            <w:r>
              <w:rPr>
                <w:rFonts w:ascii="Calibri" w:hAnsi="Calibri"/>
                <w:b w:val="0"/>
                <w:i w:val="0"/>
                <w:color w:val="212121"/>
                <w:sz w:val="16"/>
              </w:rPr>
              <w:t>Minimal/no stimulant use</w:t>
            </w:r>
          </w:p>
        </w:tc>
        <w:tc>
          <w:tcPr>
            <w:tcW w:type="dxa" w:w="950"/>
            <w:vAlign w:val="top"/>
          </w:tcPr>
          <w:p>
            <w:pPr>
              <w:spacing w:after="40" w:before="0" w:line="259" w:lineRule="auto"/>
            </w:pPr>
            <w:r>
              <w:rPr>
                <w:rFonts w:ascii="Calibri" w:hAnsi="Calibri"/>
                <w:b w:val="0"/>
                <w:i w:val="0"/>
                <w:color w:val="212121"/>
                <w:sz w:val="16"/>
              </w:rPr>
              <w:t>High caffeine, smoking, hazardous alcohol, drug use</w:t>
            </w:r>
          </w:p>
        </w:tc>
        <w:tc>
          <w:tcPr>
            <w:tcW w:type="dxa" w:w="1036"/>
            <w:vAlign w:val="top"/>
          </w:tcPr>
          <w:p>
            <w:pPr>
              <w:spacing w:after="40" w:before="0" w:line="259" w:lineRule="auto"/>
            </w:pPr>
            <w:r>
              <w:rPr>
                <w:rFonts w:ascii="Calibri" w:hAnsi="Calibri"/>
                <w:b w:val="0"/>
                <w:i w:val="0"/>
                <w:color w:val="212121"/>
                <w:sz w:val="16"/>
              </w:rPr>
              <w:t>Identifies substance-induced/aggravated anxiety</w:t>
            </w:r>
          </w:p>
        </w:tc>
        <w:tc>
          <w:tcPr>
            <w:tcW w:type="dxa" w:w="1036"/>
            <w:vAlign w:val="top"/>
          </w:tcPr>
          <w:p>
            <w:pPr>
              <w:spacing w:after="40" w:before="0" w:line="259" w:lineRule="auto"/>
            </w:pPr>
            <w:r>
              <w:rPr>
                <w:rFonts w:ascii="Calibri" w:hAnsi="Calibri"/>
                <w:b w:val="0"/>
                <w:i w:val="0"/>
                <w:color w:val="212121"/>
                <w:sz w:val="16"/>
              </w:rPr>
              <w:t>Heavy caffeine users, smokers, drinkers</w:t>
            </w:r>
          </w:p>
        </w:tc>
        <w:tc>
          <w:tcPr>
            <w:tcW w:type="dxa" w:w="720"/>
            <w:vAlign w:val="top"/>
          </w:tcPr>
          <w:p>
            <w:pPr>
              <w:spacing w:after="40" w:before="0" w:line="259" w:lineRule="auto"/>
            </w:pPr>
            <w:r>
              <w:rPr>
                <w:rFonts w:ascii="Calibri" w:hAnsi="Calibri"/>
                <w:b w:val="0"/>
                <w:i w:val="0"/>
                <w:color w:val="212121"/>
                <w:sz w:val="16"/>
              </w:rPr>
              <w:t>Caffeine; Smoking; Alcohol</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Guides lifestyle modification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Family &amp; personal psychiatric history</w:t>
            </w:r>
          </w:p>
        </w:tc>
        <w:tc>
          <w:tcPr>
            <w:tcW w:type="dxa" w:w="979"/>
            <w:vAlign w:val="top"/>
          </w:tcPr>
          <w:p>
            <w:pPr>
              <w:spacing w:after="40" w:before="0" w:line="259" w:lineRule="auto"/>
            </w:pPr>
            <w:r>
              <w:rPr>
                <w:rFonts w:ascii="Calibri" w:hAnsi="Calibri"/>
                <w:b w:val="0"/>
                <w:i w:val="0"/>
                <w:color w:val="212121"/>
                <w:sz w:val="16"/>
              </w:rPr>
              <w:t>Anxiety/depression in relatives; past episodes, trauma</w:t>
            </w:r>
          </w:p>
        </w:tc>
        <w:tc>
          <w:tcPr>
            <w:tcW w:type="dxa" w:w="950"/>
            <w:vAlign w:val="top"/>
          </w:tcPr>
          <w:p>
            <w:pPr>
              <w:spacing w:after="40" w:before="0" w:line="259" w:lineRule="auto"/>
            </w:pPr>
            <w:r>
              <w:rPr>
                <w:rFonts w:ascii="Calibri" w:hAnsi="Calibri"/>
                <w:b w:val="0"/>
                <w:i w:val="0"/>
                <w:color w:val="212121"/>
                <w:sz w:val="16"/>
              </w:rPr>
              <w:t>No family/personal history</w:t>
            </w:r>
          </w:p>
        </w:tc>
        <w:tc>
          <w:tcPr>
            <w:tcW w:type="dxa" w:w="950"/>
            <w:vAlign w:val="top"/>
          </w:tcPr>
          <w:p>
            <w:pPr>
              <w:spacing w:after="40" w:before="0" w:line="259" w:lineRule="auto"/>
            </w:pPr>
            <w:r>
              <w:rPr>
                <w:rFonts w:ascii="Calibri" w:hAnsi="Calibri"/>
                <w:b w:val="0"/>
                <w:i w:val="0"/>
                <w:color w:val="212121"/>
                <w:sz w:val="16"/>
              </w:rPr>
              <w:t>First-degree relatives affected; childhood adversity</w:t>
            </w:r>
          </w:p>
        </w:tc>
        <w:tc>
          <w:tcPr>
            <w:tcW w:type="dxa" w:w="1036"/>
            <w:vAlign w:val="top"/>
          </w:tcPr>
          <w:p>
            <w:pPr>
              <w:spacing w:after="40" w:before="0" w:line="259" w:lineRule="auto"/>
            </w:pPr>
            <w:r>
              <w:rPr>
                <w:rFonts w:ascii="Calibri" w:hAnsi="Calibri"/>
                <w:b w:val="0"/>
                <w:i w:val="0"/>
                <w:color w:val="212121"/>
                <w:sz w:val="16"/>
              </w:rPr>
              <w:t>Establishes genetic/environmental predisposition</w:t>
            </w:r>
          </w:p>
        </w:tc>
        <w:tc>
          <w:tcPr>
            <w:tcW w:type="dxa" w:w="1036"/>
            <w:vAlign w:val="top"/>
          </w:tcPr>
          <w:p>
            <w:pPr>
              <w:spacing w:after="40" w:before="0" w:line="259" w:lineRule="auto"/>
            </w:pPr>
            <w:r>
              <w:rPr>
                <w:rFonts w:ascii="Calibri" w:hAnsi="Calibri"/>
                <w:b w:val="0"/>
                <w:i w:val="0"/>
                <w:color w:val="212121"/>
                <w:sz w:val="16"/>
              </w:rPr>
              <w:t>Relatives of anxious/depressed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Note early-onset, chronic course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Autonomic &amp; motor signs</w:t>
            </w:r>
          </w:p>
        </w:tc>
        <w:tc>
          <w:tcPr>
            <w:tcW w:type="dxa" w:w="979"/>
            <w:vAlign w:val="top"/>
          </w:tcPr>
          <w:p>
            <w:pPr>
              <w:spacing w:after="40" w:before="0" w:line="259" w:lineRule="auto"/>
            </w:pPr>
            <w:r>
              <w:rPr>
                <w:rFonts w:ascii="Calibri" w:hAnsi="Calibri"/>
                <w:b w:val="0"/>
                <w:i w:val="0"/>
                <w:color w:val="212121"/>
                <w:sz w:val="16"/>
              </w:rPr>
              <w:t>Pulse, tremor, sweating, muscle tension</w:t>
            </w:r>
          </w:p>
        </w:tc>
        <w:tc>
          <w:tcPr>
            <w:tcW w:type="dxa" w:w="950"/>
            <w:vAlign w:val="top"/>
          </w:tcPr>
          <w:p>
            <w:pPr>
              <w:spacing w:after="40" w:before="0" w:line="259" w:lineRule="auto"/>
            </w:pPr>
            <w:r>
              <w:rPr>
                <w:rFonts w:ascii="Calibri" w:hAnsi="Calibri"/>
                <w:b w:val="0"/>
                <w:i w:val="0"/>
                <w:color w:val="212121"/>
                <w:sz w:val="16"/>
              </w:rPr>
              <w:t>Normal exam</w:t>
            </w:r>
          </w:p>
        </w:tc>
        <w:tc>
          <w:tcPr>
            <w:tcW w:type="dxa" w:w="950"/>
            <w:vAlign w:val="top"/>
          </w:tcPr>
          <w:p>
            <w:pPr>
              <w:spacing w:after="40" w:before="0" w:line="259" w:lineRule="auto"/>
            </w:pPr>
            <w:r>
              <w:rPr>
                <w:rFonts w:ascii="Calibri" w:hAnsi="Calibri"/>
                <w:b w:val="0"/>
                <w:i w:val="0"/>
                <w:color w:val="212121"/>
                <w:sz w:val="16"/>
              </w:rPr>
              <w:t>Tachycardia, fine tremor, diaphoresis, tense posture</w:t>
            </w:r>
          </w:p>
        </w:tc>
        <w:tc>
          <w:tcPr>
            <w:tcW w:type="dxa" w:w="1036"/>
            <w:vAlign w:val="top"/>
          </w:tcPr>
          <w:p>
            <w:pPr>
              <w:spacing w:after="40" w:before="0" w:line="259" w:lineRule="auto"/>
            </w:pPr>
            <w:r>
              <w:rPr>
                <w:rFonts w:ascii="Calibri" w:hAnsi="Calibri"/>
                <w:b w:val="0"/>
                <w:i w:val="0"/>
                <w:color w:val="212121"/>
                <w:sz w:val="16"/>
              </w:rPr>
              <w:t>Objective signs of hyperarousal; also screens mimics</w:t>
            </w:r>
          </w:p>
        </w:tc>
        <w:tc>
          <w:tcPr>
            <w:tcW w:type="dxa" w:w="1036"/>
            <w:vAlign w:val="top"/>
          </w:tcPr>
          <w:p>
            <w:pPr>
              <w:spacing w:after="40" w:before="0" w:line="259" w:lineRule="auto"/>
            </w:pPr>
            <w:r>
              <w:rPr>
                <w:rFonts w:ascii="Calibri" w:hAnsi="Calibri"/>
                <w:b w:val="0"/>
                <w:i w:val="0"/>
                <w:color w:val="212121"/>
                <w:sz w:val="16"/>
              </w:rPr>
              <w:t>Somatic-symptom presentations</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Exclude thyroid/cardiac signs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Risk assessment</w:t>
            </w:r>
          </w:p>
        </w:tc>
        <w:tc>
          <w:tcPr>
            <w:tcW w:type="dxa" w:w="950"/>
            <w:vAlign w:val="top"/>
          </w:tcPr>
          <w:p>
            <w:pPr>
              <w:spacing w:after="40" w:before="0" w:line="259" w:lineRule="auto"/>
            </w:pPr>
            <w:r>
              <w:rPr>
                <w:rFonts w:ascii="Calibri" w:hAnsi="Calibri"/>
                <w:b w:val="0"/>
                <w:i w:val="0"/>
                <w:color w:val="212121"/>
                <w:sz w:val="16"/>
              </w:rPr>
              <w:t>Comorbidity &amp; suicide screen</w:t>
            </w:r>
          </w:p>
        </w:tc>
        <w:tc>
          <w:tcPr>
            <w:tcW w:type="dxa" w:w="979"/>
            <w:vAlign w:val="top"/>
          </w:tcPr>
          <w:p>
            <w:pPr>
              <w:spacing w:after="40" w:before="0" w:line="259" w:lineRule="auto"/>
            </w:pPr>
            <w:r>
              <w:rPr>
                <w:rFonts w:ascii="Calibri" w:hAnsi="Calibri"/>
                <w:b w:val="0"/>
                <w:i w:val="0"/>
                <w:color w:val="212121"/>
                <w:sz w:val="16"/>
              </w:rPr>
              <w:t>Depression (PHQ-9), suicidality, alcohol/substance use, sleep</w:t>
            </w:r>
          </w:p>
        </w:tc>
        <w:tc>
          <w:tcPr>
            <w:tcW w:type="dxa" w:w="950"/>
            <w:vAlign w:val="top"/>
          </w:tcPr>
          <w:p>
            <w:pPr>
              <w:spacing w:after="40" w:before="0" w:line="259" w:lineRule="auto"/>
            </w:pPr>
            <w:r>
              <w:rPr>
                <w:rFonts w:ascii="Calibri" w:hAnsi="Calibri"/>
                <w:b w:val="0"/>
                <w:i w:val="0"/>
                <w:color w:val="212121"/>
                <w:sz w:val="16"/>
              </w:rPr>
              <w:t>No comorbidity or risk</w:t>
            </w:r>
          </w:p>
        </w:tc>
        <w:tc>
          <w:tcPr>
            <w:tcW w:type="dxa" w:w="950"/>
            <w:vAlign w:val="top"/>
          </w:tcPr>
          <w:p>
            <w:pPr>
              <w:spacing w:after="40" w:before="0" w:line="259" w:lineRule="auto"/>
            </w:pPr>
            <w:r>
              <w:rPr>
                <w:rFonts w:ascii="Calibri" w:hAnsi="Calibri"/>
                <w:b w:val="0"/>
                <w:i w:val="0"/>
                <w:color w:val="212121"/>
                <w:sz w:val="16"/>
              </w:rPr>
              <w:t>Comorbid depression, suicidal ideation, substance misuse</w:t>
            </w:r>
          </w:p>
        </w:tc>
        <w:tc>
          <w:tcPr>
            <w:tcW w:type="dxa" w:w="1036"/>
            <w:vAlign w:val="top"/>
          </w:tcPr>
          <w:p>
            <w:pPr>
              <w:spacing w:after="40" w:before="0" w:line="259" w:lineRule="auto"/>
            </w:pPr>
            <w:r>
              <w:rPr>
                <w:rFonts w:ascii="Calibri" w:hAnsi="Calibri"/>
                <w:b w:val="0"/>
                <w:i w:val="0"/>
                <w:color w:val="212121"/>
                <w:sz w:val="16"/>
              </w:rPr>
              <w:t>Comorbidity worsens prognosis and alters management</w:t>
            </w:r>
          </w:p>
        </w:tc>
        <w:tc>
          <w:tcPr>
            <w:tcW w:type="dxa" w:w="1036"/>
            <w:vAlign w:val="top"/>
          </w:tcPr>
          <w:p>
            <w:pPr>
              <w:spacing w:after="40" w:before="0" w:line="259" w:lineRule="auto"/>
            </w:pPr>
            <w:r>
              <w:rPr>
                <w:rFonts w:ascii="Calibri" w:hAnsi="Calibri"/>
                <w:b w:val="0"/>
                <w:i w:val="0"/>
                <w:color w:val="212121"/>
                <w:sz w:val="16"/>
              </w:rPr>
              <w:t>All GAD patients, especially chronic/severe</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Safety-critical</w:t>
            </w:r>
          </w:p>
        </w:tc>
        <w:tc>
          <w:tcPr>
            <w:tcW w:type="dxa" w:w="720"/>
            <w:vAlign w:val="top"/>
          </w:tcPr>
          <w:p>
            <w:pPr>
              <w:spacing w:after="40" w:before="0" w:line="259" w:lineRule="auto"/>
            </w:pPr>
            <w:r>
              <w:rPr>
                <w:rFonts w:ascii="Calibri" w:hAnsi="Calibri"/>
                <w:b w:val="0"/>
                <w:i w:val="0"/>
                <w:color w:val="212121"/>
                <w:sz w:val="16"/>
              </w:rPr>
              <w:t>Escalate care if suicide risk</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Excessive, uncontrollable worry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Persistent apprehension about many everyday matters, out of proportion and hard to control.</w:t>
            </w:r>
          </w:p>
        </w:tc>
      </w:tr>
      <w:tr>
        <w:trPr>
          <w:cantSplit/>
        </w:trPr>
        <w:tc>
          <w:tcPr>
            <w:tcW w:type="dxa" w:w="2304"/>
            <w:vAlign w:val="top"/>
          </w:tcPr>
          <w:p>
            <w:pPr>
              <w:spacing w:after="40" w:before="0" w:line="259" w:lineRule="auto"/>
            </w:pPr>
            <w:r>
              <w:rPr>
                <w:rFonts w:ascii="Calibri" w:hAnsi="Calibri"/>
                <w:b/>
                <w:i w:val="0"/>
                <w:color w:val="212121"/>
                <w:sz w:val="19"/>
              </w:rPr>
              <w:t>Restlessness / feeling keyed-up or on edge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 sense of being unable to relax or settle.</w:t>
            </w:r>
          </w:p>
        </w:tc>
      </w:tr>
      <w:tr>
        <w:trPr>
          <w:cantSplit/>
        </w:trPr>
        <w:tc>
          <w:tcPr>
            <w:tcW w:type="dxa" w:w="2304"/>
            <w:vAlign w:val="top"/>
          </w:tcPr>
          <w:p>
            <w:pPr>
              <w:spacing w:after="40" w:before="0" w:line="259" w:lineRule="auto"/>
            </w:pPr>
            <w:r>
              <w:rPr>
                <w:rFonts w:ascii="Calibri" w:hAnsi="Calibri"/>
                <w:b/>
                <w:i w:val="0"/>
                <w:color w:val="212121"/>
                <w:sz w:val="19"/>
              </w:rPr>
              <w:t>Easy fatigability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Tiredness driven by sustained mental and muscular tension.</w:t>
            </w:r>
          </w:p>
        </w:tc>
      </w:tr>
      <w:tr>
        <w:trPr>
          <w:cantSplit/>
        </w:trPr>
        <w:tc>
          <w:tcPr>
            <w:tcW w:type="dxa" w:w="2304"/>
            <w:vAlign w:val="top"/>
          </w:tcPr>
          <w:p>
            <w:pPr>
              <w:spacing w:after="40" w:before="0" w:line="259" w:lineRule="auto"/>
            </w:pPr>
            <w:r>
              <w:rPr>
                <w:rFonts w:ascii="Calibri" w:hAnsi="Calibri"/>
                <w:b/>
                <w:i w:val="0"/>
                <w:color w:val="212121"/>
                <w:sz w:val="19"/>
              </w:rPr>
              <w:t>Difficulty concentrating / mind going blank</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Worry consumes attention and working memory.</w:t>
            </w:r>
          </w:p>
        </w:tc>
      </w:tr>
      <w:tr>
        <w:trPr>
          <w:cantSplit/>
        </w:trPr>
        <w:tc>
          <w:tcPr>
            <w:tcW w:type="dxa" w:w="2304"/>
            <w:vAlign w:val="top"/>
          </w:tcPr>
          <w:p>
            <w:pPr>
              <w:spacing w:after="40" w:before="0" w:line="259" w:lineRule="auto"/>
            </w:pPr>
            <w:r>
              <w:rPr>
                <w:rFonts w:ascii="Calibri" w:hAnsi="Calibri"/>
                <w:b/>
                <w:i w:val="0"/>
                <w:color w:val="212121"/>
                <w:sz w:val="19"/>
              </w:rPr>
              <w:t>Irritability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Lowered frustration tolerance from chronic arousal.</w:t>
            </w:r>
          </w:p>
        </w:tc>
      </w:tr>
      <w:tr>
        <w:trPr>
          <w:cantSplit/>
        </w:trPr>
        <w:tc>
          <w:tcPr>
            <w:tcW w:type="dxa" w:w="2304"/>
            <w:vAlign w:val="top"/>
          </w:tcPr>
          <w:p>
            <w:pPr>
              <w:spacing w:after="40" w:before="0" w:line="259" w:lineRule="auto"/>
            </w:pPr>
            <w:r>
              <w:rPr>
                <w:rFonts w:ascii="Calibri" w:hAnsi="Calibri"/>
                <w:b/>
                <w:i w:val="0"/>
                <w:color w:val="212121"/>
                <w:sz w:val="19"/>
              </w:rPr>
              <w:t>Muscle tension / aches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Tension in neck, shoulders and back; tension-type headache.</w:t>
            </w:r>
          </w:p>
        </w:tc>
      </w:tr>
      <w:tr>
        <w:trPr>
          <w:cantSplit/>
        </w:trPr>
        <w:tc>
          <w:tcPr>
            <w:tcW w:type="dxa" w:w="2304"/>
            <w:vAlign w:val="top"/>
          </w:tcPr>
          <w:p>
            <w:pPr>
              <w:spacing w:after="40" w:before="0" w:line="259" w:lineRule="auto"/>
            </w:pPr>
            <w:r>
              <w:rPr>
                <w:rFonts w:ascii="Calibri" w:hAnsi="Calibri"/>
                <w:b/>
                <w:i w:val="0"/>
                <w:color w:val="212121"/>
                <w:sz w:val="19"/>
              </w:rPr>
              <w:t>Sleep disturbance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Difficulty falling or staying asleep, or unrefreshing sleep.</w:t>
            </w:r>
          </w:p>
        </w:tc>
      </w:tr>
      <w:tr>
        <w:trPr>
          <w:cantSplit/>
        </w:trPr>
        <w:tc>
          <w:tcPr>
            <w:tcW w:type="dxa" w:w="2304"/>
            <w:vAlign w:val="top"/>
          </w:tcPr>
          <w:p>
            <w:pPr>
              <w:spacing w:after="40" w:before="0" w:line="259" w:lineRule="auto"/>
            </w:pPr>
            <w:r>
              <w:rPr>
                <w:rFonts w:ascii="Calibri" w:hAnsi="Calibri"/>
                <w:b/>
                <w:i w:val="0"/>
                <w:color w:val="212121"/>
                <w:sz w:val="19"/>
              </w:rPr>
              <w:t>Palpitations / racing heart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Autonomic arousal; a frequent reason for medical presentation.</w:t>
            </w:r>
          </w:p>
        </w:tc>
      </w:tr>
      <w:tr>
        <w:trPr>
          <w:cantSplit/>
        </w:trPr>
        <w:tc>
          <w:tcPr>
            <w:tcW w:type="dxa" w:w="2304"/>
            <w:vAlign w:val="top"/>
          </w:tcPr>
          <w:p>
            <w:pPr>
              <w:spacing w:after="40" w:before="0" w:line="259" w:lineRule="auto"/>
            </w:pPr>
            <w:r>
              <w:rPr>
                <w:rFonts w:ascii="Calibri" w:hAnsi="Calibri"/>
                <w:b/>
                <w:i w:val="0"/>
                <w:color w:val="212121"/>
                <w:sz w:val="19"/>
              </w:rPr>
              <w:t>Trembling, sweating, dry mouth</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Adrenergic somatic symptoms during heightened worry.</w:t>
            </w:r>
          </w:p>
        </w:tc>
      </w:tr>
      <w:tr>
        <w:trPr>
          <w:cantSplit/>
        </w:trPr>
        <w:tc>
          <w:tcPr>
            <w:tcW w:type="dxa" w:w="2304"/>
            <w:vAlign w:val="top"/>
          </w:tcPr>
          <w:p>
            <w:pPr>
              <w:spacing w:after="40" w:before="0" w:line="259" w:lineRule="auto"/>
            </w:pPr>
            <w:r>
              <w:rPr>
                <w:rFonts w:ascii="Calibri" w:hAnsi="Calibri"/>
                <w:b/>
                <w:i w:val="0"/>
                <w:color w:val="212121"/>
                <w:sz w:val="19"/>
              </w:rPr>
              <w:t>Nausea, abdominal distress, IBS-type symptoms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Gut-brain axis activation; overlaps with functional GI disorders.</w:t>
            </w:r>
          </w:p>
        </w:tc>
      </w:tr>
      <w:tr>
        <w:trPr>
          <w:cantSplit/>
        </w:trPr>
        <w:tc>
          <w:tcPr>
            <w:tcW w:type="dxa" w:w="2304"/>
            <w:vAlign w:val="top"/>
          </w:tcPr>
          <w:p>
            <w:pPr>
              <w:spacing w:after="40" w:before="0" w:line="259" w:lineRule="auto"/>
            </w:pPr>
            <w:r>
              <w:rPr>
                <w:rFonts w:ascii="Calibri" w:hAnsi="Calibri"/>
                <w:b/>
                <w:i w:val="0"/>
                <w:color w:val="212121"/>
                <w:sz w:val="19"/>
              </w:rPr>
              <w:t>Headache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Often tension-type, related to sustained muscle tension.</w:t>
            </w:r>
          </w:p>
        </w:tc>
      </w:tr>
      <w:tr>
        <w:trPr>
          <w:cantSplit/>
        </w:trPr>
        <w:tc>
          <w:tcPr>
            <w:tcW w:type="dxa" w:w="2304"/>
            <w:vAlign w:val="top"/>
          </w:tcPr>
          <w:p>
            <w:pPr>
              <w:spacing w:after="40" w:before="0" w:line="259" w:lineRule="auto"/>
            </w:pPr>
            <w:r>
              <w:rPr>
                <w:rFonts w:ascii="Calibri" w:hAnsi="Calibri"/>
                <w:b/>
                <w:i w:val="0"/>
                <w:color w:val="212121"/>
                <w:sz w:val="19"/>
              </w:rPr>
              <w:t>Shortness of breath / smothering sensation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Hyperventilation and chest tightness without cardiorespiratory disease.</w:t>
            </w:r>
          </w:p>
        </w:tc>
      </w:tr>
      <w:tr>
        <w:trPr>
          <w:cantSplit/>
        </w:trPr>
        <w:tc>
          <w:tcPr>
            <w:tcW w:type="dxa" w:w="2304"/>
            <w:vAlign w:val="top"/>
          </w:tcPr>
          <w:p>
            <w:pPr>
              <w:spacing w:after="40" w:before="0" w:line="259" w:lineRule="auto"/>
            </w:pPr>
            <w:r>
              <w:rPr>
                <w:rFonts w:ascii="Calibri" w:hAnsi="Calibri"/>
                <w:b/>
                <w:i w:val="0"/>
                <w:color w:val="212121"/>
                <w:sz w:val="19"/>
              </w:rPr>
              <w:t>Globus (lump in throat), frequent urination</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Autonomic manifestations of chronic anxiety.</w:t>
            </w:r>
          </w:p>
        </w:tc>
      </w:tr>
      <w:tr>
        <w:trPr>
          <w:cantSplit/>
        </w:trPr>
        <w:tc>
          <w:tcPr>
            <w:tcW w:type="dxa" w:w="2304"/>
            <w:vAlign w:val="top"/>
          </w:tcPr>
          <w:p>
            <w:pPr>
              <w:spacing w:after="40" w:before="0" w:line="259" w:lineRule="auto"/>
            </w:pPr>
            <w:r>
              <w:rPr>
                <w:rFonts w:ascii="Calibri" w:hAnsi="Calibri"/>
                <w:b/>
                <w:i w:val="0"/>
                <w:color w:val="212121"/>
                <w:sz w:val="19"/>
              </w:rPr>
              <w:t>Derealisation / feeling detached</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Transient dissociative sensation during peak anxiety.</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Motor restlessness / fidgeting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Observable inability to sit still, tapping, pacing.</w:t>
            </w:r>
          </w:p>
        </w:tc>
      </w:tr>
      <w:tr>
        <w:trPr>
          <w:cantSplit/>
        </w:trPr>
        <w:tc>
          <w:tcPr>
            <w:tcW w:type="dxa" w:w="3456"/>
            <w:vAlign w:val="top"/>
          </w:tcPr>
          <w:p>
            <w:pPr>
              <w:spacing w:after="40" w:before="0" w:line="259" w:lineRule="auto"/>
            </w:pPr>
            <w:r>
              <w:rPr>
                <w:rFonts w:ascii="Calibri" w:hAnsi="Calibri"/>
                <w:b/>
                <w:i w:val="0"/>
                <w:color w:val="212121"/>
                <w:sz w:val="19"/>
              </w:rPr>
              <w:t>Fine tremor of outstretched hands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Adrenergic tremor; also seen in thyrotoxicosis (a mimic).</w:t>
            </w:r>
          </w:p>
        </w:tc>
      </w:tr>
      <w:tr>
        <w:trPr>
          <w:cantSplit/>
        </w:trPr>
        <w:tc>
          <w:tcPr>
            <w:tcW w:type="dxa" w:w="3456"/>
            <w:vAlign w:val="top"/>
          </w:tcPr>
          <w:p>
            <w:pPr>
              <w:spacing w:after="40" w:before="0" w:line="259" w:lineRule="auto"/>
            </w:pPr>
            <w:r>
              <w:rPr>
                <w:rFonts w:ascii="Calibri" w:hAnsi="Calibri"/>
                <w:b/>
                <w:i w:val="0"/>
                <w:color w:val="212121"/>
                <w:sz w:val="19"/>
              </w:rPr>
              <w:t>Tachycardia / raised resting heart rate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Sympathetic overactivity; check for arrhythmia and thyroid disease.</w:t>
            </w:r>
          </w:p>
        </w:tc>
      </w:tr>
      <w:tr>
        <w:trPr>
          <w:cantSplit/>
        </w:trPr>
        <w:tc>
          <w:tcPr>
            <w:tcW w:type="dxa" w:w="3456"/>
            <w:vAlign w:val="top"/>
          </w:tcPr>
          <w:p>
            <w:pPr>
              <w:spacing w:after="40" w:before="0" w:line="259" w:lineRule="auto"/>
            </w:pPr>
            <w:r>
              <w:rPr>
                <w:rFonts w:ascii="Calibri" w:hAnsi="Calibri"/>
                <w:b/>
                <w:i w:val="0"/>
                <w:color w:val="212121"/>
                <w:sz w:val="19"/>
              </w:rPr>
              <w:t>Diaphoresis (sweaty, clammy palms)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Autonomic arousal on examination.</w:t>
            </w:r>
          </w:p>
        </w:tc>
      </w:tr>
      <w:tr>
        <w:trPr>
          <w:cantSplit/>
        </w:trPr>
        <w:tc>
          <w:tcPr>
            <w:tcW w:type="dxa" w:w="3456"/>
            <w:vAlign w:val="top"/>
          </w:tcPr>
          <w:p>
            <w:pPr>
              <w:spacing w:after="40" w:before="0" w:line="259" w:lineRule="auto"/>
            </w:pPr>
            <w:r>
              <w:rPr>
                <w:rFonts w:ascii="Calibri" w:hAnsi="Calibri"/>
                <w:b/>
                <w:i w:val="0"/>
                <w:color w:val="212121"/>
                <w:sz w:val="19"/>
              </w:rPr>
              <w:t>Hypervigilance / exaggerated startle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Heightened threat monitoring and reactivity.</w:t>
            </w:r>
          </w:p>
        </w:tc>
      </w:tr>
      <w:tr>
        <w:trPr>
          <w:cantSplit/>
        </w:trPr>
        <w:tc>
          <w:tcPr>
            <w:tcW w:type="dxa" w:w="3456"/>
            <w:vAlign w:val="top"/>
          </w:tcPr>
          <w:p>
            <w:pPr>
              <w:spacing w:after="40" w:before="0" w:line="259" w:lineRule="auto"/>
            </w:pPr>
            <w:r>
              <w:rPr>
                <w:rFonts w:ascii="Calibri" w:hAnsi="Calibri"/>
                <w:b/>
                <w:i w:val="0"/>
                <w:color w:val="212121"/>
                <w:sz w:val="19"/>
              </w:rPr>
              <w:t>Muscle tenderness (trapezius/neck)</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Chronic muscle tension on palpation.</w:t>
            </w:r>
          </w:p>
        </w:tc>
      </w:tr>
      <w:tr>
        <w:trPr>
          <w:cantSplit/>
        </w:trPr>
        <w:tc>
          <w:tcPr>
            <w:tcW w:type="dxa" w:w="3456"/>
            <w:vAlign w:val="top"/>
          </w:tcPr>
          <w:p>
            <w:pPr>
              <w:spacing w:after="40" w:before="0" w:line="259" w:lineRule="auto"/>
            </w:pPr>
            <w:r>
              <w:rPr>
                <w:rFonts w:ascii="Calibri" w:hAnsi="Calibri"/>
                <w:b/>
                <w:i w:val="0"/>
                <w:color w:val="212121"/>
                <w:sz w:val="19"/>
              </w:rPr>
              <w:t>Tense posture, furrowed brow, strained voice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Visible physical tension and anxious affect.</w:t>
            </w:r>
          </w:p>
        </w:tc>
      </w:tr>
      <w:tr>
        <w:trPr>
          <w:cantSplit/>
        </w:trPr>
        <w:tc>
          <w:tcPr>
            <w:tcW w:type="dxa" w:w="3456"/>
            <w:vAlign w:val="top"/>
          </w:tcPr>
          <w:p>
            <w:pPr>
              <w:spacing w:after="40" w:before="0" w:line="259" w:lineRule="auto"/>
            </w:pPr>
            <w:r>
              <w:rPr>
                <w:rFonts w:ascii="Calibri" w:hAnsi="Calibri"/>
                <w:b/>
                <w:i w:val="0"/>
                <w:color w:val="212121"/>
                <w:sz w:val="19"/>
              </w:rPr>
              <w:t>Nail-biting / skin-picking</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Body-focused repetitive behaviours reflecting tension.</w:t>
            </w:r>
          </w:p>
        </w:tc>
      </w:tr>
      <w:tr>
        <w:trPr>
          <w:cantSplit/>
        </w:trPr>
        <w:tc>
          <w:tcPr>
            <w:tcW w:type="dxa" w:w="3456"/>
            <w:vAlign w:val="top"/>
          </w:tcPr>
          <w:p>
            <w:pPr>
              <w:spacing w:after="40" w:before="0" w:line="259" w:lineRule="auto"/>
            </w:pPr>
            <w:r>
              <w:rPr>
                <w:rFonts w:ascii="Calibri" w:hAnsi="Calibri"/>
                <w:b/>
                <w:i w:val="0"/>
                <w:color w:val="212121"/>
                <w:sz w:val="19"/>
              </w:rPr>
              <w:t>Sighing respiration / hyperventilation</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Over-breathing may cause light-headedness and paraesthesiae.</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disabling worry with impaired concentration and decision-making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Persistent insomnia and daytime fatigue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panic attacks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Somatic symptom amplification (palpitations, tension headache, GI distress)</w:t>
            </w:r>
          </w:p>
        </w:tc>
        <w:tc>
          <w:tcPr>
            <w:tcW w:type="dxa" w:w="2980"/>
            <w:vAlign w:val="top"/>
          </w:tcPr>
          <w:p>
            <w:pPr>
              <w:spacing w:after="40" w:before="0" w:line="259" w:lineRule="auto"/>
            </w:pPr>
            <w:r>
              <w:rPr>
                <w:rFonts w:ascii="Calibri" w:hAnsi="Calibri"/>
                <w:b w:val="0"/>
                <w:i w:val="0"/>
                <w:color w:val="212121"/>
                <w:sz w:val="19"/>
              </w:rPr>
              <w:t>Direct manifestations of sustained pathological anxiety and hyperarousal</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Comorbid major depressive disorder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Alcohol, nicotine and sedative/benzodiazepine misuse (self-medication)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Functional and somatic disorders (irritable bowel syndrome, tension headache)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Hypertension and increased cardiovascular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Impaired work/academic performance, absenteeism and relationship strain</w:t>
            </w:r>
          </w:p>
        </w:tc>
        <w:tc>
          <w:tcPr>
            <w:tcW w:type="dxa" w:w="2980"/>
            <w:vAlign w:val="top"/>
          </w:tcPr>
          <w:p>
            <w:pPr>
              <w:spacing w:after="40" w:before="0" w:line="259" w:lineRule="auto"/>
            </w:pPr>
            <w:r>
              <w:rPr>
                <w:rFonts w:ascii="Calibri" w:hAnsi="Calibri"/>
                <w:b w:val="0"/>
                <w:i w:val="0"/>
                <w:color w:val="212121"/>
                <w:sz w:val="19"/>
              </w:rPr>
              <w:t>Arise from persistent hyperarousal, maladaptive coping and long-term comorbidity</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Treatment-resistant, chronic anxiety with major functional disability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Suicidal behaviour and self-harm (especially with comorbid depression)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Established cardiovascular disease and adverse cardiac events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Long-term benzodiazepine dependence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Social isolation, unemployment and reduced quality of life</w:t>
            </w:r>
          </w:p>
        </w:tc>
        <w:tc>
          <w:tcPr>
            <w:tcW w:type="dxa" w:w="2980"/>
            <w:vAlign w:val="top"/>
          </w:tcPr>
          <w:p>
            <w:pPr>
              <w:spacing w:after="40" w:before="0" w:line="259" w:lineRule="auto"/>
            </w:pPr>
            <w:r>
              <w:rPr>
                <w:rFonts w:ascii="Calibri" w:hAnsi="Calibri"/>
                <w:b w:val="0"/>
                <w:i w:val="0"/>
                <w:color w:val="212121"/>
                <w:sz w:val="19"/>
              </w:rPr>
              <w:t>Severe, sometimes irreversible outcomes of longstanding, untreated or complicated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Major depressive disorder</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Shares neurobiology with GAD and reinforces it; comorbidity increases chronicity, disability and suicide risk and shapes treatment choice.</w:t>
            </w:r>
          </w:p>
          <w:p>
            <w:pPr>
              <w:spacing w:after="40" w:before="0" w:line="259" w:lineRule="auto"/>
            </w:pPr>
            <w:r>
              <w:rPr>
                <w:rFonts w:ascii="Calibri" w:hAnsi="Calibri"/>
                <w:b/>
                <w:i w:val="0"/>
                <w:color w:val="212121"/>
                <w:sz w:val="19"/>
              </w:rPr>
              <w:t>Up to 80% have a comorbid mood disorder</w:t>
            </w:r>
          </w:p>
        </w:tc>
      </w:tr>
      <w:tr>
        <w:trPr>
          <w:cantSplit/>
        </w:trPr>
        <w:tc>
          <w:tcPr>
            <w:tcW w:type="dxa" w:w="2232"/>
            <w:vAlign w:val="top"/>
          </w:tcPr>
          <w:p>
            <w:pPr>
              <w:spacing w:after="40" w:before="0" w:line="259" w:lineRule="auto"/>
            </w:pPr>
            <w:r>
              <w:rPr>
                <w:rFonts w:ascii="Calibri" w:hAnsi="Calibri"/>
                <w:b/>
                <w:i w:val="0"/>
                <w:color w:val="212121"/>
                <w:sz w:val="19"/>
              </w:rPr>
              <w:t>Other anxiety disorders (panic, social anxiety, OCD, PTSD)</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Frequently co-occur with GAD through overlapping fear-circuitry mechanisms; presence alters diagnosis and treatment.</w:t>
            </w:r>
          </w:p>
        </w:tc>
      </w:tr>
      <w:tr>
        <w:trPr>
          <w:cantSplit/>
        </w:trPr>
        <w:tc>
          <w:tcPr>
            <w:tcW w:type="dxa" w:w="2232"/>
            <w:vAlign w:val="top"/>
          </w:tcPr>
          <w:p>
            <w:pPr>
              <w:spacing w:after="40" w:before="0" w:line="259" w:lineRule="auto"/>
            </w:pPr>
            <w:r>
              <w:rPr>
                <w:rFonts w:ascii="Calibri" w:hAnsi="Calibri"/>
                <w:b/>
                <w:i w:val="0"/>
                <w:color w:val="212121"/>
                <w:sz w:val="19"/>
              </w:rPr>
              <w:t>Alcohol / substance-use disorder</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Often begins as self-medication of worry; rebound anxiety and withdrawal perpetuate both conditions.</w:t>
            </w:r>
          </w:p>
        </w:tc>
      </w:tr>
      <w:tr>
        <w:trPr>
          <w:cantSplit/>
        </w:trPr>
        <w:tc>
          <w:tcPr>
            <w:tcW w:type="dxa" w:w="2232"/>
            <w:vAlign w:val="top"/>
          </w:tcPr>
          <w:p>
            <w:pPr>
              <w:spacing w:after="40" w:before="0" w:line="259" w:lineRule="auto"/>
            </w:pPr>
            <w:r>
              <w:rPr>
                <w:rFonts w:ascii="Calibri" w:hAnsi="Calibri"/>
                <w:b/>
                <w:i w:val="0"/>
                <w:color w:val="212121"/>
                <w:sz w:val="19"/>
              </w:rPr>
              <w:t>Irritable bowel syndrome (IBS)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Gut-brain axis dysregulation links the two; each amplifies the other.</w:t>
            </w:r>
          </w:p>
          <w:p>
            <w:pPr>
              <w:spacing w:after="40" w:before="0" w:line="259" w:lineRule="auto"/>
            </w:pPr>
            <w:r>
              <w:rPr>
                <w:rFonts w:ascii="Calibri" w:hAnsi="Calibri"/>
                <w:b/>
                <w:i w:val="0"/>
                <w:color w:val="212121"/>
                <w:sz w:val="19"/>
              </w:rPr>
              <w:t>Up to 54% lifetime anxiety in IBS</w:t>
            </w:r>
          </w:p>
        </w:tc>
      </w:tr>
      <w:tr>
        <w:trPr>
          <w:cantSplit/>
        </w:trPr>
        <w:tc>
          <w:tcPr>
            <w:tcW w:type="dxa" w:w="2232"/>
            <w:vAlign w:val="top"/>
          </w:tcPr>
          <w:p>
            <w:pPr>
              <w:spacing w:after="40" w:before="0" w:line="259" w:lineRule="auto"/>
            </w:pPr>
            <w:r>
              <w:rPr>
                <w:rFonts w:ascii="Calibri" w:hAnsi="Calibri"/>
                <w:b/>
                <w:i w:val="0"/>
                <w:color w:val="212121"/>
                <w:sz w:val="19"/>
              </w:rPr>
              <w:t>Insomnia / sleep disorders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Anxiety and insomnia reinforce each other; an Indian population study found GAD strongly associated with insomnia.</w:t>
            </w:r>
          </w:p>
        </w:tc>
      </w:tr>
      <w:tr>
        <w:trPr>
          <w:cantSplit/>
        </w:trPr>
        <w:tc>
          <w:tcPr>
            <w:tcW w:type="dxa" w:w="2232"/>
            <w:vAlign w:val="top"/>
          </w:tcPr>
          <w:p>
            <w:pPr>
              <w:spacing w:after="40" w:before="0" w:line="259" w:lineRule="auto"/>
            </w:pPr>
            <w:r>
              <w:rPr>
                <w:rFonts w:ascii="Calibri" w:hAnsi="Calibri"/>
                <w:b/>
                <w:i w:val="0"/>
                <w:color w:val="212121"/>
                <w:sz w:val="19"/>
              </w:rPr>
              <w:t>Hyperthyroidism / thyroid dysfunction</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Produces adrenergic symptoms that mimic or precipitate anxiety; must be screened for and treated before diagnosing primary GAD.</w:t>
            </w:r>
          </w:p>
        </w:tc>
      </w:tr>
      <w:tr>
        <w:trPr>
          <w:cantSplit/>
        </w:trPr>
        <w:tc>
          <w:tcPr>
            <w:tcW w:type="dxa" w:w="2232"/>
            <w:vAlign w:val="top"/>
          </w:tcPr>
          <w:p>
            <w:pPr>
              <w:spacing w:after="40" w:before="0" w:line="259" w:lineRule="auto"/>
            </w:pPr>
            <w:r>
              <w:rPr>
                <w:rFonts w:ascii="Calibri" w:hAnsi="Calibri"/>
                <w:b/>
                <w:i w:val="0"/>
                <w:color w:val="212121"/>
                <w:sz w:val="19"/>
              </w:rPr>
              <w:t>Coronary heart disease / cardiovascular disease</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Chronic anxiety contributes to autonomic dysregulation and worse cardiac outcomes; SSRI choice interacts with cardiac care.</w:t>
            </w:r>
          </w:p>
        </w:tc>
      </w:tr>
      <w:tr>
        <w:trPr>
          <w:cantSplit/>
        </w:trPr>
        <w:tc>
          <w:tcPr>
            <w:tcW w:type="dxa" w:w="2232"/>
            <w:vAlign w:val="top"/>
          </w:tcPr>
          <w:p>
            <w:pPr>
              <w:spacing w:after="40" w:before="0" w:line="259" w:lineRule="auto"/>
            </w:pPr>
            <w:r>
              <w:rPr>
                <w:rFonts w:ascii="Calibri" w:hAnsi="Calibri"/>
                <w:b/>
                <w:i w:val="0"/>
                <w:color w:val="212121"/>
                <w:sz w:val="19"/>
              </w:rPr>
              <w:t>Hypertension</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Sustained sympathetic arousal from chronic worry contributes to raised blood pressure.</w:t>
            </w:r>
          </w:p>
        </w:tc>
      </w:tr>
      <w:tr>
        <w:trPr>
          <w:cantSplit/>
        </w:trPr>
        <w:tc>
          <w:tcPr>
            <w:tcW w:type="dxa" w:w="2232"/>
            <w:vAlign w:val="top"/>
          </w:tcPr>
          <w:p>
            <w:pPr>
              <w:spacing w:after="40" w:before="0" w:line="259" w:lineRule="auto"/>
            </w:pPr>
            <w:r>
              <w:rPr>
                <w:rFonts w:ascii="Calibri" w:hAnsi="Calibri"/>
                <w:b/>
                <w:i w:val="0"/>
                <w:color w:val="212121"/>
                <w:sz w:val="19"/>
              </w:rPr>
              <w:t>Chronic pain / tension headache</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Muscle tension and central sensitisation link chronic pain and generalized anxiety bidirectionally.</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to recognise pathological worry (uncontrollable, most days, ≥ 6 months) versus normal, situational worry, and seek help early.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brief self-screening (e.g., GAD-7) and understand that a score ≥ 10 warrants professional assessment.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caffeine, energy drinks, nicotine and alcohol, which can trigger or worsen anxiety symptoms.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regular stress-management (paced breathing, relaxation, mindfulness) and maintain daily routine and social connection.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stigma: understand that GAD is a treatable medical condition, and that psychotherapy and medication are effective.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General public</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Working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Students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High-risk / family history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 150 minutes/week of moderate aerobic activity (brisk walking, cycling, swimming) to reduce anxiety symptoms.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 resistance training 2–3 days/week, which independently lowers anxiety.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mind-body practices such as yoga and pranayama, widely accessible in India and helpful for arousal reduction.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Break up prolonged sitting with short movement breaks; use activity as a structured daily anti-worry routine.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GAD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Students, desk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Anxious older adults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regular, balanced meals to avoid reactive dips in blood sugar that mimic anxiety.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caffeine to &lt; 400 mg/day (less if sensitive) and avoid caffeine/energy drinks in the evening.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ultra-processed, high-sugar foods; favour whole grains, pulses, vegetables, fruit and healthy fats.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adequately hydrated and consider omega-3-rich foods as part of a balanced diet.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Meal-skippers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High-caffeine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at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Students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consistent sleep-wake schedule and target 7–9 hours/night.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good sleep hygiene: dark, quiet room; no screens, caffeine or heavy meals close to bedtime.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cognitive behavioural therapy for insomnia (CBT-I) when insomnia is persistent.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night-time worry with wind-down routines, relaxation and, if needed, professional treatment of GAD.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GAD and insomnia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Shift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Students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initiating tobacco/nicotine, which is a risk factor for anxiety disorders.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smokers, pursue structured cessation with counselling and nicotine-replacement or pharmacotherapy.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Anticipate a transient rise in anxiety during withdrawal and plan coping support.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national tobacco-cessation resources (e.g., quitline) for sustained support.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Nicotine-dependent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GAD</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using alcohol to calm nerves; it provides short relief but causes rebound anxiety.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intake minimal or abstain, especially with comorbid anxiety or depression.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hazardous drinking (e.g., AUDIT) and seek help for dependence.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treating alcohol misuse and anxiety together improves outcomes.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Hazardous/heavy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self-medicating anxiety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GAD</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cognitive behavioural therapy (CBT) — the gold-standard psychotherapy for GAD — including worry-exposure and cognitive restructuring.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Teach relaxation, applied relaxation, mindfulness and paced breathing for arousal control.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first-line pharmacotherapy (SSRIs/SNRIs) for moderate-to-severe GAD; allow several weeks for effect.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long-term benzodiazepines due to dependence; reserve for short-term or crisis use only.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comorbid depression and assess suicide risk at every review.</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Arrange regular follow-up and measurement-based care (GAD-7/PHQ-9) to track response.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patients with GAD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Moderate-to-severe cases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Comorbid depression/anxiety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Treatment-resistant patients</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imh.nih.gov/health/statistics/generalized-anxiety-disorder" TargetMode="External"/><Relationship Id="rId10" Type="http://schemas.openxmlformats.org/officeDocument/2006/relationships/hyperlink" Target="https://pubmed.ncbi.nlm.nih.gov/41092637/" TargetMode="External"/><Relationship Id="rId11" Type="http://schemas.openxmlformats.org/officeDocument/2006/relationships/hyperlink" Target="https://pubmed.ncbi.nlm.nih.gov/28297020/" TargetMode="External"/><Relationship Id="rId12" Type="http://schemas.openxmlformats.org/officeDocument/2006/relationships/hyperlink" Target="https://pubmed.ncbi.nlm.nih.gov/39524129/" TargetMode="External"/><Relationship Id="rId13" Type="http://schemas.openxmlformats.org/officeDocument/2006/relationships/hyperlink" Target="https://www.who.int/india/health-topics/mental-health" TargetMode="External"/><Relationship Id="rId14" Type="http://schemas.openxmlformats.org/officeDocument/2006/relationships/hyperlink" Target="https://pubmed.ncbi.nlm.nih.gov/31209958/" TargetMode="External"/><Relationship Id="rId15" Type="http://schemas.openxmlformats.org/officeDocument/2006/relationships/hyperlink" Target="https://pubmed.ncbi.nlm.nih.gov/23083451/" TargetMode="External"/><Relationship Id="rId16" Type="http://schemas.openxmlformats.org/officeDocument/2006/relationships/hyperlink" Target="https://pubmed.ncbi.nlm.nih.gov/20923623/" TargetMode="External"/><Relationship Id="rId17" Type="http://schemas.openxmlformats.org/officeDocument/2006/relationships/hyperlink" Target="https://pubmed.ncbi.nlm.nih.gov/6497568/" TargetMode="External"/><Relationship Id="rId18" Type="http://schemas.openxmlformats.org/officeDocument/2006/relationships/hyperlink" Target="https://pubmed.ncbi.nlm.nih.gov/14969778/" TargetMode="External"/><Relationship Id="rId19" Type="http://schemas.openxmlformats.org/officeDocument/2006/relationships/hyperlink" Target="https://pubmed.ncbi.nlm.nih.gov/8328567/" TargetMode="External"/><Relationship Id="rId20" Type="http://schemas.openxmlformats.org/officeDocument/2006/relationships/hyperlink" Target="https://pubmed.ncbi.nlm.nih.gov/35383767/" TargetMode="External"/><Relationship Id="rId21" Type="http://schemas.openxmlformats.org/officeDocument/2006/relationships/hyperlink" Target="https://pubmed.ncbi.nlm.nih.gov/12103468/" TargetMode="External"/><Relationship Id="rId22" Type="http://schemas.openxmlformats.org/officeDocument/2006/relationships/hyperlink" Target="https://pubmed.ncbi.nlm.nih.gov/20603456/" TargetMode="External"/><Relationship Id="rId23" Type="http://schemas.openxmlformats.org/officeDocument/2006/relationships/hyperlink" Target="https://my.clevelandclinic.org/health/diseases/23940-generalized-anxiety-disorder-gad" TargetMode="External"/><Relationship Id="rId24" Type="http://schemas.openxmlformats.org/officeDocument/2006/relationships/hyperlink" Target="https://pubmed.ncbi.nlm.nih.gov/30455849/" TargetMode="External"/><Relationship Id="rId25" Type="http://schemas.openxmlformats.org/officeDocument/2006/relationships/hyperlink" Target="https://www.nimh.nih.gov/health/publications/generalized-anxiety-disorder-g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