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Panic Disorder</w:t>
      </w:r>
    </w:p>
    <w:p>
      <w:pPr>
        <w:spacing w:before="0" w:after="160"/>
      </w:pPr>
      <w:r>
        <w:rPr>
          <w:rFonts w:ascii="Calibri" w:hAnsi="Calibri"/>
          <w:b/>
          <w:i w:val="0"/>
          <w:color w:val="212121"/>
          <w:sz w:val="22"/>
        </w:rPr>
        <w:t xml:space="preserve">AKA </w:t>
      </w:r>
      <w:r>
        <w:rPr>
          <w:rFonts w:ascii="Calibri" w:hAnsi="Calibri"/>
          <w:b w:val="0"/>
          <w:i w:val="0"/>
          <w:color w:val="212121"/>
          <w:sz w:val="22"/>
        </w:rPr>
        <w:t>i.e., Episodic paroxysmal anxiety (ICD-10 F41.0), Recurrent panic attacks, historically “anxiety neurosis”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Panic disorder is a chronic anxiety disorder defined by recurrent, unexpected panic attacks — abrupt surges of intense fear or discomfort that peak within minutes and are accompanied by multiple somatic and cognitive symptoms such as palpitations, breathlessness, chest pain, dizziness and a fear of dying or losing control. To meet diagnostic criteria, at least one attack must be followed by a month or more of persistent worry about further attacks or by a maladaptive change in behaviour intended to avoid them. It commonly coexists with agoraphobia and depression and, when untreated, causes marked functional impairment and repeated presentations to emergency and cardiac services.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India’s National Mental Health Survey (NMHS) 2015–16 estimated the prevalence of neurotic and stress-related disorders (ICD-10 F40–F48, the diagnostic group that contains panic disorder) at about 3.7%, against an overall current mental-morbidity prevalence of 10.6% and a treatment gap exceeding 84% for mental disorders. Panic disorder itself affects an estimated 2–3% of adults in a given year and is roughly twice as common in women as in men. Because attacks closely mimic heart attacks, many Indians with panic disorder first present repeatedly to cardiology, emergency and general-medicine services, contributing to under-diagnosis and delayed psychiatric care.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Panic disorder is a clinical diagnosis based on DSM-5 (or ICD-11) criteria, made after excluding medical mimics (cardiac, thyroid, respiratory, metabolic) and substance effects. The core requirements 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recurrent unexpected panic attacks — an abrupt surge of intense fear or discomfort that peaks within minutes;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during an attack, four or more of thirteen characteristic symptoms: palpitations, sweating, trembling, shortness of breath, a choking sensation, chest pain, nausea, dizziness or faintness, chills or heat sensations, paraesthesias, derealisation/depersonalisation, fear of losing control or “going crazy”, and fear of dying;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at least one attack followed by ≥ 1 month of persistent concern about additional attacks and/or a maladaptive change in behaviour (e.g., avoidance of exercise or unfamiliar situations);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disturbance is not attributable to a substance (e.g., caffeine, stimulants), another medical condition (e.g., hyperthyroidism, arrhythmia, phaeochromocytoma), or better explained by another mental disorder;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agoraphobia, if present, is coded as a separate co-diagnosis; limited-symptom attacks (fewer than four symptoms) may also occur.</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Panic disorder is not formally staged; it is characterised descriptively by the presence of agoraphobia, the type of attack, and the severity/course:</w:t>
      </w:r>
    </w:p>
    <w:p>
      <w:pPr>
        <w:spacing w:before="0" w:after="80"/>
      </w:pPr>
      <w:r>
        <w:rPr>
          <w:rFonts w:ascii="Calibri" w:hAnsi="Calibri"/>
          <w:b w:val="0"/>
          <w:i w:val="0"/>
          <w:color w:val="212121"/>
          <w:sz w:val="21"/>
        </w:rPr>
        <w:t>(1) Panic disorder without agoraphobia — recurrent unexpected attacks with anticipatory anxiety but without pervasive situational avoidance;</w:t>
      </w:r>
    </w:p>
    <w:p>
      <w:pPr>
        <w:spacing w:before="0" w:after="80"/>
      </w:pPr>
      <w:r>
        <w:rPr>
          <w:rFonts w:ascii="Calibri" w:hAnsi="Calibri"/>
          <w:b w:val="0"/>
          <w:i w:val="0"/>
          <w:color w:val="212121"/>
          <w:sz w:val="21"/>
        </w:rPr>
        <w:t>(2) Panic disorder with agoraphobia — attacks accompanied by fear and avoidance of situations where escape may be difficult (crowds, public transport, queues, being outside the home alone), historically the more disabling presentation;</w:t>
      </w:r>
    </w:p>
    <w:p>
      <w:pPr>
        <w:spacing w:before="0" w:after="80"/>
      </w:pPr>
      <w:r>
        <w:rPr>
          <w:rFonts w:ascii="Calibri" w:hAnsi="Calibri"/>
          <w:b w:val="0"/>
          <w:i w:val="0"/>
          <w:color w:val="212121"/>
          <w:sz w:val="21"/>
        </w:rPr>
        <w:t>(3) By attack type — unexpected (uncued) attacks, characteristic of panic disorder, versus situationally bound or predisposed attacks that typify phobic disorders;</w:t>
      </w:r>
    </w:p>
    <w:p>
      <w:pPr>
        <w:spacing w:before="0" w:after="80"/>
      </w:pPr>
      <w:r>
        <w:rPr>
          <w:rFonts w:ascii="Calibri" w:hAnsi="Calibri"/>
          <w:b w:val="0"/>
          <w:i w:val="0"/>
          <w:color w:val="212121"/>
          <w:sz w:val="21"/>
        </w:rPr>
        <w:t>(4) By severity and course — episodic with full inter-episode remission versus persistent/chronic disease with frequent attacks; nocturnal panic (waking from sleep in panic) marks a more severe subtype.</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Heritability is moderate; first-degree relatives of an affected person carry roughly a 40% increased risk, reflecting polygenic vulnerability shared with other anxiety and mood disorders.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Neurobiological dysregulation: Hyperexcitability of the amygdala–brainstem “fear network” with noradrenergic (locus coeruleus), serotonergic and GABAergic imbalance lowers the threshold for the fight-or-flight response.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CO2 / suffocation false-alarm sensitivity: Heightened brainstem chemoreceptor sensitivity to rising CO2 and lactate triggers an abrupt respiratory alarm and panic (the basis of CO2 and sodium-lactate provocation tests).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Cognitive factors: Catastrophic misinterpretation of benign bodily sensations (e.g., a fast heartbeat read as a heart attack) creates a self-amplifying cycle of fear and arousal.</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Psychosocial stressors and trauma: Major life stress, bereavement, and childhood physical or sexual abuse precipitate onset in vulnerable individuals.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Substances and stimulants: Caffeine, nicotine, cannabis and stimulant drugs — and withdrawal from alcohol or sedatives — can provoke or worsen attacks.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Female sex and hormonal factors: Women are affected about twice as often, with symptom fluctuation around the menstrual cycle, in the postpartum period and during perimenopause.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and working-age adults (18–44 years)</w:t>
            </w:r>
          </w:p>
        </w:tc>
        <w:tc>
          <w:tcPr>
            <w:tcW w:type="dxa" w:w="4276"/>
            <w:vAlign w:val="top"/>
          </w:tcPr>
          <w:p>
            <w:pPr>
              <w:spacing w:after="60" w:line="259" w:lineRule="auto"/>
            </w:pPr>
            <w:r>
              <w:rPr>
                <w:rFonts w:ascii="Calibri" w:hAnsi="Calibri"/>
                <w:b w:val="0"/>
                <w:i w:val="0"/>
                <w:color w:val="212121"/>
                <w:sz w:val="19"/>
              </w:rPr>
              <w:t>Panic disorder typically begins in the late teens to mid-30s, when interoceptive sensitivity, academic and occupational stress and stimulant use converge; this is the peak period for unexpected attacks.</w:t>
            </w:r>
          </w:p>
          <w:p>
            <w:pPr>
              <w:spacing w:after="40" w:before="60" w:line="259" w:lineRule="auto"/>
            </w:pPr>
            <w:r>
              <w:rPr>
                <w:rFonts w:ascii="Calibri" w:hAnsi="Calibri"/>
                <w:b w:val="0"/>
                <w:i w:val="0"/>
                <w:color w:val="212121"/>
                <w:sz w:val="19"/>
              </w:rPr>
              <w:t>Past-year prevalence is highest in adults aged 30–44 (about 3.7%) and 18–29 (about 2.8%); onset before age 14 is uncommon.</w:t>
            </w:r>
          </w:p>
          <w:p>
            <w:pPr>
              <w:spacing w:after="40" w:line="252" w:lineRule="auto"/>
            </w:pPr>
            <w:hyperlink r:id="rId9">
              <w:r>
                <w:rPr>
                  <w:rFonts w:ascii="Calibri" w:hAnsi="Calibri" w:cs="Calibri"/>
                  <w:sz w:val="18"/>
                  <w:color w:val="1155CC"/>
                  <w:u w:val="single"/>
                </w:rPr>
                <w:t xml:space="preserve">nimh.nih.gov — panic disorder statistics</w:t>
              </w:r>
            </w:hyperlink>
          </w:p>
          <w:p>
            <w:pPr>
              <w:spacing w:before="60" w:after="40"/>
            </w:pPr>
            <w:r>
              <w:rPr>
                <w:rFonts w:ascii="Calibri" w:hAnsi="Calibri"/>
                <w:b w:val="0"/>
                <w:i w:val="0"/>
                <w:color w:val="5A5A5A"/>
                <w:sz w:val="18"/>
              </w:rPr>
              <w:t>#panicdisorder  #youngadults  #workstress  #onset</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Prevalence declines with age, but new-onset panic-like symptoms in older adults are more likely to reflect cardiac, endocrine or neurological disease and require medical exclusion before a psychiatric label.</w:t>
            </w:r>
          </w:p>
          <w:p>
            <w:pPr>
              <w:spacing w:after="40" w:before="60" w:line="259" w:lineRule="auto"/>
            </w:pPr>
            <w:r>
              <w:rPr>
                <w:rFonts w:ascii="Calibri" w:hAnsi="Calibri"/>
                <w:b w:val="0"/>
                <w:i w:val="0"/>
                <w:color w:val="212121"/>
                <w:sz w:val="19"/>
              </w:rPr>
              <w:t>Past-year prevalence falls to about 0.8% after age 60.</w:t>
            </w:r>
          </w:p>
          <w:p>
            <w:pPr>
              <w:spacing w:after="40" w:line="252" w:lineRule="auto"/>
            </w:pPr>
            <w:hyperlink r:id="rId9">
              <w:r>
                <w:rPr>
                  <w:rFonts w:ascii="Calibri" w:hAnsi="Calibri" w:cs="Calibri"/>
                  <w:sz w:val="18"/>
                  <w:color w:val="1155CC"/>
                  <w:u w:val="single"/>
                </w:rPr>
                <w:t xml:space="preserve">nimh.nih.gov — panic disorder statistics</w:t>
              </w:r>
            </w:hyperlink>
          </w:p>
          <w:p>
            <w:pPr>
              <w:spacing w:before="60" w:after="40"/>
            </w:pPr>
            <w:r>
              <w:rPr>
                <w:rFonts w:ascii="Calibri" w:hAnsi="Calibri"/>
                <w:b w:val="0"/>
                <w:i w:val="0"/>
                <w:color w:val="5A5A5A"/>
                <w:sz w:val="18"/>
              </w:rPr>
              <w:t>#elderly  #cardiacmimic  #lateonset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Women are affected roughly twice as often as men, reflecting hormonal influences (menstrual, postpartum, perimenopausal) and differences in stress reactivity and interoceptive attention.</w:t>
            </w:r>
          </w:p>
          <w:p>
            <w:pPr>
              <w:spacing w:after="40" w:before="60" w:line="259" w:lineRule="auto"/>
            </w:pPr>
            <w:r>
              <w:rPr>
                <w:rFonts w:ascii="Calibri" w:hAnsi="Calibri"/>
                <w:b w:val="0"/>
                <w:i w:val="0"/>
                <w:color w:val="212121"/>
                <w:sz w:val="19"/>
              </w:rPr>
              <w:t>Past-year prevalence is 3.8% in women versus 1.6% in men (about a 2.4:1 ratio).</w:t>
            </w:r>
          </w:p>
          <w:p>
            <w:pPr>
              <w:spacing w:after="40" w:line="252" w:lineRule="auto"/>
            </w:pPr>
            <w:hyperlink r:id="rId9">
              <w:r>
                <w:rPr>
                  <w:rFonts w:ascii="Calibri" w:hAnsi="Calibri" w:cs="Calibri"/>
                  <w:sz w:val="18"/>
                  <w:color w:val="1155CC"/>
                  <w:u w:val="single"/>
                </w:rPr>
                <w:t xml:space="preserve">nimh.nih.gov — panic disorder statistics</w:t>
              </w:r>
            </w:hyperlink>
          </w:p>
          <w:p>
            <w:pPr>
              <w:spacing w:before="60" w:after="40"/>
            </w:pPr>
            <w:r>
              <w:rPr>
                <w:rFonts w:ascii="Calibri" w:hAnsi="Calibri"/>
                <w:b w:val="0"/>
                <w:i w:val="0"/>
                <w:color w:val="5A5A5A"/>
                <w:sz w:val="18"/>
              </w:rPr>
              <w:t>#women  #hormonal  #sexdifference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and less-educated adults</w:t>
            </w:r>
          </w:p>
        </w:tc>
        <w:tc>
          <w:tcPr>
            <w:tcW w:type="dxa" w:w="4276"/>
            <w:vAlign w:val="top"/>
          </w:tcPr>
          <w:p>
            <w:pPr>
              <w:spacing w:after="60" w:line="259" w:lineRule="auto"/>
            </w:pPr>
            <w:r>
              <w:rPr>
                <w:rFonts w:ascii="Calibri" w:hAnsi="Calibri"/>
                <w:b w:val="0"/>
                <w:i w:val="0"/>
                <w:color w:val="212121"/>
                <w:sz w:val="19"/>
              </w:rPr>
              <w:t>Chronic financial strain, insecure work and limited access to care increase vulnerability to anxiety disorders and reduce the chance of timely diagnosis and treatment.</w:t>
            </w:r>
          </w:p>
          <w:p>
            <w:pPr>
              <w:spacing w:after="40" w:before="60" w:line="259" w:lineRule="auto"/>
            </w:pPr>
            <w:r>
              <w:rPr>
                <w:rFonts w:ascii="Calibri" w:hAnsi="Calibri"/>
                <w:b w:val="0"/>
                <w:i w:val="0"/>
                <w:color w:val="212121"/>
                <w:sz w:val="19"/>
              </w:rPr>
              <w:t>NMHS 2015–16 found overall mental morbidity higher among the less educated and in lower-income households, with a national treatment gap of 84.5%.</w:t>
            </w:r>
          </w:p>
          <w:p>
            <w:pPr>
              <w:spacing w:after="40" w:line="252" w:lineRule="auto"/>
            </w:pPr>
            <w:hyperlink r:id="rId10">
              <w:r>
                <w:rPr>
                  <w:rFonts w:ascii="Calibri" w:hAnsi="Calibri" w:cs="Calibri"/>
                  <w:sz w:val="18"/>
                  <w:color w:val="1155CC"/>
                  <w:u w:val="single"/>
                </w:rPr>
                <w:t xml:space="preserve">NMHS India 2015–16 (Int J Soc Psychiatry)</w:t>
              </w:r>
            </w:hyperlink>
          </w:p>
          <w:p>
            <w:pPr>
              <w:spacing w:before="60" w:after="40"/>
            </w:pPr>
            <w:r>
              <w:rPr>
                <w:rFonts w:ascii="Calibri" w:hAnsi="Calibri"/>
                <w:b w:val="0"/>
                <w:i w:val="0"/>
                <w:color w:val="5A5A5A"/>
                <w:sz w:val="18"/>
              </w:rPr>
              <w:t>#socioeconomic  #treatmentgap  #india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Residence</w:t>
            </w:r>
          </w:p>
        </w:tc>
        <w:tc>
          <w:tcPr>
            <w:tcW w:type="dxa" w:w="2160"/>
            <w:vAlign w:val="top"/>
          </w:tcPr>
          <w:p>
            <w:pPr>
              <w:spacing w:after="40" w:before="0" w:line="259" w:lineRule="auto"/>
            </w:pPr>
            <w:r>
              <w:rPr>
                <w:rFonts w:ascii="Calibri" w:hAnsi="Calibri"/>
                <w:b w:val="0"/>
                <w:i w:val="0"/>
                <w:color w:val="212121"/>
                <w:sz w:val="19"/>
              </w:rPr>
              <w:t>Urban-metro residents</w:t>
            </w:r>
          </w:p>
        </w:tc>
        <w:tc>
          <w:tcPr>
            <w:tcW w:type="dxa" w:w="4276"/>
            <w:vAlign w:val="top"/>
          </w:tcPr>
          <w:p>
            <w:pPr>
              <w:spacing w:after="60" w:line="259" w:lineRule="auto"/>
            </w:pPr>
            <w:r>
              <w:rPr>
                <w:rFonts w:ascii="Calibri" w:hAnsi="Calibri"/>
                <w:b w:val="0"/>
                <w:i w:val="0"/>
                <w:color w:val="212121"/>
                <w:sz w:val="19"/>
              </w:rPr>
              <w:t>Fast-paced urban living, crowding, long commutes, social isolation and irregular routines raise stress and anxiety-disorder rates in Indian metros.</w:t>
            </w:r>
          </w:p>
          <w:p>
            <w:pPr>
              <w:spacing w:after="40" w:before="60" w:line="259" w:lineRule="auto"/>
            </w:pPr>
            <w:r>
              <w:rPr>
                <w:rFonts w:ascii="Calibri" w:hAnsi="Calibri"/>
                <w:b w:val="0"/>
                <w:i w:val="0"/>
                <w:color w:val="212121"/>
                <w:sz w:val="19"/>
              </w:rPr>
              <w:t>NMHS 2015–16 reported higher overall mental morbidity in urban-metro areas than in rural areas.</w:t>
            </w:r>
          </w:p>
          <w:p>
            <w:pPr>
              <w:spacing w:after="40" w:line="252" w:lineRule="auto"/>
            </w:pPr>
            <w:hyperlink r:id="rId10">
              <w:r>
                <w:rPr>
                  <w:rFonts w:ascii="Calibri" w:hAnsi="Calibri" w:cs="Calibri"/>
                  <w:sz w:val="18"/>
                  <w:color w:val="1155CC"/>
                  <w:u w:val="single"/>
                </w:rPr>
                <w:t xml:space="preserve">NMHS India 2015–16 (Int J Soc Psychiatry)</w:t>
              </w:r>
            </w:hyperlink>
          </w:p>
          <w:p>
            <w:pPr>
              <w:spacing w:before="60" w:after="40"/>
            </w:pPr>
            <w:r>
              <w:rPr>
                <w:rFonts w:ascii="Calibri" w:hAnsi="Calibri"/>
                <w:b w:val="0"/>
                <w:i w:val="0"/>
                <w:color w:val="5A5A5A"/>
                <w:sz w:val="18"/>
              </w:rPr>
              <w:t>#urban  #metrostress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Ethnicity &amp; culture</w:t>
            </w:r>
          </w:p>
        </w:tc>
        <w:tc>
          <w:tcPr>
            <w:tcW w:type="dxa" w:w="2160"/>
            <w:vAlign w:val="top"/>
          </w:tcPr>
          <w:p>
            <w:pPr>
              <w:spacing w:after="40" w:before="0" w:line="259" w:lineRule="auto"/>
            </w:pPr>
            <w:r>
              <w:rPr>
                <w:rFonts w:ascii="Calibri" w:hAnsi="Calibri"/>
                <w:b w:val="0"/>
                <w:i w:val="0"/>
                <w:color w:val="212121"/>
                <w:sz w:val="19"/>
              </w:rPr>
              <w:t>South Asian somatic presenters</w:t>
            </w:r>
          </w:p>
        </w:tc>
        <w:tc>
          <w:tcPr>
            <w:tcW w:type="dxa" w:w="4276"/>
            <w:vAlign w:val="top"/>
          </w:tcPr>
          <w:p>
            <w:pPr>
              <w:spacing w:after="60" w:line="259" w:lineRule="auto"/>
            </w:pPr>
            <w:r>
              <w:rPr>
                <w:rFonts w:ascii="Calibri" w:hAnsi="Calibri"/>
                <w:b w:val="0"/>
                <w:i w:val="0"/>
                <w:color w:val="212121"/>
                <w:sz w:val="19"/>
              </w:rPr>
              <w:t>In Indian and other South Asian populations panic is frequently expressed through bodily symptoms (palpitations, breathlessness, “ghabrahat”), so patients repeatedly seek cardiac and general-medical care rather than mental-health services.</w:t>
            </w:r>
          </w:p>
          <w:p>
            <w:pPr>
              <w:spacing w:after="40" w:before="60" w:line="259" w:lineRule="auto"/>
            </w:pPr>
            <w:r>
              <w:rPr>
                <w:rFonts w:ascii="Calibri" w:hAnsi="Calibri"/>
                <w:b w:val="0"/>
                <w:i w:val="0"/>
                <w:color w:val="212121"/>
                <w:sz w:val="19"/>
              </w:rPr>
              <w:t>Cross-cultural data show measurable ethnic variation, with higher reported panic-disorder prevalence among European Americans than Asian, African or Latino Americans.</w:t>
            </w:r>
          </w:p>
          <w:p>
            <w:pPr>
              <w:spacing w:after="40" w:line="252" w:lineRule="auto"/>
            </w:pPr>
            <w:hyperlink r:id="rId11">
              <w:r>
                <w:rPr>
                  <w:rFonts w:ascii="Calibri" w:hAnsi="Calibri" w:cs="Calibri"/>
                  <w:sz w:val="18"/>
                  <w:color w:val="1155CC"/>
                  <w:u w:val="single"/>
                </w:rPr>
                <w:t xml:space="preserve">statpearls (ncbi.nlm.nih.gov) — panic disorder</w:t>
              </w:r>
            </w:hyperlink>
          </w:p>
          <w:p>
            <w:pPr>
              <w:spacing w:before="60" w:after="40"/>
            </w:pPr>
            <w:r>
              <w:rPr>
                <w:rFonts w:ascii="Calibri" w:hAnsi="Calibri"/>
                <w:b w:val="0"/>
                <w:i w:val="0"/>
                <w:color w:val="5A5A5A"/>
                <w:sz w:val="18"/>
              </w:rPr>
              <w:t>#somatisation  #culture  #ghabrahat</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Physically inactive, deconditioned adults</w:t>
            </w:r>
          </w:p>
        </w:tc>
        <w:tc>
          <w:tcPr>
            <w:tcW w:type="dxa" w:w="4276"/>
            <w:vAlign w:val="top"/>
          </w:tcPr>
          <w:p>
            <w:pPr>
              <w:spacing w:after="60" w:line="259" w:lineRule="auto"/>
            </w:pPr>
            <w:r>
              <w:rPr>
                <w:rFonts w:ascii="Calibri" w:hAnsi="Calibri"/>
                <w:b w:val="0"/>
                <w:i w:val="0"/>
                <w:color w:val="212121"/>
                <w:sz w:val="19"/>
              </w:rPr>
              <w:t>Physical inactivity lowers cardiorespiratory fitness and heightens sensitivity to bodily sensations, while regular exercise reduces anxiety and can rival medication for mild-to-moderate symptoms.</w:t>
            </w:r>
          </w:p>
          <w:p>
            <w:pPr>
              <w:spacing w:after="40" w:before="60" w:line="259" w:lineRule="auto"/>
            </w:pPr>
            <w:r>
              <w:rPr>
                <w:rFonts w:ascii="Calibri" w:hAnsi="Calibri"/>
                <w:b w:val="0"/>
                <w:i w:val="0"/>
                <w:color w:val="212121"/>
                <w:sz w:val="19"/>
              </w:rPr>
              <w:t>Aerobic exercise reduces symptoms and, for some people, works as well as antidepressants for mild-to-moderate mood symptoms.</w:t>
            </w:r>
          </w:p>
          <w:p>
            <w:pPr>
              <w:spacing w:after="40" w:line="252" w:lineRule="auto"/>
            </w:pPr>
            <w:hyperlink r:id="rId12">
              <w:r>
                <w:rPr>
                  <w:rFonts w:ascii="Calibri" w:hAnsi="Calibri" w:cs="Calibri"/>
                  <w:sz w:val="18"/>
                  <w:color w:val="1155CC"/>
                  <w:u w:val="single"/>
                </w:rPr>
                <w:t xml:space="preserve">health.harvard.edu — exercise for mood/anxiety</w:t>
              </w:r>
            </w:hyperlink>
          </w:p>
          <w:p>
            <w:pPr>
              <w:spacing w:before="60" w:after="40"/>
            </w:pPr>
            <w:r>
              <w:rPr>
                <w:rFonts w:ascii="Calibri" w:hAnsi="Calibri"/>
                <w:b w:val="0"/>
                <w:i w:val="0"/>
                <w:color w:val="5A5A5A"/>
                <w:sz w:val="18"/>
              </w:rPr>
              <w:t>#sedentary  #deconditioning  #exercise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Nicotine stimulates the sympathetic nervous system and cessation/withdrawal provokes anxiety; smoking is an established risk factor for panic attacks and panic disorder.</w:t>
            </w:r>
          </w:p>
          <w:p>
            <w:pPr>
              <w:spacing w:after="40" w:before="60" w:line="259" w:lineRule="auto"/>
            </w:pPr>
            <w:r>
              <w:rPr>
                <w:rFonts w:ascii="Calibri" w:hAnsi="Calibri"/>
                <w:b w:val="0"/>
                <w:i w:val="0"/>
                <w:color w:val="212121"/>
                <w:sz w:val="19"/>
              </w:rPr>
              <w:t>Smoking and excessive caffeine intake are recognised risk factors for panic attacks and panic disorder.</w:t>
            </w:r>
          </w:p>
          <w:p>
            <w:pPr>
              <w:spacing w:after="40" w:line="252" w:lineRule="auto"/>
            </w:pPr>
            <w:hyperlink r:id="rId13">
              <w:r>
                <w:rPr>
                  <w:rFonts w:ascii="Calibri" w:hAnsi="Calibri" w:cs="Calibri"/>
                  <w:sz w:val="18"/>
                  <w:color w:val="1155CC"/>
                  <w:u w:val="single"/>
                </w:rPr>
                <w:t xml:space="preserve">mayoclinic.org — panic attacks &amp; panic disorder</w:t>
              </w:r>
            </w:hyperlink>
          </w:p>
          <w:p>
            <w:pPr>
              <w:spacing w:before="60" w:after="40"/>
            </w:pPr>
            <w:r>
              <w:rPr>
                <w:rFonts w:ascii="Calibri" w:hAnsi="Calibri"/>
                <w:b w:val="0"/>
                <w:i w:val="0"/>
                <w:color w:val="5A5A5A"/>
                <w:sz w:val="18"/>
              </w:rPr>
              <w:t>#smoking  #nicotine  #trigger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alcohol or sedative users</w:t>
            </w:r>
          </w:p>
        </w:tc>
        <w:tc>
          <w:tcPr>
            <w:tcW w:type="dxa" w:w="4276"/>
            <w:vAlign w:val="top"/>
          </w:tcPr>
          <w:p>
            <w:pPr>
              <w:spacing w:after="60" w:line="259" w:lineRule="auto"/>
            </w:pPr>
            <w:r>
              <w:rPr>
                <w:rFonts w:ascii="Calibri" w:hAnsi="Calibri"/>
                <w:b w:val="0"/>
                <w:i w:val="0"/>
                <w:color w:val="212121"/>
                <w:sz w:val="19"/>
              </w:rPr>
              <w:t>Alcohol and benzodiazepines are often used to self-medicate anxiety, but intoxication and especially withdrawal precipitate panic attacks and perpetuate a dependence cycle.</w:t>
            </w:r>
          </w:p>
          <w:p>
            <w:pPr>
              <w:spacing w:after="40" w:before="60" w:line="259" w:lineRule="auto"/>
            </w:pPr>
            <w:r>
              <w:rPr>
                <w:rFonts w:ascii="Calibri" w:hAnsi="Calibri"/>
                <w:b w:val="0"/>
                <w:i w:val="0"/>
                <w:color w:val="212121"/>
                <w:sz w:val="19"/>
              </w:rPr>
              <w:t>Untreated panic disorder is associated with increased alcohol or other substance misuse.</w:t>
            </w:r>
          </w:p>
          <w:p>
            <w:pPr>
              <w:spacing w:after="40" w:line="252" w:lineRule="auto"/>
            </w:pPr>
            <w:hyperlink r:id="rId13">
              <w:r>
                <w:rPr>
                  <w:rFonts w:ascii="Calibri" w:hAnsi="Calibri" w:cs="Calibri"/>
                  <w:sz w:val="18"/>
                  <w:color w:val="1155CC"/>
                  <w:u w:val="single"/>
                </w:rPr>
                <w:t xml:space="preserve">mayoclinic.org — panic attacks &amp; panic disorder</w:t>
              </w:r>
            </w:hyperlink>
          </w:p>
          <w:p>
            <w:pPr>
              <w:spacing w:before="60" w:after="40"/>
            </w:pPr>
            <w:r>
              <w:rPr>
                <w:rFonts w:ascii="Calibri" w:hAnsi="Calibri"/>
                <w:b w:val="0"/>
                <w:i w:val="0"/>
                <w:color w:val="5A5A5A"/>
                <w:sz w:val="18"/>
              </w:rPr>
              <w:t>#alcohol  #withdrawal  #selfmedication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Sleep deprivation</w:t>
            </w:r>
          </w:p>
        </w:tc>
        <w:tc>
          <w:tcPr>
            <w:tcW w:type="dxa" w:w="2160"/>
            <w:vAlign w:val="top"/>
          </w:tcPr>
          <w:p>
            <w:pPr>
              <w:spacing w:after="40" w:before="0" w:line="259" w:lineRule="auto"/>
            </w:pPr>
            <w:r>
              <w:rPr>
                <w:rFonts w:ascii="Calibri" w:hAnsi="Calibri"/>
                <w:b w:val="0"/>
                <w:i w:val="0"/>
                <w:color w:val="212121"/>
                <w:sz w:val="19"/>
              </w:rPr>
              <w:t>Shift workers and the sleep-deprived</w:t>
            </w:r>
          </w:p>
        </w:tc>
        <w:tc>
          <w:tcPr>
            <w:tcW w:type="dxa" w:w="4276"/>
            <w:vAlign w:val="top"/>
          </w:tcPr>
          <w:p>
            <w:pPr>
              <w:spacing w:after="60" w:line="259" w:lineRule="auto"/>
            </w:pPr>
            <w:r>
              <w:rPr>
                <w:rFonts w:ascii="Calibri" w:hAnsi="Calibri"/>
                <w:b w:val="0"/>
                <w:i w:val="0"/>
                <w:color w:val="212121"/>
                <w:sz w:val="19"/>
              </w:rPr>
              <w:t>Sleep loss and irregular circadian rhythms heighten autonomic arousal and lower the panic threshold; nocturnal panic attacks can wake patients from sleep.</w:t>
            </w:r>
          </w:p>
          <w:p>
            <w:pPr>
              <w:spacing w:after="40" w:before="60" w:line="259" w:lineRule="auto"/>
            </w:pPr>
            <w:r>
              <w:rPr>
                <w:rFonts w:ascii="Calibri" w:hAnsi="Calibri"/>
                <w:b w:val="0"/>
                <w:i w:val="0"/>
                <w:color w:val="212121"/>
                <w:sz w:val="19"/>
              </w:rPr>
              <w:t>Sleep deprivation and disrupted circadian rhythm are clinically recognised precipitants of panic attacks, including nocturnal panic.</w:t>
            </w:r>
          </w:p>
          <w:p>
            <w:pPr>
              <w:spacing w:before="60" w:after="40"/>
            </w:pPr>
            <w:r>
              <w:rPr>
                <w:rFonts w:ascii="Calibri" w:hAnsi="Calibri"/>
                <w:b w:val="0"/>
                <w:i w:val="0"/>
                <w:color w:val="5A5A5A"/>
                <w:sz w:val="18"/>
              </w:rPr>
              <w:t>#sleeploss  #shiftwork  #nocturnalpanic</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Caffeine</w:t>
            </w:r>
          </w:p>
        </w:tc>
        <w:tc>
          <w:tcPr>
            <w:tcW w:type="dxa" w:w="2160"/>
            <w:vAlign w:val="top"/>
          </w:tcPr>
          <w:p>
            <w:pPr>
              <w:spacing w:after="40" w:before="0" w:line="259" w:lineRule="auto"/>
            </w:pPr>
            <w:r>
              <w:rPr>
                <w:rFonts w:ascii="Calibri" w:hAnsi="Calibri"/>
                <w:b w:val="0"/>
                <w:i w:val="0"/>
                <w:color w:val="212121"/>
                <w:sz w:val="19"/>
              </w:rPr>
              <w:t>High caffeine and energy-drink consumers</w:t>
            </w:r>
          </w:p>
        </w:tc>
        <w:tc>
          <w:tcPr>
            <w:tcW w:type="dxa" w:w="4276"/>
            <w:vAlign w:val="top"/>
          </w:tcPr>
          <w:p>
            <w:pPr>
              <w:spacing w:after="60" w:line="259" w:lineRule="auto"/>
            </w:pPr>
            <w:r>
              <w:rPr>
                <w:rFonts w:ascii="Calibri" w:hAnsi="Calibri"/>
                <w:b w:val="0"/>
                <w:i w:val="0"/>
                <w:color w:val="212121"/>
                <w:sz w:val="19"/>
              </w:rPr>
              <w:t>Caffeine is a well-documented panicogen: it raises adrenergic tone and, like CO2 and lactate, reliably provokes attacks in susceptible people in a dose-dependent way.</w:t>
            </w:r>
          </w:p>
          <w:p>
            <w:pPr>
              <w:spacing w:after="40" w:before="60" w:line="259" w:lineRule="auto"/>
            </w:pPr>
            <w:r>
              <w:rPr>
                <w:rFonts w:ascii="Calibri" w:hAnsi="Calibri"/>
                <w:b w:val="0"/>
                <w:i w:val="0"/>
                <w:color w:val="212121"/>
                <w:sz w:val="19"/>
              </w:rPr>
              <w:t>Excessive caffeine intake is a recognised trigger for panic attacks.</w:t>
            </w:r>
          </w:p>
          <w:p>
            <w:pPr>
              <w:spacing w:after="40" w:line="252" w:lineRule="auto"/>
            </w:pPr>
            <w:hyperlink r:id="rId13">
              <w:r>
                <w:rPr>
                  <w:rFonts w:ascii="Calibri" w:hAnsi="Calibri" w:cs="Calibri"/>
                  <w:sz w:val="18"/>
                  <w:color w:val="1155CC"/>
                  <w:u w:val="single"/>
                </w:rPr>
                <w:t xml:space="preserve">mayoclinic.org — panic attacks &amp; panic disorder</w:t>
              </w:r>
            </w:hyperlink>
          </w:p>
          <w:p>
            <w:pPr>
              <w:spacing w:before="60" w:after="40"/>
            </w:pPr>
            <w:r>
              <w:rPr>
                <w:rFonts w:ascii="Calibri" w:hAnsi="Calibri"/>
                <w:b w:val="0"/>
                <w:i w:val="0"/>
                <w:color w:val="5A5A5A"/>
                <w:sz w:val="18"/>
              </w:rPr>
              <w:t>#caffeine  #energydrinks  #panicogen</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panic or anxiety disorder</w:t>
            </w:r>
          </w:p>
        </w:tc>
        <w:tc>
          <w:tcPr>
            <w:tcW w:type="dxa" w:w="4276"/>
            <w:vAlign w:val="top"/>
          </w:tcPr>
          <w:p>
            <w:pPr>
              <w:spacing w:after="60" w:line="259" w:lineRule="auto"/>
            </w:pPr>
            <w:r>
              <w:rPr>
                <w:rFonts w:ascii="Calibri" w:hAnsi="Calibri"/>
                <w:b w:val="0"/>
                <w:i w:val="0"/>
                <w:color w:val="212121"/>
                <w:sz w:val="19"/>
              </w:rPr>
              <w:t>Panic disorder aggregates in families through shared polygenic vulnerability affecting the fear network and neurotransmitter systems.</w:t>
            </w:r>
          </w:p>
          <w:p>
            <w:pPr>
              <w:spacing w:after="40" w:before="60" w:line="259" w:lineRule="auto"/>
            </w:pPr>
            <w:r>
              <w:rPr>
                <w:rFonts w:ascii="Calibri" w:hAnsi="Calibri"/>
                <w:b w:val="0"/>
                <w:i w:val="0"/>
                <w:color w:val="212121"/>
                <w:sz w:val="19"/>
              </w:rPr>
              <w:t>First-degree relatives of an affected person have about a 40% increased risk of developing panic disorder.</w:t>
            </w:r>
          </w:p>
          <w:p>
            <w:pPr>
              <w:spacing w:after="40" w:line="252" w:lineRule="auto"/>
            </w:pPr>
            <w:hyperlink r:id="rId14">
              <w:r>
                <w:rPr>
                  <w:rFonts w:ascii="Calibri" w:hAnsi="Calibri" w:cs="Calibri"/>
                  <w:sz w:val="18"/>
                  <w:color w:val="1155CC"/>
                  <w:u w:val="single"/>
                </w:rPr>
                <w:t xml:space="preserve">my.clevelandclinic.org — panic disorder</w:t>
              </w:r>
            </w:hyperlink>
          </w:p>
          <w:p>
            <w:pPr>
              <w:spacing w:before="60" w:after="40"/>
            </w:pPr>
            <w:r>
              <w:rPr>
                <w:rFonts w:ascii="Calibri" w:hAnsi="Calibri"/>
                <w:b w:val="0"/>
                <w:i w:val="0"/>
                <w:color w:val="5A5A5A"/>
                <w:sz w:val="18"/>
              </w:rPr>
              <w:t>#familyhistory  #genetic  #heritability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Temperament</w:t>
            </w:r>
          </w:p>
        </w:tc>
        <w:tc>
          <w:tcPr>
            <w:tcW w:type="dxa" w:w="2160"/>
            <w:vAlign w:val="top"/>
          </w:tcPr>
          <w:p>
            <w:pPr>
              <w:spacing w:after="40" w:before="0" w:line="259" w:lineRule="auto"/>
            </w:pPr>
            <w:r>
              <w:rPr>
                <w:rFonts w:ascii="Calibri" w:hAnsi="Calibri"/>
                <w:b w:val="0"/>
                <w:i w:val="0"/>
                <w:color w:val="212121"/>
                <w:sz w:val="19"/>
              </w:rPr>
              <w:t>High anxiety-sensitivity / behavioural inhibition</w:t>
            </w:r>
          </w:p>
        </w:tc>
        <w:tc>
          <w:tcPr>
            <w:tcW w:type="dxa" w:w="4276"/>
            <w:vAlign w:val="top"/>
          </w:tcPr>
          <w:p>
            <w:pPr>
              <w:spacing w:after="60" w:line="259" w:lineRule="auto"/>
            </w:pPr>
            <w:r>
              <w:rPr>
                <w:rFonts w:ascii="Calibri" w:hAnsi="Calibri"/>
                <w:b w:val="0"/>
                <w:i w:val="0"/>
                <w:color w:val="212121"/>
                <w:sz w:val="19"/>
              </w:rPr>
              <w:t>A temperamental tendency to fear bodily sensations (“anxiety sensitivity”) and childhood behavioural inhibition predict later panic disorder and amplify catastrophic misinterpretation of arousal.</w:t>
            </w:r>
          </w:p>
          <w:p>
            <w:pPr>
              <w:spacing w:after="40" w:before="60" w:line="259" w:lineRule="auto"/>
            </w:pPr>
            <w:r>
              <w:rPr>
                <w:rFonts w:ascii="Calibri" w:hAnsi="Calibri"/>
                <w:b w:val="0"/>
                <w:i w:val="0"/>
                <w:color w:val="212121"/>
                <w:sz w:val="19"/>
              </w:rPr>
              <w:t>Anxiety sensitivity and behavioural inhibition are established temperamental risk markers for panic disorder.</w:t>
            </w:r>
          </w:p>
          <w:p>
            <w:pPr>
              <w:spacing w:before="60" w:after="40"/>
            </w:pPr>
            <w:r>
              <w:rPr>
                <w:rFonts w:ascii="Calibri" w:hAnsi="Calibri"/>
                <w:b w:val="0"/>
                <w:i w:val="0"/>
                <w:color w:val="5A5A5A"/>
                <w:sz w:val="18"/>
              </w:rPr>
              <w:t>#anxietysensitivity  #temperament  #interoception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Depression</w:t>
            </w:r>
          </w:p>
        </w:tc>
        <w:tc>
          <w:tcPr>
            <w:tcW w:type="dxa" w:w="2160"/>
            <w:vAlign w:val="top"/>
          </w:tcPr>
          <w:p>
            <w:pPr>
              <w:spacing w:after="40" w:before="0" w:line="259" w:lineRule="auto"/>
            </w:pPr>
            <w:r>
              <w:rPr>
                <w:rFonts w:ascii="Calibri" w:hAnsi="Calibri"/>
                <w:b w:val="0"/>
                <w:i w:val="0"/>
                <w:color w:val="212121"/>
                <w:sz w:val="19"/>
              </w:rPr>
              <w:t>Patients with major depression</w:t>
            </w:r>
          </w:p>
        </w:tc>
        <w:tc>
          <w:tcPr>
            <w:tcW w:type="dxa" w:w="4276"/>
            <w:vAlign w:val="top"/>
          </w:tcPr>
          <w:p>
            <w:pPr>
              <w:spacing w:after="60" w:line="259" w:lineRule="auto"/>
            </w:pPr>
            <w:r>
              <w:rPr>
                <w:rFonts w:ascii="Calibri" w:hAnsi="Calibri"/>
                <w:b w:val="0"/>
                <w:i w:val="0"/>
                <w:color w:val="212121"/>
                <w:sz w:val="19"/>
              </w:rPr>
              <w:t>Depression and panic disorder share monoaminergic and stress-axis mechanisms and frequently co-occur; each worsens the other’s course and raises suicide risk.</w:t>
            </w:r>
          </w:p>
          <w:p>
            <w:pPr>
              <w:spacing w:after="40" w:before="60" w:line="259" w:lineRule="auto"/>
            </w:pPr>
            <w:r>
              <w:rPr>
                <w:rFonts w:ascii="Calibri" w:hAnsi="Calibri"/>
                <w:b w:val="0"/>
                <w:i w:val="0"/>
                <w:color w:val="212121"/>
                <w:sz w:val="19"/>
              </w:rPr>
              <w:t>Untreated panic disorder increases the risk of depression, other anxiety disorders and suicidal thoughts.</w:t>
            </w:r>
          </w:p>
          <w:p>
            <w:pPr>
              <w:spacing w:after="40" w:line="252" w:lineRule="auto"/>
            </w:pPr>
            <w:hyperlink r:id="rId13">
              <w:r>
                <w:rPr>
                  <w:rFonts w:ascii="Calibri" w:hAnsi="Calibri" w:cs="Calibri"/>
                  <w:sz w:val="18"/>
                  <w:color w:val="1155CC"/>
                  <w:u w:val="single"/>
                </w:rPr>
                <w:t xml:space="preserve">mayoclinic.org — panic attacks &amp; panic disorder</w:t>
              </w:r>
            </w:hyperlink>
          </w:p>
          <w:p>
            <w:pPr>
              <w:spacing w:before="60" w:after="40"/>
            </w:pPr>
            <w:r>
              <w:rPr>
                <w:rFonts w:ascii="Calibri" w:hAnsi="Calibri"/>
                <w:b w:val="0"/>
                <w:i w:val="0"/>
                <w:color w:val="5A5A5A"/>
                <w:sz w:val="18"/>
              </w:rPr>
              <w:t>#depression  #comorbidity  #suiciderisk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Agoraphobia</w:t>
            </w:r>
          </w:p>
        </w:tc>
        <w:tc>
          <w:tcPr>
            <w:tcW w:type="dxa" w:w="2160"/>
            <w:vAlign w:val="top"/>
          </w:tcPr>
          <w:p>
            <w:pPr>
              <w:spacing w:after="40" w:before="0" w:line="259" w:lineRule="auto"/>
            </w:pPr>
            <w:r>
              <w:rPr>
                <w:rFonts w:ascii="Calibri" w:hAnsi="Calibri"/>
                <w:b w:val="0"/>
                <w:i w:val="0"/>
                <w:color w:val="212121"/>
                <w:sz w:val="19"/>
              </w:rPr>
              <w:t>Patients with agoraphobia</w:t>
            </w:r>
          </w:p>
        </w:tc>
        <w:tc>
          <w:tcPr>
            <w:tcW w:type="dxa" w:w="4276"/>
            <w:vAlign w:val="top"/>
          </w:tcPr>
          <w:p>
            <w:pPr>
              <w:spacing w:after="60" w:line="259" w:lineRule="auto"/>
            </w:pPr>
            <w:r>
              <w:rPr>
                <w:rFonts w:ascii="Calibri" w:hAnsi="Calibri"/>
                <w:b w:val="0"/>
                <w:i w:val="0"/>
                <w:color w:val="212121"/>
                <w:sz w:val="19"/>
              </w:rPr>
              <w:t>A substantial minority of people with panic disorder develop agoraphobic avoidance of situations where escape feels difficult, which markedly increases disability.</w:t>
            </w:r>
          </w:p>
          <w:p>
            <w:pPr>
              <w:spacing w:after="40" w:before="60" w:line="259" w:lineRule="auto"/>
            </w:pPr>
            <w:r>
              <w:rPr>
                <w:rFonts w:ascii="Calibri" w:hAnsi="Calibri"/>
                <w:b w:val="0"/>
                <w:i w:val="0"/>
                <w:color w:val="212121"/>
                <w:sz w:val="19"/>
              </w:rPr>
              <w:t>Disability and impairment are greatest when panic disorder co-occurs with agoraphobia.</w:t>
            </w:r>
          </w:p>
          <w:p>
            <w:pPr>
              <w:spacing w:after="40" w:line="252" w:lineRule="auto"/>
            </w:pPr>
            <w:hyperlink r:id="rId15">
              <w:r>
                <w:rPr>
                  <w:rFonts w:ascii="Calibri" w:hAnsi="Calibri" w:cs="Calibri"/>
                  <w:sz w:val="18"/>
                  <w:color w:val="1155CC"/>
                  <w:u w:val="single"/>
                </w:rPr>
                <w:t xml:space="preserve">adaa.org — panic disorder &amp; agoraphobia</w:t>
              </w:r>
            </w:hyperlink>
          </w:p>
          <w:p>
            <w:pPr>
              <w:spacing w:before="60" w:after="40"/>
            </w:pPr>
            <w:r>
              <w:rPr>
                <w:rFonts w:ascii="Calibri" w:hAnsi="Calibri"/>
                <w:b w:val="0"/>
                <w:i w:val="0"/>
                <w:color w:val="5A5A5A"/>
                <w:sz w:val="18"/>
              </w:rPr>
              <w:t>#agoraphobia  #avoidance  #disability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Respiratory disease</w:t>
            </w:r>
          </w:p>
        </w:tc>
        <w:tc>
          <w:tcPr>
            <w:tcW w:type="dxa" w:w="2160"/>
            <w:vAlign w:val="top"/>
          </w:tcPr>
          <w:p>
            <w:pPr>
              <w:spacing w:after="40" w:before="0" w:line="259" w:lineRule="auto"/>
            </w:pPr>
            <w:r>
              <w:rPr>
                <w:rFonts w:ascii="Calibri" w:hAnsi="Calibri"/>
                <w:b w:val="0"/>
                <w:i w:val="0"/>
                <w:color w:val="212121"/>
                <w:sz w:val="19"/>
              </w:rPr>
              <w:t>Patients with asthma or COPD</w:t>
            </w:r>
          </w:p>
        </w:tc>
        <w:tc>
          <w:tcPr>
            <w:tcW w:type="dxa" w:w="4276"/>
            <w:vAlign w:val="top"/>
          </w:tcPr>
          <w:p>
            <w:pPr>
              <w:spacing w:after="60" w:line="259" w:lineRule="auto"/>
            </w:pPr>
            <w:r>
              <w:rPr>
                <w:rFonts w:ascii="Calibri" w:hAnsi="Calibri"/>
                <w:b w:val="0"/>
                <w:i w:val="0"/>
                <w:color w:val="212121"/>
                <w:sz w:val="19"/>
              </w:rPr>
              <w:t>Chronic breathlessness and air-hunger overlap with panic symptoms and heighten CO2/suffocation sensitivity; panic disorder is over-represented in asthma and COPD.</w:t>
            </w:r>
          </w:p>
          <w:p>
            <w:pPr>
              <w:spacing w:after="40" w:before="60" w:line="259" w:lineRule="auto"/>
            </w:pPr>
            <w:r>
              <w:rPr>
                <w:rFonts w:ascii="Calibri" w:hAnsi="Calibri"/>
                <w:b w:val="0"/>
                <w:i w:val="0"/>
                <w:color w:val="212121"/>
                <w:sz w:val="19"/>
              </w:rPr>
              <w:t>Asthma and COPD are among the conditions recognised as associated with panic disorder.</w:t>
            </w:r>
          </w:p>
          <w:p>
            <w:pPr>
              <w:spacing w:after="40" w:line="252" w:lineRule="auto"/>
            </w:pPr>
            <w:hyperlink r:id="rId11">
              <w:r>
                <w:rPr>
                  <w:rFonts w:ascii="Calibri" w:hAnsi="Calibri" w:cs="Calibri"/>
                  <w:sz w:val="18"/>
                  <w:color w:val="1155CC"/>
                  <w:u w:val="single"/>
                </w:rPr>
                <w:t xml:space="preserve">statpearls (ncbi.nlm.nih.gov) — panic disorder</w:t>
              </w:r>
            </w:hyperlink>
          </w:p>
          <w:p>
            <w:pPr>
              <w:spacing w:before="60" w:after="40"/>
            </w:pPr>
            <w:r>
              <w:rPr>
                <w:rFonts w:ascii="Calibri" w:hAnsi="Calibri"/>
                <w:b w:val="0"/>
                <w:i w:val="0"/>
                <w:color w:val="5A5A5A"/>
                <w:sz w:val="18"/>
              </w:rPr>
              <w:t>#asthma  #COPD  #dyspnoea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Cardiac</w:t>
            </w:r>
          </w:p>
        </w:tc>
        <w:tc>
          <w:tcPr>
            <w:tcW w:type="dxa" w:w="2160"/>
            <w:vAlign w:val="top"/>
          </w:tcPr>
          <w:p>
            <w:pPr>
              <w:spacing w:after="40" w:before="0" w:line="259" w:lineRule="auto"/>
            </w:pPr>
            <w:r>
              <w:rPr>
                <w:rFonts w:ascii="Calibri" w:hAnsi="Calibri"/>
                <w:b w:val="0"/>
                <w:i w:val="0"/>
                <w:color w:val="212121"/>
                <w:sz w:val="19"/>
              </w:rPr>
              <w:t>Patients with mitral valve prolapse or palpitation syndromes</w:t>
            </w:r>
          </w:p>
        </w:tc>
        <w:tc>
          <w:tcPr>
            <w:tcW w:type="dxa" w:w="4276"/>
            <w:vAlign w:val="top"/>
          </w:tcPr>
          <w:p>
            <w:pPr>
              <w:spacing w:after="60" w:line="259" w:lineRule="auto"/>
            </w:pPr>
            <w:r>
              <w:rPr>
                <w:rFonts w:ascii="Calibri" w:hAnsi="Calibri"/>
                <w:b w:val="0"/>
                <w:i w:val="0"/>
                <w:color w:val="212121"/>
                <w:sz w:val="19"/>
              </w:rPr>
              <w:t>Mitral valve prolapse and other benign palpitation syndromes are classically associated with panic disorder and amplify cardiac-focused catastrophic misinterpretation.</w:t>
            </w:r>
          </w:p>
          <w:p>
            <w:pPr>
              <w:spacing w:after="40" w:before="60" w:line="259" w:lineRule="auto"/>
            </w:pPr>
            <w:r>
              <w:rPr>
                <w:rFonts w:ascii="Calibri" w:hAnsi="Calibri"/>
                <w:b w:val="0"/>
                <w:i w:val="0"/>
                <w:color w:val="212121"/>
                <w:sz w:val="19"/>
              </w:rPr>
              <w:t>Mitral valve prolapse and hypertension are among the conditions associated with panic disorder.</w:t>
            </w:r>
          </w:p>
          <w:p>
            <w:pPr>
              <w:spacing w:after="40" w:line="252" w:lineRule="auto"/>
            </w:pPr>
            <w:hyperlink r:id="rId11">
              <w:r>
                <w:rPr>
                  <w:rFonts w:ascii="Calibri" w:hAnsi="Calibri" w:cs="Calibri"/>
                  <w:sz w:val="18"/>
                  <w:color w:val="1155CC"/>
                  <w:u w:val="single"/>
                </w:rPr>
                <w:t xml:space="preserve">statpearls (ncbi.nlm.nih.gov) — panic disorder</w:t>
              </w:r>
            </w:hyperlink>
          </w:p>
          <w:p>
            <w:pPr>
              <w:spacing w:before="60" w:after="40"/>
            </w:pPr>
            <w:r>
              <w:rPr>
                <w:rFonts w:ascii="Calibri" w:hAnsi="Calibri"/>
                <w:b w:val="0"/>
                <w:i w:val="0"/>
                <w:color w:val="5A5A5A"/>
                <w:sz w:val="18"/>
              </w:rPr>
              <w:t>#MVP  #palpitations  #cardiac</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Regular aerobic exercise reduces anxiety and, for some, matches antidepressant effect for mild-to-moderate symptoms; deconditioning and inactivity heighten fear of bodily sensations and can worsen panic.</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Skipped meals and reactive hypoglycaemia produce adrenergic surges that mimic or trigger attacks; high-stimulant foods and supplements can provoke panic, while regular balanced meals stabilise arousal.</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Sleep deprivation, poor sleep quality and circadian disruption raise autonomic arousal and lower the panic threshold; nocturnal panic attacks arise from sleep and insomnia is bidirectionally linked.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is an established risk factor for panic attacks and panic disorder; nicotine and its withdrawal both increase anxiety and sympathetic arousal.</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and sedatives used to self-medicate anxiety cause rebound and withdrawal-related panic; heavy use and dependence worsen course and complicate treatment.</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Comorbid depression, generalised and other anxiety disorders, and high anxiety sensitivity strongly drive attack frequency, chronicity and suicide risk.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Dehydration can cause palpitations, dizziness and light-headedness that may be misread as panic, but a direct causal link to panic disorder is weak and under-studied.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Caffeine is a dose-dependent panicogen; caffeine challenge reliably provokes attacks in susceptible individuals, and energy drinks/high-dose caffeine are common real-world triggers.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direct relationship with the onset or course of panic disorder.</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Discrete provocants — caffeine and stimulants, hyperventilation/CO2, intense exertion, acute stress, sleep loss, and alcohol/sedative withdrawal — can precipitate individual attacks.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Shallow thoracic (chest) breathing and hyperventilation patterns, and orthostatic dizziness, can perpetuate hypocapnic symptoms that feed an attack, though posture is not a primary cause.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Moderate-to-vigorous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Regular aerobic activity lowers anxiety and interoceptive fear</w:t>
            </w:r>
          </w:p>
          <w:p>
            <w:pPr>
              <w:spacing w:after="40" w:line="252" w:lineRule="auto"/>
            </w:pPr>
            <w:hyperlink r:id="rId12">
              <w:r>
                <w:rPr>
                  <w:rFonts w:ascii="Calibri" w:hAnsi="Calibri" w:cs="Calibri"/>
                  <w:sz w:val="18"/>
                  <w:color w:val="1155CC"/>
                  <w:u w:val="single"/>
                </w:rPr>
                <w:t xml:space="preserve">https://www.health.harvard.edu/mind-and-mood/exercise-is-an-all-natural-treatment-to-fight-depression</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hours or fragmented sleep</w:t>
            </w:r>
          </w:p>
        </w:tc>
        <w:tc>
          <w:tcPr>
            <w:tcW w:type="dxa" w:w="1468"/>
            <w:vAlign w:val="top"/>
          </w:tcPr>
          <w:p>
            <w:pPr>
              <w:spacing w:after="40" w:before="0" w:line="259" w:lineRule="auto"/>
            </w:pPr>
            <w:r>
              <w:rPr>
                <w:rFonts w:ascii="Calibri" w:hAnsi="Calibri"/>
                <w:b w:val="0"/>
                <w:i w:val="0"/>
                <w:color w:val="212121"/>
                <w:sz w:val="19"/>
              </w:rPr>
              <w:t>Sleep loss raises autonomic arousal and can trigger nocturnal panic</w:t>
            </w:r>
          </w:p>
        </w:tc>
      </w:tr>
      <w:tr>
        <w:trPr>
          <w:cantSplit/>
        </w:trPr>
        <w:tc>
          <w:tcPr>
            <w:tcW w:type="dxa" w:w="1512"/>
            <w:vAlign w:val="center"/>
          </w:tcPr>
          <w:p>
            <w:pPr>
              <w:spacing w:after="40"/>
            </w:pPr>
            <w:r>
              <w:rPr>
                <w:rFonts w:ascii="Calibri" w:hAnsi="Calibri"/>
                <w:b w:val="0"/>
                <w:i w:val="0"/>
                <w:color w:val="212121"/>
                <w:sz w:val="19"/>
              </w:rPr>
              <w:t>Caffeine</w:t>
            </w:r>
          </w:p>
        </w:tc>
        <w:tc>
          <w:tcPr>
            <w:tcW w:type="dxa" w:w="1944"/>
            <w:vAlign w:val="top"/>
          </w:tcPr>
          <w:p>
            <w:pPr>
              <w:spacing w:after="40" w:before="0" w:line="259" w:lineRule="auto"/>
            </w:pPr>
            <w:r>
              <w:rPr>
                <w:rFonts w:ascii="Calibri" w:hAnsi="Calibri"/>
                <w:b w:val="0"/>
                <w:i w:val="0"/>
                <w:color w:val="212121"/>
                <w:sz w:val="19"/>
              </w:rPr>
              <w:t>Caffeine intake (mg/day)</w:t>
            </w:r>
          </w:p>
        </w:tc>
        <w:tc>
          <w:tcPr>
            <w:tcW w:type="dxa" w:w="1655"/>
            <w:vAlign w:val="top"/>
          </w:tcPr>
          <w:p>
            <w:pPr>
              <w:spacing w:after="40" w:before="0" w:line="259" w:lineRule="auto"/>
            </w:pPr>
            <w:r>
              <w:rPr>
                <w:rFonts w:ascii="Calibri" w:hAnsi="Calibri"/>
                <w:b w:val="0"/>
                <w:i w:val="0"/>
                <w:color w:val="212121"/>
                <w:sz w:val="19"/>
              </w:rPr>
              <w:t>Sensitive adults</w:t>
            </w:r>
          </w:p>
        </w:tc>
        <w:tc>
          <w:tcPr>
            <w:tcW w:type="dxa" w:w="1512"/>
            <w:vAlign w:val="top"/>
          </w:tcPr>
          <w:p>
            <w:pPr>
              <w:spacing w:after="40" w:before="0" w:line="259" w:lineRule="auto"/>
            </w:pPr>
            <w:r>
              <w:rPr>
                <w:rFonts w:ascii="Calibri" w:hAnsi="Calibri"/>
                <w:b w:val="0"/>
                <w:i w:val="0"/>
                <w:color w:val="212121"/>
                <w:sz w:val="19"/>
              </w:rPr>
              <w:t>&lt; 400 mg/day (less if sensitive)</w:t>
            </w:r>
          </w:p>
        </w:tc>
        <w:tc>
          <w:tcPr>
            <w:tcW w:type="dxa" w:w="1512"/>
            <w:vAlign w:val="top"/>
          </w:tcPr>
          <w:p>
            <w:pPr>
              <w:spacing w:after="40" w:before="0" w:line="259" w:lineRule="auto"/>
            </w:pPr>
            <w:r>
              <w:rPr>
                <w:rFonts w:ascii="Calibri" w:hAnsi="Calibri"/>
                <w:b w:val="0"/>
                <w:i w:val="0"/>
                <w:color w:val="212121"/>
                <w:sz w:val="19"/>
              </w:rPr>
              <w:t>&gt; 400 mg/day or acute high dose</w:t>
            </w:r>
          </w:p>
        </w:tc>
        <w:tc>
          <w:tcPr>
            <w:tcW w:type="dxa" w:w="1468"/>
            <w:vAlign w:val="top"/>
          </w:tcPr>
          <w:p>
            <w:pPr>
              <w:spacing w:after="60" w:line="259" w:lineRule="auto"/>
            </w:pPr>
            <w:r>
              <w:rPr>
                <w:rFonts w:ascii="Calibri" w:hAnsi="Calibri"/>
                <w:b w:val="0"/>
                <w:i w:val="0"/>
                <w:color w:val="212121"/>
                <w:sz w:val="19"/>
              </w:rPr>
              <w:t>Caffeine is a dose-dependent panicogen</w:t>
            </w:r>
          </w:p>
          <w:p>
            <w:pPr>
              <w:spacing w:after="40" w:line="252" w:lineRule="auto"/>
            </w:pPr>
            <w:hyperlink r:id="rId13">
              <w:r>
                <w:rPr>
                  <w:rFonts w:ascii="Calibri" w:hAnsi="Calibri" w:cs="Calibri"/>
                  <w:sz w:val="18"/>
                  <w:color w:val="1155CC"/>
                  <w:u w:val="single"/>
                </w:rPr>
                <w:t xml:space="preserve">https://www.mayoclinic.org/diseases-conditions/panic-attacks/symptoms-causes/syc-20376021</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Smoking and nicotine withdrawal provoke attacks</w:t>
            </w:r>
          </w:p>
          <w:p>
            <w:pPr>
              <w:spacing w:after="40" w:line="252" w:lineRule="auto"/>
            </w:pPr>
            <w:hyperlink r:id="rId13">
              <w:r>
                <w:rPr>
                  <w:rFonts w:ascii="Calibri" w:hAnsi="Calibri" w:cs="Calibri"/>
                  <w:sz w:val="18"/>
                  <w:color w:val="1155CC"/>
                  <w:u w:val="single"/>
                </w:rPr>
                <w:t xml:space="preserve">https://www.mayoclinic.org/diseases-conditions/panic-attacks/symptoms-causes/syc-20376021</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Within low-risk limits; no binge</w:t>
            </w:r>
          </w:p>
        </w:tc>
        <w:tc>
          <w:tcPr>
            <w:tcW w:type="dxa" w:w="1512"/>
            <w:vAlign w:val="top"/>
          </w:tcPr>
          <w:p>
            <w:pPr>
              <w:spacing w:after="40" w:before="0" w:line="259" w:lineRule="auto"/>
            </w:pPr>
            <w:r>
              <w:rPr>
                <w:rFonts w:ascii="Calibri" w:hAnsi="Calibri"/>
                <w:b w:val="0"/>
                <w:i w:val="0"/>
                <w:color w:val="212121"/>
                <w:sz w:val="19"/>
              </w:rPr>
              <w:t>Binge use or withdrawal states</w:t>
            </w:r>
          </w:p>
        </w:tc>
        <w:tc>
          <w:tcPr>
            <w:tcW w:type="dxa" w:w="1468"/>
            <w:vAlign w:val="top"/>
          </w:tcPr>
          <w:p>
            <w:pPr>
              <w:spacing w:after="40" w:before="0" w:line="259" w:lineRule="auto"/>
            </w:pPr>
            <w:r>
              <w:rPr>
                <w:rFonts w:ascii="Calibri" w:hAnsi="Calibri"/>
                <w:b w:val="0"/>
                <w:i w:val="0"/>
                <w:color w:val="212121"/>
                <w:sz w:val="19"/>
              </w:rPr>
              <w:t>Alcohol/sedative withdrawal precipitates panic</w:t>
            </w:r>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GAD-7 anxiety screen (score)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 10 (moderate–severe)</w:t>
            </w:r>
          </w:p>
        </w:tc>
        <w:tc>
          <w:tcPr>
            <w:tcW w:type="dxa" w:w="1468"/>
            <w:vAlign w:val="top"/>
          </w:tcPr>
          <w:p>
            <w:pPr>
              <w:spacing w:after="40" w:before="0" w:line="259" w:lineRule="auto"/>
            </w:pPr>
            <w:r>
              <w:rPr>
                <w:rFonts w:ascii="Calibri" w:hAnsi="Calibri"/>
                <w:b w:val="0"/>
                <w:i w:val="0"/>
                <w:color w:val="212121"/>
                <w:sz w:val="19"/>
              </w:rPr>
              <w:t>Screens comorbid anxiety severity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PHQ-9 depression screen (score)</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5</w:t>
            </w:r>
          </w:p>
        </w:tc>
        <w:tc>
          <w:tcPr>
            <w:tcW w:type="dxa" w:w="1512"/>
            <w:vAlign w:val="top"/>
          </w:tcPr>
          <w:p>
            <w:pPr>
              <w:spacing w:after="40" w:before="0" w:line="259" w:lineRule="auto"/>
            </w:pPr>
            <w:r>
              <w:rPr>
                <w:rFonts w:ascii="Calibri" w:hAnsi="Calibri"/>
                <w:b w:val="0"/>
                <w:i w:val="0"/>
                <w:color w:val="212121"/>
                <w:sz w:val="19"/>
              </w:rPr>
              <w:t>≥ 10</w:t>
            </w:r>
          </w:p>
        </w:tc>
        <w:tc>
          <w:tcPr>
            <w:tcW w:type="dxa" w:w="1468"/>
            <w:vAlign w:val="top"/>
          </w:tcPr>
          <w:p>
            <w:pPr>
              <w:spacing w:after="40" w:before="0" w:line="259" w:lineRule="auto"/>
            </w:pPr>
            <w:r>
              <w:rPr>
                <w:rFonts w:ascii="Calibri" w:hAnsi="Calibri"/>
                <w:b w:val="0"/>
                <w:i w:val="0"/>
                <w:color w:val="212121"/>
                <w:sz w:val="19"/>
              </w:rPr>
              <w:t>Detects comorbid depression that raises suicide risk</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Panic Disorder Severity Scale (PDSS)</w:t>
            </w:r>
          </w:p>
        </w:tc>
        <w:tc>
          <w:tcPr>
            <w:tcW w:type="dxa" w:w="1655"/>
            <w:vAlign w:val="top"/>
          </w:tcPr>
          <w:p>
            <w:pPr>
              <w:spacing w:after="40" w:before="0" w:line="259" w:lineRule="auto"/>
            </w:pPr>
            <w:r>
              <w:rPr>
                <w:rFonts w:ascii="Calibri" w:hAnsi="Calibri"/>
                <w:b w:val="0"/>
                <w:i w:val="0"/>
                <w:color w:val="212121"/>
                <w:sz w:val="19"/>
              </w:rPr>
              <w:t>Diagnosed patients</w:t>
            </w:r>
          </w:p>
        </w:tc>
        <w:tc>
          <w:tcPr>
            <w:tcW w:type="dxa" w:w="1512"/>
            <w:vAlign w:val="top"/>
          </w:tcPr>
          <w:p>
            <w:pPr>
              <w:spacing w:after="40" w:before="0" w:line="259" w:lineRule="auto"/>
            </w:pPr>
            <w:r>
              <w:rPr>
                <w:rFonts w:ascii="Calibri" w:hAnsi="Calibri"/>
                <w:b w:val="0"/>
                <w:i w:val="0"/>
                <w:color w:val="212121"/>
                <w:sz w:val="19"/>
              </w:rPr>
              <w:t>≈ 0–1 (remission)</w:t>
            </w:r>
          </w:p>
        </w:tc>
        <w:tc>
          <w:tcPr>
            <w:tcW w:type="dxa" w:w="1512"/>
            <w:vAlign w:val="top"/>
          </w:tcPr>
          <w:p>
            <w:pPr>
              <w:spacing w:after="40" w:before="0" w:line="259" w:lineRule="auto"/>
            </w:pPr>
            <w:r>
              <w:rPr>
                <w:rFonts w:ascii="Calibri" w:hAnsi="Calibri"/>
                <w:b w:val="0"/>
                <w:i w:val="0"/>
                <w:color w:val="212121"/>
                <w:sz w:val="19"/>
              </w:rPr>
              <w:t>Higher scores = active/severe disease</w:t>
            </w:r>
          </w:p>
        </w:tc>
        <w:tc>
          <w:tcPr>
            <w:tcW w:type="dxa" w:w="1468"/>
            <w:vAlign w:val="top"/>
          </w:tcPr>
          <w:p>
            <w:pPr>
              <w:spacing w:after="40" w:before="0" w:line="259" w:lineRule="auto"/>
            </w:pPr>
            <w:r>
              <w:rPr>
                <w:rFonts w:ascii="Calibri" w:hAnsi="Calibri"/>
                <w:b w:val="0"/>
                <w:i w:val="0"/>
                <w:color w:val="212121"/>
                <w:sz w:val="19"/>
              </w:rPr>
              <w:t>Tracks attack frequency, distress and avoidance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Panic-attack frequency (per week)</w:t>
            </w:r>
          </w:p>
        </w:tc>
        <w:tc>
          <w:tcPr>
            <w:tcW w:type="dxa" w:w="1655"/>
            <w:vAlign w:val="top"/>
          </w:tcPr>
          <w:p>
            <w:pPr>
              <w:spacing w:after="40" w:before="0" w:line="259" w:lineRule="auto"/>
            </w:pPr>
            <w:r>
              <w:rPr>
                <w:rFonts w:ascii="Calibri" w:hAnsi="Calibri"/>
                <w:b w:val="0"/>
                <w:i w:val="0"/>
                <w:color w:val="212121"/>
                <w:sz w:val="19"/>
              </w:rPr>
              <w:t>Diagnosed patients</w:t>
            </w:r>
          </w:p>
        </w:tc>
        <w:tc>
          <w:tcPr>
            <w:tcW w:type="dxa" w:w="1512"/>
            <w:vAlign w:val="top"/>
          </w:tcPr>
          <w:p>
            <w:pPr>
              <w:spacing w:after="40" w:before="0" w:line="259" w:lineRule="auto"/>
            </w:pPr>
            <w:r>
              <w:rPr>
                <w:rFonts w:ascii="Calibri" w:hAnsi="Calibri"/>
                <w:b w:val="0"/>
                <w:i w:val="0"/>
                <w:color w:val="212121"/>
                <w:sz w:val="19"/>
              </w:rPr>
              <w:t>0 attacks</w:t>
            </w:r>
          </w:p>
        </w:tc>
        <w:tc>
          <w:tcPr>
            <w:tcW w:type="dxa" w:w="1512"/>
            <w:vAlign w:val="top"/>
          </w:tcPr>
          <w:p>
            <w:pPr>
              <w:spacing w:after="40" w:before="0" w:line="259" w:lineRule="auto"/>
            </w:pPr>
            <w:r>
              <w:rPr>
                <w:rFonts w:ascii="Calibri" w:hAnsi="Calibri"/>
                <w:b w:val="0"/>
                <w:i w:val="0"/>
                <w:color w:val="212121"/>
                <w:sz w:val="19"/>
              </w:rPr>
              <w:t>≥ 1 recurrent unexpected attack</w:t>
            </w:r>
          </w:p>
        </w:tc>
        <w:tc>
          <w:tcPr>
            <w:tcW w:type="dxa" w:w="1468"/>
            <w:vAlign w:val="top"/>
          </w:tcPr>
          <w:p>
            <w:pPr>
              <w:spacing w:after="40" w:before="0" w:line="259" w:lineRule="auto"/>
            </w:pPr>
            <w:r>
              <w:rPr>
                <w:rFonts w:ascii="Calibri" w:hAnsi="Calibri"/>
                <w:b w:val="0"/>
                <w:i w:val="0"/>
                <w:color w:val="212121"/>
                <w:sz w:val="19"/>
              </w:rPr>
              <w:t>Recurrent uncued attacks define active disease</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Meal regularity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Regular, evenly spaced meals</w:t>
            </w:r>
          </w:p>
        </w:tc>
        <w:tc>
          <w:tcPr>
            <w:tcW w:type="dxa" w:w="1512"/>
            <w:vAlign w:val="top"/>
          </w:tcPr>
          <w:p>
            <w:pPr>
              <w:spacing w:after="40" w:before="0" w:line="259" w:lineRule="auto"/>
            </w:pPr>
            <w:r>
              <w:rPr>
                <w:rFonts w:ascii="Calibri" w:hAnsi="Calibri"/>
                <w:b w:val="0"/>
                <w:i w:val="0"/>
                <w:color w:val="212121"/>
                <w:sz w:val="19"/>
              </w:rPr>
              <w:t>Skipped meals / reactive hypoglycaemia</w:t>
            </w:r>
          </w:p>
        </w:tc>
        <w:tc>
          <w:tcPr>
            <w:tcW w:type="dxa" w:w="1468"/>
            <w:vAlign w:val="top"/>
          </w:tcPr>
          <w:p>
            <w:pPr>
              <w:spacing w:after="40" w:before="0" w:line="259" w:lineRule="auto"/>
            </w:pPr>
            <w:r>
              <w:rPr>
                <w:rFonts w:ascii="Calibri" w:hAnsi="Calibri"/>
                <w:b w:val="0"/>
                <w:i w:val="0"/>
                <w:color w:val="212121"/>
                <w:sz w:val="19"/>
              </w:rPr>
              <w:t>Hypoglycaemic adrenergic surges can mimic or trigger attacks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Heart rate &amp; rhythm</w:t>
            </w:r>
          </w:p>
        </w:tc>
        <w:tc>
          <w:tcPr>
            <w:tcW w:type="dxa" w:w="892"/>
            <w:vAlign w:val="top"/>
          </w:tcPr>
          <w:p>
            <w:pPr>
              <w:spacing w:after="40" w:before="0" w:line="259" w:lineRule="auto"/>
            </w:pPr>
            <w:r>
              <w:rPr>
                <w:rFonts w:ascii="Calibri" w:hAnsi="Calibri"/>
                <w:b w:val="0"/>
                <w:i w:val="0"/>
                <w:color w:val="212121"/>
                <w:sz w:val="16"/>
              </w:rPr>
              <w:t>12-lead ECG</w:t>
            </w:r>
          </w:p>
        </w:tc>
        <w:tc>
          <w:tcPr>
            <w:tcW w:type="dxa" w:w="950"/>
            <w:vAlign w:val="top"/>
          </w:tcPr>
          <w:p>
            <w:pPr>
              <w:spacing w:after="40" w:before="0" w:line="259" w:lineRule="auto"/>
            </w:pPr>
            <w:r>
              <w:rPr>
                <w:rFonts w:ascii="Calibri" w:hAnsi="Calibri"/>
                <w:b w:val="0"/>
                <w:i w:val="0"/>
                <w:color w:val="212121"/>
                <w:sz w:val="16"/>
              </w:rPr>
              <w:t>Normal sinus rhythm, no ischaemia</w:t>
            </w:r>
          </w:p>
        </w:tc>
        <w:tc>
          <w:tcPr>
            <w:tcW w:type="dxa" w:w="950"/>
            <w:vAlign w:val="top"/>
          </w:tcPr>
          <w:p>
            <w:pPr>
              <w:spacing w:after="40" w:before="0" w:line="259" w:lineRule="auto"/>
            </w:pPr>
            <w:r>
              <w:rPr>
                <w:rFonts w:ascii="Calibri" w:hAnsi="Calibri"/>
                <w:b w:val="0"/>
                <w:i w:val="0"/>
                <w:color w:val="212121"/>
                <w:sz w:val="16"/>
              </w:rPr>
              <w:t>Arrhythmia or ischaemic changes</w:t>
            </w:r>
          </w:p>
        </w:tc>
        <w:tc>
          <w:tcPr>
            <w:tcW w:type="dxa" w:w="1036"/>
            <w:vAlign w:val="top"/>
          </w:tcPr>
          <w:p>
            <w:pPr>
              <w:spacing w:after="40" w:before="0" w:line="259" w:lineRule="auto"/>
            </w:pPr>
            <w:r>
              <w:rPr>
                <w:rFonts w:ascii="Calibri" w:hAnsi="Calibri"/>
                <w:b w:val="0"/>
                <w:i w:val="0"/>
                <w:color w:val="212121"/>
                <w:sz w:val="16"/>
              </w:rPr>
              <w:t>Excludes arrhythmia/ischaemia that mimics or triggers attacks</w:t>
            </w:r>
          </w:p>
        </w:tc>
        <w:tc>
          <w:tcPr>
            <w:tcW w:type="dxa" w:w="1036"/>
            <w:vAlign w:val="top"/>
          </w:tcPr>
          <w:p>
            <w:pPr>
              <w:spacing w:after="40" w:before="0" w:line="259" w:lineRule="auto"/>
            </w:pPr>
            <w:r>
              <w:rPr>
                <w:rFonts w:ascii="Calibri" w:hAnsi="Calibri"/>
                <w:b w:val="0"/>
                <w:i w:val="0"/>
                <w:color w:val="212121"/>
                <w:sz w:val="16"/>
              </w:rPr>
              <w:t>Adults with chest pain/palpitations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exclusion</w:t>
            </w:r>
          </w:p>
        </w:tc>
        <w:tc>
          <w:tcPr>
            <w:tcW w:type="dxa" w:w="720"/>
            <w:vAlign w:val="top"/>
          </w:tcPr>
          <w:p>
            <w:pPr>
              <w:spacing w:after="40" w:before="0" w:line="259" w:lineRule="auto"/>
            </w:pPr>
            <w:r>
              <w:rPr>
                <w:rFonts w:ascii="Calibri" w:hAnsi="Calibri"/>
                <w:b w:val="0"/>
                <w:i w:val="0"/>
                <w:color w:val="212121"/>
                <w:sz w:val="16"/>
              </w:rPr>
              <w:t>Typically normal in panic disorder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TSH, free T4</w:t>
            </w:r>
          </w:p>
        </w:tc>
        <w:tc>
          <w:tcPr>
            <w:tcW w:type="dxa" w:w="892"/>
            <w:vAlign w:val="top"/>
          </w:tcPr>
          <w:p>
            <w:pPr>
              <w:spacing w:after="40" w:before="0" w:line="259" w:lineRule="auto"/>
            </w:pPr>
            <w:r>
              <w:rPr>
                <w:rFonts w:ascii="Calibri" w:hAnsi="Calibri"/>
                <w:b w:val="0"/>
                <w:i w:val="0"/>
                <w:color w:val="212121"/>
                <w:sz w:val="16"/>
              </w:rPr>
              <w:t>Thyroid function test</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Suppressed TSH / raised free T4 (thyrotoxicosis)</w:t>
            </w:r>
          </w:p>
        </w:tc>
        <w:tc>
          <w:tcPr>
            <w:tcW w:type="dxa" w:w="1036"/>
            <w:vAlign w:val="top"/>
          </w:tcPr>
          <w:p>
            <w:pPr>
              <w:spacing w:after="40" w:before="0" w:line="259" w:lineRule="auto"/>
            </w:pPr>
            <w:r>
              <w:rPr>
                <w:rFonts w:ascii="Calibri" w:hAnsi="Calibri"/>
                <w:b w:val="0"/>
                <w:i w:val="0"/>
                <w:color w:val="212121"/>
                <w:sz w:val="16"/>
              </w:rPr>
              <w:t>Hyperthyroidism mimics panic and must be excluded</w:t>
            </w:r>
          </w:p>
        </w:tc>
        <w:tc>
          <w:tcPr>
            <w:tcW w:type="dxa" w:w="1036"/>
            <w:vAlign w:val="top"/>
          </w:tcPr>
          <w:p>
            <w:pPr>
              <w:spacing w:after="40" w:before="0" w:line="259" w:lineRule="auto"/>
            </w:pPr>
            <w:r>
              <w:rPr>
                <w:rFonts w:ascii="Calibri" w:hAnsi="Calibri"/>
                <w:b w:val="0"/>
                <w:i w:val="0"/>
                <w:color w:val="212121"/>
                <w:sz w:val="16"/>
              </w:rPr>
              <w:t>Adults with palpitations, tremor, weight loss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Essential exclusion</w:t>
            </w:r>
          </w:p>
        </w:tc>
        <w:tc>
          <w:tcPr>
            <w:tcW w:type="dxa" w:w="720"/>
            <w:vAlign w:val="top"/>
          </w:tcPr>
          <w:p>
            <w:pPr>
              <w:spacing w:after="40" w:before="0" w:line="259" w:lineRule="auto"/>
            </w:pPr>
            <w:r>
              <w:rPr>
                <w:rFonts w:ascii="Calibri" w:hAnsi="Calibri"/>
                <w:b w:val="0"/>
                <w:i w:val="0"/>
                <w:color w:val="212121"/>
                <w:sz w:val="16"/>
              </w:rPr>
              <w:t>Common treatable mimic</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Blood glucose</w:t>
            </w:r>
          </w:p>
        </w:tc>
        <w:tc>
          <w:tcPr>
            <w:tcW w:type="dxa" w:w="892"/>
            <w:vAlign w:val="top"/>
          </w:tcPr>
          <w:p>
            <w:pPr>
              <w:spacing w:after="40" w:before="0" w:line="259" w:lineRule="auto"/>
            </w:pPr>
            <w:r>
              <w:rPr>
                <w:rFonts w:ascii="Calibri" w:hAnsi="Calibri"/>
                <w:b w:val="0"/>
                <w:i w:val="0"/>
                <w:color w:val="212121"/>
                <w:sz w:val="16"/>
              </w:rPr>
              <w:t>Fasting/random glucose</w:t>
            </w:r>
          </w:p>
        </w:tc>
        <w:tc>
          <w:tcPr>
            <w:tcW w:type="dxa" w:w="950"/>
            <w:vAlign w:val="top"/>
          </w:tcPr>
          <w:p>
            <w:pPr>
              <w:spacing w:after="40" w:before="0" w:line="259" w:lineRule="auto"/>
            </w:pPr>
            <w:r>
              <w:rPr>
                <w:rFonts w:ascii="Calibri" w:hAnsi="Calibri"/>
                <w:b w:val="0"/>
                <w:i w:val="0"/>
                <w:color w:val="212121"/>
                <w:sz w:val="16"/>
              </w:rPr>
              <w:t>70–99 mg/dL fasting</w:t>
            </w:r>
          </w:p>
        </w:tc>
        <w:tc>
          <w:tcPr>
            <w:tcW w:type="dxa" w:w="950"/>
            <w:vAlign w:val="top"/>
          </w:tcPr>
          <w:p>
            <w:pPr>
              <w:spacing w:after="40" w:before="0" w:line="259" w:lineRule="auto"/>
            </w:pPr>
            <w:r>
              <w:rPr>
                <w:rFonts w:ascii="Calibri" w:hAnsi="Calibri"/>
                <w:b w:val="0"/>
                <w:i w:val="0"/>
                <w:color w:val="212121"/>
                <w:sz w:val="16"/>
              </w:rPr>
              <w:t>Hypoglycaemia &lt; 70 mg/dL</w:t>
            </w:r>
          </w:p>
        </w:tc>
        <w:tc>
          <w:tcPr>
            <w:tcW w:type="dxa" w:w="1036"/>
            <w:vAlign w:val="top"/>
          </w:tcPr>
          <w:p>
            <w:pPr>
              <w:spacing w:after="40" w:before="0" w:line="259" w:lineRule="auto"/>
            </w:pPr>
            <w:r>
              <w:rPr>
                <w:rFonts w:ascii="Calibri" w:hAnsi="Calibri"/>
                <w:b w:val="0"/>
                <w:i w:val="0"/>
                <w:color w:val="212121"/>
                <w:sz w:val="16"/>
              </w:rPr>
              <w:t>Hypoglycaemia produces adrenergic symptoms resembling panic</w:t>
            </w:r>
          </w:p>
        </w:tc>
        <w:tc>
          <w:tcPr>
            <w:tcW w:type="dxa" w:w="1036"/>
            <w:vAlign w:val="top"/>
          </w:tcPr>
          <w:p>
            <w:pPr>
              <w:spacing w:after="40" w:before="0" w:line="259" w:lineRule="auto"/>
            </w:pPr>
            <w:r>
              <w:rPr>
                <w:rFonts w:ascii="Calibri" w:hAnsi="Calibri"/>
                <w:b w:val="0"/>
                <w:i w:val="0"/>
                <w:color w:val="212121"/>
                <w:sz w:val="16"/>
              </w:rPr>
              <w:t>Adults with attacks; diabetics on treatment</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Best checked during symptoms if feasible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Electrolytes &amp; calcium</w:t>
            </w:r>
          </w:p>
        </w:tc>
        <w:tc>
          <w:tcPr>
            <w:tcW w:type="dxa" w:w="892"/>
            <w:vAlign w:val="top"/>
          </w:tcPr>
          <w:p>
            <w:pPr>
              <w:spacing w:after="40" w:before="0" w:line="259" w:lineRule="auto"/>
            </w:pPr>
            <w:r>
              <w:rPr>
                <w:rFonts w:ascii="Calibri" w:hAnsi="Calibri"/>
                <w:b w:val="0"/>
                <w:i w:val="0"/>
                <w:color w:val="212121"/>
                <w:sz w:val="16"/>
              </w:rPr>
              <w:t>Electrolyte panel</w:t>
            </w:r>
          </w:p>
        </w:tc>
        <w:tc>
          <w:tcPr>
            <w:tcW w:type="dxa" w:w="950"/>
            <w:vAlign w:val="top"/>
          </w:tcPr>
          <w:p>
            <w:pPr>
              <w:spacing w:after="40" w:before="0" w:line="259" w:lineRule="auto"/>
            </w:pPr>
            <w:r>
              <w:rPr>
                <w:rFonts w:ascii="Calibri" w:hAnsi="Calibri"/>
                <w:b w:val="0"/>
                <w:i w:val="0"/>
                <w:color w:val="212121"/>
                <w:sz w:val="16"/>
              </w:rPr>
              <w:t>Normal Na/K/Ca</w:t>
            </w:r>
          </w:p>
        </w:tc>
        <w:tc>
          <w:tcPr>
            <w:tcW w:type="dxa" w:w="950"/>
            <w:vAlign w:val="top"/>
          </w:tcPr>
          <w:p>
            <w:pPr>
              <w:spacing w:after="40" w:before="0" w:line="259" w:lineRule="auto"/>
            </w:pPr>
            <w:r>
              <w:rPr>
                <w:rFonts w:ascii="Calibri" w:hAnsi="Calibri"/>
                <w:b w:val="0"/>
                <w:i w:val="0"/>
                <w:color w:val="212121"/>
                <w:sz w:val="16"/>
              </w:rPr>
              <w:t>Hypocalcaemia / electrolyte disturbance</w:t>
            </w:r>
          </w:p>
        </w:tc>
        <w:tc>
          <w:tcPr>
            <w:tcW w:type="dxa" w:w="1036"/>
            <w:vAlign w:val="top"/>
          </w:tcPr>
          <w:p>
            <w:pPr>
              <w:spacing w:after="40" w:before="0" w:line="259" w:lineRule="auto"/>
            </w:pPr>
            <w:r>
              <w:rPr>
                <w:rFonts w:ascii="Calibri" w:hAnsi="Calibri"/>
                <w:b w:val="0"/>
                <w:i w:val="0"/>
                <w:color w:val="212121"/>
                <w:sz w:val="16"/>
              </w:rPr>
              <w:t>Excludes metabolic causes of paraesthesia and tetany</w:t>
            </w:r>
          </w:p>
        </w:tc>
        <w:tc>
          <w:tcPr>
            <w:tcW w:type="dxa" w:w="1036"/>
            <w:vAlign w:val="top"/>
          </w:tcPr>
          <w:p>
            <w:pPr>
              <w:spacing w:after="40" w:before="0" w:line="259" w:lineRule="auto"/>
            </w:pPr>
            <w:r>
              <w:rPr>
                <w:rFonts w:ascii="Calibri" w:hAnsi="Calibri"/>
                <w:b w:val="0"/>
                <w:i w:val="0"/>
                <w:color w:val="212121"/>
                <w:sz w:val="16"/>
              </w:rPr>
              <w:t>Patients with tingling/carpopedal spasm</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Hyperventilation lowers ionised calcium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Haematology</w:t>
            </w:r>
          </w:p>
        </w:tc>
        <w:tc>
          <w:tcPr>
            <w:tcW w:type="dxa" w:w="1036"/>
            <w:vAlign w:val="top"/>
          </w:tcPr>
          <w:p>
            <w:pPr>
              <w:spacing w:after="40" w:before="0" w:line="259" w:lineRule="auto"/>
            </w:pPr>
            <w:r>
              <w:rPr>
                <w:rFonts w:ascii="Calibri" w:hAnsi="Calibri"/>
                <w:b w:val="0"/>
                <w:i w:val="0"/>
                <w:color w:val="212121"/>
                <w:sz w:val="16"/>
              </w:rPr>
              <w:t>Haemoglobin</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Hb within normal range</w:t>
            </w:r>
          </w:p>
        </w:tc>
        <w:tc>
          <w:tcPr>
            <w:tcW w:type="dxa" w:w="950"/>
            <w:vAlign w:val="top"/>
          </w:tcPr>
          <w:p>
            <w:pPr>
              <w:spacing w:after="40" w:before="0" w:line="259" w:lineRule="auto"/>
            </w:pPr>
            <w:r>
              <w:rPr>
                <w:rFonts w:ascii="Calibri" w:hAnsi="Calibri"/>
                <w:b w:val="0"/>
                <w:i w:val="0"/>
                <w:color w:val="212121"/>
                <w:sz w:val="16"/>
              </w:rPr>
              <w:t>Anaemia</w:t>
            </w:r>
          </w:p>
        </w:tc>
        <w:tc>
          <w:tcPr>
            <w:tcW w:type="dxa" w:w="1036"/>
            <w:vAlign w:val="top"/>
          </w:tcPr>
          <w:p>
            <w:pPr>
              <w:spacing w:after="40" w:before="0" w:line="259" w:lineRule="auto"/>
            </w:pPr>
            <w:r>
              <w:rPr>
                <w:rFonts w:ascii="Calibri" w:hAnsi="Calibri"/>
                <w:b w:val="0"/>
                <w:i w:val="0"/>
                <w:color w:val="212121"/>
                <w:sz w:val="16"/>
              </w:rPr>
              <w:t>Anaemia causes palpitations/breathlessness mimicking panic</w:t>
            </w:r>
          </w:p>
        </w:tc>
        <w:tc>
          <w:tcPr>
            <w:tcW w:type="dxa" w:w="1036"/>
            <w:vAlign w:val="top"/>
          </w:tcPr>
          <w:p>
            <w:pPr>
              <w:spacing w:after="40" w:before="0" w:line="259" w:lineRule="auto"/>
            </w:pPr>
            <w:r>
              <w:rPr>
                <w:rFonts w:ascii="Calibri" w:hAnsi="Calibri"/>
                <w:b w:val="0"/>
                <w:i w:val="0"/>
                <w:color w:val="212121"/>
                <w:sz w:val="16"/>
              </w:rPr>
              <w:t>Women, adults with fatigue</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Anaemia is common in Indian women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Toxicology</w:t>
            </w:r>
          </w:p>
        </w:tc>
        <w:tc>
          <w:tcPr>
            <w:tcW w:type="dxa" w:w="1036"/>
            <w:vAlign w:val="top"/>
          </w:tcPr>
          <w:p>
            <w:pPr>
              <w:spacing w:after="40" w:before="0" w:line="259" w:lineRule="auto"/>
            </w:pPr>
            <w:r>
              <w:rPr>
                <w:rFonts w:ascii="Calibri" w:hAnsi="Calibri"/>
                <w:b w:val="0"/>
                <w:i w:val="0"/>
                <w:color w:val="212121"/>
                <w:sz w:val="16"/>
              </w:rPr>
              <w:t>Stimulant/drug screen</w:t>
            </w:r>
          </w:p>
        </w:tc>
        <w:tc>
          <w:tcPr>
            <w:tcW w:type="dxa" w:w="892"/>
            <w:vAlign w:val="top"/>
          </w:tcPr>
          <w:p>
            <w:pPr>
              <w:spacing w:after="40" w:before="0" w:line="259" w:lineRule="auto"/>
            </w:pPr>
            <w:r>
              <w:rPr>
                <w:rFonts w:ascii="Calibri" w:hAnsi="Calibri"/>
                <w:b w:val="0"/>
                <w:i w:val="0"/>
                <w:color w:val="212121"/>
                <w:sz w:val="16"/>
              </w:rPr>
              <w:t>Urine toxicology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Stimulant / cannabis positive</w:t>
            </w:r>
          </w:p>
        </w:tc>
        <w:tc>
          <w:tcPr>
            <w:tcW w:type="dxa" w:w="1036"/>
            <w:vAlign w:val="top"/>
          </w:tcPr>
          <w:p>
            <w:pPr>
              <w:spacing w:after="40" w:before="0" w:line="259" w:lineRule="auto"/>
            </w:pPr>
            <w:r>
              <w:rPr>
                <w:rFonts w:ascii="Calibri" w:hAnsi="Calibri"/>
                <w:b w:val="0"/>
                <w:i w:val="0"/>
                <w:color w:val="212121"/>
                <w:sz w:val="16"/>
              </w:rPr>
              <w:t>Identifies substance-induced attacks</w:t>
            </w:r>
          </w:p>
        </w:tc>
        <w:tc>
          <w:tcPr>
            <w:tcW w:type="dxa" w:w="1036"/>
            <w:vAlign w:val="top"/>
          </w:tcPr>
          <w:p>
            <w:pPr>
              <w:spacing w:after="40" w:before="0" w:line="259" w:lineRule="auto"/>
            </w:pPr>
            <w:r>
              <w:rPr>
                <w:rFonts w:ascii="Calibri" w:hAnsi="Calibri"/>
                <w:b w:val="0"/>
                <w:i w:val="0"/>
                <w:color w:val="212121"/>
                <w:sz w:val="16"/>
              </w:rPr>
              <w:t>Young adults, stimulant/energy-drink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Pair with caffeine/energy-drink history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Endocrine</w:t>
            </w:r>
          </w:p>
        </w:tc>
        <w:tc>
          <w:tcPr>
            <w:tcW w:type="dxa" w:w="1036"/>
            <w:vAlign w:val="top"/>
          </w:tcPr>
          <w:p>
            <w:pPr>
              <w:spacing w:after="40" w:before="0" w:line="259" w:lineRule="auto"/>
            </w:pPr>
            <w:r>
              <w:rPr>
                <w:rFonts w:ascii="Calibri" w:hAnsi="Calibri"/>
                <w:b w:val="0"/>
                <w:i w:val="0"/>
                <w:color w:val="212121"/>
                <w:sz w:val="16"/>
              </w:rPr>
              <w:t>24-hour urinary metanephrines</w:t>
            </w:r>
          </w:p>
        </w:tc>
        <w:tc>
          <w:tcPr>
            <w:tcW w:type="dxa" w:w="892"/>
            <w:vAlign w:val="top"/>
          </w:tcPr>
          <w:p>
            <w:pPr>
              <w:spacing w:after="40" w:before="0" w:line="259" w:lineRule="auto"/>
            </w:pPr>
            <w:r>
              <w:rPr>
                <w:rFonts w:ascii="Calibri" w:hAnsi="Calibri"/>
                <w:b w:val="0"/>
                <w:i w:val="0"/>
                <w:color w:val="212121"/>
                <w:sz w:val="16"/>
              </w:rPr>
              <w:t>Catecholamine metabolites</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Elevated (phaeochromocytoma)</w:t>
            </w:r>
          </w:p>
        </w:tc>
        <w:tc>
          <w:tcPr>
            <w:tcW w:type="dxa" w:w="1036"/>
            <w:vAlign w:val="top"/>
          </w:tcPr>
          <w:p>
            <w:pPr>
              <w:spacing w:after="40" w:before="0" w:line="259" w:lineRule="auto"/>
            </w:pPr>
            <w:r>
              <w:rPr>
                <w:rFonts w:ascii="Calibri" w:hAnsi="Calibri"/>
                <w:b w:val="0"/>
                <w:i w:val="0"/>
                <w:color w:val="212121"/>
                <w:sz w:val="16"/>
              </w:rPr>
              <w:t>Excludes phaeochromocytoma when paroxysmal hypertension is present</w:t>
            </w:r>
          </w:p>
        </w:tc>
        <w:tc>
          <w:tcPr>
            <w:tcW w:type="dxa" w:w="1036"/>
            <w:vAlign w:val="top"/>
          </w:tcPr>
          <w:p>
            <w:pPr>
              <w:spacing w:after="40" w:before="0" w:line="259" w:lineRule="auto"/>
            </w:pPr>
            <w:r>
              <w:rPr>
                <w:rFonts w:ascii="Calibri" w:hAnsi="Calibri"/>
                <w:b w:val="0"/>
                <w:i w:val="0"/>
                <w:color w:val="212121"/>
                <w:sz w:val="16"/>
              </w:rPr>
              <w:t>Adults with paroxysmal HTN, headache, sweating</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Only if red-flag features present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Cardiac</w:t>
            </w:r>
          </w:p>
        </w:tc>
        <w:tc>
          <w:tcPr>
            <w:tcW w:type="dxa" w:w="1036"/>
            <w:vAlign w:val="top"/>
          </w:tcPr>
          <w:p>
            <w:pPr>
              <w:spacing w:after="40" w:before="0" w:line="259" w:lineRule="auto"/>
            </w:pPr>
            <w:r>
              <w:rPr>
                <w:rFonts w:ascii="Calibri" w:hAnsi="Calibri"/>
                <w:b w:val="0"/>
                <w:i w:val="0"/>
                <w:color w:val="212121"/>
                <w:sz w:val="16"/>
              </w:rPr>
              <w:t>Troponin / cardiac enzymes</w:t>
            </w:r>
          </w:p>
        </w:tc>
        <w:tc>
          <w:tcPr>
            <w:tcW w:type="dxa" w:w="892"/>
            <w:vAlign w:val="top"/>
          </w:tcPr>
          <w:p>
            <w:pPr>
              <w:spacing w:after="40" w:before="0" w:line="259" w:lineRule="auto"/>
            </w:pPr>
            <w:r>
              <w:rPr>
                <w:rFonts w:ascii="Calibri" w:hAnsi="Calibri"/>
                <w:b w:val="0"/>
                <w:i w:val="0"/>
                <w:color w:val="212121"/>
                <w:sz w:val="16"/>
              </w:rPr>
              <w:t>Cardiac biomarkers</w:t>
            </w:r>
          </w:p>
        </w:tc>
        <w:tc>
          <w:tcPr>
            <w:tcW w:type="dxa" w:w="950"/>
            <w:vAlign w:val="top"/>
          </w:tcPr>
          <w:p>
            <w:pPr>
              <w:spacing w:after="40" w:before="0" w:line="259" w:lineRule="auto"/>
            </w:pPr>
            <w:r>
              <w:rPr>
                <w:rFonts w:ascii="Calibri" w:hAnsi="Calibri"/>
                <w:b w:val="0"/>
                <w:i w:val="0"/>
                <w:color w:val="212121"/>
                <w:sz w:val="16"/>
              </w:rPr>
              <w:t>Within normal limits</w:t>
            </w:r>
          </w:p>
        </w:tc>
        <w:tc>
          <w:tcPr>
            <w:tcW w:type="dxa" w:w="950"/>
            <w:vAlign w:val="top"/>
          </w:tcPr>
          <w:p>
            <w:pPr>
              <w:spacing w:after="40" w:before="0" w:line="259" w:lineRule="auto"/>
            </w:pPr>
            <w:r>
              <w:rPr>
                <w:rFonts w:ascii="Calibri" w:hAnsi="Calibri"/>
                <w:b w:val="0"/>
                <w:i w:val="0"/>
                <w:color w:val="212121"/>
                <w:sz w:val="16"/>
              </w:rPr>
              <w:t>Elevated (myocardial injury)</w:t>
            </w:r>
          </w:p>
        </w:tc>
        <w:tc>
          <w:tcPr>
            <w:tcW w:type="dxa" w:w="1036"/>
            <w:vAlign w:val="top"/>
          </w:tcPr>
          <w:p>
            <w:pPr>
              <w:spacing w:after="40" w:before="0" w:line="259" w:lineRule="auto"/>
            </w:pPr>
            <w:r>
              <w:rPr>
                <w:rFonts w:ascii="Calibri" w:hAnsi="Calibri"/>
                <w:b w:val="0"/>
                <w:i w:val="0"/>
                <w:color w:val="212121"/>
                <w:sz w:val="16"/>
              </w:rPr>
              <w:t>Excludes acute coronary syndrome in emergency chest pain</w:t>
            </w:r>
          </w:p>
        </w:tc>
        <w:tc>
          <w:tcPr>
            <w:tcW w:type="dxa" w:w="1036"/>
            <w:vAlign w:val="top"/>
          </w:tcPr>
          <w:p>
            <w:pPr>
              <w:spacing w:after="40" w:before="0" w:line="259" w:lineRule="auto"/>
            </w:pPr>
            <w:r>
              <w:rPr>
                <w:rFonts w:ascii="Calibri" w:hAnsi="Calibri"/>
                <w:b w:val="0"/>
                <w:i w:val="0"/>
                <w:color w:val="212121"/>
                <w:sz w:val="16"/>
              </w:rPr>
              <w:t>Adults presenting to the ED with chest pain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Essential exclusion</w:t>
            </w:r>
          </w:p>
        </w:tc>
        <w:tc>
          <w:tcPr>
            <w:tcW w:type="dxa" w:w="720"/>
            <w:vAlign w:val="top"/>
          </w:tcPr>
          <w:p>
            <w:pPr>
              <w:spacing w:after="40" w:before="0" w:line="259" w:lineRule="auto"/>
            </w:pPr>
            <w:r>
              <w:rPr>
                <w:rFonts w:ascii="Calibri" w:hAnsi="Calibri"/>
                <w:b w:val="0"/>
                <w:i w:val="0"/>
                <w:color w:val="212121"/>
                <w:sz w:val="16"/>
              </w:rPr>
              <w:t>For acute presentations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Recurrent unexpected panic attacks (≥ 4 of 13 symptoms)</w:t>
            </w:r>
          </w:p>
        </w:tc>
        <w:tc>
          <w:tcPr>
            <w:tcW w:type="dxa" w:w="950"/>
            <w:vAlign w:val="top"/>
          </w:tcPr>
          <w:p>
            <w:pPr>
              <w:spacing w:after="40" w:before="0" w:line="259" w:lineRule="auto"/>
            </w:pPr>
            <w:r>
              <w:rPr>
                <w:rFonts w:ascii="Calibri" w:hAnsi="Calibri"/>
                <w:b w:val="0"/>
                <w:i w:val="0"/>
                <w:color w:val="212121"/>
                <w:sz w:val="16"/>
              </w:rPr>
              <w:t>No attacks</w:t>
            </w:r>
          </w:p>
        </w:tc>
        <w:tc>
          <w:tcPr>
            <w:tcW w:type="dxa" w:w="950"/>
            <w:vAlign w:val="top"/>
          </w:tcPr>
          <w:p>
            <w:pPr>
              <w:spacing w:after="40" w:before="0" w:line="259" w:lineRule="auto"/>
            </w:pPr>
            <w:r>
              <w:rPr>
                <w:rFonts w:ascii="Calibri" w:hAnsi="Calibri"/>
                <w:b w:val="0"/>
                <w:i w:val="0"/>
                <w:color w:val="212121"/>
                <w:sz w:val="16"/>
              </w:rPr>
              <w:t>Recurrent uncued attacks peaking within minutes</w:t>
            </w:r>
          </w:p>
        </w:tc>
        <w:tc>
          <w:tcPr>
            <w:tcW w:type="dxa" w:w="1036"/>
            <w:vAlign w:val="top"/>
          </w:tcPr>
          <w:p>
            <w:pPr>
              <w:spacing w:after="40" w:before="0" w:line="259" w:lineRule="auto"/>
            </w:pPr>
            <w:r>
              <w:rPr>
                <w:rFonts w:ascii="Calibri" w:hAnsi="Calibri"/>
                <w:b w:val="0"/>
                <w:i w:val="0"/>
                <w:color w:val="212121"/>
                <w:sz w:val="16"/>
              </w:rPr>
              <w:t>Core diagnostic feature</w:t>
            </w:r>
          </w:p>
        </w:tc>
        <w:tc>
          <w:tcPr>
            <w:tcW w:type="dxa" w:w="1036"/>
            <w:vAlign w:val="top"/>
          </w:tcPr>
          <w:p>
            <w:pPr>
              <w:spacing w:after="40" w:before="0" w:line="259" w:lineRule="auto"/>
            </w:pPr>
            <w:r>
              <w:rPr>
                <w:rFonts w:ascii="Calibri" w:hAnsi="Calibri"/>
                <w:b w:val="0"/>
                <w:i w:val="0"/>
                <w:color w:val="212121"/>
                <w:sz w:val="16"/>
              </w:rPr>
              <w:t>Adults with paroxysmal fear/palpitations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Distinguish cued from uncued attacks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Course &amp; duration</w:t>
            </w:r>
          </w:p>
        </w:tc>
        <w:tc>
          <w:tcPr>
            <w:tcW w:type="dxa" w:w="979"/>
            <w:vAlign w:val="top"/>
          </w:tcPr>
          <w:p>
            <w:pPr>
              <w:spacing w:after="40" w:before="0" w:line="259" w:lineRule="auto"/>
            </w:pPr>
            <w:r>
              <w:rPr>
                <w:rFonts w:ascii="Calibri" w:hAnsi="Calibri"/>
                <w:b w:val="0"/>
                <w:i w:val="0"/>
                <w:color w:val="212121"/>
                <w:sz w:val="16"/>
              </w:rPr>
              <w:t>≥ 1 month of worry about attacks or behaviour change</w:t>
            </w:r>
          </w:p>
        </w:tc>
        <w:tc>
          <w:tcPr>
            <w:tcW w:type="dxa" w:w="950"/>
            <w:vAlign w:val="top"/>
          </w:tcPr>
          <w:p>
            <w:pPr>
              <w:spacing w:after="40" w:before="0" w:line="259" w:lineRule="auto"/>
            </w:pPr>
            <w:r>
              <w:rPr>
                <w:rFonts w:ascii="Calibri" w:hAnsi="Calibri"/>
                <w:b w:val="0"/>
                <w:i w:val="0"/>
                <w:color w:val="212121"/>
                <w:sz w:val="16"/>
              </w:rPr>
              <w:t>Isolated attack only</w:t>
            </w:r>
          </w:p>
        </w:tc>
        <w:tc>
          <w:tcPr>
            <w:tcW w:type="dxa" w:w="950"/>
            <w:vAlign w:val="top"/>
          </w:tcPr>
          <w:p>
            <w:pPr>
              <w:spacing w:after="40" w:before="0" w:line="259" w:lineRule="auto"/>
            </w:pPr>
            <w:r>
              <w:rPr>
                <w:rFonts w:ascii="Calibri" w:hAnsi="Calibri"/>
                <w:b w:val="0"/>
                <w:i w:val="0"/>
                <w:color w:val="212121"/>
                <w:sz w:val="16"/>
              </w:rPr>
              <w:t>Anticipatory anxiety and avoidance ≥ 1 month</w:t>
            </w:r>
          </w:p>
        </w:tc>
        <w:tc>
          <w:tcPr>
            <w:tcW w:type="dxa" w:w="1036"/>
            <w:vAlign w:val="top"/>
          </w:tcPr>
          <w:p>
            <w:pPr>
              <w:spacing w:after="40" w:before="0" w:line="259" w:lineRule="auto"/>
            </w:pPr>
            <w:r>
              <w:rPr>
                <w:rFonts w:ascii="Calibri" w:hAnsi="Calibri"/>
                <w:b w:val="0"/>
                <w:i w:val="0"/>
                <w:color w:val="212121"/>
                <w:sz w:val="16"/>
              </w:rPr>
              <w:t>Separates panic disorder from isolated panic attacks</w:t>
            </w:r>
          </w:p>
        </w:tc>
        <w:tc>
          <w:tcPr>
            <w:tcW w:type="dxa" w:w="1036"/>
            <w:vAlign w:val="top"/>
          </w:tcPr>
          <w:p>
            <w:pPr>
              <w:spacing w:after="40" w:before="0" w:line="259" w:lineRule="auto"/>
            </w:pPr>
            <w:r>
              <w:rPr>
                <w:rFonts w:ascii="Calibri" w:hAnsi="Calibri"/>
                <w:b w:val="0"/>
                <w:i w:val="0"/>
                <w:color w:val="212121"/>
                <w:sz w:val="16"/>
              </w:rPr>
              <w:t>Adults with repeated attacks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Assess for agoraphobic avoidance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Substance, caffeine &amp; drug history</w:t>
            </w:r>
          </w:p>
        </w:tc>
        <w:tc>
          <w:tcPr>
            <w:tcW w:type="dxa" w:w="979"/>
            <w:vAlign w:val="top"/>
          </w:tcPr>
          <w:p>
            <w:pPr>
              <w:spacing w:after="40" w:before="0" w:line="259" w:lineRule="auto"/>
            </w:pPr>
            <w:r>
              <w:rPr>
                <w:rFonts w:ascii="Calibri" w:hAnsi="Calibri"/>
                <w:b w:val="0"/>
                <w:i w:val="0"/>
                <w:color w:val="212121"/>
                <w:sz w:val="16"/>
              </w:rPr>
              <w:t>Caffeine/stimulant intake, alcohol/sedative use</w:t>
            </w:r>
          </w:p>
        </w:tc>
        <w:tc>
          <w:tcPr>
            <w:tcW w:type="dxa" w:w="950"/>
            <w:vAlign w:val="top"/>
          </w:tcPr>
          <w:p>
            <w:pPr>
              <w:spacing w:after="40" w:before="0" w:line="259" w:lineRule="auto"/>
            </w:pPr>
            <w:r>
              <w:rPr>
                <w:rFonts w:ascii="Calibri" w:hAnsi="Calibri"/>
                <w:b w:val="0"/>
                <w:i w:val="0"/>
                <w:color w:val="212121"/>
                <w:sz w:val="16"/>
              </w:rPr>
              <w:t>Low caffeine, no stimulant/withdrawal</w:t>
            </w:r>
          </w:p>
        </w:tc>
        <w:tc>
          <w:tcPr>
            <w:tcW w:type="dxa" w:w="950"/>
            <w:vAlign w:val="top"/>
          </w:tcPr>
          <w:p>
            <w:pPr>
              <w:spacing w:after="40" w:before="0" w:line="259" w:lineRule="auto"/>
            </w:pPr>
            <w:r>
              <w:rPr>
                <w:rFonts w:ascii="Calibri" w:hAnsi="Calibri"/>
                <w:b w:val="0"/>
                <w:i w:val="0"/>
                <w:color w:val="212121"/>
                <w:sz w:val="16"/>
              </w:rPr>
              <w:t>High caffeine, stimulant use, alcohol/sedative withdrawal</w:t>
            </w:r>
          </w:p>
        </w:tc>
        <w:tc>
          <w:tcPr>
            <w:tcW w:type="dxa" w:w="1036"/>
            <w:vAlign w:val="top"/>
          </w:tcPr>
          <w:p>
            <w:pPr>
              <w:spacing w:after="40" w:before="0" w:line="259" w:lineRule="auto"/>
            </w:pPr>
            <w:r>
              <w:rPr>
                <w:rFonts w:ascii="Calibri" w:hAnsi="Calibri"/>
                <w:b w:val="0"/>
                <w:i w:val="0"/>
                <w:color w:val="212121"/>
                <w:sz w:val="16"/>
              </w:rPr>
              <w:t>Identifies provocants and mimics</w:t>
            </w:r>
          </w:p>
        </w:tc>
        <w:tc>
          <w:tcPr>
            <w:tcW w:type="dxa" w:w="1036"/>
            <w:vAlign w:val="top"/>
          </w:tcPr>
          <w:p>
            <w:pPr>
              <w:spacing w:after="40" w:before="0" w:line="259" w:lineRule="auto"/>
            </w:pPr>
            <w:r>
              <w:rPr>
                <w:rFonts w:ascii="Calibri" w:hAnsi="Calibri"/>
                <w:b w:val="0"/>
                <w:i w:val="0"/>
                <w:color w:val="212121"/>
                <w:sz w:val="16"/>
              </w:rPr>
              <w:t>Young adults, heavy caffeine users</w:t>
            </w:r>
          </w:p>
        </w:tc>
        <w:tc>
          <w:tcPr>
            <w:tcW w:type="dxa" w:w="720"/>
            <w:vAlign w:val="top"/>
          </w:tcPr>
          <w:p>
            <w:pPr>
              <w:spacing w:after="40" w:before="0" w:line="259" w:lineRule="auto"/>
            </w:pPr>
            <w:r>
              <w:rPr>
                <w:rFonts w:ascii="Calibri" w:hAnsi="Calibri"/>
                <w:b w:val="0"/>
                <w:i w:val="0"/>
                <w:color w:val="212121"/>
                <w:sz w:val="16"/>
              </w:rPr>
              <w:t>Caffeine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Quantify caffeine in mg/day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&amp; psychiatric history</w:t>
            </w:r>
          </w:p>
        </w:tc>
        <w:tc>
          <w:tcPr>
            <w:tcW w:type="dxa" w:w="979"/>
            <w:vAlign w:val="top"/>
          </w:tcPr>
          <w:p>
            <w:pPr>
              <w:spacing w:after="40" w:before="0" w:line="259" w:lineRule="auto"/>
            </w:pPr>
            <w:r>
              <w:rPr>
                <w:rFonts w:ascii="Calibri" w:hAnsi="Calibri"/>
                <w:b w:val="0"/>
                <w:i w:val="0"/>
                <w:color w:val="212121"/>
                <w:sz w:val="16"/>
              </w:rPr>
              <w:t>First-degree relative with panic/anxiety/depression</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affected first-degree relative</w:t>
            </w:r>
          </w:p>
        </w:tc>
        <w:tc>
          <w:tcPr>
            <w:tcW w:type="dxa" w:w="1036"/>
            <w:vAlign w:val="top"/>
          </w:tcPr>
          <w:p>
            <w:pPr>
              <w:spacing w:after="40" w:before="0" w:line="259" w:lineRule="auto"/>
            </w:pPr>
            <w:r>
              <w:rPr>
                <w:rFonts w:ascii="Calibri" w:hAnsi="Calibri"/>
                <w:b w:val="0"/>
                <w:i w:val="0"/>
                <w:color w:val="212121"/>
                <w:sz w:val="16"/>
              </w:rPr>
              <w:t>Genetic predisposition and comorbidity risk</w:t>
            </w:r>
          </w:p>
        </w:tc>
        <w:tc>
          <w:tcPr>
            <w:tcW w:type="dxa" w:w="1036"/>
            <w:vAlign w:val="top"/>
          </w:tcPr>
          <w:p>
            <w:pPr>
              <w:spacing w:after="40" w:before="0" w:line="259" w:lineRule="auto"/>
            </w:pPr>
            <w:r>
              <w:rPr>
                <w:rFonts w:ascii="Calibri" w:hAnsi="Calibri"/>
                <w:b w:val="0"/>
                <w:i w:val="0"/>
                <w:color w:val="212121"/>
                <w:sz w:val="16"/>
              </w:rPr>
              <w:t>Relatives of affected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comorbid depression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status exam</w:t>
            </w:r>
          </w:p>
        </w:tc>
        <w:tc>
          <w:tcPr>
            <w:tcW w:type="dxa" w:w="950"/>
            <w:vAlign w:val="top"/>
          </w:tcPr>
          <w:p>
            <w:pPr>
              <w:spacing w:after="40" w:before="0" w:line="259" w:lineRule="auto"/>
            </w:pPr>
            <w:r>
              <w:rPr>
                <w:rFonts w:ascii="Calibri" w:hAnsi="Calibri"/>
                <w:b w:val="0"/>
                <w:i w:val="0"/>
                <w:color w:val="212121"/>
                <w:sz w:val="16"/>
              </w:rPr>
              <w:t>Cognitions &amp; mood</w:t>
            </w:r>
          </w:p>
        </w:tc>
        <w:tc>
          <w:tcPr>
            <w:tcW w:type="dxa" w:w="979"/>
            <w:vAlign w:val="top"/>
          </w:tcPr>
          <w:p>
            <w:pPr>
              <w:spacing w:after="40" w:before="0" w:line="259" w:lineRule="auto"/>
            </w:pPr>
            <w:r>
              <w:rPr>
                <w:rFonts w:ascii="Calibri" w:hAnsi="Calibri"/>
                <w:b w:val="0"/>
                <w:i w:val="0"/>
                <w:color w:val="212121"/>
                <w:sz w:val="16"/>
              </w:rPr>
              <w:t>Catastrophic beliefs, anticipatory anxiety, mood</w:t>
            </w:r>
          </w:p>
        </w:tc>
        <w:tc>
          <w:tcPr>
            <w:tcW w:type="dxa" w:w="950"/>
            <w:vAlign w:val="top"/>
          </w:tcPr>
          <w:p>
            <w:pPr>
              <w:spacing w:after="40" w:before="0" w:line="259" w:lineRule="auto"/>
            </w:pPr>
            <w:r>
              <w:rPr>
                <w:rFonts w:ascii="Calibri" w:hAnsi="Calibri"/>
                <w:b w:val="0"/>
                <w:i w:val="0"/>
                <w:color w:val="212121"/>
                <w:sz w:val="16"/>
              </w:rPr>
              <w:t>Reassured, no catastrophic beliefs</w:t>
            </w:r>
          </w:p>
        </w:tc>
        <w:tc>
          <w:tcPr>
            <w:tcW w:type="dxa" w:w="950"/>
            <w:vAlign w:val="top"/>
          </w:tcPr>
          <w:p>
            <w:pPr>
              <w:spacing w:after="40" w:before="0" w:line="259" w:lineRule="auto"/>
            </w:pPr>
            <w:r>
              <w:rPr>
                <w:rFonts w:ascii="Calibri" w:hAnsi="Calibri"/>
                <w:b w:val="0"/>
                <w:i w:val="0"/>
                <w:color w:val="212121"/>
                <w:sz w:val="16"/>
              </w:rPr>
              <w:t>Catastrophic misinterpretation, anticipatory anxiety, low mood</w:t>
            </w:r>
          </w:p>
        </w:tc>
        <w:tc>
          <w:tcPr>
            <w:tcW w:type="dxa" w:w="1036"/>
            <w:vAlign w:val="top"/>
          </w:tcPr>
          <w:p>
            <w:pPr>
              <w:spacing w:after="40" w:before="0" w:line="259" w:lineRule="auto"/>
            </w:pPr>
            <w:r>
              <w:rPr>
                <w:rFonts w:ascii="Calibri" w:hAnsi="Calibri"/>
                <w:b w:val="0"/>
                <w:i w:val="0"/>
                <w:color w:val="212121"/>
                <w:sz w:val="16"/>
              </w:rPr>
              <w:t>Reveals cognitive drivers and comorbid depression</w:t>
            </w:r>
          </w:p>
        </w:tc>
        <w:tc>
          <w:tcPr>
            <w:tcW w:type="dxa" w:w="1036"/>
            <w:vAlign w:val="top"/>
          </w:tcPr>
          <w:p>
            <w:pPr>
              <w:spacing w:after="40" w:before="0" w:line="259" w:lineRule="auto"/>
            </w:pPr>
            <w:r>
              <w:rPr>
                <w:rFonts w:ascii="Calibri" w:hAnsi="Calibri"/>
                <w:b w:val="0"/>
                <w:i w:val="0"/>
                <w:color w:val="212121"/>
                <w:sz w:val="16"/>
              </w:rPr>
              <w:t>Anxious patients, frequent attenders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Always screen suicide risk</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 scales</w:t>
            </w:r>
          </w:p>
        </w:tc>
        <w:tc>
          <w:tcPr>
            <w:tcW w:type="dxa" w:w="950"/>
            <w:vAlign w:val="top"/>
          </w:tcPr>
          <w:p>
            <w:pPr>
              <w:spacing w:after="40" w:before="0" w:line="259" w:lineRule="auto"/>
            </w:pPr>
            <w:r>
              <w:rPr>
                <w:rFonts w:ascii="Calibri" w:hAnsi="Calibri"/>
                <w:b w:val="0"/>
                <w:i w:val="0"/>
                <w:color w:val="212121"/>
                <w:sz w:val="16"/>
              </w:rPr>
              <w:t>PDSS / GAD-7 / PHQ-9</w:t>
            </w:r>
          </w:p>
        </w:tc>
        <w:tc>
          <w:tcPr>
            <w:tcW w:type="dxa" w:w="979"/>
            <w:vAlign w:val="top"/>
          </w:tcPr>
          <w:p>
            <w:pPr>
              <w:spacing w:after="40" w:before="0" w:line="259" w:lineRule="auto"/>
            </w:pPr>
            <w:r>
              <w:rPr>
                <w:rFonts w:ascii="Calibri" w:hAnsi="Calibri"/>
                <w:b w:val="0"/>
                <w:i w:val="0"/>
                <w:color w:val="212121"/>
                <w:sz w:val="16"/>
              </w:rPr>
              <w:t>Symptom-severity scores</w:t>
            </w:r>
          </w:p>
        </w:tc>
        <w:tc>
          <w:tcPr>
            <w:tcW w:type="dxa" w:w="950"/>
            <w:vAlign w:val="top"/>
          </w:tcPr>
          <w:p>
            <w:pPr>
              <w:spacing w:after="40" w:before="0" w:line="259" w:lineRule="auto"/>
            </w:pPr>
            <w:r>
              <w:rPr>
                <w:rFonts w:ascii="Calibri" w:hAnsi="Calibri"/>
                <w:b w:val="0"/>
                <w:i w:val="0"/>
                <w:color w:val="212121"/>
                <w:sz w:val="16"/>
              </w:rPr>
              <w:t>Low scores</w:t>
            </w:r>
          </w:p>
        </w:tc>
        <w:tc>
          <w:tcPr>
            <w:tcW w:type="dxa" w:w="950"/>
            <w:vAlign w:val="top"/>
          </w:tcPr>
          <w:p>
            <w:pPr>
              <w:spacing w:after="40" w:before="0" w:line="259" w:lineRule="auto"/>
            </w:pPr>
            <w:r>
              <w:rPr>
                <w:rFonts w:ascii="Calibri" w:hAnsi="Calibri"/>
                <w:b w:val="0"/>
                <w:i w:val="0"/>
                <w:color w:val="212121"/>
                <w:sz w:val="16"/>
              </w:rPr>
              <w:t>Elevated scores</w:t>
            </w:r>
          </w:p>
        </w:tc>
        <w:tc>
          <w:tcPr>
            <w:tcW w:type="dxa" w:w="1036"/>
            <w:vAlign w:val="top"/>
          </w:tcPr>
          <w:p>
            <w:pPr>
              <w:spacing w:after="40" w:before="0" w:line="259" w:lineRule="auto"/>
            </w:pPr>
            <w:r>
              <w:rPr>
                <w:rFonts w:ascii="Calibri" w:hAnsi="Calibri"/>
                <w:b w:val="0"/>
                <w:i w:val="0"/>
                <w:color w:val="212121"/>
                <w:sz w:val="16"/>
              </w:rPr>
              <w:t>Quantifies severity and comorbidity and tracks treatment response</w:t>
            </w:r>
          </w:p>
        </w:tc>
        <w:tc>
          <w:tcPr>
            <w:tcW w:type="dxa" w:w="1036"/>
            <w:vAlign w:val="top"/>
          </w:tcPr>
          <w:p>
            <w:pPr>
              <w:spacing w:after="40" w:before="0" w:line="259" w:lineRule="auto"/>
            </w:pPr>
            <w:r>
              <w:rPr>
                <w:rFonts w:ascii="Calibri" w:hAnsi="Calibri"/>
                <w:b w:val="0"/>
                <w:i w:val="0"/>
                <w:color w:val="212121"/>
                <w:sz w:val="16"/>
              </w:rPr>
              <w:t>All diagnosed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Repeat to track response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Vitals &amp; targeted exam</w:t>
            </w:r>
          </w:p>
        </w:tc>
        <w:tc>
          <w:tcPr>
            <w:tcW w:type="dxa" w:w="979"/>
            <w:vAlign w:val="top"/>
          </w:tcPr>
          <w:p>
            <w:pPr>
              <w:spacing w:after="40" w:before="0" w:line="259" w:lineRule="auto"/>
            </w:pPr>
            <w:r>
              <w:rPr>
                <w:rFonts w:ascii="Calibri" w:hAnsi="Calibri"/>
                <w:b w:val="0"/>
                <w:i w:val="0"/>
                <w:color w:val="212121"/>
                <w:sz w:val="16"/>
              </w:rPr>
              <w:t>Pulse, BP, thyroid, cardiac auscultation, tremor</w:t>
            </w:r>
          </w:p>
        </w:tc>
        <w:tc>
          <w:tcPr>
            <w:tcW w:type="dxa" w:w="950"/>
            <w:vAlign w:val="top"/>
          </w:tcPr>
          <w:p>
            <w:pPr>
              <w:spacing w:after="40" w:before="0" w:line="259" w:lineRule="auto"/>
            </w:pPr>
            <w:r>
              <w:rPr>
                <w:rFonts w:ascii="Calibri" w:hAnsi="Calibri"/>
                <w:b w:val="0"/>
                <w:i w:val="0"/>
                <w:color w:val="212121"/>
                <w:sz w:val="16"/>
              </w:rPr>
              <w:t>Normal between attacks</w:t>
            </w:r>
          </w:p>
        </w:tc>
        <w:tc>
          <w:tcPr>
            <w:tcW w:type="dxa" w:w="950"/>
            <w:vAlign w:val="top"/>
          </w:tcPr>
          <w:p>
            <w:pPr>
              <w:spacing w:after="40" w:before="0" w:line="259" w:lineRule="auto"/>
            </w:pPr>
            <w:r>
              <w:rPr>
                <w:rFonts w:ascii="Calibri" w:hAnsi="Calibri"/>
                <w:b w:val="0"/>
                <w:i w:val="0"/>
                <w:color w:val="212121"/>
                <w:sz w:val="16"/>
              </w:rPr>
              <w:t>Tachycardia, tremor, goitre, mid-systolic click</w:t>
            </w:r>
          </w:p>
        </w:tc>
        <w:tc>
          <w:tcPr>
            <w:tcW w:type="dxa" w:w="1036"/>
            <w:vAlign w:val="top"/>
          </w:tcPr>
          <w:p>
            <w:pPr>
              <w:spacing w:after="40" w:before="0" w:line="259" w:lineRule="auto"/>
            </w:pPr>
            <w:r>
              <w:rPr>
                <w:rFonts w:ascii="Calibri" w:hAnsi="Calibri"/>
                <w:b w:val="0"/>
                <w:i w:val="0"/>
                <w:color w:val="212121"/>
                <w:sz w:val="16"/>
              </w:rPr>
              <w:t>Detects mimics (thyroid, MVP) and attack physiology</w:t>
            </w:r>
          </w:p>
        </w:tc>
        <w:tc>
          <w:tcPr>
            <w:tcW w:type="dxa" w:w="1036"/>
            <w:vAlign w:val="top"/>
          </w:tcPr>
          <w:p>
            <w:pPr>
              <w:spacing w:after="40" w:before="0" w:line="259" w:lineRule="auto"/>
            </w:pPr>
            <w:r>
              <w:rPr>
                <w:rFonts w:ascii="Calibri" w:hAnsi="Calibri"/>
                <w:b w:val="0"/>
                <w:i w:val="0"/>
                <w:color w:val="212121"/>
                <w:sz w:val="16"/>
              </w:rPr>
              <w:t>Adults with palpitations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Essential exclusion</w:t>
            </w:r>
          </w:p>
        </w:tc>
        <w:tc>
          <w:tcPr>
            <w:tcW w:type="dxa" w:w="720"/>
            <w:vAlign w:val="top"/>
          </w:tcPr>
          <w:p>
            <w:pPr>
              <w:spacing w:after="40" w:before="0" w:line="259" w:lineRule="auto"/>
            </w:pPr>
            <w:r>
              <w:rPr>
                <w:rFonts w:ascii="Calibri" w:hAnsi="Calibri"/>
                <w:b w:val="0"/>
                <w:i w:val="0"/>
                <w:color w:val="212121"/>
                <w:sz w:val="16"/>
              </w:rPr>
              <w:t>Exam is often normal between attacks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Functional &amp; avoidance assessment</w:t>
            </w:r>
          </w:p>
        </w:tc>
        <w:tc>
          <w:tcPr>
            <w:tcW w:type="dxa" w:w="979"/>
            <w:vAlign w:val="top"/>
          </w:tcPr>
          <w:p>
            <w:pPr>
              <w:spacing w:after="40" w:before="0" w:line="259" w:lineRule="auto"/>
            </w:pPr>
            <w:r>
              <w:rPr>
                <w:rFonts w:ascii="Calibri" w:hAnsi="Calibri"/>
                <w:b w:val="0"/>
                <w:i w:val="0"/>
                <w:color w:val="212121"/>
                <w:sz w:val="16"/>
              </w:rPr>
              <w:t>Avoidance of transport, crowds, being alone</w:t>
            </w:r>
          </w:p>
        </w:tc>
        <w:tc>
          <w:tcPr>
            <w:tcW w:type="dxa" w:w="950"/>
            <w:vAlign w:val="top"/>
          </w:tcPr>
          <w:p>
            <w:pPr>
              <w:spacing w:after="40" w:before="0" w:line="259" w:lineRule="auto"/>
            </w:pPr>
            <w:r>
              <w:rPr>
                <w:rFonts w:ascii="Calibri" w:hAnsi="Calibri"/>
                <w:b w:val="0"/>
                <w:i w:val="0"/>
                <w:color w:val="212121"/>
                <w:sz w:val="16"/>
              </w:rPr>
              <w:t>Full participation</w:t>
            </w:r>
          </w:p>
        </w:tc>
        <w:tc>
          <w:tcPr>
            <w:tcW w:type="dxa" w:w="950"/>
            <w:vAlign w:val="top"/>
          </w:tcPr>
          <w:p>
            <w:pPr>
              <w:spacing w:after="40" w:before="0" w:line="259" w:lineRule="auto"/>
            </w:pPr>
            <w:r>
              <w:rPr>
                <w:rFonts w:ascii="Calibri" w:hAnsi="Calibri"/>
                <w:b w:val="0"/>
                <w:i w:val="0"/>
                <w:color w:val="212121"/>
                <w:sz w:val="16"/>
              </w:rPr>
              <w:t>Situational avoidance / housebound</w:t>
            </w:r>
          </w:p>
        </w:tc>
        <w:tc>
          <w:tcPr>
            <w:tcW w:type="dxa" w:w="1036"/>
            <w:vAlign w:val="top"/>
          </w:tcPr>
          <w:p>
            <w:pPr>
              <w:spacing w:after="40" w:before="0" w:line="259" w:lineRule="auto"/>
            </w:pPr>
            <w:r>
              <w:rPr>
                <w:rFonts w:ascii="Calibri" w:hAnsi="Calibri"/>
                <w:b w:val="0"/>
                <w:i w:val="0"/>
                <w:color w:val="212121"/>
                <w:sz w:val="16"/>
              </w:rPr>
              <w:t>Identifies agoraphobia and disability</w:t>
            </w:r>
          </w:p>
        </w:tc>
        <w:tc>
          <w:tcPr>
            <w:tcW w:type="dxa" w:w="1036"/>
            <w:vAlign w:val="top"/>
          </w:tcPr>
          <w:p>
            <w:pPr>
              <w:spacing w:after="40" w:before="0" w:line="259" w:lineRule="auto"/>
            </w:pPr>
            <w:r>
              <w:rPr>
                <w:rFonts w:ascii="Calibri" w:hAnsi="Calibri"/>
                <w:b w:val="0"/>
                <w:i w:val="0"/>
                <w:color w:val="212121"/>
                <w:sz w:val="16"/>
              </w:rPr>
              <w:t>Avoidant or housebound patients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exposure therapy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Palpitations / pounding or racing heartbeat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Adrenergic surge; the symptom that most often drives cardiac/ED presentation.</w:t>
            </w:r>
          </w:p>
        </w:tc>
      </w:tr>
      <w:tr>
        <w:trPr>
          <w:cantSplit/>
        </w:trPr>
        <w:tc>
          <w:tcPr>
            <w:tcW w:type="dxa" w:w="2304"/>
            <w:vAlign w:val="top"/>
          </w:tcPr>
          <w:p>
            <w:pPr>
              <w:spacing w:after="40" w:before="0" w:line="259" w:lineRule="auto"/>
            </w:pPr>
            <w:r>
              <w:rPr>
                <w:rFonts w:ascii="Calibri" w:hAnsi="Calibri"/>
                <w:b/>
                <w:i w:val="0"/>
                <w:color w:val="212121"/>
                <w:sz w:val="19"/>
              </w:rPr>
              <w:t>Shortness of breath or smothering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Air-hunger linked to hyperventilation and heightened CO2 sensitivity.</w:t>
            </w:r>
          </w:p>
        </w:tc>
      </w:tr>
      <w:tr>
        <w:trPr>
          <w:cantSplit/>
        </w:trPr>
        <w:tc>
          <w:tcPr>
            <w:tcW w:type="dxa" w:w="2304"/>
            <w:vAlign w:val="top"/>
          </w:tcPr>
          <w:p>
            <w:pPr>
              <w:spacing w:after="40" w:before="0" w:line="259" w:lineRule="auto"/>
            </w:pPr>
            <w:r>
              <w:rPr>
                <w:rFonts w:ascii="Calibri" w:hAnsi="Calibri"/>
                <w:b/>
                <w:i w:val="0"/>
                <w:color w:val="212121"/>
                <w:sz w:val="19"/>
              </w:rPr>
              <w:t>Chest pain or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Non-cardiac chest pain; a leading reason for emergency evaluation.</w:t>
            </w:r>
          </w:p>
        </w:tc>
      </w:tr>
      <w:tr>
        <w:trPr>
          <w:cantSplit/>
        </w:trPr>
        <w:tc>
          <w:tcPr>
            <w:tcW w:type="dxa" w:w="2304"/>
            <w:vAlign w:val="top"/>
          </w:tcPr>
          <w:p>
            <w:pPr>
              <w:spacing w:after="40" w:before="0" w:line="259" w:lineRule="auto"/>
            </w:pPr>
            <w:r>
              <w:rPr>
                <w:rFonts w:ascii="Calibri" w:hAnsi="Calibri"/>
                <w:b/>
                <w:i w:val="0"/>
                <w:color w:val="212121"/>
                <w:sz w:val="19"/>
              </w:rPr>
              <w:t>Sweating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Autonomic sympathetic activation during an attack.</w:t>
            </w:r>
          </w:p>
        </w:tc>
      </w:tr>
      <w:tr>
        <w:trPr>
          <w:cantSplit/>
        </w:trPr>
        <w:tc>
          <w:tcPr>
            <w:tcW w:type="dxa" w:w="2304"/>
            <w:vAlign w:val="top"/>
          </w:tcPr>
          <w:p>
            <w:pPr>
              <w:spacing w:after="40" w:before="0" w:line="259" w:lineRule="auto"/>
            </w:pPr>
            <w:r>
              <w:rPr>
                <w:rFonts w:ascii="Calibri" w:hAnsi="Calibri"/>
                <w:b/>
                <w:i w:val="0"/>
                <w:color w:val="212121"/>
                <w:sz w:val="19"/>
              </w:rPr>
              <w:t>Trembling or shaking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Motor manifestation of the fight-or-flight response.</w:t>
            </w:r>
          </w:p>
        </w:tc>
      </w:tr>
      <w:tr>
        <w:trPr>
          <w:cantSplit/>
        </w:trPr>
        <w:tc>
          <w:tcPr>
            <w:tcW w:type="dxa" w:w="2304"/>
            <w:vAlign w:val="top"/>
          </w:tcPr>
          <w:p>
            <w:pPr>
              <w:spacing w:after="40" w:before="0" w:line="259" w:lineRule="auto"/>
            </w:pPr>
            <w:r>
              <w:rPr>
                <w:rFonts w:ascii="Calibri" w:hAnsi="Calibri"/>
                <w:b/>
                <w:i w:val="0"/>
                <w:color w:val="212121"/>
                <w:sz w:val="19"/>
              </w:rPr>
              <w:t>Dizziness, light-headedness or faintness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driven by hyperventilation and hypocapnia.</w:t>
            </w:r>
          </w:p>
        </w:tc>
      </w:tr>
      <w:tr>
        <w:trPr>
          <w:cantSplit/>
        </w:trPr>
        <w:tc>
          <w:tcPr>
            <w:tcW w:type="dxa" w:w="2304"/>
            <w:vAlign w:val="top"/>
          </w:tcPr>
          <w:p>
            <w:pPr>
              <w:spacing w:after="40" w:before="0" w:line="259" w:lineRule="auto"/>
            </w:pPr>
            <w:r>
              <w:rPr>
                <w:rFonts w:ascii="Calibri" w:hAnsi="Calibri"/>
                <w:b/>
                <w:i w:val="0"/>
                <w:color w:val="212121"/>
                <w:sz w:val="19"/>
              </w:rPr>
              <w:t>Sensation of choking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Throat-tightness contributing to fear of suffocation.</w:t>
            </w:r>
          </w:p>
        </w:tc>
      </w:tr>
      <w:tr>
        <w:trPr>
          <w:cantSplit/>
        </w:trPr>
        <w:tc>
          <w:tcPr>
            <w:tcW w:type="dxa" w:w="2304"/>
            <w:vAlign w:val="top"/>
          </w:tcPr>
          <w:p>
            <w:pPr>
              <w:spacing w:after="40" w:before="0" w:line="259" w:lineRule="auto"/>
            </w:pPr>
            <w:r>
              <w:rPr>
                <w:rFonts w:ascii="Calibri" w:hAnsi="Calibri"/>
                <w:b/>
                <w:i w:val="0"/>
                <w:color w:val="212121"/>
                <w:sz w:val="19"/>
              </w:rPr>
              <w:t>Nausea or abdominal distress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Gut autonomic response; overlaps with functional GI symptoms.</w:t>
            </w:r>
          </w:p>
        </w:tc>
      </w:tr>
      <w:tr>
        <w:trPr>
          <w:cantSplit/>
        </w:trPr>
        <w:tc>
          <w:tcPr>
            <w:tcW w:type="dxa" w:w="2304"/>
            <w:vAlign w:val="top"/>
          </w:tcPr>
          <w:p>
            <w:pPr>
              <w:spacing w:after="40" w:before="0" w:line="259" w:lineRule="auto"/>
            </w:pPr>
            <w:r>
              <w:rPr>
                <w:rFonts w:ascii="Calibri" w:hAnsi="Calibri"/>
                <w:b/>
                <w:i w:val="0"/>
                <w:color w:val="212121"/>
                <w:sz w:val="19"/>
              </w:rPr>
              <w:t>Chills or hot flushes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Vasomotor swings during autonomic arousal.</w:t>
            </w:r>
          </w:p>
        </w:tc>
      </w:tr>
      <w:tr>
        <w:trPr>
          <w:cantSplit/>
        </w:trPr>
        <w:tc>
          <w:tcPr>
            <w:tcW w:type="dxa" w:w="2304"/>
            <w:vAlign w:val="top"/>
          </w:tcPr>
          <w:p>
            <w:pPr>
              <w:spacing w:after="40" w:before="0" w:line="259" w:lineRule="auto"/>
            </w:pPr>
            <w:r>
              <w:rPr>
                <w:rFonts w:ascii="Calibri" w:hAnsi="Calibri"/>
                <w:b/>
                <w:i w:val="0"/>
                <w:color w:val="212121"/>
                <w:sz w:val="19"/>
              </w:rPr>
              <w:t>Paraesthesias (numbness or tingling)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Perioral/digital tingling from hyperventilation-induced hypocapnia.</w:t>
            </w:r>
          </w:p>
        </w:tc>
      </w:tr>
      <w:tr>
        <w:trPr>
          <w:cantSplit/>
        </w:trPr>
        <w:tc>
          <w:tcPr>
            <w:tcW w:type="dxa" w:w="2304"/>
            <w:vAlign w:val="top"/>
          </w:tcPr>
          <w:p>
            <w:pPr>
              <w:spacing w:after="40" w:before="0" w:line="259" w:lineRule="auto"/>
            </w:pPr>
            <w:r>
              <w:rPr>
                <w:rFonts w:ascii="Calibri" w:hAnsi="Calibri"/>
                <w:b/>
                <w:i w:val="0"/>
                <w:color w:val="212121"/>
                <w:sz w:val="19"/>
              </w:rPr>
              <w:t>Fear of dying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Catastrophic cognition, often that the attack is a heart attack.</w:t>
            </w:r>
          </w:p>
        </w:tc>
      </w:tr>
      <w:tr>
        <w:trPr>
          <w:cantSplit/>
        </w:trPr>
        <w:tc>
          <w:tcPr>
            <w:tcW w:type="dxa" w:w="2304"/>
            <w:vAlign w:val="top"/>
          </w:tcPr>
          <w:p>
            <w:pPr>
              <w:spacing w:after="40" w:before="0" w:line="259" w:lineRule="auto"/>
            </w:pPr>
            <w:r>
              <w:rPr>
                <w:rFonts w:ascii="Calibri" w:hAnsi="Calibri"/>
                <w:b/>
                <w:i w:val="0"/>
                <w:color w:val="212121"/>
                <w:sz w:val="19"/>
              </w:rPr>
              <w:t>Fear of losing control or “going crazy”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Core cognitive symptom fuelling escalation of the attack.</w:t>
            </w:r>
          </w:p>
        </w:tc>
      </w:tr>
      <w:tr>
        <w:trPr>
          <w:cantSplit/>
        </w:trPr>
        <w:tc>
          <w:tcPr>
            <w:tcW w:type="dxa" w:w="2304"/>
            <w:vAlign w:val="top"/>
          </w:tcPr>
          <w:p>
            <w:pPr>
              <w:spacing w:after="40" w:before="0" w:line="259" w:lineRule="auto"/>
            </w:pPr>
            <w:r>
              <w:rPr>
                <w:rFonts w:ascii="Calibri" w:hAnsi="Calibri"/>
                <w:b/>
                <w:i w:val="0"/>
                <w:color w:val="212121"/>
                <w:sz w:val="19"/>
              </w:rPr>
              <w:t>Derealisation or depersonalisation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sense of unreality or detachment from oneself or surroundings.</w:t>
            </w:r>
          </w:p>
        </w:tc>
      </w:tr>
      <w:tr>
        <w:trPr>
          <w:cantSplit/>
        </w:trPr>
        <w:tc>
          <w:tcPr>
            <w:tcW w:type="dxa" w:w="2304"/>
            <w:vAlign w:val="top"/>
          </w:tcPr>
          <w:p>
            <w:pPr>
              <w:spacing w:after="40" w:before="0" w:line="259" w:lineRule="auto"/>
            </w:pPr>
            <w:r>
              <w:rPr>
                <w:rFonts w:ascii="Calibri" w:hAnsi="Calibri"/>
                <w:b/>
                <w:i w:val="0"/>
                <w:color w:val="212121"/>
                <w:sz w:val="19"/>
              </w:rPr>
              <w:t>Anticipatory anxiety between attacks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worry about the next attack; central to the disorder and to avoidance.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Tachycardia (pulse &gt; 100/min) during an attack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correlate of adrenergic surge; usually resolves between attacks.</w:t>
            </w:r>
          </w:p>
        </w:tc>
      </w:tr>
      <w:tr>
        <w:trPr>
          <w:cantSplit/>
        </w:trPr>
        <w:tc>
          <w:tcPr>
            <w:tcW w:type="dxa" w:w="3456"/>
            <w:vAlign w:val="top"/>
          </w:tcPr>
          <w:p>
            <w:pPr>
              <w:spacing w:after="40" w:before="0" w:line="259" w:lineRule="auto"/>
            </w:pPr>
            <w:r>
              <w:rPr>
                <w:rFonts w:ascii="Calibri" w:hAnsi="Calibri"/>
                <w:b/>
                <w:i w:val="0"/>
                <w:color w:val="212121"/>
                <w:sz w:val="19"/>
              </w:rPr>
              <w:t>Tachypnoea / hyperventilation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Rapid shallow breathing that drives hypocapnia and paraesthesia.</w:t>
            </w:r>
          </w:p>
        </w:tc>
      </w:tr>
      <w:tr>
        <w:trPr>
          <w:cantSplit/>
        </w:trPr>
        <w:tc>
          <w:tcPr>
            <w:tcW w:type="dxa" w:w="3456"/>
            <w:vAlign w:val="top"/>
          </w:tcPr>
          <w:p>
            <w:pPr>
              <w:spacing w:after="40" w:before="0" w:line="259" w:lineRule="auto"/>
            </w:pPr>
            <w:r>
              <w:rPr>
                <w:rFonts w:ascii="Calibri" w:hAnsi="Calibri"/>
                <w:b/>
                <w:i w:val="0"/>
                <w:color w:val="212121"/>
                <w:sz w:val="19"/>
              </w:rPr>
              <w:t>Visible sweating (diaphoresis)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Sympathetic overactivity.</w:t>
            </w:r>
          </w:p>
        </w:tc>
      </w:tr>
      <w:tr>
        <w:trPr>
          <w:cantSplit/>
        </w:trPr>
        <w:tc>
          <w:tcPr>
            <w:tcW w:type="dxa" w:w="3456"/>
            <w:vAlign w:val="top"/>
          </w:tcPr>
          <w:p>
            <w:pPr>
              <w:spacing w:after="40" w:before="0" w:line="259" w:lineRule="auto"/>
            </w:pPr>
            <w:r>
              <w:rPr>
                <w:rFonts w:ascii="Calibri" w:hAnsi="Calibri"/>
                <w:b/>
                <w:i w:val="0"/>
                <w:color w:val="212121"/>
                <w:sz w:val="19"/>
              </w:rPr>
              <w:t>Fine tremor of the hands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Adrenergic tremor during arousal.</w:t>
            </w:r>
          </w:p>
        </w:tc>
      </w:tr>
      <w:tr>
        <w:trPr>
          <w:cantSplit/>
        </w:trPr>
        <w:tc>
          <w:tcPr>
            <w:tcW w:type="dxa" w:w="3456"/>
            <w:vAlign w:val="top"/>
          </w:tcPr>
          <w:p>
            <w:pPr>
              <w:spacing w:after="40" w:before="0" w:line="259" w:lineRule="auto"/>
            </w:pPr>
            <w:r>
              <w:rPr>
                <w:rFonts w:ascii="Calibri" w:hAnsi="Calibri"/>
                <w:b/>
                <w:i w:val="0"/>
                <w:color w:val="212121"/>
                <w:sz w:val="19"/>
              </w:rPr>
              <w:t>Transient rise in blood pressure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Short-lived during the attack; sustained hypertension suggests another cause.</w:t>
            </w:r>
          </w:p>
        </w:tc>
      </w:tr>
      <w:tr>
        <w:trPr>
          <w:cantSplit/>
        </w:trPr>
        <w:tc>
          <w:tcPr>
            <w:tcW w:type="dxa" w:w="3456"/>
            <w:vAlign w:val="top"/>
          </w:tcPr>
          <w:p>
            <w:pPr>
              <w:spacing w:after="40" w:before="0" w:line="259" w:lineRule="auto"/>
            </w:pPr>
            <w:r>
              <w:rPr>
                <w:rFonts w:ascii="Calibri" w:hAnsi="Calibri"/>
                <w:b/>
                <w:i w:val="0"/>
                <w:color w:val="212121"/>
                <w:sz w:val="19"/>
              </w:rPr>
              <w:t>Restlessness / psychomotor agitation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Urge to flee the situation.</w:t>
            </w:r>
          </w:p>
        </w:tc>
      </w:tr>
      <w:tr>
        <w:trPr>
          <w:cantSplit/>
        </w:trPr>
        <w:tc>
          <w:tcPr>
            <w:tcW w:type="dxa" w:w="3456"/>
            <w:vAlign w:val="top"/>
          </w:tcPr>
          <w:p>
            <w:pPr>
              <w:spacing w:after="40" w:before="0" w:line="259" w:lineRule="auto"/>
            </w:pPr>
            <w:r>
              <w:rPr>
                <w:rFonts w:ascii="Calibri" w:hAnsi="Calibri"/>
                <w:b/>
                <w:i w:val="0"/>
                <w:color w:val="212121"/>
                <w:sz w:val="19"/>
              </w:rPr>
              <w:t>Perioral or digital tingling and carpopedal spasm</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Result of hyperventilation-induced hypocapnia and reduced ionised calcium.</w:t>
            </w:r>
          </w:p>
        </w:tc>
      </w:tr>
      <w:tr>
        <w:trPr>
          <w:cantSplit/>
        </w:trPr>
        <w:tc>
          <w:tcPr>
            <w:tcW w:type="dxa" w:w="3456"/>
            <w:vAlign w:val="top"/>
          </w:tcPr>
          <w:p>
            <w:pPr>
              <w:spacing w:after="40" w:before="0" w:line="259" w:lineRule="auto"/>
            </w:pPr>
            <w:r>
              <w:rPr>
                <w:rFonts w:ascii="Calibri" w:hAnsi="Calibri"/>
                <w:b/>
                <w:i w:val="0"/>
                <w:color w:val="212121"/>
                <w:sz w:val="19"/>
              </w:rPr>
              <w:t>Pallor or facial flushing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Vasomotor change during autonomic arousal.</w:t>
            </w:r>
          </w:p>
        </w:tc>
      </w:tr>
      <w:tr>
        <w:trPr>
          <w:cantSplit/>
        </w:trPr>
        <w:tc>
          <w:tcPr>
            <w:tcW w:type="dxa" w:w="3456"/>
            <w:vAlign w:val="top"/>
          </w:tcPr>
          <w:p>
            <w:pPr>
              <w:spacing w:after="40" w:before="0" w:line="259" w:lineRule="auto"/>
            </w:pPr>
            <w:r>
              <w:rPr>
                <w:rFonts w:ascii="Calibri" w:hAnsi="Calibri"/>
                <w:b/>
                <w:i w:val="0"/>
                <w:color w:val="212121"/>
                <w:sz w:val="19"/>
              </w:rPr>
              <w:t>Normal physical examination between attacks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key diagnostic clue that helps distinguish panic from primary cardiac disease.</w:t>
            </w:r>
          </w:p>
        </w:tc>
      </w:tr>
      <w:tr>
        <w:trPr>
          <w:cantSplit/>
        </w:trPr>
        <w:tc>
          <w:tcPr>
            <w:tcW w:type="dxa" w:w="3456"/>
            <w:vAlign w:val="top"/>
          </w:tcPr>
          <w:p>
            <w:pPr>
              <w:spacing w:after="40" w:before="0" w:line="259" w:lineRule="auto"/>
            </w:pPr>
            <w:r>
              <w:rPr>
                <w:rFonts w:ascii="Calibri" w:hAnsi="Calibri"/>
                <w:b/>
                <w:i w:val="0"/>
                <w:color w:val="212121"/>
                <w:sz w:val="19"/>
              </w:rPr>
              <w:t>Situational avoidance / reluctance to enter feared settings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Behavioural sign of developing agoraphobia.</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hyperventilation with hypocapnia, perioral/digital tingling and carpopedal spasm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Syncope, falls or injury during an attack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Non-cardiac chest pain with repeated emergency-department presentations and unnecessary investigations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demoralisation and intense anticipatory anxiety</w:t>
            </w:r>
          </w:p>
        </w:tc>
        <w:tc>
          <w:tcPr>
            <w:tcW w:type="dxa" w:w="2980"/>
            <w:vAlign w:val="top"/>
          </w:tcPr>
          <w:p>
            <w:pPr>
              <w:spacing w:after="40" w:before="0" w:line="259" w:lineRule="auto"/>
            </w:pPr>
            <w:r>
              <w:rPr>
                <w:rFonts w:ascii="Calibri" w:hAnsi="Calibri"/>
                <w:b w:val="0"/>
                <w:i w:val="0"/>
                <w:color w:val="212121"/>
                <w:sz w:val="19"/>
              </w:rPr>
              <w:t>Direct consequences of the acute autonomic surge and hyperventilation of a panic attack.</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Agoraphobia and situational avoidance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Major depressive disorder and other anxiety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 sedative or other substance misuse (self-medication)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insomnia and nocturnal panic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Occupational and academic impairment</w:t>
            </w:r>
          </w:p>
        </w:tc>
        <w:tc>
          <w:tcPr>
            <w:tcW w:type="dxa" w:w="2980"/>
            <w:vAlign w:val="top"/>
          </w:tcPr>
          <w:p>
            <w:pPr>
              <w:spacing w:after="40" w:before="0" w:line="259" w:lineRule="auto"/>
            </w:pPr>
            <w:r>
              <w:rPr>
                <w:rFonts w:ascii="Calibri" w:hAnsi="Calibri"/>
                <w:b w:val="0"/>
                <w:i w:val="0"/>
                <w:color w:val="212121"/>
                <w:sz w:val="19"/>
              </w:rPr>
              <w:t>Develop from the recurrent, unpredictable nature of attacks and from maladaptive avoidance and coping.</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Housebound severe agoraphobia and social isolation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Unemployment and long-term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 ideation, attempts and completed suicide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Benzodiazepine dependence from long-term use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Markedly reduced quality of life</w:t>
            </w:r>
          </w:p>
        </w:tc>
        <w:tc>
          <w:tcPr>
            <w:tcW w:type="dxa" w:w="2980"/>
            <w:vAlign w:val="top"/>
          </w:tcPr>
          <w:p>
            <w:pPr>
              <w:spacing w:after="40" w:before="0" w:line="259" w:lineRule="auto"/>
            </w:pPr>
            <w:r>
              <w:rPr>
                <w:rFonts w:ascii="Calibri" w:hAnsi="Calibri"/>
                <w:b w:val="0"/>
                <w:i w:val="0"/>
                <w:color w:val="212121"/>
                <w:sz w:val="19"/>
              </w:rPr>
              <w:t>Irreversible or hard-to-reverse outcomes of longstanding, untreated or under-treated disease.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Agoraphobia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Avoidance of situations where escape feels difficult; develops in a substantial minority and markedly increases disability.</w:t>
            </w:r>
          </w:p>
        </w:tc>
      </w:tr>
      <w:tr>
        <w:trPr>
          <w:cantSplit/>
        </w:trPr>
        <w:tc>
          <w:tcPr>
            <w:tcW w:type="dxa" w:w="2232"/>
            <w:vAlign w:val="top"/>
          </w:tcPr>
          <w:p>
            <w:pPr>
              <w:spacing w:after="40" w:before="0" w:line="259" w:lineRule="auto"/>
            </w:pPr>
            <w:r>
              <w:rPr>
                <w:rFonts w:ascii="Calibri" w:hAnsi="Calibri"/>
                <w:b/>
                <w:i w:val="0"/>
                <w:color w:val="212121"/>
                <w:sz w:val="19"/>
              </w:rPr>
              <w:t>Major depressive disorder</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Frequently comorbid through shared monoaminergic and stress-axis pathways; each worsens the other and raises suicide risk.</w:t>
            </w:r>
          </w:p>
        </w:tc>
      </w:tr>
      <w:tr>
        <w:trPr>
          <w:cantSplit/>
        </w:trPr>
        <w:tc>
          <w:tcPr>
            <w:tcW w:type="dxa" w:w="2232"/>
            <w:vAlign w:val="top"/>
          </w:tcPr>
          <w:p>
            <w:pPr>
              <w:spacing w:after="40" w:before="0" w:line="259" w:lineRule="auto"/>
            </w:pPr>
            <w:r>
              <w:rPr>
                <w:rFonts w:ascii="Calibri" w:hAnsi="Calibri"/>
                <w:b/>
                <w:i w:val="0"/>
                <w:color w:val="212121"/>
                <w:sz w:val="19"/>
              </w:rPr>
              <w:t>Generalised and other 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High overlap; shared vulnerability and anxiety sensitivity drive chronicity.</w:t>
            </w:r>
          </w:p>
        </w:tc>
      </w:tr>
      <w:tr>
        <w:trPr>
          <w:cantSplit/>
        </w:trPr>
        <w:tc>
          <w:tcPr>
            <w:tcW w:type="dxa" w:w="2232"/>
            <w:vAlign w:val="top"/>
          </w:tcPr>
          <w:p>
            <w:pPr>
              <w:spacing w:after="40" w:before="0" w:line="259" w:lineRule="auto"/>
            </w:pPr>
            <w:r>
              <w:rPr>
                <w:rFonts w:ascii="Calibri" w:hAnsi="Calibri"/>
                <w:b/>
                <w:i w:val="0"/>
                <w:color w:val="212121"/>
                <w:sz w:val="19"/>
              </w:rPr>
              <w:t>Alcohol / sedative use disorder</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Often used to self-medicate anxiety; withdrawal precipitates panic and dependence complicates treatment.</w:t>
            </w:r>
          </w:p>
        </w:tc>
      </w:tr>
      <w:tr>
        <w:trPr>
          <w:cantSplit/>
        </w:trPr>
        <w:tc>
          <w:tcPr>
            <w:tcW w:type="dxa" w:w="2232"/>
            <w:vAlign w:val="top"/>
          </w:tcPr>
          <w:p>
            <w:pPr>
              <w:spacing w:after="40" w:before="0" w:line="259" w:lineRule="auto"/>
            </w:pPr>
            <w:r>
              <w:rPr>
                <w:rFonts w:ascii="Calibri" w:hAnsi="Calibri"/>
                <w:b/>
                <w:i w:val="0"/>
                <w:color w:val="212121"/>
                <w:sz w:val="19"/>
              </w:rPr>
              <w:t>Hyperthyroidism</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Thyrotoxicosis mimics and can trigger panic; must be excluded, and treating it resolves the symptoms.</w:t>
            </w:r>
          </w:p>
        </w:tc>
      </w:tr>
      <w:tr>
        <w:trPr>
          <w:cantSplit/>
        </w:trPr>
        <w:tc>
          <w:tcPr>
            <w:tcW w:type="dxa" w:w="2232"/>
            <w:vAlign w:val="top"/>
          </w:tcPr>
          <w:p>
            <w:pPr>
              <w:spacing w:after="40" w:before="0" w:line="259" w:lineRule="auto"/>
            </w:pPr>
            <w:r>
              <w:rPr>
                <w:rFonts w:ascii="Calibri" w:hAnsi="Calibri"/>
                <w:b/>
                <w:i w:val="0"/>
                <w:color w:val="212121"/>
                <w:sz w:val="19"/>
              </w:rPr>
              <w:t>Asthma / COPD</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Breathlessness and air-hunger overlap with panic and heighten CO2/suffocation sensitivity.</w:t>
            </w:r>
          </w:p>
        </w:tc>
      </w:tr>
      <w:tr>
        <w:trPr>
          <w:cantSplit/>
        </w:trPr>
        <w:tc>
          <w:tcPr>
            <w:tcW w:type="dxa" w:w="2232"/>
            <w:vAlign w:val="top"/>
          </w:tcPr>
          <w:p>
            <w:pPr>
              <w:spacing w:after="40" w:before="0" w:line="259" w:lineRule="auto"/>
            </w:pPr>
            <w:r>
              <w:rPr>
                <w:rFonts w:ascii="Calibri" w:hAnsi="Calibri"/>
                <w:b/>
                <w:i w:val="0"/>
                <w:color w:val="212121"/>
                <w:sz w:val="19"/>
              </w:rPr>
              <w:t>Mitral valve prolapse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Classically associated benign palpitation syndrome that amplifies cardiac-focused catastrophic misinterpretation.</w:t>
            </w:r>
          </w:p>
        </w:tc>
      </w:tr>
      <w:tr>
        <w:trPr>
          <w:cantSplit/>
        </w:trPr>
        <w:tc>
          <w:tcPr>
            <w:tcW w:type="dxa" w:w="2232"/>
            <w:vAlign w:val="top"/>
          </w:tcPr>
          <w:p>
            <w:pPr>
              <w:spacing w:after="40" w:before="0" w:line="259" w:lineRule="auto"/>
            </w:pPr>
            <w:r>
              <w:rPr>
                <w:rFonts w:ascii="Calibri" w:hAnsi="Calibri"/>
                <w:b/>
                <w:i w:val="0"/>
                <w:color w:val="212121"/>
                <w:sz w:val="19"/>
              </w:rPr>
              <w:t>Irritable bowel syndrome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Functional gut disorder over-represented in panic disorder via shared brain-gut and autonomic mechanisms.</w:t>
            </w:r>
          </w:p>
        </w:tc>
      </w:tr>
      <w:tr>
        <w:trPr>
          <w:cantSplit/>
        </w:trPr>
        <w:tc>
          <w:tcPr>
            <w:tcW w:type="dxa" w:w="2232"/>
            <w:vAlign w:val="top"/>
          </w:tcPr>
          <w:p>
            <w:pPr>
              <w:spacing w:after="40" w:before="0" w:line="259" w:lineRule="auto"/>
            </w:pPr>
            <w:r>
              <w:rPr>
                <w:rFonts w:ascii="Calibri" w:hAnsi="Calibri"/>
                <w:b/>
                <w:i w:val="0"/>
                <w:color w:val="212121"/>
                <w:sz w:val="19"/>
              </w:rPr>
              <w:t>Hypertension / cardiovascular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Recurrent adrenergic surges and health anxiety complicate cardiac symptom assessment and management.</w:t>
            </w:r>
          </w:p>
        </w:tc>
      </w:tr>
      <w:tr>
        <w:trPr>
          <w:cantSplit/>
        </w:trPr>
        <w:tc>
          <w:tcPr>
            <w:tcW w:type="dxa" w:w="2232"/>
            <w:vAlign w:val="top"/>
          </w:tcPr>
          <w:p>
            <w:pPr>
              <w:spacing w:after="40" w:before="0" w:line="259" w:lineRule="auto"/>
            </w:pPr>
            <w:r>
              <w:rPr>
                <w:rFonts w:ascii="Calibri" w:hAnsi="Calibri"/>
                <w:b/>
                <w:i w:val="0"/>
                <w:color w:val="212121"/>
                <w:sz w:val="19"/>
              </w:rPr>
              <w:t>Migraine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Migraine and panic disorder co-occur more often than expected, sharing serotonergic and autonomic mechanisms.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that panic attacks, though terrifying, are not dangerous, peak within minutes and are self-limiting — they are not heart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slow diaphragmatic breathing and grounding techniques at the first sign of an attack instead of hyperventilating.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personal triggers (caffeine, energy drinks, poor sleep, stress, stimulant drugs) and reduce them.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escalating avoidance; gradually face feared situations to prevent agoraphobia from developing.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panic disorder is highly treatable with CBT and medication, and seek help early rather than repeatedly attending emergency services.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in psychoeducation to reduce stigma and support treatment adherence.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Young and working-age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Frequent emergency-department attenders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of affected patients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aerobic activity (brisk walking, cycling, swimming) to lower baseline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graded exercise as interoceptive exposure — safely experiencing a raised heart rate reduces fear of bodily sensations.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yoga and pranayama/slow breathing to improve autonomic regulation and breath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up activity gradually from a few minutes a day if deconditioned or fearful of exertion.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panic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or exertion-fearful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caffeine (coffee, tea, colas) and avoid energy drinks and high-dose caffeine supplements, which can provoke attacks.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regular, evenly spaced meals to avoid hypoglycaemic adrenergic surges that mimic panic.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stimulant-containing weight-loss or pre-workout supplements.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balanced diet and adequate hydration.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caffeine consumers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who skip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Users of stimulant supplements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 schedule with 7–9 hours per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good sleep hygiene: limit evening caffeine, screens and alcohol.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nocturnal panic with breathing techniques and reassurance rather than fear of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shift-work sleep disruption where possible and protect a consistent wind-down routine.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Sleep-deprived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nocturnal panic</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is a modifiable risk factor for panic attacks and worsens the course.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Anticipate that nicotine withdrawal transiently increases anxiety; use cessation support and nicotine-replacement or behavioural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cigarettes as a way to manage stress.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panic disorder who smoke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alcohol or sedatives to self-medicate anxiety.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binge drinking and be aware that withdrawal (including next-morning “hangxiety”) precipitates panic.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alcohol or benzodiazepine dependence.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Sedative/benzodiazepine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self-medicating anxiety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cognitive behavioural therapy (CBT) — the first-line psychotherapy — with cognitive restructuring, breathing retraining and interoceptive/situational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an SSRI or SNRI as first-line pharmacotherapy; allow 4–6 weeks for full effect and continue for 6–12 months after remission.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benzodiazepines only short-term as a bridge, given dependence risk; avoid them as long-term monotherapy.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relaxation, mindfulness and paced breathing to reduce autonomic arousal.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Identify and treat comorbid depression and assess suicide risk at every review.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relapse prevention with follow-up and booster CBT sessions, as attacks commonly recur.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panic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comorbid depression or agoraphobia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recurrent attacks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mh.nih.gov/health/statistics/panic-disorder" TargetMode="External"/><Relationship Id="rId10" Type="http://schemas.openxmlformats.org/officeDocument/2006/relationships/hyperlink" Target="https://journals.sagepub.com/doi/10.1177/0020764020907941" TargetMode="External"/><Relationship Id="rId11" Type="http://schemas.openxmlformats.org/officeDocument/2006/relationships/hyperlink" Target="https://www.ncbi.nlm.nih.gov/books/NBK430973/" TargetMode="External"/><Relationship Id="rId12" Type="http://schemas.openxmlformats.org/officeDocument/2006/relationships/hyperlink" Target="https://www.health.harvard.edu/mind-and-mood/exercise-is-an-all-natural-treatment-to-fight-depression" TargetMode="External"/><Relationship Id="rId13" Type="http://schemas.openxmlformats.org/officeDocument/2006/relationships/hyperlink" Target="https://www.mayoclinic.org/diseases-conditions/panic-attacks/symptoms-causes/syc-20376021" TargetMode="External"/><Relationship Id="rId14" Type="http://schemas.openxmlformats.org/officeDocument/2006/relationships/hyperlink" Target="https://my.clevelandclinic.org/health/diseases/4451-panic-disorder" TargetMode="External"/><Relationship Id="rId15" Type="http://schemas.openxmlformats.org/officeDocument/2006/relationships/hyperlink" Target="https://adaa.org/understanding-anxiety/panic-disorder-agoraphob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