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Social Anxiety Disorder</w:t>
      </w:r>
    </w:p>
    <w:p>
      <w:pPr>
        <w:spacing w:before="0" w:after="160"/>
      </w:pPr>
      <w:r>
        <w:rPr>
          <w:rFonts w:ascii="Calibri" w:hAnsi="Calibri"/>
          <w:b/>
          <w:i w:val="0"/>
          <w:color w:val="212121"/>
          <w:sz w:val="22"/>
        </w:rPr>
        <w:t xml:space="preserve">AKA </w:t>
      </w:r>
      <w:r>
        <w:rPr>
          <w:rFonts w:ascii="Calibri" w:hAnsi="Calibri"/>
          <w:b w:val="0"/>
          <w:i w:val="0"/>
          <w:color w:val="212121"/>
          <w:sz w:val="22"/>
        </w:rPr>
        <w:t>i.e., Social phobia, Social anxiety, SAD, Fear of social situations; DSM-5 Social Anxiety Disorder (formerly Social Phobia); ICD-11 6B04</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Social anxiety disorder (SAD) is a chronic, frequently disabling anxiety disorder characterised by a marked, persistent and out-of-proportion fear of one or more social or performance situations in which the person is exposed to possible scrutiny by others, and fears acting in a way — or showing anxiety symptoms such as blushing or trembling — that will be negatively evaluated, humiliating or embarrassing. The feared situations (conversations, meeting unfamiliar people, being observed eating or drinking, public speaking or performing) are avoided or endured with intense anxiety; the fear typically persists for six months or more and causes clinically significant distress or impairment in social, academic or occupational functioning. It is among the most common anxiety disorders, usually begins in childhood or early-to-mid adolescence, and is markedly under-recognised in India, where it is often dismissed as ordinary shyness.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 nationally representative analysis derived from India's National Mental Health Survey estimated the current prevalence of social anxiety disorder in Indian adults at about 0.47%, with a very large treatment gap of roughly 82% — most affected people never receive care. SAD carries substantial disability, with work, social and family life impaired in about 63%, 77% and 68% of cases respectively, and around 58% of those affected have a comorbid psychiatric disorder; higher odds were seen among men, the unemployed and urban residents, and lower odds in the elderly. Sub-clinical and screen-level social anxiety is far more common, especially among students: in a survey of 1,006 Indian nursing undergraduates only about 22% were free of any social-phobia symptoms and roughly 22% had moderate-to-very-severe symptoms, and a meta-analysis put the pooled prevalence of anxiety disorders in Indian adolescents at 24%. Globally, anxiety disorders affect about 359 million people (4.4% of the population); in high-income settings SAD has a past-year prevalence near 7% and a lifetime prevalence around 12%, with onset typically by mid-adolescence.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Social anxiety disorder is a clinical diagnosis based on DSM-5 (or ICD-11) criteria, supported by validated rating scales and by exclusion of organic and substance-related mimics. DSM-5 diagnosis requires: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marked fear or anxiety about one or more social situations in which the person may be scrutinised — e.g., social interactions (conversations, meeting unfamiliar people), being observed (eating or drinking), and performing in front of others (public speaking);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fear that one will act in a way, or show anxiety symptoms, that will be negatively evaluated — humiliating, embarrassing, or leading to rejection or to offending others;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social situations almost always provoke fear or anxiety (in children this may be expressed as crying, tantrums, freezing, clinging, shrinking or failing to speak in social settings);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feared social situations are actively avoided or else endured with intense fear or anxiety;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fear or anxiety is out of proportion to the actual threat posed by the situation and to the sociocultural context;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fear, anxiety or avoidance is persistent, typically lasting six months or more;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it causes clinically significant distress or impairment in social, occupational or other important areas of functioning;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it is not attributable to the physiological effects of a substance or another medical condition, and is not better explained by another mental disorder (e.g., panic disorder, body dysmorphic disorder, autism spectrum disorder);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specify “performance only” if the fear is restricted to speaking or performing in public.</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SAD is classified by DSM-5 subtype and by clinical severity and course; ICD-11 lists it as social anxiety disorder (6B04) under anxiety and fear-related disorders. The principal groupings are:</w:t>
      </w:r>
    </w:p>
    <w:p>
      <w:pPr>
        <w:spacing w:before="0" w:after="80"/>
      </w:pPr>
      <w:r>
        <w:rPr>
          <w:rFonts w:ascii="Calibri" w:hAnsi="Calibri"/>
          <w:b w:val="0"/>
          <w:i w:val="0"/>
          <w:color w:val="212121"/>
          <w:sz w:val="21"/>
        </w:rPr>
        <w:t>(1) Generalized social anxiety disorder — fear and avoidance span most social and interactional situations (initiating conversations, meeting people, being assertive, most public and group settings); this is the more common, earlier-onset, more disabling and more comorbid form and overlaps with avoidant personality disorder;</w:t>
      </w:r>
    </w:p>
    <w:p>
      <w:pPr>
        <w:spacing w:before="0" w:after="80"/>
      </w:pPr>
      <w:r>
        <w:rPr>
          <w:rFonts w:ascii="Calibri" w:hAnsi="Calibri"/>
          <w:b w:val="0"/>
          <w:i w:val="0"/>
          <w:color w:val="212121"/>
          <w:sz w:val="21"/>
        </w:rPr>
        <w:t>(2) Performance-only social anxiety disorder (DSM-5 specifier) — anxiety is limited to performing or speaking in public (public speaking, examinations, viva/interviews, stage or musical performance, competitive sport), while everyday non-performance social interaction is tolerated; onset is often later and impairment more circumscribed;</w:t>
      </w:r>
    </w:p>
    <w:p>
      <w:pPr>
        <w:spacing w:before="0" w:after="80"/>
      </w:pPr>
      <w:r>
        <w:rPr>
          <w:rFonts w:ascii="Calibri" w:hAnsi="Calibri"/>
          <w:b w:val="0"/>
          <w:i w:val="0"/>
          <w:color w:val="212121"/>
          <w:sz w:val="21"/>
        </w:rPr>
        <w:t>(3) By severity — mild, moderate or severe, graded on the number of feared situations, the degree of avoidance and the level of functional impairment, and commonly quantified with the Liebowitz Social Anxiety Scale (LSAS) or Social Phobia Inventory (SPIN);</w:t>
      </w:r>
    </w:p>
    <w:p>
      <w:pPr>
        <w:spacing w:before="0" w:after="80"/>
      </w:pPr>
      <w:r>
        <w:rPr>
          <w:rFonts w:ascii="Calibri" w:hAnsi="Calibri"/>
          <w:b w:val="0"/>
          <w:i w:val="0"/>
          <w:color w:val="212121"/>
          <w:sz w:val="21"/>
        </w:rPr>
        <w:t>(4) Culturally patterned and secondary presentations — including taijin kyofusho-type variants (fear of offending or embarrassing others) and social anxiety arising secondary to a visible or stigmatised condition (stammering, tremor, hyperhidrosis, acne, a movement disorder), which alters the focus of treatment.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and temperamental predisposition: SAD aggregates in families (risk in first-degree relatives is roughly 2–6× higher) and is strongly linked to the childhood temperament of behavioural inhibition; heritability is moderate (about 30–40%).</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Neurobiological factors: Hyper-responsivity of the amygdala and limbic fear circuitry to social and evaluative cues, with dysregulation of serotonergic and dopaminergic signalling, underlies exaggerated threat appraisal of social situations.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Adverse social learning and environment: Childhood bullying, teasing, humiliation and peer victimisation; over-protective, critical or controlling parenting; and modelling of anxious behaviour by caregivers all increase risk.</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Cognitive-maintenance factors: A self-focused attentional bias, distorted negative self-imagery, anticipatory worry, use of safety behaviours and post-event rumination maintain and reinforce the disorder.</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Developmental and sociocultural factors: Onset in a socially formative period (early-to-mid adolescence); academic and competitive pressure, urban and evaluative social environments, and in India the framing of the condition as mere ‘shyness’, which delays recognition and help-seeking.</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Self-medication and substances: Use of alcohol or benzodiazepines to cope with social fear entrenches avoidance and can progress to dependence, while high caffeine, cannabis or stimulant use can worsen anxiety.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SAD characteristically emerges in a socially formative window — median onset is in early-to-mid adolescence, around age 13 — and prevalence peaks in youth as academic, peer-evaluation and identity pressures converge with a maturing but still labile fear-appraisal system.</w:t>
            </w:r>
          </w:p>
          <w:p>
            <w:pPr>
              <w:spacing w:after="40" w:before="60" w:line="259" w:lineRule="auto"/>
            </w:pPr>
            <w:r>
              <w:rPr>
                <w:rFonts w:ascii="Calibri" w:hAnsi="Calibri"/>
                <w:b w:val="0"/>
                <w:i w:val="0"/>
                <w:color w:val="212121"/>
                <w:sz w:val="19"/>
              </w:rPr>
              <w:t>A meta-analysis put the pooled prevalence of anxiety disorders (which include social anxiety) among Indian adolescents at 24% (95% CI 14–39%); in US data past-year SAD is highest at ages 18–29 (9.1%).</w:t>
            </w:r>
          </w:p>
          <w:p>
            <w:pPr>
              <w:spacing w:after="40" w:line="252" w:lineRule="auto"/>
            </w:pPr>
            <w:hyperlink r:id="rId9">
              <w:r>
                <w:rPr>
                  <w:rFonts w:ascii="Calibri" w:hAnsi="Calibri" w:cs="Calibri"/>
                  <w:sz w:val="18"/>
                  <w:color w:val="1155CC"/>
                  <w:u w:val="single"/>
                </w:rPr>
                <w:t xml:space="preserve">Cureus (Pal et al., 2022) — anxiety in Indian adolescents</w:t>
              </w:r>
            </w:hyperlink>
          </w:p>
          <w:p>
            <w:pPr>
              <w:spacing w:before="60" w:after="40"/>
            </w:pPr>
            <w:r>
              <w:rPr>
                <w:rFonts w:ascii="Calibri" w:hAnsi="Calibri"/>
                <w:b w:val="0"/>
                <w:i w:val="0"/>
                <w:color w:val="5A5A5A"/>
                <w:sz w:val="18"/>
              </w:rPr>
              <w:t>#adolescence  #youngadults  #earlyonset  #peerevaluation  #students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Point prevalence and odds of SAD are lower in older adults; long-standing avoidance may be reframed as settled personality or lifestyle, and late-life presentations are often overshadowed by depression or physical illness.</w:t>
            </w:r>
          </w:p>
          <w:p>
            <w:pPr>
              <w:spacing w:after="40" w:before="60" w:line="259" w:lineRule="auto"/>
            </w:pPr>
            <w:r>
              <w:rPr>
                <w:rFonts w:ascii="Calibri" w:hAnsi="Calibri"/>
                <w:b w:val="0"/>
                <w:i w:val="0"/>
                <w:color w:val="212121"/>
                <w:sz w:val="19"/>
              </w:rPr>
              <w:t>India's nationally representative SAD study found significantly lower odds of social anxiety disorder in the elderly; US past-year prevalence falls to 3.1% at ages 60+.</w:t>
            </w:r>
          </w:p>
          <w:p>
            <w:pPr>
              <w:spacing w:after="40" w:line="252" w:lineRule="auto"/>
            </w:pPr>
            <w:hyperlink r:id="rId10">
              <w:r>
                <w:rPr>
                  <w:rFonts w:ascii="Calibri" w:hAnsi="Calibri" w:cs="Calibri"/>
                  <w:sz w:val="18"/>
                  <w:color w:val="1155CC"/>
                  <w:u w:val="single"/>
                </w:rPr>
                <w:t xml:space="preserve">Indian J Psychiatry (Suhas et al., 2023) — national SAD study</w:t>
              </w:r>
            </w:hyperlink>
          </w:p>
          <w:p>
            <w:pPr>
              <w:spacing w:before="60" w:after="40"/>
            </w:pPr>
            <w:r>
              <w:rPr>
                <w:rFonts w:ascii="Calibri" w:hAnsi="Calibri"/>
                <w:b w:val="0"/>
                <w:i w:val="0"/>
                <w:color w:val="5A5A5A"/>
                <w:sz w:val="18"/>
              </w:rPr>
              <w:t>#elderly  #lowerodds  #underdetection  #latelife  #comorbidity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(community samples)</w:t>
            </w:r>
          </w:p>
        </w:tc>
        <w:tc>
          <w:tcPr>
            <w:tcW w:type="dxa" w:w="4276"/>
            <w:vAlign w:val="top"/>
          </w:tcPr>
          <w:p>
            <w:pPr>
              <w:spacing w:after="60" w:line="259" w:lineRule="auto"/>
            </w:pPr>
            <w:r>
              <w:rPr>
                <w:rFonts w:ascii="Calibri" w:hAnsi="Calibri"/>
                <w:b w:val="0"/>
                <w:i w:val="0"/>
                <w:color w:val="212121"/>
                <w:sz w:val="19"/>
              </w:rPr>
              <w:t>In most community and adolescent samples SAD is more common in girls and women, reflecting sex differences in threat sensitivity, socialisation around evaluation, and higher overall anxiety-disorder burden in females.</w:t>
            </w:r>
          </w:p>
          <w:p>
            <w:pPr>
              <w:spacing w:after="40" w:before="60" w:line="259" w:lineRule="auto"/>
            </w:pPr>
            <w:r>
              <w:rPr>
                <w:rFonts w:ascii="Calibri" w:hAnsi="Calibri"/>
                <w:b w:val="0"/>
                <w:i w:val="0"/>
                <w:color w:val="212121"/>
                <w:sz w:val="19"/>
              </w:rPr>
              <w:t>US past-year prevalence is higher in females (8.0%) than males (6.1%); among adolescents lifetime SAD is 11.2% in girls versus 7.0% in boys.</w:t>
            </w:r>
          </w:p>
          <w:p>
            <w:pPr>
              <w:spacing w:after="40" w:line="252" w:lineRule="auto"/>
            </w:pPr>
            <w:hyperlink r:id="rId11">
              <w:r>
                <w:rPr>
                  <w:rFonts w:ascii="Calibri" w:hAnsi="Calibri" w:cs="Calibri"/>
                  <w:sz w:val="18"/>
                  <w:color w:val="1155CC"/>
                  <w:u w:val="single"/>
                </w:rPr>
                <w:t xml:space="preserve">nimh.nih.gov — SAD prevalence by sex</w:t>
              </w:r>
            </w:hyperlink>
          </w:p>
          <w:p>
            <w:pPr>
              <w:spacing w:before="60" w:after="40"/>
            </w:pPr>
            <w:r>
              <w:rPr>
                <w:rFonts w:ascii="Calibri" w:hAnsi="Calibri"/>
                <w:b w:val="0"/>
                <w:i w:val="0"/>
                <w:color w:val="5A5A5A"/>
                <w:sz w:val="18"/>
              </w:rPr>
              <w:t>#female  #anxietyburden  #adolescentgirls  #threatsensitivity  #community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(Indian clinical/epidemiological data)</w:t>
            </w:r>
          </w:p>
        </w:tc>
        <w:tc>
          <w:tcPr>
            <w:tcW w:type="dxa" w:w="4276"/>
            <w:vAlign w:val="top"/>
          </w:tcPr>
          <w:p>
            <w:pPr>
              <w:spacing w:after="60" w:line="259" w:lineRule="auto"/>
            </w:pPr>
            <w:r>
              <w:rPr>
                <w:rFonts w:ascii="Calibri" w:hAnsi="Calibri"/>
                <w:b w:val="0"/>
                <w:i w:val="0"/>
                <w:color w:val="212121"/>
                <w:sz w:val="19"/>
              </w:rPr>
              <w:t>Contrary to the usual female predominance, India's nationally representative data found higher odds of SAD in men; men are also over-represented in treatment-seeking samples, where occupational and marriage-related evaluation pressures and greater functional impact drive presentation.</w:t>
            </w:r>
          </w:p>
          <w:p>
            <w:pPr>
              <w:spacing w:after="40" w:before="60" w:line="259" w:lineRule="auto"/>
            </w:pPr>
            <w:r>
              <w:rPr>
                <w:rFonts w:ascii="Calibri" w:hAnsi="Calibri"/>
                <w:b w:val="0"/>
                <w:i w:val="0"/>
                <w:color w:val="212121"/>
                <w:sz w:val="19"/>
              </w:rPr>
              <w:t>India's national SAD analysis reported higher odds of social anxiety disorder among males, alongside a substantial 82% treatment gap.</w:t>
            </w:r>
          </w:p>
          <w:p>
            <w:pPr>
              <w:spacing w:after="40" w:line="252" w:lineRule="auto"/>
            </w:pPr>
            <w:hyperlink r:id="rId10">
              <w:r>
                <w:rPr>
                  <w:rFonts w:ascii="Calibri" w:hAnsi="Calibri" w:cs="Calibri"/>
                  <w:sz w:val="18"/>
                  <w:color w:val="1155CC"/>
                  <w:u w:val="single"/>
                </w:rPr>
                <w:t xml:space="preserve">Indian J Psychiatry (Suhas et al., 2023) — male predominance in India</w:t>
              </w:r>
            </w:hyperlink>
          </w:p>
          <w:p>
            <w:pPr>
              <w:spacing w:before="60" w:after="40"/>
            </w:pPr>
            <w:r>
              <w:rPr>
                <w:rFonts w:ascii="Calibri" w:hAnsi="Calibri"/>
                <w:b w:val="0"/>
                <w:i w:val="0"/>
                <w:color w:val="5A5A5A"/>
                <w:sz w:val="18"/>
              </w:rPr>
              <w:t>#male  #India  #treatmentgap  #occupationalpressure  #helpseeking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Unemployed / not in stable work</w:t>
            </w:r>
          </w:p>
        </w:tc>
        <w:tc>
          <w:tcPr>
            <w:tcW w:type="dxa" w:w="4276"/>
            <w:vAlign w:val="top"/>
          </w:tcPr>
          <w:p>
            <w:pPr>
              <w:spacing w:after="60" w:line="259" w:lineRule="auto"/>
            </w:pPr>
            <w:r>
              <w:rPr>
                <w:rFonts w:ascii="Calibri" w:hAnsi="Calibri"/>
                <w:b w:val="0"/>
                <w:i w:val="0"/>
                <w:color w:val="212121"/>
                <w:sz w:val="19"/>
              </w:rPr>
              <w:t>SAD and unemployment are bidirectionally linked — social avoidance impairs interviews, networking and workplace interaction, while joblessness and financial strain heighten evaluative fear and erode confidence.</w:t>
            </w:r>
          </w:p>
          <w:p>
            <w:pPr>
              <w:spacing w:after="40" w:before="60" w:line="259" w:lineRule="auto"/>
            </w:pPr>
            <w:r>
              <w:rPr>
                <w:rFonts w:ascii="Calibri" w:hAnsi="Calibri"/>
                <w:b w:val="0"/>
                <w:i w:val="0"/>
                <w:color w:val="212121"/>
                <w:sz w:val="19"/>
              </w:rPr>
              <w:t>India's national SAD study found significantly higher odds of social anxiety disorder among unemployed individuals.</w:t>
            </w:r>
          </w:p>
          <w:p>
            <w:pPr>
              <w:spacing w:after="40" w:line="252" w:lineRule="auto"/>
            </w:pPr>
            <w:hyperlink r:id="rId10">
              <w:r>
                <w:rPr>
                  <w:rFonts w:ascii="Calibri" w:hAnsi="Calibri" w:cs="Calibri"/>
                  <w:sz w:val="18"/>
                  <w:color w:val="1155CC"/>
                  <w:u w:val="single"/>
                </w:rPr>
                <w:t xml:space="preserve">Indian J Psychiatry (Suhas et al., 2023) — unemployment association</w:t>
              </w:r>
            </w:hyperlink>
          </w:p>
          <w:p>
            <w:pPr>
              <w:spacing w:before="60" w:after="40"/>
            </w:pPr>
            <w:r>
              <w:rPr>
                <w:rFonts w:ascii="Calibri" w:hAnsi="Calibri"/>
                <w:b w:val="0"/>
                <w:i w:val="0"/>
                <w:color w:val="5A5A5A"/>
                <w:sz w:val="18"/>
              </w:rPr>
              <w:t>#unemployment  #occupationalimpairment  #interviews  #financialstrain  #underachievement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Urban residents</w:t>
            </w:r>
          </w:p>
        </w:tc>
        <w:tc>
          <w:tcPr>
            <w:tcW w:type="dxa" w:w="4276"/>
            <w:vAlign w:val="top"/>
          </w:tcPr>
          <w:p>
            <w:pPr>
              <w:spacing w:after="60" w:line="259" w:lineRule="auto"/>
            </w:pPr>
            <w:r>
              <w:rPr>
                <w:rFonts w:ascii="Calibri" w:hAnsi="Calibri"/>
                <w:b w:val="0"/>
                <w:i w:val="0"/>
                <w:color w:val="212121"/>
                <w:sz w:val="19"/>
              </w:rPr>
              <w:t>Urban and metropolitan living concentrates competitive, evaluative social environments, larger networks of unfamiliar people and smaller family support structures, which can precipitate and sustain social-evaluative fear.</w:t>
            </w:r>
          </w:p>
          <w:p>
            <w:pPr>
              <w:spacing w:after="40" w:before="60" w:line="259" w:lineRule="auto"/>
            </w:pPr>
            <w:r>
              <w:rPr>
                <w:rFonts w:ascii="Calibri" w:hAnsi="Calibri"/>
                <w:b w:val="0"/>
                <w:i w:val="0"/>
                <w:color w:val="212121"/>
                <w:sz w:val="19"/>
              </w:rPr>
              <w:t>India's nationally representative study found higher odds of SAD among urban residents.</w:t>
            </w:r>
          </w:p>
          <w:p>
            <w:pPr>
              <w:spacing w:after="40" w:line="252" w:lineRule="auto"/>
            </w:pPr>
            <w:hyperlink r:id="rId10">
              <w:r>
                <w:rPr>
                  <w:rFonts w:ascii="Calibri" w:hAnsi="Calibri" w:cs="Calibri"/>
                  <w:sz w:val="18"/>
                  <w:color w:val="1155CC"/>
                  <w:u w:val="single"/>
                </w:rPr>
                <w:t xml:space="preserve">Indian J Psychiatry (Suhas et al., 2023) — urban association</w:t>
              </w:r>
            </w:hyperlink>
          </w:p>
          <w:p>
            <w:pPr>
              <w:spacing w:before="60" w:after="40"/>
            </w:pPr>
            <w:r>
              <w:rPr>
                <w:rFonts w:ascii="Calibri" w:hAnsi="Calibri"/>
                <w:b w:val="0"/>
                <w:i w:val="0"/>
                <w:color w:val="5A5A5A"/>
                <w:sz w:val="18"/>
              </w:rPr>
              <w:t>#urban  #evaluativeenvironment  #nuclearfamily  #citystress  #competition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Setting / population</w:t>
            </w:r>
          </w:p>
        </w:tc>
        <w:tc>
          <w:tcPr>
            <w:tcW w:type="dxa" w:w="2160"/>
            <w:vAlign w:val="top"/>
          </w:tcPr>
          <w:p>
            <w:pPr>
              <w:spacing w:after="40" w:before="0" w:line="259" w:lineRule="auto"/>
            </w:pPr>
            <w:r>
              <w:rPr>
                <w:rFonts w:ascii="Calibri" w:hAnsi="Calibri"/>
                <w:b w:val="0"/>
                <w:i w:val="0"/>
                <w:color w:val="212121"/>
                <w:sz w:val="19"/>
              </w:rPr>
              <w:t>Students in competitive academic settings (India)</w:t>
            </w:r>
          </w:p>
        </w:tc>
        <w:tc>
          <w:tcPr>
            <w:tcW w:type="dxa" w:w="4276"/>
            <w:vAlign w:val="top"/>
          </w:tcPr>
          <w:p>
            <w:pPr>
              <w:spacing w:after="60" w:line="259" w:lineRule="auto"/>
            </w:pPr>
            <w:r>
              <w:rPr>
                <w:rFonts w:ascii="Calibri" w:hAnsi="Calibri"/>
                <w:b w:val="0"/>
                <w:i w:val="0"/>
                <w:color w:val="212121"/>
                <w:sz w:val="19"/>
              </w:rPr>
              <w:t>Indian students face intense performance evaluation — examinations, viva/practical assessments, presentations and clinical postings — and screen-level social anxiety is highly prevalent, frequently unrecognised and untreated.</w:t>
            </w:r>
          </w:p>
          <w:p>
            <w:pPr>
              <w:spacing w:after="40" w:before="60" w:line="259" w:lineRule="auto"/>
            </w:pPr>
            <w:r>
              <w:rPr>
                <w:rFonts w:ascii="Calibri" w:hAnsi="Calibri"/>
                <w:b w:val="0"/>
                <w:i w:val="0"/>
                <w:color w:val="212121"/>
                <w:sz w:val="19"/>
              </w:rPr>
              <w:t>In 1,006 Indian nursing undergraduates only 21.6% had no social-phobia symptoms; about 22% had moderate-to-very-severe social phobia.</w:t>
            </w:r>
          </w:p>
          <w:p>
            <w:pPr>
              <w:spacing w:after="40" w:line="252" w:lineRule="auto"/>
            </w:pPr>
            <w:hyperlink r:id="rId12">
              <w:r>
                <w:rPr>
                  <w:rFonts w:ascii="Calibri" w:hAnsi="Calibri" w:cs="Calibri"/>
                  <w:sz w:val="18"/>
                  <w:color w:val="1155CC"/>
                  <w:u w:val="single"/>
                </w:rPr>
                <w:t xml:space="preserve">Nursing Journal of India (2021) — social phobia in nursing students</w:t>
              </w:r>
            </w:hyperlink>
          </w:p>
          <w:p>
            <w:pPr>
              <w:spacing w:before="60" w:after="40"/>
            </w:pPr>
            <w:r>
              <w:rPr>
                <w:rFonts w:ascii="Calibri" w:hAnsi="Calibri"/>
                <w:b w:val="0"/>
                <w:i w:val="0"/>
                <w:color w:val="5A5A5A"/>
                <w:sz w:val="18"/>
              </w:rPr>
              <w:t>#students  #examstress  #presentations  #screenlevel  #underrecognised</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Social withdrawal / high screen &amp; social-media use</w:t>
            </w:r>
          </w:p>
        </w:tc>
        <w:tc>
          <w:tcPr>
            <w:tcW w:type="dxa" w:w="2160"/>
            <w:vAlign w:val="top"/>
          </w:tcPr>
          <w:p>
            <w:pPr>
              <w:spacing w:after="40" w:before="0" w:line="259" w:lineRule="auto"/>
            </w:pPr>
            <w:r>
              <w:rPr>
                <w:rFonts w:ascii="Calibri" w:hAnsi="Calibri"/>
                <w:b w:val="0"/>
                <w:i w:val="0"/>
                <w:color w:val="212121"/>
                <w:sz w:val="19"/>
              </w:rPr>
              <w:t>Digitally-mediated, socially avoidant youth</w:t>
            </w:r>
          </w:p>
        </w:tc>
        <w:tc>
          <w:tcPr>
            <w:tcW w:type="dxa" w:w="4276"/>
            <w:vAlign w:val="top"/>
          </w:tcPr>
          <w:p>
            <w:pPr>
              <w:spacing w:after="60" w:line="259" w:lineRule="auto"/>
            </w:pPr>
            <w:r>
              <w:rPr>
                <w:rFonts w:ascii="Calibri" w:hAnsi="Calibri"/>
                <w:b w:val="0"/>
                <w:i w:val="0"/>
                <w:color w:val="212121"/>
                <w:sz w:val="19"/>
              </w:rPr>
              <w:t>Heavy reliance on text and online interaction can substitute for in-person contact and reinforce avoidance, while upward social comparison and fear of online judgement can heighten evaluative anxiety in predisposed individuals.</w:t>
            </w:r>
          </w:p>
          <w:p>
            <w:pPr>
              <w:spacing w:after="40" w:before="60" w:line="259" w:lineRule="auto"/>
            </w:pPr>
            <w:r>
              <w:rPr>
                <w:rFonts w:ascii="Calibri" w:hAnsi="Calibri"/>
                <w:b w:val="0"/>
                <w:i w:val="0"/>
                <w:color w:val="212121"/>
                <w:sz w:val="19"/>
              </w:rPr>
              <w:t>Avoidance of in-person situations — conversations, eye contact, gatherings, eating in public — is central to SAD and progressively narrows social and occupational life.</w:t>
            </w:r>
          </w:p>
          <w:p>
            <w:pPr>
              <w:spacing w:after="40" w:line="252" w:lineRule="auto"/>
            </w:pPr>
            <w:hyperlink r:id="rId13">
              <w:r>
                <w:rPr>
                  <w:rFonts w:ascii="Calibri" w:hAnsi="Calibri" w:cs="Calibri"/>
                  <w:sz w:val="18"/>
                  <w:color w:val="1155CC"/>
                  <w:u w:val="single"/>
                </w:rPr>
                <w:t xml:space="preserve">mayoclinic.org — social anxiety disorder (avoidance)</w:t>
              </w:r>
            </w:hyperlink>
          </w:p>
          <w:p>
            <w:pPr>
              <w:spacing w:before="60" w:after="40"/>
            </w:pPr>
            <w:r>
              <w:rPr>
                <w:rFonts w:ascii="Calibri" w:hAnsi="Calibri"/>
                <w:b w:val="0"/>
                <w:i w:val="0"/>
                <w:color w:val="5A5A5A"/>
                <w:sz w:val="18"/>
              </w:rPr>
              <w:t>#avoidance  #socialmedia  #screentime  #socialcomparison  #withdrawal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 / anxiolytic self-medication</w:t>
            </w:r>
          </w:p>
        </w:tc>
        <w:tc>
          <w:tcPr>
            <w:tcW w:type="dxa" w:w="2160"/>
            <w:vAlign w:val="top"/>
          </w:tcPr>
          <w:p>
            <w:pPr>
              <w:spacing w:after="40" w:before="0" w:line="259" w:lineRule="auto"/>
            </w:pPr>
            <w:r>
              <w:rPr>
                <w:rFonts w:ascii="Calibri" w:hAnsi="Calibri"/>
                <w:b w:val="0"/>
                <w:i w:val="0"/>
                <w:color w:val="212121"/>
                <w:sz w:val="19"/>
              </w:rPr>
              <w:t>People who drink or use benzodiazepines to cope socially</w:t>
            </w:r>
          </w:p>
        </w:tc>
        <w:tc>
          <w:tcPr>
            <w:tcW w:type="dxa" w:w="4276"/>
            <w:vAlign w:val="top"/>
          </w:tcPr>
          <w:p>
            <w:pPr>
              <w:spacing w:after="60" w:line="259" w:lineRule="auto"/>
            </w:pPr>
            <w:r>
              <w:rPr>
                <w:rFonts w:ascii="Calibri" w:hAnsi="Calibri"/>
                <w:b w:val="0"/>
                <w:i w:val="0"/>
                <w:color w:val="212121"/>
                <w:sz w:val="19"/>
              </w:rPr>
              <w:t>Using alcohol or sedatives to 'get through' social situations gives short-term relief but reinforces avoidance and drives escalating use; SAD characteristically precedes, and predisposes to, alcohol use disorder.</w:t>
            </w:r>
          </w:p>
          <w:p>
            <w:pPr>
              <w:spacing w:after="40" w:before="60" w:line="259" w:lineRule="auto"/>
            </w:pPr>
            <w:r>
              <w:rPr>
                <w:rFonts w:ascii="Calibri" w:hAnsi="Calibri"/>
                <w:b w:val="0"/>
                <w:i w:val="0"/>
                <w:color w:val="212121"/>
                <w:sz w:val="19"/>
              </w:rPr>
              <w:t>SAD is strongly associated with alcohol use disorder, with social anxiety typically preceding problematic drinking as a form of self-medication.</w:t>
            </w:r>
          </w:p>
          <w:p>
            <w:pPr>
              <w:spacing w:before="60" w:after="40"/>
            </w:pPr>
            <w:r>
              <w:rPr>
                <w:rFonts w:ascii="Calibri" w:hAnsi="Calibri"/>
                <w:b w:val="0"/>
                <w:i w:val="0"/>
                <w:color w:val="5A5A5A"/>
                <w:sz w:val="18"/>
              </w:rPr>
              <w:t>#selfmedication  #alcohol  #benzodiazepines  #avoidancecycle  #dependence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nicotine use</w:t>
            </w:r>
          </w:p>
        </w:tc>
        <w:tc>
          <w:tcPr>
            <w:tcW w:type="dxa" w:w="2160"/>
            <w:vAlign w:val="top"/>
          </w:tcPr>
          <w:p>
            <w:pPr>
              <w:spacing w:after="40" w:before="0" w:line="259" w:lineRule="auto"/>
            </w:pPr>
            <w:r>
              <w:rPr>
                <w:rFonts w:ascii="Calibri" w:hAnsi="Calibri"/>
                <w:b w:val="0"/>
                <w:i w:val="0"/>
                <w:color w:val="212121"/>
                <w:sz w:val="19"/>
              </w:rPr>
              <w:t>Adolescent and young-adult tobacco users</w:t>
            </w:r>
          </w:p>
        </w:tc>
        <w:tc>
          <w:tcPr>
            <w:tcW w:type="dxa" w:w="4276"/>
            <w:vAlign w:val="top"/>
          </w:tcPr>
          <w:p>
            <w:pPr>
              <w:spacing w:after="60" w:line="259" w:lineRule="auto"/>
            </w:pPr>
            <w:r>
              <w:rPr>
                <w:rFonts w:ascii="Calibri" w:hAnsi="Calibri"/>
                <w:b w:val="0"/>
                <w:i w:val="0"/>
                <w:color w:val="212121"/>
                <w:sz w:val="19"/>
              </w:rPr>
              <w:t>Nicotine dependence is over-represented in anxiety disorders and is used to regulate arousal; early smoking is associated with later anxiety, and both share stress-reactivity pathways.</w:t>
            </w:r>
          </w:p>
          <w:p>
            <w:pPr>
              <w:spacing w:after="40" w:before="60" w:line="259" w:lineRule="auto"/>
            </w:pPr>
            <w:r>
              <w:rPr>
                <w:rFonts w:ascii="Calibri" w:hAnsi="Calibri"/>
                <w:b w:val="0"/>
                <w:i w:val="0"/>
                <w:color w:val="212121"/>
                <w:sz w:val="19"/>
              </w:rPr>
              <w:t>Tobacco use is commonly comorbid with anxiety disorders and is used to self-regulate arousal, worsening long-term course.</w:t>
            </w:r>
          </w:p>
          <w:p>
            <w:pPr>
              <w:spacing w:before="60" w:after="40"/>
            </w:pPr>
            <w:r>
              <w:rPr>
                <w:rFonts w:ascii="Calibri" w:hAnsi="Calibri"/>
                <w:b w:val="0"/>
                <w:i w:val="0"/>
                <w:color w:val="5A5A5A"/>
                <w:sz w:val="18"/>
              </w:rPr>
              <w:t>#smoking  #nicotine  #arousal  #comorbidity  #adolescents</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Caffeine / stimulant intake</w:t>
            </w:r>
          </w:p>
        </w:tc>
        <w:tc>
          <w:tcPr>
            <w:tcW w:type="dxa" w:w="2160"/>
            <w:vAlign w:val="top"/>
          </w:tcPr>
          <w:p>
            <w:pPr>
              <w:spacing w:after="40" w:before="0" w:line="259" w:lineRule="auto"/>
            </w:pPr>
            <w:r>
              <w:rPr>
                <w:rFonts w:ascii="Calibri" w:hAnsi="Calibri"/>
                <w:b w:val="0"/>
                <w:i w:val="0"/>
                <w:color w:val="212121"/>
                <w:sz w:val="19"/>
              </w:rPr>
              <w:t>High caffeine &amp; energy-drink consumers</w:t>
            </w:r>
          </w:p>
        </w:tc>
        <w:tc>
          <w:tcPr>
            <w:tcW w:type="dxa" w:w="4276"/>
            <w:vAlign w:val="top"/>
          </w:tcPr>
          <w:p>
            <w:pPr>
              <w:spacing w:after="60" w:line="259" w:lineRule="auto"/>
            </w:pPr>
            <w:r>
              <w:rPr>
                <w:rFonts w:ascii="Calibri" w:hAnsi="Calibri"/>
                <w:b w:val="0"/>
                <w:i w:val="0"/>
                <w:color w:val="212121"/>
                <w:sz w:val="19"/>
              </w:rPr>
              <w:t>Caffeine and other stimulants provoke palpitations, tremor and sweating that mimic and amplify the physical signs the person fears others will notice, feeding the vicious cycle of social-evaluative anxiety.</w:t>
            </w:r>
          </w:p>
          <w:p>
            <w:pPr>
              <w:spacing w:after="40" w:before="60" w:line="259" w:lineRule="auto"/>
            </w:pPr>
            <w:r>
              <w:rPr>
                <w:rFonts w:ascii="Calibri" w:hAnsi="Calibri"/>
                <w:b w:val="0"/>
                <w:i w:val="0"/>
                <w:color w:val="212121"/>
                <w:sz w:val="19"/>
              </w:rPr>
              <w:t>High caffeine intake can precipitate or worsen anxiety and panic-like symptoms, intensifying the visible arousal that patients with SAD fear being judged for.</w:t>
            </w:r>
          </w:p>
          <w:p>
            <w:pPr>
              <w:spacing w:before="60" w:after="40"/>
            </w:pPr>
            <w:r>
              <w:rPr>
                <w:rFonts w:ascii="Calibri" w:hAnsi="Calibri"/>
                <w:b w:val="0"/>
                <w:i w:val="0"/>
                <w:color w:val="5A5A5A"/>
                <w:sz w:val="18"/>
              </w:rPr>
              <w:t>#caffeine  #energydrinks  #palpitations  #tremor  #arousal</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SAD or another anxiety disorder</w:t>
            </w:r>
          </w:p>
        </w:tc>
        <w:tc>
          <w:tcPr>
            <w:tcW w:type="dxa" w:w="4276"/>
            <w:vAlign w:val="top"/>
          </w:tcPr>
          <w:p>
            <w:pPr>
              <w:spacing w:after="60" w:line="259" w:lineRule="auto"/>
            </w:pPr>
            <w:r>
              <w:rPr>
                <w:rFonts w:ascii="Calibri" w:hAnsi="Calibri"/>
                <w:b w:val="0"/>
                <w:i w:val="0"/>
                <w:color w:val="212121"/>
                <w:sz w:val="19"/>
              </w:rPr>
              <w:t>Social anxiety runs in families through shared genes and modelled behaviour; a first-degree relative with SAD or another anxiety disorder markedly raises risk, and parental over-protection or anxiety compounds it.</w:t>
            </w:r>
          </w:p>
          <w:p>
            <w:pPr>
              <w:spacing w:after="40" w:before="60" w:line="259" w:lineRule="auto"/>
            </w:pPr>
            <w:r>
              <w:rPr>
                <w:rFonts w:ascii="Calibri" w:hAnsi="Calibri"/>
                <w:b w:val="0"/>
                <w:i w:val="0"/>
                <w:color w:val="212121"/>
                <w:sz w:val="19"/>
              </w:rPr>
              <w:t>First-degree relatives of people with SAD have roughly 2–6× higher risk; heritability is moderate (about 30–40%).</w:t>
            </w:r>
          </w:p>
          <w:p>
            <w:pPr>
              <w:spacing w:after="40" w:line="252" w:lineRule="auto"/>
            </w:pPr>
            <w:hyperlink r:id="rId13">
              <w:r>
                <w:rPr>
                  <w:rFonts w:ascii="Calibri" w:hAnsi="Calibri" w:cs="Calibri"/>
                  <w:sz w:val="18"/>
                  <w:color w:val="1155CC"/>
                  <w:u w:val="single"/>
                </w:rPr>
                <w:t xml:space="preserve">mayoclinic.org — SAD causes &amp; risk factors</w:t>
              </w:r>
            </w:hyperlink>
          </w:p>
          <w:p>
            <w:pPr>
              <w:spacing w:before="60" w:after="40"/>
            </w:pPr>
            <w:r>
              <w:rPr>
                <w:rFonts w:ascii="Calibri" w:hAnsi="Calibri"/>
                <w:b w:val="0"/>
                <w:i w:val="0"/>
                <w:color w:val="5A5A5A"/>
                <w:sz w:val="18"/>
              </w:rPr>
              <w:t>#familyhistory  #heritability  #modelling  #overprotection  #genetic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Temperament</w:t>
            </w:r>
          </w:p>
        </w:tc>
        <w:tc>
          <w:tcPr>
            <w:tcW w:type="dxa" w:w="2160"/>
            <w:vAlign w:val="top"/>
          </w:tcPr>
          <w:p>
            <w:pPr>
              <w:spacing w:after="40" w:before="0" w:line="259" w:lineRule="auto"/>
            </w:pPr>
            <w:r>
              <w:rPr>
                <w:rFonts w:ascii="Calibri" w:hAnsi="Calibri"/>
                <w:b w:val="0"/>
                <w:i w:val="0"/>
                <w:color w:val="212121"/>
                <w:sz w:val="19"/>
              </w:rPr>
              <w:t>Children with behavioural inhibition</w:t>
            </w:r>
          </w:p>
        </w:tc>
        <w:tc>
          <w:tcPr>
            <w:tcW w:type="dxa" w:w="4276"/>
            <w:vAlign w:val="top"/>
          </w:tcPr>
          <w:p>
            <w:pPr>
              <w:spacing w:after="60" w:line="259" w:lineRule="auto"/>
            </w:pPr>
            <w:r>
              <w:rPr>
                <w:rFonts w:ascii="Calibri" w:hAnsi="Calibri"/>
                <w:b w:val="0"/>
                <w:i w:val="0"/>
                <w:color w:val="212121"/>
                <w:sz w:val="19"/>
              </w:rPr>
              <w:t>A temperament of behavioural inhibition — shyness, withdrawal and heightened physiological reactivity to novelty in early childhood — is one of the strongest predictors of later social anxiety disorder.</w:t>
            </w:r>
          </w:p>
          <w:p>
            <w:pPr>
              <w:spacing w:after="40" w:before="60" w:line="259" w:lineRule="auto"/>
            </w:pPr>
            <w:r>
              <w:rPr>
                <w:rFonts w:ascii="Calibri" w:hAnsi="Calibri"/>
                <w:b w:val="0"/>
                <w:i w:val="0"/>
                <w:color w:val="212121"/>
                <w:sz w:val="19"/>
              </w:rPr>
              <w:t>Behavioural inhibition in early childhood is a robust temperamental precursor of SAD, mediated by amygdala hyper-reactivity to social novelty.</w:t>
            </w:r>
          </w:p>
          <w:p>
            <w:pPr>
              <w:spacing w:before="60" w:after="40"/>
            </w:pPr>
            <w:r>
              <w:rPr>
                <w:rFonts w:ascii="Calibri" w:hAnsi="Calibri"/>
                <w:b w:val="0"/>
                <w:i w:val="0"/>
                <w:color w:val="5A5A5A"/>
                <w:sz w:val="18"/>
              </w:rPr>
              <w:t>#behaviouralinhibition  #temperament  #amygdala  #shyness  #childhood</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Depressive disorder</w:t>
            </w:r>
          </w:p>
        </w:tc>
        <w:tc>
          <w:tcPr>
            <w:tcW w:type="dxa" w:w="2160"/>
            <w:vAlign w:val="top"/>
          </w:tcPr>
          <w:p>
            <w:pPr>
              <w:spacing w:after="40" w:before="0" w:line="259" w:lineRule="auto"/>
            </w:pPr>
            <w:r>
              <w:rPr>
                <w:rFonts w:ascii="Calibri" w:hAnsi="Calibri"/>
                <w:b w:val="0"/>
                <w:i w:val="0"/>
                <w:color w:val="212121"/>
                <w:sz w:val="19"/>
              </w:rPr>
              <w:t>Patients with comorbid depression</w:t>
            </w:r>
          </w:p>
        </w:tc>
        <w:tc>
          <w:tcPr>
            <w:tcW w:type="dxa" w:w="4276"/>
            <w:vAlign w:val="top"/>
          </w:tcPr>
          <w:p>
            <w:pPr>
              <w:spacing w:after="60" w:line="259" w:lineRule="auto"/>
            </w:pPr>
            <w:r>
              <w:rPr>
                <w:rFonts w:ascii="Calibri" w:hAnsi="Calibri"/>
                <w:b w:val="0"/>
                <w:i w:val="0"/>
                <w:color w:val="212121"/>
                <w:sz w:val="19"/>
              </w:rPr>
              <w:t>Chronic avoidance, isolation and low self-esteem in SAD predispose to major depression; SAD usually precedes the depressive episode, and the combination worsens disability and suicide risk.</w:t>
            </w:r>
          </w:p>
          <w:p>
            <w:pPr>
              <w:spacing w:after="40" w:before="60" w:line="259" w:lineRule="auto"/>
            </w:pPr>
            <w:r>
              <w:rPr>
                <w:rFonts w:ascii="Calibri" w:hAnsi="Calibri"/>
                <w:b w:val="0"/>
                <w:i w:val="0"/>
                <w:color w:val="212121"/>
                <w:sz w:val="19"/>
              </w:rPr>
              <w:t>About 58% of Indians with SAD have a comorbid psychiatric disorder, with depression among the commonest; SAD typically antedates the depression.</w:t>
            </w:r>
          </w:p>
          <w:p>
            <w:pPr>
              <w:spacing w:after="40" w:line="252" w:lineRule="auto"/>
            </w:pPr>
            <w:hyperlink r:id="rId10">
              <w:r>
                <w:rPr>
                  <w:rFonts w:ascii="Calibri" w:hAnsi="Calibri" w:cs="Calibri"/>
                  <w:sz w:val="18"/>
                  <w:color w:val="1155CC"/>
                  <w:u w:val="single"/>
                </w:rPr>
                <w:t xml:space="preserve">Indian J Psychiatry (Suhas et al., 2023) — psychiatric comorbidity</w:t>
              </w:r>
            </w:hyperlink>
          </w:p>
          <w:p>
            <w:pPr>
              <w:spacing w:before="60" w:after="40"/>
            </w:pPr>
            <w:r>
              <w:rPr>
                <w:rFonts w:ascii="Calibri" w:hAnsi="Calibri"/>
                <w:b w:val="0"/>
                <w:i w:val="0"/>
                <w:color w:val="5A5A5A"/>
                <w:sz w:val="18"/>
              </w:rPr>
              <w:t>#depression  #comorbidity  #isolation  #suiciderisk  #sequential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Other anxiety disorders</w:t>
            </w:r>
          </w:p>
        </w:tc>
        <w:tc>
          <w:tcPr>
            <w:tcW w:type="dxa" w:w="2160"/>
            <w:vAlign w:val="top"/>
          </w:tcPr>
          <w:p>
            <w:pPr>
              <w:spacing w:after="40" w:before="0" w:line="259" w:lineRule="auto"/>
            </w:pPr>
            <w:r>
              <w:rPr>
                <w:rFonts w:ascii="Calibri" w:hAnsi="Calibri"/>
                <w:b w:val="0"/>
                <w:i w:val="0"/>
                <w:color w:val="212121"/>
                <w:sz w:val="19"/>
              </w:rPr>
              <w:t>Patients with panic disorder, GAD or agoraphobia</w:t>
            </w:r>
          </w:p>
        </w:tc>
        <w:tc>
          <w:tcPr>
            <w:tcW w:type="dxa" w:w="4276"/>
            <w:vAlign w:val="top"/>
          </w:tcPr>
          <w:p>
            <w:pPr>
              <w:spacing w:after="60" w:line="259" w:lineRule="auto"/>
            </w:pPr>
            <w:r>
              <w:rPr>
                <w:rFonts w:ascii="Calibri" w:hAnsi="Calibri"/>
                <w:b w:val="0"/>
                <w:i w:val="0"/>
                <w:color w:val="212121"/>
                <w:sz w:val="19"/>
              </w:rPr>
              <w:t>SAD shares threat-circuitry and cognitive vulnerability with other anxiety disorders and frequently co-occurs with panic disorder, generalized anxiety disorder, specific phobia and agoraphobia, compounding avoidance and distress.</w:t>
            </w:r>
          </w:p>
          <w:p>
            <w:pPr>
              <w:spacing w:after="40" w:before="60" w:line="259" w:lineRule="auto"/>
            </w:pPr>
            <w:r>
              <w:rPr>
                <w:rFonts w:ascii="Calibri" w:hAnsi="Calibri"/>
                <w:b w:val="0"/>
                <w:i w:val="0"/>
                <w:color w:val="212121"/>
                <w:sz w:val="19"/>
              </w:rPr>
              <w:t>Anxiety disorders are the most common mental disorders worldwide (about 359 million people, 4.4%), and comorbidity among them is the rule rather than the exception.</w:t>
            </w:r>
          </w:p>
          <w:p>
            <w:pPr>
              <w:spacing w:after="40" w:line="252" w:lineRule="auto"/>
            </w:pPr>
            <w:hyperlink r:id="rId14">
              <w:r>
                <w:rPr>
                  <w:rFonts w:ascii="Calibri" w:hAnsi="Calibri" w:cs="Calibri"/>
                  <w:sz w:val="18"/>
                  <w:color w:val="1155CC"/>
                  <w:u w:val="single"/>
                </w:rPr>
                <w:t xml:space="preserve">who.int — anxiety disorders fact sheet</w:t>
              </w:r>
            </w:hyperlink>
          </w:p>
          <w:p>
            <w:pPr>
              <w:spacing w:before="60" w:after="40"/>
            </w:pPr>
            <w:r>
              <w:rPr>
                <w:rFonts w:ascii="Calibri" w:hAnsi="Calibri"/>
                <w:b w:val="0"/>
                <w:i w:val="0"/>
                <w:color w:val="5A5A5A"/>
                <w:sz w:val="18"/>
              </w:rPr>
              <w:t>#panic  #GAD  #agoraphobia  #comorbidity  #threatcircuitry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 / substance use disorder</w:t>
            </w:r>
          </w:p>
        </w:tc>
        <w:tc>
          <w:tcPr>
            <w:tcW w:type="dxa" w:w="2160"/>
            <w:vAlign w:val="top"/>
          </w:tcPr>
          <w:p>
            <w:pPr>
              <w:spacing w:after="40" w:before="0" w:line="259" w:lineRule="auto"/>
            </w:pPr>
            <w:r>
              <w:rPr>
                <w:rFonts w:ascii="Calibri" w:hAnsi="Calibri"/>
                <w:b w:val="0"/>
                <w:i w:val="0"/>
                <w:color w:val="212121"/>
                <w:sz w:val="19"/>
              </w:rPr>
              <w:t>Patients with alcohol or substance dependence</w:t>
            </w:r>
          </w:p>
        </w:tc>
        <w:tc>
          <w:tcPr>
            <w:tcW w:type="dxa" w:w="4276"/>
            <w:vAlign w:val="top"/>
          </w:tcPr>
          <w:p>
            <w:pPr>
              <w:spacing w:after="60" w:line="259" w:lineRule="auto"/>
            </w:pPr>
            <w:r>
              <w:rPr>
                <w:rFonts w:ascii="Calibri" w:hAnsi="Calibri"/>
                <w:b w:val="0"/>
                <w:i w:val="0"/>
                <w:color w:val="212121"/>
                <w:sz w:val="19"/>
              </w:rPr>
              <w:t>Self-medication of social fear with alcohol, benzodiazepines or cannabis can progress to a substance-use disorder that reciprocally worsens anxiety, avoidance, adherence and prognosis (dual diagnosis).</w:t>
            </w:r>
          </w:p>
          <w:p>
            <w:pPr>
              <w:spacing w:after="40" w:before="60" w:line="259" w:lineRule="auto"/>
            </w:pPr>
            <w:r>
              <w:rPr>
                <w:rFonts w:ascii="Calibri" w:hAnsi="Calibri"/>
                <w:b w:val="0"/>
                <w:i w:val="0"/>
                <w:color w:val="212121"/>
                <w:sz w:val="19"/>
              </w:rPr>
              <w:t>SAD is a well-established risk factor for later alcohol use disorder, with the social anxiety usually preceding the substance problem.</w:t>
            </w:r>
          </w:p>
          <w:p>
            <w:pPr>
              <w:spacing w:before="60" w:after="40"/>
            </w:pPr>
            <w:r>
              <w:rPr>
                <w:rFonts w:ascii="Calibri" w:hAnsi="Calibri"/>
                <w:b w:val="0"/>
                <w:i w:val="0"/>
                <w:color w:val="5A5A5A"/>
                <w:sz w:val="18"/>
              </w:rPr>
              <w:t>#alcoholusedisorder  #dualdiagnosis  #cannabis  #selfmedication  #relapse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Neurodevelopmental / personality overlap</w:t>
            </w:r>
          </w:p>
        </w:tc>
        <w:tc>
          <w:tcPr>
            <w:tcW w:type="dxa" w:w="2160"/>
            <w:vAlign w:val="top"/>
          </w:tcPr>
          <w:p>
            <w:pPr>
              <w:spacing w:after="40" w:before="0" w:line="259" w:lineRule="auto"/>
            </w:pPr>
            <w:r>
              <w:rPr>
                <w:rFonts w:ascii="Calibri" w:hAnsi="Calibri"/>
                <w:b w:val="0"/>
                <w:i w:val="0"/>
                <w:color w:val="212121"/>
                <w:sz w:val="19"/>
              </w:rPr>
              <w:t>Autism spectrum, avoidant personality disorder, stammering</w:t>
            </w:r>
          </w:p>
        </w:tc>
        <w:tc>
          <w:tcPr>
            <w:tcW w:type="dxa" w:w="4276"/>
            <w:vAlign w:val="top"/>
          </w:tcPr>
          <w:p>
            <w:pPr>
              <w:spacing w:after="60" w:line="259" w:lineRule="auto"/>
            </w:pPr>
            <w:r>
              <w:rPr>
                <w:rFonts w:ascii="Calibri" w:hAnsi="Calibri"/>
                <w:b w:val="0"/>
                <w:i w:val="0"/>
                <w:color w:val="212121"/>
                <w:sz w:val="19"/>
              </w:rPr>
              <w:t>Social difficulty in autism, the pervasive avoidance of avoidant personality disorder, and visible conditions such as stammering, tremor or hyperhidrosis both overlap with and predispose to social anxiety, and each shifts the treatment focus.</w:t>
            </w:r>
          </w:p>
          <w:p>
            <w:pPr>
              <w:spacing w:after="40" w:before="60" w:line="259" w:lineRule="auto"/>
            </w:pPr>
            <w:r>
              <w:rPr>
                <w:rFonts w:ascii="Calibri" w:hAnsi="Calibri"/>
                <w:b w:val="0"/>
                <w:i w:val="0"/>
                <w:color w:val="212121"/>
                <w:sz w:val="19"/>
              </w:rPr>
              <w:t>Generalized SAD overlaps substantially with avoidant personality disorder, and visible or stigmatised conditions (e.g., stammering) are common precipitants of secondary social anxiety.</w:t>
            </w:r>
          </w:p>
          <w:p>
            <w:pPr>
              <w:spacing w:before="60" w:after="40"/>
            </w:pPr>
            <w:r>
              <w:rPr>
                <w:rFonts w:ascii="Calibri" w:hAnsi="Calibri"/>
                <w:b w:val="0"/>
                <w:i w:val="0"/>
                <w:color w:val="5A5A5A"/>
                <w:sz w:val="18"/>
              </w:rPr>
              <w:t>#autism  #avoidantPD  #stammering  #hyperhidrosis  #overlap</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aerobic exercise and yoga reduce baseline anxiety and physiological arousal and, when done in group settings, provide graded social exposure; inactivity is associated with higher anxiety symptoms.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direct dietary cause of SAD; irregular meals and hypoglycaemia can transiently produce anxiety-like symptoms, and stimulant-heavy intake matters more than overall diet quality.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Anxiety and insomnia are bidirectional; poor or short sleep heightens next-day emotional reactivity, anticipatory worry and self-focused attention, worsening social-evaluative fear.</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Nicotine dependence is over-represented in anxiety disorders and used to regulate arousal; early adolescent smoking is associated with later anxiety, and both share stress-reactivity pathways.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(and benzodiazepine) self-medication of social fear gives short-term relief but reinforces avoidance and drives dependence; SAD characteristically precedes and predisposes to alcohol use disorder.</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Cognitive style — self-focused attention, negative self-imagery, anticipatory worry and post-event rumination — maintains SAD, and comorbid depression and other anxiety disorders strongly shape severity and course.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and cognitive function; there is no meaningful direct link between water intake and social anxiety.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and energy drinks provoke palpitations, tremor and sweating that mimic and amplify the arousal patients fear others will notice, feeding the anxiety cycle; high intake can precipitate panic-like symptoms.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Hygiene is not a driver of SAD, but heightened concern about visible signs (sweating, blushing, body odour) can intensify self-consciousness; good self-care supports confidence during recovery.</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Discrete situations reliably precipitate anxiety — public speaking, examinations and viva, job interviews, meeting authority figures or strangers, dating, and eating or performing while observed.</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Liebowitz Social Anxiety Scale (LSAS, 0–144)</w:t>
            </w:r>
          </w:p>
        </w:tc>
        <w:tc>
          <w:tcPr>
            <w:tcW w:type="dxa" w:w="1655"/>
            <w:vAlign w:val="top"/>
          </w:tcPr>
          <w:p>
            <w:pPr>
              <w:spacing w:after="40" w:before="0" w:line="259" w:lineRule="auto"/>
            </w:pPr>
            <w:r>
              <w:rPr>
                <w:rFonts w:ascii="Calibri" w:hAnsi="Calibri"/>
                <w:b w:val="0"/>
                <w:i w:val="0"/>
                <w:color w:val="212121"/>
                <w:sz w:val="19"/>
              </w:rPr>
              <w:t>Adolescents &amp; adults with social fear</w:t>
            </w:r>
          </w:p>
        </w:tc>
        <w:tc>
          <w:tcPr>
            <w:tcW w:type="dxa" w:w="1512"/>
            <w:vAlign w:val="top"/>
          </w:tcPr>
          <w:p>
            <w:pPr>
              <w:spacing w:after="40" w:before="0" w:line="259" w:lineRule="auto"/>
            </w:pPr>
            <w:r>
              <w:rPr>
                <w:rFonts w:ascii="Calibri" w:hAnsi="Calibri"/>
                <w:b w:val="0"/>
                <w:i w:val="0"/>
                <w:color w:val="212121"/>
                <w:sz w:val="19"/>
              </w:rPr>
              <w:t>&lt;30 (none/minimal)</w:t>
            </w:r>
          </w:p>
        </w:tc>
        <w:tc>
          <w:tcPr>
            <w:tcW w:type="dxa" w:w="1512"/>
            <w:vAlign w:val="top"/>
          </w:tcPr>
          <w:p>
            <w:pPr>
              <w:spacing w:after="40" w:before="0" w:line="259" w:lineRule="auto"/>
            </w:pPr>
            <w:r>
              <w:rPr>
                <w:rFonts w:ascii="Calibri" w:hAnsi="Calibri"/>
                <w:b w:val="0"/>
                <w:i w:val="0"/>
                <w:color w:val="212121"/>
                <w:sz w:val="19"/>
              </w:rPr>
              <w:t>&gt;60 (marked); &gt;80 severe</w:t>
            </w:r>
          </w:p>
        </w:tc>
        <w:tc>
          <w:tcPr>
            <w:tcW w:type="dxa" w:w="1468"/>
            <w:vAlign w:val="top"/>
          </w:tcPr>
          <w:p>
            <w:pPr>
              <w:spacing w:after="40" w:before="0" w:line="259" w:lineRule="auto"/>
            </w:pPr>
            <w:r>
              <w:rPr>
                <w:rFonts w:ascii="Calibri" w:hAnsi="Calibri"/>
                <w:b w:val="0"/>
                <w:i w:val="0"/>
                <w:color w:val="212121"/>
                <w:sz w:val="19"/>
              </w:rPr>
              <w:t>Standard clinician/self-rated measure of fear and avoidance; used to grade severity and track treatment response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Social Phobia Inventory (SPIN, 0–68) / Mini-SPIN</w:t>
            </w:r>
          </w:p>
        </w:tc>
        <w:tc>
          <w:tcPr>
            <w:tcW w:type="dxa" w:w="1655"/>
            <w:vAlign w:val="top"/>
          </w:tcPr>
          <w:p>
            <w:pPr>
              <w:spacing w:after="40" w:before="0" w:line="259" w:lineRule="auto"/>
            </w:pPr>
            <w:r>
              <w:rPr>
                <w:rFonts w:ascii="Calibri" w:hAnsi="Calibri"/>
                <w:b w:val="0"/>
                <w:i w:val="0"/>
                <w:color w:val="212121"/>
                <w:sz w:val="19"/>
              </w:rPr>
              <w:t>General &amp; student populations (screening)</w:t>
            </w:r>
          </w:p>
        </w:tc>
        <w:tc>
          <w:tcPr>
            <w:tcW w:type="dxa" w:w="1512"/>
            <w:vAlign w:val="top"/>
          </w:tcPr>
          <w:p>
            <w:pPr>
              <w:spacing w:after="40" w:before="0" w:line="259" w:lineRule="auto"/>
            </w:pPr>
            <w:r>
              <w:rPr>
                <w:rFonts w:ascii="Calibri" w:hAnsi="Calibri"/>
                <w:b w:val="0"/>
                <w:i w:val="0"/>
                <w:color w:val="212121"/>
                <w:sz w:val="19"/>
              </w:rPr>
              <w:t>SPIN &lt;19; Mini-SPIN &lt;6</w:t>
            </w:r>
          </w:p>
        </w:tc>
        <w:tc>
          <w:tcPr>
            <w:tcW w:type="dxa" w:w="1512"/>
            <w:vAlign w:val="top"/>
          </w:tcPr>
          <w:p>
            <w:pPr>
              <w:spacing w:after="40" w:before="0" w:line="259" w:lineRule="auto"/>
            </w:pPr>
            <w:r>
              <w:rPr>
                <w:rFonts w:ascii="Calibri" w:hAnsi="Calibri"/>
                <w:b w:val="0"/>
                <w:i w:val="0"/>
                <w:color w:val="212121"/>
                <w:sz w:val="19"/>
              </w:rPr>
              <w:t>SPIN ≥19; Mini-SPIN ≥6</w:t>
            </w:r>
          </w:p>
        </w:tc>
        <w:tc>
          <w:tcPr>
            <w:tcW w:type="dxa" w:w="1468"/>
            <w:vAlign w:val="top"/>
          </w:tcPr>
          <w:p>
            <w:pPr>
              <w:spacing w:after="40" w:before="0" w:line="259" w:lineRule="auto"/>
            </w:pPr>
            <w:r>
              <w:rPr>
                <w:rFonts w:ascii="Calibri" w:hAnsi="Calibri"/>
                <w:b w:val="0"/>
                <w:i w:val="0"/>
                <w:color w:val="212121"/>
                <w:sz w:val="19"/>
              </w:rPr>
              <w:t>Brief self-report screens; Mini-SPIN ≥6 flags probable SAD for further assessment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GAD-7 (comorbid anxiety screen)</w:t>
            </w:r>
          </w:p>
        </w:tc>
        <w:tc>
          <w:tcPr>
            <w:tcW w:type="dxa" w:w="1655"/>
            <w:vAlign w:val="top"/>
          </w:tcPr>
          <w:p>
            <w:pPr>
              <w:spacing w:after="40" w:before="0" w:line="259" w:lineRule="auto"/>
            </w:pPr>
            <w:r>
              <w:rPr>
                <w:rFonts w:ascii="Calibri" w:hAnsi="Calibri"/>
                <w:b w:val="0"/>
                <w:i w:val="0"/>
                <w:color w:val="212121"/>
                <w:sz w:val="19"/>
              </w:rPr>
              <w:t>Adults in primary care</w:t>
            </w:r>
          </w:p>
        </w:tc>
        <w:tc>
          <w:tcPr>
            <w:tcW w:type="dxa" w:w="1512"/>
            <w:vAlign w:val="top"/>
          </w:tcPr>
          <w:p>
            <w:pPr>
              <w:spacing w:after="40" w:before="0" w:line="259" w:lineRule="auto"/>
            </w:pPr>
            <w:r>
              <w:rPr>
                <w:rFonts w:ascii="Calibri" w:hAnsi="Calibri"/>
                <w:b w:val="0"/>
                <w:i w:val="0"/>
                <w:color w:val="212121"/>
                <w:sz w:val="19"/>
              </w:rPr>
              <w:t>0–4 (minimal)</w:t>
            </w:r>
          </w:p>
        </w:tc>
        <w:tc>
          <w:tcPr>
            <w:tcW w:type="dxa" w:w="1512"/>
            <w:vAlign w:val="top"/>
          </w:tcPr>
          <w:p>
            <w:pPr>
              <w:spacing w:after="40" w:before="0" w:line="259" w:lineRule="auto"/>
            </w:pPr>
            <w:r>
              <w:rPr>
                <w:rFonts w:ascii="Calibri" w:hAnsi="Calibri"/>
                <w:b w:val="0"/>
                <w:i w:val="0"/>
                <w:color w:val="212121"/>
                <w:sz w:val="19"/>
              </w:rPr>
              <w:t>≥10 (moderate–severe)</w:t>
            </w:r>
          </w:p>
        </w:tc>
        <w:tc>
          <w:tcPr>
            <w:tcW w:type="dxa" w:w="1468"/>
            <w:vAlign w:val="top"/>
          </w:tcPr>
          <w:p>
            <w:pPr>
              <w:spacing w:after="40" w:before="0" w:line="259" w:lineRule="auto"/>
            </w:pPr>
            <w:r>
              <w:rPr>
                <w:rFonts w:ascii="Calibri" w:hAnsi="Calibri"/>
                <w:b w:val="0"/>
                <w:i w:val="0"/>
                <w:color w:val="212121"/>
                <w:sz w:val="19"/>
              </w:rPr>
              <w:t>Screens frequently comorbid generalized anxiety alongside social anxiety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PHQ-9 (comorbid depression screen)</w:t>
            </w:r>
          </w:p>
        </w:tc>
        <w:tc>
          <w:tcPr>
            <w:tcW w:type="dxa" w:w="1655"/>
            <w:vAlign w:val="top"/>
          </w:tcPr>
          <w:p>
            <w:pPr>
              <w:spacing w:after="40" w:before="0" w:line="259" w:lineRule="auto"/>
            </w:pPr>
            <w:r>
              <w:rPr>
                <w:rFonts w:ascii="Calibri" w:hAnsi="Calibri"/>
                <w:b w:val="0"/>
                <w:i w:val="0"/>
                <w:color w:val="212121"/>
                <w:sz w:val="19"/>
              </w:rPr>
              <w:t>Adults with SAD</w:t>
            </w:r>
          </w:p>
        </w:tc>
        <w:tc>
          <w:tcPr>
            <w:tcW w:type="dxa" w:w="1512"/>
            <w:vAlign w:val="top"/>
          </w:tcPr>
          <w:p>
            <w:pPr>
              <w:spacing w:after="40" w:before="0" w:line="259" w:lineRule="auto"/>
            </w:pPr>
            <w:r>
              <w:rPr>
                <w:rFonts w:ascii="Calibri" w:hAnsi="Calibri"/>
                <w:b w:val="0"/>
                <w:i w:val="0"/>
                <w:color w:val="212121"/>
                <w:sz w:val="19"/>
              </w:rPr>
              <w:t>0–4 (minimal)</w:t>
            </w:r>
          </w:p>
        </w:tc>
        <w:tc>
          <w:tcPr>
            <w:tcW w:type="dxa" w:w="1512"/>
            <w:vAlign w:val="top"/>
          </w:tcPr>
          <w:p>
            <w:pPr>
              <w:spacing w:after="40" w:before="0" w:line="259" w:lineRule="auto"/>
            </w:pPr>
            <w:r>
              <w:rPr>
                <w:rFonts w:ascii="Calibri" w:hAnsi="Calibri"/>
                <w:b w:val="0"/>
                <w:i w:val="0"/>
                <w:color w:val="212121"/>
                <w:sz w:val="19"/>
              </w:rPr>
              <w:t>≥10 (moderate); item 9 flags suicidal ideation</w:t>
            </w:r>
          </w:p>
        </w:tc>
        <w:tc>
          <w:tcPr>
            <w:tcW w:type="dxa" w:w="1468"/>
            <w:vAlign w:val="top"/>
          </w:tcPr>
          <w:p>
            <w:pPr>
              <w:spacing w:after="40" w:before="0" w:line="259" w:lineRule="auto"/>
            </w:pPr>
            <w:r>
              <w:rPr>
                <w:rFonts w:ascii="Calibri" w:hAnsi="Calibri"/>
                <w:b w:val="0"/>
                <w:i w:val="0"/>
                <w:color w:val="212121"/>
                <w:sz w:val="19"/>
              </w:rPr>
              <w:t>Depression commonly complicates SAD and alters management; escalate ideation urgently</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≥150 min/week moderate</w:t>
            </w:r>
          </w:p>
        </w:tc>
        <w:tc>
          <w:tcPr>
            <w:tcW w:type="dxa" w:w="1512"/>
            <w:vAlign w:val="top"/>
          </w:tcPr>
          <w:p>
            <w:pPr>
              <w:spacing w:after="40" w:before="0" w:line="259" w:lineRule="auto"/>
            </w:pPr>
            <w:r>
              <w:rPr>
                <w:rFonts w:ascii="Calibri" w:hAnsi="Calibri"/>
                <w:b w:val="0"/>
                <w:i w:val="0"/>
                <w:color w:val="212121"/>
                <w:sz w:val="19"/>
              </w:rPr>
              <w:t>&lt;150 min/week</w:t>
            </w:r>
          </w:p>
        </w:tc>
        <w:tc>
          <w:tcPr>
            <w:tcW w:type="dxa" w:w="1468"/>
            <w:vAlign w:val="top"/>
          </w:tcPr>
          <w:p>
            <w:pPr>
              <w:spacing w:after="40" w:before="0" w:line="259" w:lineRule="auto"/>
            </w:pPr>
            <w:r>
              <w:rPr>
                <w:rFonts w:ascii="Calibri" w:hAnsi="Calibri"/>
                <w:b w:val="0"/>
                <w:i w:val="0"/>
                <w:color w:val="212121"/>
                <w:sz w:val="19"/>
              </w:rPr>
              <w:t>Exercise and yoga lower baseline anxiety; group formats add graded social exposure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&lt;6 h or persistent insomnia</w:t>
            </w:r>
          </w:p>
        </w:tc>
        <w:tc>
          <w:tcPr>
            <w:tcW w:type="dxa" w:w="1468"/>
            <w:vAlign w:val="top"/>
          </w:tcPr>
          <w:p>
            <w:pPr>
              <w:spacing w:after="40" w:before="0" w:line="259" w:lineRule="auto"/>
            </w:pPr>
            <w:r>
              <w:rPr>
                <w:rFonts w:ascii="Calibri" w:hAnsi="Calibri"/>
                <w:b w:val="0"/>
                <w:i w:val="0"/>
                <w:color w:val="212121"/>
                <w:sz w:val="19"/>
              </w:rPr>
              <w:t>Short/poor sleep heightens next-day anxiety, anticipatory worry and self-focus</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AUDIT score</w:t>
            </w:r>
          </w:p>
        </w:tc>
        <w:tc>
          <w:tcPr>
            <w:tcW w:type="dxa" w:w="1655"/>
            <w:vAlign w:val="top"/>
          </w:tcPr>
          <w:p>
            <w:pPr>
              <w:spacing w:after="40" w:before="0" w:line="259" w:lineRule="auto"/>
            </w:pPr>
            <w:r>
              <w:rPr>
                <w:rFonts w:ascii="Calibri" w:hAnsi="Calibri"/>
                <w:b w:val="0"/>
                <w:i w:val="0"/>
                <w:color w:val="212121"/>
                <w:sz w:val="19"/>
              </w:rPr>
              <w:t>Adults, self-medicating drinkers</w:t>
            </w:r>
          </w:p>
        </w:tc>
        <w:tc>
          <w:tcPr>
            <w:tcW w:type="dxa" w:w="1512"/>
            <w:vAlign w:val="top"/>
          </w:tcPr>
          <w:p>
            <w:pPr>
              <w:spacing w:after="40" w:before="0" w:line="259" w:lineRule="auto"/>
            </w:pPr>
            <w:r>
              <w:rPr>
                <w:rFonts w:ascii="Calibri" w:hAnsi="Calibri"/>
                <w:b w:val="0"/>
                <w:i w:val="0"/>
                <w:color w:val="212121"/>
                <w:sz w:val="19"/>
              </w:rPr>
              <w:t>0–7 (low risk)</w:t>
            </w:r>
          </w:p>
        </w:tc>
        <w:tc>
          <w:tcPr>
            <w:tcW w:type="dxa" w:w="1512"/>
            <w:vAlign w:val="top"/>
          </w:tcPr>
          <w:p>
            <w:pPr>
              <w:spacing w:after="40" w:before="0" w:line="259" w:lineRule="auto"/>
            </w:pPr>
            <w:r>
              <w:rPr>
                <w:rFonts w:ascii="Calibri" w:hAnsi="Calibri"/>
                <w:b w:val="0"/>
                <w:i w:val="0"/>
                <w:color w:val="212121"/>
                <w:sz w:val="19"/>
              </w:rPr>
              <w:t>≥8 (hazardous); ≥20 (likely dependence)</w:t>
            </w:r>
          </w:p>
        </w:tc>
        <w:tc>
          <w:tcPr>
            <w:tcW w:type="dxa" w:w="1468"/>
            <w:vAlign w:val="top"/>
          </w:tcPr>
          <w:p>
            <w:pPr>
              <w:spacing w:after="40" w:before="0" w:line="259" w:lineRule="auto"/>
            </w:pPr>
            <w:r>
              <w:rPr>
                <w:rFonts w:ascii="Calibri" w:hAnsi="Calibri"/>
                <w:b w:val="0"/>
                <w:i w:val="0"/>
                <w:color w:val="212121"/>
                <w:sz w:val="19"/>
              </w:rPr>
              <w:t>Screens for alcohol used to cope with social situations — a marker of poor prognosis</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Adults with anxiety symptoms</w:t>
            </w:r>
          </w:p>
        </w:tc>
        <w:tc>
          <w:tcPr>
            <w:tcW w:type="dxa" w:w="1512"/>
            <w:vAlign w:val="top"/>
          </w:tcPr>
          <w:p>
            <w:pPr>
              <w:spacing w:after="40" w:before="0" w:line="259" w:lineRule="auto"/>
            </w:pPr>
            <w:r>
              <w:rPr>
                <w:rFonts w:ascii="Calibri" w:hAnsi="Calibri"/>
                <w:b w:val="0"/>
                <w:i w:val="0"/>
                <w:color w:val="212121"/>
                <w:sz w:val="19"/>
              </w:rPr>
              <w:t>&lt;400 mg/day</w:t>
            </w:r>
          </w:p>
        </w:tc>
        <w:tc>
          <w:tcPr>
            <w:tcW w:type="dxa" w:w="1512"/>
            <w:vAlign w:val="top"/>
          </w:tcPr>
          <w:p>
            <w:pPr>
              <w:spacing w:after="40" w:before="0" w:line="259" w:lineRule="auto"/>
            </w:pPr>
            <w:r>
              <w:rPr>
                <w:rFonts w:ascii="Calibri" w:hAnsi="Calibri"/>
                <w:b w:val="0"/>
                <w:i w:val="0"/>
                <w:color w:val="212121"/>
                <w:sz w:val="19"/>
              </w:rPr>
              <w:t>&gt;400 mg/day or pre-event use</w:t>
            </w:r>
          </w:p>
        </w:tc>
        <w:tc>
          <w:tcPr>
            <w:tcW w:type="dxa" w:w="1468"/>
            <w:vAlign w:val="top"/>
          </w:tcPr>
          <w:p>
            <w:pPr>
              <w:spacing w:after="40" w:before="0" w:line="259" w:lineRule="auto"/>
            </w:pPr>
            <w:r>
              <w:rPr>
                <w:rFonts w:ascii="Calibri" w:hAnsi="Calibri"/>
                <w:b w:val="0"/>
                <w:i w:val="0"/>
                <w:color w:val="212121"/>
                <w:sz w:val="19"/>
              </w:rPr>
              <w:t>Excess caffeine provokes palpitations and tremor that mimic and worsen feared arousal</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(any form/day)</w:t>
            </w:r>
          </w:p>
        </w:tc>
        <w:tc>
          <w:tcPr>
            <w:tcW w:type="dxa" w:w="1655"/>
            <w:vAlign w:val="top"/>
          </w:tcPr>
          <w:p>
            <w:pPr>
              <w:spacing w:after="40" w:before="0" w:line="259" w:lineRule="auto"/>
            </w:pPr>
            <w:r>
              <w:rPr>
                <w:rFonts w:ascii="Calibri" w:hAnsi="Calibri"/>
                <w:b w:val="0"/>
                <w:i w:val="0"/>
                <w:color w:val="212121"/>
                <w:sz w:val="19"/>
              </w:rPr>
              <w:t>Adolescents, young adults</w:t>
            </w:r>
          </w:p>
        </w:tc>
        <w:tc>
          <w:tcPr>
            <w:tcW w:type="dxa" w:w="1512"/>
            <w:vAlign w:val="top"/>
          </w:tcPr>
          <w:p>
            <w:pPr>
              <w:spacing w:after="40" w:before="0" w:line="259" w:lineRule="auto"/>
            </w:pPr>
            <w:r>
              <w:rPr>
                <w:rFonts w:ascii="Calibri" w:hAnsi="Calibri"/>
                <w:b w:val="0"/>
                <w:i w:val="0"/>
                <w:color w:val="212121"/>
                <w:sz w:val="19"/>
              </w:rPr>
              <w:t>0 (no tobacco)</w:t>
            </w:r>
          </w:p>
        </w:tc>
        <w:tc>
          <w:tcPr>
            <w:tcW w:type="dxa" w:w="1512"/>
            <w:vAlign w:val="top"/>
          </w:tcPr>
          <w:p>
            <w:pPr>
              <w:spacing w:after="40" w:before="0" w:line="259" w:lineRule="auto"/>
            </w:pPr>
            <w:r>
              <w:rPr>
                <w:rFonts w:ascii="Calibri" w:hAnsi="Calibri"/>
                <w:b w:val="0"/>
                <w:i w:val="0"/>
                <w:color w:val="212121"/>
                <w:sz w:val="19"/>
              </w:rPr>
              <w:t>≥1 use/day</w:t>
            </w:r>
          </w:p>
        </w:tc>
        <w:tc>
          <w:tcPr>
            <w:tcW w:type="dxa" w:w="1468"/>
            <w:vAlign w:val="top"/>
          </w:tcPr>
          <w:p>
            <w:pPr>
              <w:spacing w:after="40" w:before="0" w:line="259" w:lineRule="auto"/>
            </w:pPr>
            <w:r>
              <w:rPr>
                <w:rFonts w:ascii="Calibri" w:hAnsi="Calibri"/>
                <w:b w:val="0"/>
                <w:i w:val="0"/>
                <w:color w:val="212121"/>
                <w:sz w:val="19"/>
              </w:rPr>
              <w:t>Nicotine dependence is comorbid with anxiety and worsens long-term course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Structured rating scale</w:t>
            </w:r>
          </w:p>
        </w:tc>
        <w:tc>
          <w:tcPr>
            <w:tcW w:type="dxa" w:w="1036"/>
            <w:vAlign w:val="top"/>
          </w:tcPr>
          <w:p>
            <w:pPr>
              <w:spacing w:after="40" w:before="0" w:line="259" w:lineRule="auto"/>
            </w:pPr>
            <w:r>
              <w:rPr>
                <w:rFonts w:ascii="Calibri" w:hAnsi="Calibri"/>
                <w:b w:val="0"/>
                <w:i w:val="0"/>
                <w:color w:val="212121"/>
                <w:sz w:val="16"/>
              </w:rPr>
              <w:t>Liebowitz Social Anxiety Scale (LSAS)</w:t>
            </w:r>
          </w:p>
        </w:tc>
        <w:tc>
          <w:tcPr>
            <w:tcW w:type="dxa" w:w="892"/>
            <w:vAlign w:val="top"/>
          </w:tcPr>
          <w:p>
            <w:pPr>
              <w:spacing w:after="40" w:before="0" w:line="259" w:lineRule="auto"/>
            </w:pPr>
            <w:r>
              <w:rPr>
                <w:rFonts w:ascii="Calibri" w:hAnsi="Calibri"/>
                <w:b w:val="0"/>
                <w:i w:val="0"/>
                <w:color w:val="212121"/>
                <w:sz w:val="16"/>
              </w:rPr>
              <w:t>Severity instrument</w:t>
            </w:r>
          </w:p>
        </w:tc>
        <w:tc>
          <w:tcPr>
            <w:tcW w:type="dxa" w:w="950"/>
            <w:vAlign w:val="top"/>
          </w:tcPr>
          <w:p>
            <w:pPr>
              <w:spacing w:after="40" w:before="0" w:line="259" w:lineRule="auto"/>
            </w:pPr>
            <w:r>
              <w:rPr>
                <w:rFonts w:ascii="Calibri" w:hAnsi="Calibri"/>
                <w:b w:val="0"/>
                <w:i w:val="0"/>
                <w:color w:val="212121"/>
                <w:sz w:val="16"/>
              </w:rPr>
              <w:t>&lt;30 (none/minimal)</w:t>
            </w:r>
          </w:p>
        </w:tc>
        <w:tc>
          <w:tcPr>
            <w:tcW w:type="dxa" w:w="950"/>
            <w:vAlign w:val="top"/>
          </w:tcPr>
          <w:p>
            <w:pPr>
              <w:spacing w:after="40" w:before="0" w:line="259" w:lineRule="auto"/>
            </w:pPr>
            <w:r>
              <w:rPr>
                <w:rFonts w:ascii="Calibri" w:hAnsi="Calibri"/>
                <w:b w:val="0"/>
                <w:i w:val="0"/>
                <w:color w:val="212121"/>
                <w:sz w:val="16"/>
              </w:rPr>
              <w:t>&gt;60 marked; &gt;80 severe</w:t>
            </w:r>
          </w:p>
        </w:tc>
        <w:tc>
          <w:tcPr>
            <w:tcW w:type="dxa" w:w="1036"/>
            <w:vAlign w:val="top"/>
          </w:tcPr>
          <w:p>
            <w:pPr>
              <w:spacing w:after="40" w:before="0" w:line="259" w:lineRule="auto"/>
            </w:pPr>
            <w:r>
              <w:rPr>
                <w:rFonts w:ascii="Calibri" w:hAnsi="Calibri"/>
                <w:b w:val="0"/>
                <w:i w:val="0"/>
                <w:color w:val="212121"/>
                <w:sz w:val="16"/>
              </w:rPr>
              <w:t>Quantifies fear and avoidance across social/performance situations; grades severity and monitors response</w:t>
            </w:r>
          </w:p>
        </w:tc>
        <w:tc>
          <w:tcPr>
            <w:tcW w:type="dxa" w:w="1036"/>
            <w:vAlign w:val="top"/>
          </w:tcPr>
          <w:p>
            <w:pPr>
              <w:spacing w:after="40" w:before="0" w:line="259" w:lineRule="auto"/>
            </w:pPr>
            <w:r>
              <w:rPr>
                <w:rFonts w:ascii="Calibri" w:hAnsi="Calibri"/>
                <w:b w:val="0"/>
                <w:i w:val="0"/>
                <w:color w:val="212121"/>
                <w:sz w:val="16"/>
              </w:rPr>
              <w:t>Patients with suspected/confirmed SAD</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Core (severity &amp; monitoring)</w:t>
            </w:r>
          </w:p>
        </w:tc>
        <w:tc>
          <w:tcPr>
            <w:tcW w:type="dxa" w:w="720"/>
            <w:vAlign w:val="top"/>
          </w:tcPr>
          <w:p>
            <w:pPr>
              <w:spacing w:after="40" w:before="0" w:line="259" w:lineRule="auto"/>
            </w:pPr>
            <w:r>
              <w:rPr>
                <w:rFonts w:ascii="Calibri" w:hAnsi="Calibri"/>
                <w:b w:val="0"/>
                <w:i w:val="0"/>
                <w:color w:val="212121"/>
                <w:sz w:val="16"/>
              </w:rPr>
              <w:t>Clinician- or self-rated; repeat to track treatment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Screening instrument</w:t>
            </w:r>
          </w:p>
        </w:tc>
        <w:tc>
          <w:tcPr>
            <w:tcW w:type="dxa" w:w="1036"/>
            <w:vAlign w:val="top"/>
          </w:tcPr>
          <w:p>
            <w:pPr>
              <w:spacing w:after="40" w:before="0" w:line="259" w:lineRule="auto"/>
            </w:pPr>
            <w:r>
              <w:rPr>
                <w:rFonts w:ascii="Calibri" w:hAnsi="Calibri"/>
                <w:b w:val="0"/>
                <w:i w:val="0"/>
                <w:color w:val="212121"/>
                <w:sz w:val="16"/>
              </w:rPr>
              <w:t>SPIN / Mini-SPIN</w:t>
            </w:r>
          </w:p>
        </w:tc>
        <w:tc>
          <w:tcPr>
            <w:tcW w:type="dxa" w:w="892"/>
            <w:vAlign w:val="top"/>
          </w:tcPr>
          <w:p>
            <w:pPr>
              <w:spacing w:after="40" w:before="0" w:line="259" w:lineRule="auto"/>
            </w:pPr>
            <w:r>
              <w:rPr>
                <w:rFonts w:ascii="Calibri" w:hAnsi="Calibri"/>
                <w:b w:val="0"/>
                <w:i w:val="0"/>
                <w:color w:val="212121"/>
                <w:sz w:val="16"/>
              </w:rPr>
              <w:t>Screening questionnaire</w:t>
            </w:r>
          </w:p>
        </w:tc>
        <w:tc>
          <w:tcPr>
            <w:tcW w:type="dxa" w:w="950"/>
            <w:vAlign w:val="top"/>
          </w:tcPr>
          <w:p>
            <w:pPr>
              <w:spacing w:after="40" w:before="0" w:line="259" w:lineRule="auto"/>
            </w:pPr>
            <w:r>
              <w:rPr>
                <w:rFonts w:ascii="Calibri" w:hAnsi="Calibri"/>
                <w:b w:val="0"/>
                <w:i w:val="0"/>
                <w:color w:val="212121"/>
                <w:sz w:val="16"/>
              </w:rPr>
              <w:t>SPIN &lt;19; Mini-SPIN &lt;6</w:t>
            </w:r>
          </w:p>
        </w:tc>
        <w:tc>
          <w:tcPr>
            <w:tcW w:type="dxa" w:w="950"/>
            <w:vAlign w:val="top"/>
          </w:tcPr>
          <w:p>
            <w:pPr>
              <w:spacing w:after="40" w:before="0" w:line="259" w:lineRule="auto"/>
            </w:pPr>
            <w:r>
              <w:rPr>
                <w:rFonts w:ascii="Calibri" w:hAnsi="Calibri"/>
                <w:b w:val="0"/>
                <w:i w:val="0"/>
                <w:color w:val="212121"/>
                <w:sz w:val="16"/>
              </w:rPr>
              <w:t>SPIN ≥19; Mini-SPIN ≥6</w:t>
            </w:r>
          </w:p>
        </w:tc>
        <w:tc>
          <w:tcPr>
            <w:tcW w:type="dxa" w:w="1036"/>
            <w:vAlign w:val="top"/>
          </w:tcPr>
          <w:p>
            <w:pPr>
              <w:spacing w:after="40" w:before="0" w:line="259" w:lineRule="auto"/>
            </w:pPr>
            <w:r>
              <w:rPr>
                <w:rFonts w:ascii="Calibri" w:hAnsi="Calibri"/>
                <w:b w:val="0"/>
                <w:i w:val="0"/>
                <w:color w:val="212121"/>
                <w:sz w:val="16"/>
              </w:rPr>
              <w:t>Brief self-report screen identifying probable SAD in community, student and primary-care settings</w:t>
            </w:r>
          </w:p>
        </w:tc>
        <w:tc>
          <w:tcPr>
            <w:tcW w:type="dxa" w:w="1036"/>
            <w:vAlign w:val="top"/>
          </w:tcPr>
          <w:p>
            <w:pPr>
              <w:spacing w:after="40" w:before="0" w:line="259" w:lineRule="auto"/>
            </w:pPr>
            <w:r>
              <w:rPr>
                <w:rFonts w:ascii="Calibri" w:hAnsi="Calibri"/>
                <w:b w:val="0"/>
                <w:i w:val="0"/>
                <w:color w:val="212121"/>
                <w:sz w:val="16"/>
              </w:rPr>
              <w:t>Students, primary-care attenders, young adults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Positive screen prompts full DSM-5 assessment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Thyroid-stimulating hormone (TSH)</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&lt;0.4 (hyperthyroid)</w:t>
            </w:r>
          </w:p>
        </w:tc>
        <w:tc>
          <w:tcPr>
            <w:tcW w:type="dxa" w:w="1036"/>
            <w:vAlign w:val="top"/>
          </w:tcPr>
          <w:p>
            <w:pPr>
              <w:spacing w:after="40" w:before="0" w:line="259" w:lineRule="auto"/>
            </w:pPr>
            <w:r>
              <w:rPr>
                <w:rFonts w:ascii="Calibri" w:hAnsi="Calibri"/>
                <w:b w:val="0"/>
                <w:i w:val="0"/>
                <w:color w:val="212121"/>
                <w:sz w:val="16"/>
              </w:rPr>
              <w:t>Hyperthyroidism causes palpitations, tremor, sweating and anxiety that can mimic or worsen SAD</w:t>
            </w:r>
          </w:p>
        </w:tc>
        <w:tc>
          <w:tcPr>
            <w:tcW w:type="dxa" w:w="1036"/>
            <w:vAlign w:val="top"/>
          </w:tcPr>
          <w:p>
            <w:pPr>
              <w:spacing w:after="40" w:before="0" w:line="259" w:lineRule="auto"/>
            </w:pPr>
            <w:r>
              <w:rPr>
                <w:rFonts w:ascii="Calibri" w:hAnsi="Calibri"/>
                <w:b w:val="0"/>
                <w:i w:val="0"/>
                <w:color w:val="212121"/>
                <w:sz w:val="16"/>
              </w:rPr>
              <w:t>New or atypical anxiety presentation</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Exclude organic mimic</w:t>
            </w:r>
          </w:p>
        </w:tc>
        <w:tc>
          <w:tcPr>
            <w:tcW w:type="dxa" w:w="720"/>
            <w:vAlign w:val="top"/>
          </w:tcPr>
          <w:p>
            <w:pPr>
              <w:spacing w:after="40" w:before="0" w:line="259" w:lineRule="auto"/>
            </w:pPr>
            <w:r>
              <w:rPr>
                <w:rFonts w:ascii="Calibri" w:hAnsi="Calibri"/>
                <w:b w:val="0"/>
                <w:i w:val="0"/>
                <w:color w:val="212121"/>
                <w:sz w:val="16"/>
              </w:rPr>
              <w:t>Reversible cause — check when physical arousal is prominent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 random blood glucose</w:t>
            </w:r>
          </w:p>
        </w:tc>
        <w:tc>
          <w:tcPr>
            <w:tcW w:type="dxa" w:w="892"/>
            <w:vAlign w:val="top"/>
          </w:tcPr>
          <w:p>
            <w:pPr>
              <w:spacing w:after="40" w:before="0" w:line="259" w:lineRule="auto"/>
            </w:pPr>
            <w:r>
              <w:rPr>
                <w:rFonts w:ascii="Calibri" w:hAnsi="Calibri"/>
                <w:b w:val="0"/>
                <w:i w:val="0"/>
                <w:color w:val="212121"/>
                <w:sz w:val="16"/>
              </w:rPr>
              <w:t>Blood glucose</w:t>
            </w:r>
          </w:p>
        </w:tc>
        <w:tc>
          <w:tcPr>
            <w:tcW w:type="dxa" w:w="950"/>
            <w:vAlign w:val="top"/>
          </w:tcPr>
          <w:p>
            <w:pPr>
              <w:spacing w:after="40" w:before="0" w:line="259" w:lineRule="auto"/>
            </w:pPr>
            <w:r>
              <w:rPr>
                <w:rFonts w:ascii="Calibri" w:hAnsi="Calibri"/>
                <w:b w:val="0"/>
                <w:i w:val="0"/>
                <w:color w:val="212121"/>
                <w:sz w:val="16"/>
              </w:rPr>
              <w:t>70–99 mg/dL fasting</w:t>
            </w:r>
          </w:p>
        </w:tc>
        <w:tc>
          <w:tcPr>
            <w:tcW w:type="dxa" w:w="950"/>
            <w:vAlign w:val="top"/>
          </w:tcPr>
          <w:p>
            <w:pPr>
              <w:spacing w:after="40" w:before="0" w:line="259" w:lineRule="auto"/>
            </w:pPr>
            <w:r>
              <w:rPr>
                <w:rFonts w:ascii="Calibri" w:hAnsi="Calibri"/>
                <w:b w:val="0"/>
                <w:i w:val="0"/>
                <w:color w:val="212121"/>
                <w:sz w:val="16"/>
              </w:rPr>
              <w:t>Hypoglycaemia &lt;70 mg/dL</w:t>
            </w:r>
          </w:p>
        </w:tc>
        <w:tc>
          <w:tcPr>
            <w:tcW w:type="dxa" w:w="1036"/>
            <w:vAlign w:val="top"/>
          </w:tcPr>
          <w:p>
            <w:pPr>
              <w:spacing w:after="40" w:before="0" w:line="259" w:lineRule="auto"/>
            </w:pPr>
            <w:r>
              <w:rPr>
                <w:rFonts w:ascii="Calibri" w:hAnsi="Calibri"/>
                <w:b w:val="0"/>
                <w:i w:val="0"/>
                <w:color w:val="212121"/>
                <w:sz w:val="16"/>
              </w:rPr>
              <w:t>Hypoglycaemia produces tremor, sweating, palpitations and anxiety that resemble a social-anxiety episode</w:t>
            </w:r>
          </w:p>
        </w:tc>
        <w:tc>
          <w:tcPr>
            <w:tcW w:type="dxa" w:w="1036"/>
            <w:vAlign w:val="top"/>
          </w:tcPr>
          <w:p>
            <w:pPr>
              <w:spacing w:after="40" w:before="0" w:line="259" w:lineRule="auto"/>
            </w:pPr>
            <w:r>
              <w:rPr>
                <w:rFonts w:ascii="Calibri" w:hAnsi="Calibri"/>
                <w:b w:val="0"/>
                <w:i w:val="0"/>
                <w:color w:val="212121"/>
                <w:sz w:val="16"/>
              </w:rPr>
              <w:t>Diabetics, irregular eaters, atypical episodes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Exclude mimic</w:t>
            </w:r>
          </w:p>
        </w:tc>
        <w:tc>
          <w:tcPr>
            <w:tcW w:type="dxa" w:w="720"/>
            <w:vAlign w:val="top"/>
          </w:tcPr>
          <w:p>
            <w:pPr>
              <w:spacing w:after="40" w:before="0" w:line="259" w:lineRule="auto"/>
            </w:pPr>
            <w:r>
              <w:rPr>
                <w:rFonts w:ascii="Calibri" w:hAnsi="Calibri"/>
                <w:b w:val="0"/>
                <w:i w:val="0"/>
                <w:color w:val="212121"/>
                <w:sz w:val="16"/>
              </w:rPr>
              <w:t>Correlate symptoms with capillary glucose where feasible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Resting 12-lead ECG (incl. QTc)</w:t>
            </w:r>
          </w:p>
        </w:tc>
        <w:tc>
          <w:tcPr>
            <w:tcW w:type="dxa" w:w="892"/>
            <w:vAlign w:val="top"/>
          </w:tcPr>
          <w:p>
            <w:pPr>
              <w:spacing w:after="40" w:before="0" w:line="259" w:lineRule="auto"/>
            </w:pPr>
            <w:r>
              <w:rPr>
                <w:rFonts w:ascii="Calibri" w:hAnsi="Calibri"/>
                <w:b w:val="0"/>
                <w:i w:val="0"/>
                <w:color w:val="212121"/>
                <w:sz w:val="16"/>
              </w:rPr>
              <w:t>Electrocardiogram</w:t>
            </w:r>
          </w:p>
        </w:tc>
        <w:tc>
          <w:tcPr>
            <w:tcW w:type="dxa" w:w="950"/>
            <w:vAlign w:val="top"/>
          </w:tcPr>
          <w:p>
            <w:pPr>
              <w:spacing w:after="40" w:before="0" w:line="259" w:lineRule="auto"/>
            </w:pPr>
            <w:r>
              <w:rPr>
                <w:rFonts w:ascii="Calibri" w:hAnsi="Calibri"/>
                <w:b w:val="0"/>
                <w:i w:val="0"/>
                <w:color w:val="212121"/>
                <w:sz w:val="16"/>
              </w:rPr>
              <w:t>Sinus rhythm; QTc &lt;440 ms (M)/&lt;460 ms (F)</w:t>
            </w:r>
          </w:p>
        </w:tc>
        <w:tc>
          <w:tcPr>
            <w:tcW w:type="dxa" w:w="950"/>
            <w:vAlign w:val="top"/>
          </w:tcPr>
          <w:p>
            <w:pPr>
              <w:spacing w:after="40" w:before="0" w:line="259" w:lineRule="auto"/>
            </w:pPr>
            <w:r>
              <w:rPr>
                <w:rFonts w:ascii="Calibri" w:hAnsi="Calibri"/>
                <w:b w:val="0"/>
                <w:i w:val="0"/>
                <w:color w:val="212121"/>
                <w:sz w:val="16"/>
              </w:rPr>
              <w:t>Arrhythmia; prolonged QTc</w:t>
            </w:r>
          </w:p>
        </w:tc>
        <w:tc>
          <w:tcPr>
            <w:tcW w:type="dxa" w:w="1036"/>
            <w:vAlign w:val="top"/>
          </w:tcPr>
          <w:p>
            <w:pPr>
              <w:spacing w:after="40" w:before="0" w:line="259" w:lineRule="auto"/>
            </w:pPr>
            <w:r>
              <w:rPr>
                <w:rFonts w:ascii="Calibri" w:hAnsi="Calibri"/>
                <w:b w:val="0"/>
                <w:i w:val="0"/>
                <w:color w:val="212121"/>
                <w:sz w:val="16"/>
              </w:rPr>
              <w:t>Excludes arrhythmia as a cause of palpitations and provides a safety baseline before SSRIs/SNRIs or beta-blockers</w:t>
            </w:r>
          </w:p>
        </w:tc>
        <w:tc>
          <w:tcPr>
            <w:tcW w:type="dxa" w:w="1036"/>
            <w:vAlign w:val="top"/>
          </w:tcPr>
          <w:p>
            <w:pPr>
              <w:spacing w:after="40" w:before="0" w:line="259" w:lineRule="auto"/>
            </w:pPr>
            <w:r>
              <w:rPr>
                <w:rFonts w:ascii="Calibri" w:hAnsi="Calibri"/>
                <w:b w:val="0"/>
                <w:i w:val="0"/>
                <w:color w:val="212121"/>
                <w:sz w:val="16"/>
              </w:rPr>
              <w:t>Prominent palpitations; before pharmacotherapy</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Baseline / safety</w:t>
            </w:r>
          </w:p>
        </w:tc>
        <w:tc>
          <w:tcPr>
            <w:tcW w:type="dxa" w:w="720"/>
            <w:vAlign w:val="top"/>
          </w:tcPr>
          <w:p>
            <w:pPr>
              <w:spacing w:after="40" w:before="0" w:line="259" w:lineRule="auto"/>
            </w:pPr>
            <w:r>
              <w:rPr>
                <w:rFonts w:ascii="Calibri" w:hAnsi="Calibri"/>
                <w:b w:val="0"/>
                <w:i w:val="0"/>
                <w:color w:val="212121"/>
                <w:sz w:val="16"/>
              </w:rPr>
              <w:t>Relevant when a beta-blocker is considered for performance anxiety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Toxicology</w:t>
            </w:r>
          </w:p>
        </w:tc>
        <w:tc>
          <w:tcPr>
            <w:tcW w:type="dxa" w:w="1036"/>
            <w:vAlign w:val="top"/>
          </w:tcPr>
          <w:p>
            <w:pPr>
              <w:spacing w:after="40" w:before="0" w:line="259" w:lineRule="auto"/>
            </w:pPr>
            <w:r>
              <w:rPr>
                <w:rFonts w:ascii="Calibri" w:hAnsi="Calibri"/>
                <w:b w:val="0"/>
                <w:i w:val="0"/>
                <w:color w:val="212121"/>
                <w:sz w:val="16"/>
              </w:rPr>
              <w:t>Urine drug screen / blood alcohol</w:t>
            </w:r>
          </w:p>
        </w:tc>
        <w:tc>
          <w:tcPr>
            <w:tcW w:type="dxa" w:w="892"/>
            <w:vAlign w:val="top"/>
          </w:tcPr>
          <w:p>
            <w:pPr>
              <w:spacing w:after="40" w:before="0" w:line="259" w:lineRule="auto"/>
            </w:pPr>
            <w:r>
              <w:rPr>
                <w:rFonts w:ascii="Calibri" w:hAnsi="Calibri"/>
                <w:b w:val="0"/>
                <w:i w:val="0"/>
                <w:color w:val="212121"/>
                <w:sz w:val="16"/>
              </w:rPr>
              <w:t>Substance screen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for alcohol/benzodiazepines/cannabis/stimulants</w:t>
            </w:r>
          </w:p>
        </w:tc>
        <w:tc>
          <w:tcPr>
            <w:tcW w:type="dxa" w:w="1036"/>
            <w:vAlign w:val="top"/>
          </w:tcPr>
          <w:p>
            <w:pPr>
              <w:spacing w:after="40" w:before="0" w:line="259" w:lineRule="auto"/>
            </w:pPr>
            <w:r>
              <w:rPr>
                <w:rFonts w:ascii="Calibri" w:hAnsi="Calibri"/>
                <w:b w:val="0"/>
                <w:i w:val="0"/>
                <w:color w:val="212121"/>
                <w:sz w:val="16"/>
              </w:rPr>
              <w:t>Identifies substance-induced anxiety and comorbid self-medication (dual diagnosis)</w:t>
            </w:r>
          </w:p>
        </w:tc>
        <w:tc>
          <w:tcPr>
            <w:tcW w:type="dxa" w:w="1036"/>
            <w:vAlign w:val="top"/>
          </w:tcPr>
          <w:p>
            <w:pPr>
              <w:spacing w:after="40" w:before="0" w:line="259" w:lineRule="auto"/>
            </w:pPr>
            <w:r>
              <w:rPr>
                <w:rFonts w:ascii="Calibri" w:hAnsi="Calibri"/>
                <w:b w:val="0"/>
                <w:i w:val="0"/>
                <w:color w:val="212121"/>
                <w:sz w:val="16"/>
              </w:rPr>
              <w:t>Suspected self-medication, hazardous use</w:t>
            </w:r>
          </w:p>
        </w:tc>
        <w:tc>
          <w:tcPr>
            <w:tcW w:type="dxa" w:w="720"/>
            <w:vAlign w:val="top"/>
          </w:tcPr>
          <w:p>
            <w:pPr>
              <w:spacing w:after="40" w:before="0" w:line="259" w:lineRule="auto"/>
            </w:pPr>
            <w:r>
              <w:rPr>
                <w:rFonts w:ascii="Calibri" w:hAnsi="Calibri"/>
                <w:b w:val="0"/>
                <w:i w:val="0"/>
                <w:color w:val="212121"/>
                <w:sz w:val="16"/>
              </w:rPr>
              <w:t>Alcohol; Smoking</w:t>
            </w:r>
          </w:p>
        </w:tc>
        <w:tc>
          <w:tcPr>
            <w:tcW w:type="dxa" w:w="720"/>
            <w:vAlign w:val="top"/>
          </w:tcPr>
          <w:p>
            <w:pPr>
              <w:spacing w:after="40" w:before="0" w:line="259" w:lineRule="auto"/>
            </w:pPr>
            <w:r>
              <w:rPr>
                <w:rFonts w:ascii="Calibri" w:hAnsi="Calibri"/>
                <w:b w:val="0"/>
                <w:i w:val="0"/>
                <w:color w:val="212121"/>
                <w:sz w:val="16"/>
              </w:rPr>
              <w:t>Diagnostic / safety</w:t>
            </w:r>
          </w:p>
        </w:tc>
        <w:tc>
          <w:tcPr>
            <w:tcW w:type="dxa" w:w="720"/>
            <w:vAlign w:val="top"/>
          </w:tcPr>
          <w:p>
            <w:pPr>
              <w:spacing w:after="40" w:before="0" w:line="259" w:lineRule="auto"/>
            </w:pPr>
            <w:r>
              <w:rPr>
                <w:rFonts w:ascii="Calibri" w:hAnsi="Calibri"/>
                <w:b w:val="0"/>
                <w:i w:val="0"/>
                <w:color w:val="212121"/>
                <w:sz w:val="16"/>
              </w:rPr>
              <w:t>Guides integrated dual-diagnosis management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 / biochemical</w:t>
            </w:r>
          </w:p>
        </w:tc>
        <w:tc>
          <w:tcPr>
            <w:tcW w:type="dxa" w:w="1036"/>
            <w:vAlign w:val="top"/>
          </w:tcPr>
          <w:p>
            <w:pPr>
              <w:spacing w:after="40" w:before="0" w:line="259" w:lineRule="auto"/>
            </w:pPr>
            <w:r>
              <w:rPr>
                <w:rFonts w:ascii="Calibri" w:hAnsi="Calibri"/>
                <w:b w:val="0"/>
                <w:i w:val="0"/>
                <w:color w:val="212121"/>
                <w:sz w:val="16"/>
              </w:rPr>
              <w:t>CBC, electrolytes, renal &amp; hepatic function</w:t>
            </w:r>
          </w:p>
        </w:tc>
        <w:tc>
          <w:tcPr>
            <w:tcW w:type="dxa" w:w="892"/>
            <w:vAlign w:val="top"/>
          </w:tcPr>
          <w:p>
            <w:pPr>
              <w:spacing w:after="40" w:before="0" w:line="259" w:lineRule="auto"/>
            </w:pPr>
            <w:r>
              <w:rPr>
                <w:rFonts w:ascii="Calibri" w:hAnsi="Calibri"/>
                <w:b w:val="0"/>
                <w:i w:val="0"/>
                <w:color w:val="212121"/>
                <w:sz w:val="16"/>
              </w:rPr>
              <w:t>Baseline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Anaemia; deranged LFT/RFT/electrolytes</w:t>
            </w:r>
          </w:p>
        </w:tc>
        <w:tc>
          <w:tcPr>
            <w:tcW w:type="dxa" w:w="1036"/>
            <w:vAlign w:val="top"/>
          </w:tcPr>
          <w:p>
            <w:pPr>
              <w:spacing w:after="40" w:before="0" w:line="259" w:lineRule="auto"/>
            </w:pPr>
            <w:r>
              <w:rPr>
                <w:rFonts w:ascii="Calibri" w:hAnsi="Calibri"/>
                <w:b w:val="0"/>
                <w:i w:val="0"/>
                <w:color w:val="212121"/>
                <w:sz w:val="16"/>
              </w:rPr>
              <w:t>Establishes a safe baseline before pharmacotherapy and excludes contributory medical illness</w:t>
            </w:r>
          </w:p>
        </w:tc>
        <w:tc>
          <w:tcPr>
            <w:tcW w:type="dxa" w:w="1036"/>
            <w:vAlign w:val="top"/>
          </w:tcPr>
          <w:p>
            <w:pPr>
              <w:spacing w:after="40" w:before="0" w:line="259" w:lineRule="auto"/>
            </w:pPr>
            <w:r>
              <w:rPr>
                <w:rFonts w:ascii="Calibri" w:hAnsi="Calibri"/>
                <w:b w:val="0"/>
                <w:i w:val="0"/>
                <w:color w:val="212121"/>
                <w:sz w:val="16"/>
              </w:rPr>
              <w:t>Before starting medication, alcohol users</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Baseline / safety</w:t>
            </w:r>
          </w:p>
        </w:tc>
        <w:tc>
          <w:tcPr>
            <w:tcW w:type="dxa" w:w="720"/>
            <w:vAlign w:val="top"/>
          </w:tcPr>
          <w:p>
            <w:pPr>
              <w:spacing w:after="40" w:before="0" w:line="259" w:lineRule="auto"/>
            </w:pPr>
            <w:r>
              <w:rPr>
                <w:rFonts w:ascii="Calibri" w:hAnsi="Calibri"/>
                <w:b w:val="0"/>
                <w:i w:val="0"/>
                <w:color w:val="212121"/>
                <w:sz w:val="16"/>
              </w:rPr>
              <w:t>Anaemia and alcohol-related derangement common in India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Presenting complaints &amp; HPI</w:t>
            </w:r>
          </w:p>
        </w:tc>
        <w:tc>
          <w:tcPr>
            <w:tcW w:type="dxa" w:w="979"/>
            <w:vAlign w:val="top"/>
          </w:tcPr>
          <w:p>
            <w:pPr>
              <w:spacing w:after="40" w:before="0" w:line="259" w:lineRule="auto"/>
            </w:pPr>
            <w:r>
              <w:rPr>
                <w:rFonts w:ascii="Calibri" w:hAnsi="Calibri"/>
                <w:b w:val="0"/>
                <w:i w:val="0"/>
                <w:color w:val="212121"/>
                <w:sz w:val="16"/>
              </w:rPr>
              <w:t>Feared situations, avoidance, anticipatory &amp; post-event anxiety, duration</w:t>
            </w:r>
          </w:p>
        </w:tc>
        <w:tc>
          <w:tcPr>
            <w:tcW w:type="dxa" w:w="950"/>
            <w:vAlign w:val="top"/>
          </w:tcPr>
          <w:p>
            <w:pPr>
              <w:spacing w:after="40" w:before="0" w:line="259" w:lineRule="auto"/>
            </w:pPr>
            <w:r>
              <w:rPr>
                <w:rFonts w:ascii="Calibri" w:hAnsi="Calibri"/>
                <w:b w:val="0"/>
                <w:i w:val="0"/>
                <w:color w:val="212121"/>
                <w:sz w:val="16"/>
              </w:rPr>
              <w:t>No persistent social-evaluative fear</w:t>
            </w:r>
          </w:p>
        </w:tc>
        <w:tc>
          <w:tcPr>
            <w:tcW w:type="dxa" w:w="950"/>
            <w:vAlign w:val="top"/>
          </w:tcPr>
          <w:p>
            <w:pPr>
              <w:spacing w:after="40" w:before="0" w:line="259" w:lineRule="auto"/>
            </w:pPr>
            <w:r>
              <w:rPr>
                <w:rFonts w:ascii="Calibri" w:hAnsi="Calibri"/>
                <w:b w:val="0"/>
                <w:i w:val="0"/>
                <w:color w:val="212121"/>
                <w:sz w:val="16"/>
              </w:rPr>
              <w:t>Persistent (≥6 months) fear/avoidance of scrutiny with distress or dysfunction</w:t>
            </w:r>
          </w:p>
        </w:tc>
        <w:tc>
          <w:tcPr>
            <w:tcW w:type="dxa" w:w="1036"/>
            <w:vAlign w:val="top"/>
          </w:tcPr>
          <w:p>
            <w:pPr>
              <w:spacing w:after="40" w:before="0" w:line="259" w:lineRule="auto"/>
            </w:pPr>
            <w:r>
              <w:rPr>
                <w:rFonts w:ascii="Calibri" w:hAnsi="Calibri"/>
                <w:b w:val="0"/>
                <w:i w:val="0"/>
                <w:color w:val="212121"/>
                <w:sz w:val="16"/>
              </w:rPr>
              <w:t>Establishes whether DSM-5 criteria for SAD are met and the range of feared situations</w:t>
            </w:r>
          </w:p>
        </w:tc>
        <w:tc>
          <w:tcPr>
            <w:tcW w:type="dxa" w:w="1036"/>
            <w:vAlign w:val="top"/>
          </w:tcPr>
          <w:p>
            <w:pPr>
              <w:spacing w:after="40" w:before="0" w:line="259" w:lineRule="auto"/>
            </w:pPr>
            <w:r>
              <w:rPr>
                <w:rFonts w:ascii="Calibri" w:hAnsi="Calibri"/>
                <w:b w:val="0"/>
                <w:i w:val="0"/>
                <w:color w:val="212121"/>
                <w:sz w:val="16"/>
              </w:rPr>
              <w:t>All presenting patients</w:t>
            </w:r>
          </w:p>
        </w:tc>
        <w:tc>
          <w:tcPr>
            <w:tcW w:type="dxa" w:w="720"/>
            <w:vAlign w:val="top"/>
          </w:tcPr>
          <w:p>
            <w:pPr>
              <w:spacing w:after="40" w:before="0" w:line="259" w:lineRule="auto"/>
            </w:pPr>
            <w:r>
              <w:rPr>
                <w:rFonts w:ascii="Calibri" w:hAnsi="Calibri"/>
                <w:b w:val="0"/>
                <w:i w:val="0"/>
                <w:color w:val="212121"/>
                <w:sz w:val="16"/>
              </w:rPr>
              <w:t>Mental health; Provoking factors</w:t>
            </w:r>
          </w:p>
        </w:tc>
        <w:tc>
          <w:tcPr>
            <w:tcW w:type="dxa" w:w="720"/>
            <w:vAlign w:val="top"/>
          </w:tcPr>
          <w:p>
            <w:pPr>
              <w:spacing w:after="40" w:before="0" w:line="259" w:lineRule="auto"/>
            </w:pPr>
            <w:r>
              <w:rPr>
                <w:rFonts w:ascii="Calibri" w:hAnsi="Calibri"/>
                <w:b w:val="0"/>
                <w:i w:val="0"/>
                <w:color w:val="212121"/>
                <w:sz w:val="16"/>
              </w:rPr>
              <w:t>Core diagnostic</w:t>
            </w:r>
          </w:p>
        </w:tc>
        <w:tc>
          <w:tcPr>
            <w:tcW w:type="dxa" w:w="720"/>
            <w:vAlign w:val="top"/>
          </w:tcPr>
          <w:p>
            <w:pPr>
              <w:spacing w:after="40" w:before="0" w:line="259" w:lineRule="auto"/>
            </w:pPr>
            <w:r>
              <w:rPr>
                <w:rFonts w:ascii="Calibri" w:hAnsi="Calibri"/>
                <w:b w:val="0"/>
                <w:i w:val="0"/>
                <w:color w:val="212121"/>
                <w:sz w:val="16"/>
              </w:rPr>
              <w:t>Ask specifically — patients often present with somatic or avoidance complaints, not 'anxiety'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Diagnostic criteria</w:t>
            </w:r>
          </w:p>
        </w:tc>
        <w:tc>
          <w:tcPr>
            <w:tcW w:type="dxa" w:w="950"/>
            <w:vAlign w:val="top"/>
          </w:tcPr>
          <w:p>
            <w:pPr>
              <w:spacing w:after="40" w:before="0" w:line="259" w:lineRule="auto"/>
            </w:pPr>
            <w:r>
              <w:rPr>
                <w:rFonts w:ascii="Calibri" w:hAnsi="Calibri"/>
                <w:b w:val="0"/>
                <w:i w:val="0"/>
                <w:color w:val="212121"/>
                <w:sz w:val="16"/>
              </w:rPr>
              <w:t>DSM-5 / ICD-11 checklist</w:t>
            </w:r>
          </w:p>
        </w:tc>
        <w:tc>
          <w:tcPr>
            <w:tcW w:type="dxa" w:w="979"/>
            <w:vAlign w:val="top"/>
          </w:tcPr>
          <w:p>
            <w:pPr>
              <w:spacing w:after="40" w:before="0" w:line="259" w:lineRule="auto"/>
            </w:pPr>
            <w:r>
              <w:rPr>
                <w:rFonts w:ascii="Calibri" w:hAnsi="Calibri"/>
                <w:b w:val="0"/>
                <w:i w:val="0"/>
                <w:color w:val="212121"/>
                <w:sz w:val="16"/>
              </w:rPr>
              <w:t>All criteria incl. proportionality, persistence, impairment; performance-only specifier</w:t>
            </w:r>
          </w:p>
        </w:tc>
        <w:tc>
          <w:tcPr>
            <w:tcW w:type="dxa" w:w="950"/>
            <w:vAlign w:val="top"/>
          </w:tcPr>
          <w:p>
            <w:pPr>
              <w:spacing w:after="40" w:before="0" w:line="259" w:lineRule="auto"/>
            </w:pPr>
            <w:r>
              <w:rPr>
                <w:rFonts w:ascii="Calibri" w:hAnsi="Calibri"/>
                <w:b w:val="0"/>
                <w:i w:val="0"/>
                <w:color w:val="212121"/>
                <w:sz w:val="16"/>
              </w:rPr>
              <w:t>Criteria not met (e.g., normative shyness)</w:t>
            </w:r>
          </w:p>
        </w:tc>
        <w:tc>
          <w:tcPr>
            <w:tcW w:type="dxa" w:w="950"/>
            <w:vAlign w:val="top"/>
          </w:tcPr>
          <w:p>
            <w:pPr>
              <w:spacing w:after="40" w:before="0" w:line="259" w:lineRule="auto"/>
            </w:pPr>
            <w:r>
              <w:rPr>
                <w:rFonts w:ascii="Calibri" w:hAnsi="Calibri"/>
                <w:b w:val="0"/>
                <w:i w:val="0"/>
                <w:color w:val="212121"/>
                <w:sz w:val="16"/>
              </w:rPr>
              <w:t>Full criteria met; subtype specified</w:t>
            </w:r>
          </w:p>
        </w:tc>
        <w:tc>
          <w:tcPr>
            <w:tcW w:type="dxa" w:w="1036"/>
            <w:vAlign w:val="top"/>
          </w:tcPr>
          <w:p>
            <w:pPr>
              <w:spacing w:after="40" w:before="0" w:line="259" w:lineRule="auto"/>
            </w:pPr>
            <w:r>
              <w:rPr>
                <w:rFonts w:ascii="Calibri" w:hAnsi="Calibri"/>
                <w:b w:val="0"/>
                <w:i w:val="0"/>
                <w:color w:val="212121"/>
                <w:sz w:val="16"/>
              </w:rPr>
              <w:t>Confirms diagnosis and subtype (generalized vs performance-only) and excludes normative shyness</w:t>
            </w:r>
          </w:p>
        </w:tc>
        <w:tc>
          <w:tcPr>
            <w:tcW w:type="dxa" w:w="1036"/>
            <w:vAlign w:val="top"/>
          </w:tcPr>
          <w:p>
            <w:pPr>
              <w:spacing w:after="40" w:before="0" w:line="259" w:lineRule="auto"/>
            </w:pPr>
            <w:r>
              <w:rPr>
                <w:rFonts w:ascii="Calibri" w:hAnsi="Calibri"/>
                <w:b w:val="0"/>
                <w:i w:val="0"/>
                <w:color w:val="212121"/>
                <w:sz w:val="16"/>
              </w:rPr>
              <w:t>Patients with positive screen</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Core diagnostic</w:t>
            </w:r>
          </w:p>
        </w:tc>
        <w:tc>
          <w:tcPr>
            <w:tcW w:type="dxa" w:w="720"/>
            <w:vAlign w:val="top"/>
          </w:tcPr>
          <w:p>
            <w:pPr>
              <w:spacing w:after="40" w:before="0" w:line="259" w:lineRule="auto"/>
            </w:pPr>
            <w:r>
              <w:rPr>
                <w:rFonts w:ascii="Calibri" w:hAnsi="Calibri"/>
                <w:b w:val="0"/>
                <w:i w:val="0"/>
                <w:color w:val="212121"/>
                <w:sz w:val="16"/>
              </w:rPr>
              <w:t>Distinguish culturally sanctioned reticence from disorder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Mental State Examination</w:t>
            </w:r>
          </w:p>
        </w:tc>
        <w:tc>
          <w:tcPr>
            <w:tcW w:type="dxa" w:w="950"/>
            <w:vAlign w:val="top"/>
          </w:tcPr>
          <w:p>
            <w:pPr>
              <w:spacing w:after="40" w:before="0" w:line="259" w:lineRule="auto"/>
            </w:pPr>
            <w:r>
              <w:rPr>
                <w:rFonts w:ascii="Calibri" w:hAnsi="Calibri"/>
                <w:b w:val="0"/>
                <w:i w:val="0"/>
                <w:color w:val="212121"/>
                <w:sz w:val="16"/>
              </w:rPr>
              <w:t>MSE</w:t>
            </w:r>
          </w:p>
        </w:tc>
        <w:tc>
          <w:tcPr>
            <w:tcW w:type="dxa" w:w="979"/>
            <w:vAlign w:val="top"/>
          </w:tcPr>
          <w:p>
            <w:pPr>
              <w:spacing w:after="40" w:before="0" w:line="259" w:lineRule="auto"/>
            </w:pPr>
            <w:r>
              <w:rPr>
                <w:rFonts w:ascii="Calibri" w:hAnsi="Calibri"/>
                <w:b w:val="0"/>
                <w:i w:val="0"/>
                <w:color w:val="212121"/>
                <w:sz w:val="16"/>
              </w:rPr>
              <w:t>Eye contact, speech, affect, visible autonomic arousal, cognition, insight</w:t>
            </w:r>
          </w:p>
        </w:tc>
        <w:tc>
          <w:tcPr>
            <w:tcW w:type="dxa" w:w="950"/>
            <w:vAlign w:val="top"/>
          </w:tcPr>
          <w:p>
            <w:pPr>
              <w:spacing w:after="40" w:before="0" w:line="259" w:lineRule="auto"/>
            </w:pPr>
            <w:r>
              <w:rPr>
                <w:rFonts w:ascii="Calibri" w:hAnsi="Calibri"/>
                <w:b w:val="0"/>
                <w:i w:val="0"/>
                <w:color w:val="212121"/>
                <w:sz w:val="16"/>
              </w:rPr>
              <w:t>Engaged, comfortable, no autonomic arousal</w:t>
            </w:r>
          </w:p>
        </w:tc>
        <w:tc>
          <w:tcPr>
            <w:tcW w:type="dxa" w:w="950"/>
            <w:vAlign w:val="top"/>
          </w:tcPr>
          <w:p>
            <w:pPr>
              <w:spacing w:after="40" w:before="0" w:line="259" w:lineRule="auto"/>
            </w:pPr>
            <w:r>
              <w:rPr>
                <w:rFonts w:ascii="Calibri" w:hAnsi="Calibri"/>
                <w:b w:val="0"/>
                <w:i w:val="0"/>
                <w:color w:val="212121"/>
                <w:sz w:val="16"/>
              </w:rPr>
              <w:t>Poor eye contact, soft/hesitant speech, blushing, tremor, anxious affect</w:t>
            </w:r>
          </w:p>
        </w:tc>
        <w:tc>
          <w:tcPr>
            <w:tcW w:type="dxa" w:w="1036"/>
            <w:vAlign w:val="top"/>
          </w:tcPr>
          <w:p>
            <w:pPr>
              <w:spacing w:after="40" w:before="0" w:line="259" w:lineRule="auto"/>
            </w:pPr>
            <w:r>
              <w:rPr>
                <w:rFonts w:ascii="Calibri" w:hAnsi="Calibri"/>
                <w:b w:val="0"/>
                <w:i w:val="0"/>
                <w:color w:val="212121"/>
                <w:sz w:val="16"/>
              </w:rPr>
              <w:t>Documents observable anxiety and rules out psychosis or organic cause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Core diagnostic</w:t>
            </w:r>
          </w:p>
        </w:tc>
        <w:tc>
          <w:tcPr>
            <w:tcW w:type="dxa" w:w="720"/>
            <w:vAlign w:val="top"/>
          </w:tcPr>
          <w:p>
            <w:pPr>
              <w:spacing w:after="40" w:before="0" w:line="259" w:lineRule="auto"/>
            </w:pPr>
            <w:r>
              <w:rPr>
                <w:rFonts w:ascii="Calibri" w:hAnsi="Calibri"/>
                <w:b w:val="0"/>
                <w:i w:val="0"/>
                <w:color w:val="212121"/>
                <w:sz w:val="16"/>
              </w:rPr>
              <w:t>Anxiety may be visible only when the feared situation is discussed or enacted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Functional assessment</w:t>
            </w:r>
          </w:p>
        </w:tc>
        <w:tc>
          <w:tcPr>
            <w:tcW w:type="dxa" w:w="950"/>
            <w:vAlign w:val="top"/>
          </w:tcPr>
          <w:p>
            <w:pPr>
              <w:spacing w:after="40" w:before="0" w:line="259" w:lineRule="auto"/>
            </w:pPr>
            <w:r>
              <w:rPr>
                <w:rFonts w:ascii="Calibri" w:hAnsi="Calibri"/>
                <w:b w:val="0"/>
                <w:i w:val="0"/>
                <w:color w:val="212121"/>
                <w:sz w:val="16"/>
              </w:rPr>
              <w:t>Disability &amp; role impact</w:t>
            </w:r>
          </w:p>
        </w:tc>
        <w:tc>
          <w:tcPr>
            <w:tcW w:type="dxa" w:w="979"/>
            <w:vAlign w:val="top"/>
          </w:tcPr>
          <w:p>
            <w:pPr>
              <w:spacing w:after="40" w:before="0" w:line="259" w:lineRule="auto"/>
            </w:pPr>
            <w:r>
              <w:rPr>
                <w:rFonts w:ascii="Calibri" w:hAnsi="Calibri"/>
                <w:b w:val="0"/>
                <w:i w:val="0"/>
                <w:color w:val="212121"/>
                <w:sz w:val="16"/>
              </w:rPr>
              <w:t>Academic, occupational, social and family functioning (e.g., WHODAS/SDS)</w:t>
            </w:r>
          </w:p>
        </w:tc>
        <w:tc>
          <w:tcPr>
            <w:tcW w:type="dxa" w:w="950"/>
            <w:vAlign w:val="top"/>
          </w:tcPr>
          <w:p>
            <w:pPr>
              <w:spacing w:after="40" w:before="0" w:line="259" w:lineRule="auto"/>
            </w:pPr>
            <w:r>
              <w:rPr>
                <w:rFonts w:ascii="Calibri" w:hAnsi="Calibri"/>
                <w:b w:val="0"/>
                <w:i w:val="0"/>
                <w:color w:val="212121"/>
                <w:sz w:val="16"/>
              </w:rPr>
              <w:t>No significant impairment</w:t>
            </w:r>
          </w:p>
        </w:tc>
        <w:tc>
          <w:tcPr>
            <w:tcW w:type="dxa" w:w="950"/>
            <w:vAlign w:val="top"/>
          </w:tcPr>
          <w:p>
            <w:pPr>
              <w:spacing w:after="40" w:before="0" w:line="259" w:lineRule="auto"/>
            </w:pPr>
            <w:r>
              <w:rPr>
                <w:rFonts w:ascii="Calibri" w:hAnsi="Calibri"/>
                <w:b w:val="0"/>
                <w:i w:val="0"/>
                <w:color w:val="212121"/>
                <w:sz w:val="16"/>
              </w:rPr>
              <w:t>Missed exams/interviews, avoided roles, restricted relationships</w:t>
            </w:r>
          </w:p>
        </w:tc>
        <w:tc>
          <w:tcPr>
            <w:tcW w:type="dxa" w:w="1036"/>
            <w:vAlign w:val="top"/>
          </w:tcPr>
          <w:p>
            <w:pPr>
              <w:spacing w:after="40" w:before="0" w:line="259" w:lineRule="auto"/>
            </w:pPr>
            <w:r>
              <w:rPr>
                <w:rFonts w:ascii="Calibri" w:hAnsi="Calibri"/>
                <w:b w:val="0"/>
                <w:i w:val="0"/>
                <w:color w:val="212121"/>
                <w:sz w:val="16"/>
              </w:rPr>
              <w:t>Quantifies impairment and treatment need; SAD impairs work, social and family life in the majority</w:t>
            </w:r>
          </w:p>
        </w:tc>
        <w:tc>
          <w:tcPr>
            <w:tcW w:type="dxa" w:w="1036"/>
            <w:vAlign w:val="top"/>
          </w:tcPr>
          <w:p>
            <w:pPr>
              <w:spacing w:after="40" w:before="0" w:line="259" w:lineRule="auto"/>
            </w:pPr>
            <w:r>
              <w:rPr>
                <w:rFonts w:ascii="Calibri" w:hAnsi="Calibri"/>
                <w:b w:val="0"/>
                <w:i w:val="0"/>
                <w:color w:val="212121"/>
                <w:sz w:val="16"/>
              </w:rPr>
              <w:t>Students, working adults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Severity / management</w:t>
            </w:r>
          </w:p>
        </w:tc>
        <w:tc>
          <w:tcPr>
            <w:tcW w:type="dxa" w:w="720"/>
            <w:vAlign w:val="top"/>
          </w:tcPr>
          <w:p>
            <w:pPr>
              <w:spacing w:after="40" w:before="0" w:line="259" w:lineRule="auto"/>
            </w:pPr>
            <w:r>
              <w:rPr>
                <w:rFonts w:ascii="Calibri" w:hAnsi="Calibri"/>
                <w:b w:val="0"/>
                <w:i w:val="0"/>
                <w:color w:val="212121"/>
                <w:sz w:val="16"/>
              </w:rPr>
              <w:t>India data: work/social/family life impaired in ~63%/77%/68% of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Risk assessment</w:t>
            </w:r>
          </w:p>
        </w:tc>
        <w:tc>
          <w:tcPr>
            <w:tcW w:type="dxa" w:w="950"/>
            <w:vAlign w:val="top"/>
          </w:tcPr>
          <w:p>
            <w:pPr>
              <w:spacing w:after="40" w:before="0" w:line="259" w:lineRule="auto"/>
            </w:pPr>
            <w:r>
              <w:rPr>
                <w:rFonts w:ascii="Calibri" w:hAnsi="Calibri"/>
                <w:b w:val="0"/>
                <w:i w:val="0"/>
                <w:color w:val="212121"/>
                <w:sz w:val="16"/>
              </w:rPr>
              <w:t>Depression, suicidality &amp; self-medication</w:t>
            </w:r>
          </w:p>
        </w:tc>
        <w:tc>
          <w:tcPr>
            <w:tcW w:type="dxa" w:w="979"/>
            <w:vAlign w:val="top"/>
          </w:tcPr>
          <w:p>
            <w:pPr>
              <w:spacing w:after="40" w:before="0" w:line="259" w:lineRule="auto"/>
            </w:pPr>
            <w:r>
              <w:rPr>
                <w:rFonts w:ascii="Calibri" w:hAnsi="Calibri"/>
                <w:b w:val="0"/>
                <w:i w:val="0"/>
                <w:color w:val="212121"/>
                <w:sz w:val="16"/>
              </w:rPr>
              <w:t>Depressive symptoms, suicidal ideation, alcohol/substance use</w:t>
            </w:r>
          </w:p>
        </w:tc>
        <w:tc>
          <w:tcPr>
            <w:tcW w:type="dxa" w:w="950"/>
            <w:vAlign w:val="top"/>
          </w:tcPr>
          <w:p>
            <w:pPr>
              <w:spacing w:after="40" w:before="0" w:line="259" w:lineRule="auto"/>
            </w:pPr>
            <w:r>
              <w:rPr>
                <w:rFonts w:ascii="Calibri" w:hAnsi="Calibri"/>
                <w:b w:val="0"/>
                <w:i w:val="0"/>
                <w:color w:val="212121"/>
                <w:sz w:val="16"/>
              </w:rPr>
              <w:t>No comorbid depression, ideation or hazardous use</w:t>
            </w:r>
          </w:p>
        </w:tc>
        <w:tc>
          <w:tcPr>
            <w:tcW w:type="dxa" w:w="950"/>
            <w:vAlign w:val="top"/>
          </w:tcPr>
          <w:p>
            <w:pPr>
              <w:spacing w:after="40" w:before="0" w:line="259" w:lineRule="auto"/>
            </w:pPr>
            <w:r>
              <w:rPr>
                <w:rFonts w:ascii="Calibri" w:hAnsi="Calibri"/>
                <w:b w:val="0"/>
                <w:i w:val="0"/>
                <w:color w:val="212121"/>
                <w:sz w:val="16"/>
              </w:rPr>
              <w:t>Comorbid depression, suicidal ideation, or hazardous alcohol/substance use</w:t>
            </w:r>
          </w:p>
        </w:tc>
        <w:tc>
          <w:tcPr>
            <w:tcW w:type="dxa" w:w="1036"/>
            <w:vAlign w:val="top"/>
          </w:tcPr>
          <w:p>
            <w:pPr>
              <w:spacing w:after="40" w:before="0" w:line="259" w:lineRule="auto"/>
            </w:pPr>
            <w:r>
              <w:rPr>
                <w:rFonts w:ascii="Calibri" w:hAnsi="Calibri"/>
                <w:b w:val="0"/>
                <w:i w:val="0"/>
                <w:color w:val="212121"/>
                <w:sz w:val="16"/>
              </w:rPr>
              <w:t>Identifies the comorbidities that most affect prognosis and safety</w:t>
            </w:r>
          </w:p>
        </w:tc>
        <w:tc>
          <w:tcPr>
            <w:tcW w:type="dxa" w:w="1036"/>
            <w:vAlign w:val="top"/>
          </w:tcPr>
          <w:p>
            <w:pPr>
              <w:spacing w:after="40" w:before="0" w:line="259" w:lineRule="auto"/>
            </w:pPr>
            <w:r>
              <w:rPr>
                <w:rFonts w:ascii="Calibri" w:hAnsi="Calibri"/>
                <w:b w:val="0"/>
                <w:i w:val="0"/>
                <w:color w:val="212121"/>
                <w:sz w:val="16"/>
              </w:rPr>
              <w:t>Chronic/severe SAD, comorbid patients</w:t>
            </w:r>
          </w:p>
        </w:tc>
        <w:tc>
          <w:tcPr>
            <w:tcW w:type="dxa" w:w="720"/>
            <w:vAlign w:val="top"/>
          </w:tcPr>
          <w:p>
            <w:pPr>
              <w:spacing w:after="40" w:before="0" w:line="259" w:lineRule="auto"/>
            </w:pPr>
            <w:r>
              <w:rPr>
                <w:rFonts w:ascii="Calibri" w:hAnsi="Calibri"/>
                <w:b w:val="0"/>
                <w:i w:val="0"/>
                <w:color w:val="212121"/>
                <w:sz w:val="16"/>
              </w:rPr>
              <w:t>Mental health; Alcohol</w:t>
            </w:r>
          </w:p>
        </w:tc>
        <w:tc>
          <w:tcPr>
            <w:tcW w:type="dxa" w:w="720"/>
            <w:vAlign w:val="top"/>
          </w:tcPr>
          <w:p>
            <w:pPr>
              <w:spacing w:after="40" w:before="0" w:line="259" w:lineRule="auto"/>
            </w:pPr>
            <w:r>
              <w:rPr>
                <w:rFonts w:ascii="Calibri" w:hAnsi="Calibri"/>
                <w:b w:val="0"/>
                <w:i w:val="0"/>
                <w:color w:val="212121"/>
                <w:sz w:val="16"/>
              </w:rPr>
              <w:t>Safety-critical</w:t>
            </w:r>
          </w:p>
        </w:tc>
        <w:tc>
          <w:tcPr>
            <w:tcW w:type="dxa" w:w="720"/>
            <w:vAlign w:val="top"/>
          </w:tcPr>
          <w:p>
            <w:pPr>
              <w:spacing w:after="40" w:before="0" w:line="259" w:lineRule="auto"/>
            </w:pPr>
            <w:r>
              <w:rPr>
                <w:rFonts w:ascii="Calibri" w:hAnsi="Calibri"/>
                <w:b w:val="0"/>
                <w:i w:val="0"/>
                <w:color w:val="212121"/>
                <w:sz w:val="16"/>
              </w:rPr>
              <w:t>~58% of Indian SAD patients have a comorbid psychiatric disorder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Differential / comorbidity</w:t>
            </w:r>
          </w:p>
        </w:tc>
        <w:tc>
          <w:tcPr>
            <w:tcW w:type="dxa" w:w="950"/>
            <w:vAlign w:val="top"/>
          </w:tcPr>
          <w:p>
            <w:pPr>
              <w:spacing w:after="40" w:before="0" w:line="259" w:lineRule="auto"/>
            </w:pPr>
            <w:r>
              <w:rPr>
                <w:rFonts w:ascii="Calibri" w:hAnsi="Calibri"/>
                <w:b w:val="0"/>
                <w:i w:val="0"/>
                <w:color w:val="212121"/>
                <w:sz w:val="16"/>
              </w:rPr>
              <w:t>Comorbidity &amp; differential screen</w:t>
            </w:r>
          </w:p>
        </w:tc>
        <w:tc>
          <w:tcPr>
            <w:tcW w:type="dxa" w:w="979"/>
            <w:vAlign w:val="top"/>
          </w:tcPr>
          <w:p>
            <w:pPr>
              <w:spacing w:after="40" w:before="0" w:line="259" w:lineRule="auto"/>
            </w:pPr>
            <w:r>
              <w:rPr>
                <w:rFonts w:ascii="Calibri" w:hAnsi="Calibri"/>
                <w:b w:val="0"/>
                <w:i w:val="0"/>
                <w:color w:val="212121"/>
                <w:sz w:val="16"/>
              </w:rPr>
              <w:t>Panic disorder, GAD, agoraphobia, BDD, autism, avoidant PD</w:t>
            </w:r>
          </w:p>
        </w:tc>
        <w:tc>
          <w:tcPr>
            <w:tcW w:type="dxa" w:w="950"/>
            <w:vAlign w:val="top"/>
          </w:tcPr>
          <w:p>
            <w:pPr>
              <w:spacing w:after="40" w:before="0" w:line="259" w:lineRule="auto"/>
            </w:pPr>
            <w:r>
              <w:rPr>
                <w:rFonts w:ascii="Calibri" w:hAnsi="Calibri"/>
                <w:b w:val="0"/>
                <w:i w:val="0"/>
                <w:color w:val="212121"/>
                <w:sz w:val="16"/>
              </w:rPr>
              <w:t>No alternative/comorbid disorder</w:t>
            </w:r>
          </w:p>
        </w:tc>
        <w:tc>
          <w:tcPr>
            <w:tcW w:type="dxa" w:w="950"/>
            <w:vAlign w:val="top"/>
          </w:tcPr>
          <w:p>
            <w:pPr>
              <w:spacing w:after="40" w:before="0" w:line="259" w:lineRule="auto"/>
            </w:pPr>
            <w:r>
              <w:rPr>
                <w:rFonts w:ascii="Calibri" w:hAnsi="Calibri"/>
                <w:b w:val="0"/>
                <w:i w:val="0"/>
                <w:color w:val="212121"/>
                <w:sz w:val="16"/>
              </w:rPr>
              <w:t>Features of another anxiety, neurodevelopmental or personality disorder</w:t>
            </w:r>
          </w:p>
        </w:tc>
        <w:tc>
          <w:tcPr>
            <w:tcW w:type="dxa" w:w="1036"/>
            <w:vAlign w:val="top"/>
          </w:tcPr>
          <w:p>
            <w:pPr>
              <w:spacing w:after="40" w:before="0" w:line="259" w:lineRule="auto"/>
            </w:pPr>
            <w:r>
              <w:rPr>
                <w:rFonts w:ascii="Calibri" w:hAnsi="Calibri"/>
                <w:b w:val="0"/>
                <w:i w:val="0"/>
                <w:color w:val="212121"/>
                <w:sz w:val="16"/>
              </w:rPr>
              <w:t>Refines diagnosis and management, since overlapping conditions change the treatment focus</w:t>
            </w:r>
          </w:p>
        </w:tc>
        <w:tc>
          <w:tcPr>
            <w:tcW w:type="dxa" w:w="1036"/>
            <w:vAlign w:val="top"/>
          </w:tcPr>
          <w:p>
            <w:pPr>
              <w:spacing w:after="40" w:before="0" w:line="259" w:lineRule="auto"/>
            </w:pPr>
            <w:r>
              <w:rPr>
                <w:rFonts w:ascii="Calibri" w:hAnsi="Calibri"/>
                <w:b w:val="0"/>
                <w:i w:val="0"/>
                <w:color w:val="212121"/>
                <w:sz w:val="16"/>
              </w:rPr>
              <w:t>Complex or treatment-resistant presentations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 refinement</w:t>
            </w:r>
          </w:p>
        </w:tc>
        <w:tc>
          <w:tcPr>
            <w:tcW w:type="dxa" w:w="720"/>
            <w:vAlign w:val="top"/>
          </w:tcPr>
          <w:p>
            <w:pPr>
              <w:spacing w:after="40" w:before="0" w:line="259" w:lineRule="auto"/>
            </w:pPr>
            <w:r>
              <w:rPr>
                <w:rFonts w:ascii="Calibri" w:hAnsi="Calibri"/>
                <w:b w:val="0"/>
                <w:i w:val="0"/>
                <w:color w:val="212121"/>
                <w:sz w:val="16"/>
              </w:rPr>
              <w:t>Consider body dysmorphic disorder and autism where social difficulty predominates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Developmental, temperament &amp; family history</w:t>
            </w:r>
          </w:p>
        </w:tc>
        <w:tc>
          <w:tcPr>
            <w:tcW w:type="dxa" w:w="979"/>
            <w:vAlign w:val="top"/>
          </w:tcPr>
          <w:p>
            <w:pPr>
              <w:spacing w:after="40" w:before="0" w:line="259" w:lineRule="auto"/>
            </w:pPr>
            <w:r>
              <w:rPr>
                <w:rFonts w:ascii="Calibri" w:hAnsi="Calibri"/>
                <w:b w:val="0"/>
                <w:i w:val="0"/>
                <w:color w:val="212121"/>
                <w:sz w:val="16"/>
              </w:rPr>
              <w:t>Behavioural inhibition, childhood onset, bullying, family anxiety</w:t>
            </w:r>
          </w:p>
        </w:tc>
        <w:tc>
          <w:tcPr>
            <w:tcW w:type="dxa" w:w="950"/>
            <w:vAlign w:val="top"/>
          </w:tcPr>
          <w:p>
            <w:pPr>
              <w:spacing w:after="40" w:before="0" w:line="259" w:lineRule="auto"/>
            </w:pPr>
            <w:r>
              <w:rPr>
                <w:rFonts w:ascii="Calibri" w:hAnsi="Calibri"/>
                <w:b w:val="0"/>
                <w:i w:val="0"/>
                <w:color w:val="212121"/>
                <w:sz w:val="16"/>
              </w:rPr>
              <w:t>No early inhibition or family history</w:t>
            </w:r>
          </w:p>
        </w:tc>
        <w:tc>
          <w:tcPr>
            <w:tcW w:type="dxa" w:w="950"/>
            <w:vAlign w:val="top"/>
          </w:tcPr>
          <w:p>
            <w:pPr>
              <w:spacing w:after="40" w:before="0" w:line="259" w:lineRule="auto"/>
            </w:pPr>
            <w:r>
              <w:rPr>
                <w:rFonts w:ascii="Calibri" w:hAnsi="Calibri"/>
                <w:b w:val="0"/>
                <w:i w:val="0"/>
                <w:color w:val="212121"/>
                <w:sz w:val="16"/>
              </w:rPr>
              <w:t>Early behavioural inhibition, bullying/humiliation, positive family history</w:t>
            </w:r>
          </w:p>
        </w:tc>
        <w:tc>
          <w:tcPr>
            <w:tcW w:type="dxa" w:w="1036"/>
            <w:vAlign w:val="top"/>
          </w:tcPr>
          <w:p>
            <w:pPr>
              <w:spacing w:after="40" w:before="0" w:line="259" w:lineRule="auto"/>
            </w:pPr>
            <w:r>
              <w:rPr>
                <w:rFonts w:ascii="Calibri" w:hAnsi="Calibri"/>
                <w:b w:val="0"/>
                <w:i w:val="0"/>
                <w:color w:val="212121"/>
                <w:sz w:val="16"/>
              </w:rPr>
              <w:t>Identifies temperamental and environmental risk and informs prognosis</w:t>
            </w:r>
          </w:p>
        </w:tc>
        <w:tc>
          <w:tcPr>
            <w:tcW w:type="dxa" w:w="1036"/>
            <w:vAlign w:val="top"/>
          </w:tcPr>
          <w:p>
            <w:pPr>
              <w:spacing w:after="40" w:before="0" w:line="259" w:lineRule="auto"/>
            </w:pPr>
            <w:r>
              <w:rPr>
                <w:rFonts w:ascii="Calibri" w:hAnsi="Calibri"/>
                <w:b w:val="0"/>
                <w:i w:val="0"/>
                <w:color w:val="212121"/>
                <w:sz w:val="16"/>
              </w:rPr>
              <w:t>Children/adolescents, familial cases</w:t>
            </w:r>
          </w:p>
        </w:tc>
        <w:tc>
          <w:tcPr>
            <w:tcW w:type="dxa" w:w="720"/>
            <w:vAlign w:val="top"/>
          </w:tcPr>
          <w:p>
            <w:pPr>
              <w:spacing w:after="40" w:before="0" w:line="259" w:lineRule="auto"/>
            </w:pPr>
            <w:r>
              <w:rPr>
                <w:rFonts w:ascii="Calibri" w:hAnsi="Calibri"/>
                <w:b w:val="0"/>
                <w:i w:val="0"/>
                <w:color w:val="212121"/>
                <w:sz w:val="16"/>
              </w:rPr>
              <w:t>Mental health;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at onset and any modelled anxious behaviour in family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Intense fear of social or performance situations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Marked, persistent fear of being judged, embarrassed or humiliated when observed or interacting with others.</w:t>
            </w:r>
          </w:p>
        </w:tc>
      </w:tr>
      <w:tr>
        <w:trPr>
          <w:cantSplit/>
        </w:trPr>
        <w:tc>
          <w:tcPr>
            <w:tcW w:type="dxa" w:w="2304"/>
            <w:vAlign w:val="top"/>
          </w:tcPr>
          <w:p>
            <w:pPr>
              <w:spacing w:after="40" w:before="0" w:line="259" w:lineRule="auto"/>
            </w:pPr>
            <w:r>
              <w:rPr>
                <w:rFonts w:ascii="Calibri" w:hAnsi="Calibri"/>
                <w:b/>
                <w:i w:val="0"/>
                <w:color w:val="212121"/>
                <w:sz w:val="19"/>
              </w:rPr>
              <w:t>Anticipatory anxiety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Dread and worry building up for days or weeks before a feared event such as a presentation, exam or gathering.</w:t>
            </w:r>
          </w:p>
        </w:tc>
      </w:tr>
      <w:tr>
        <w:trPr>
          <w:cantSplit/>
        </w:trPr>
        <w:tc>
          <w:tcPr>
            <w:tcW w:type="dxa" w:w="2304"/>
            <w:vAlign w:val="top"/>
          </w:tcPr>
          <w:p>
            <w:pPr>
              <w:spacing w:after="40" w:before="0" w:line="259" w:lineRule="auto"/>
            </w:pPr>
            <w:r>
              <w:rPr>
                <w:rFonts w:ascii="Calibri" w:hAnsi="Calibri"/>
                <w:b/>
                <w:i w:val="0"/>
                <w:color w:val="212121"/>
                <w:sz w:val="19"/>
              </w:rPr>
              <w:t>Avoidance of feared situations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Actively avoiding speaking up, phone calls, gatherings, eating in public or making eye contact — or enduring them with intense distress.</w:t>
            </w:r>
          </w:p>
        </w:tc>
      </w:tr>
      <w:tr>
        <w:trPr>
          <w:cantSplit/>
        </w:trPr>
        <w:tc>
          <w:tcPr>
            <w:tcW w:type="dxa" w:w="2304"/>
            <w:vAlign w:val="top"/>
          </w:tcPr>
          <w:p>
            <w:pPr>
              <w:spacing w:after="40" w:before="0" w:line="259" w:lineRule="auto"/>
            </w:pPr>
            <w:r>
              <w:rPr>
                <w:rFonts w:ascii="Calibri" w:hAnsi="Calibri"/>
                <w:b/>
                <w:i w:val="0"/>
                <w:color w:val="212121"/>
                <w:sz w:val="19"/>
              </w:rPr>
              <w:t>Fear that anxiety will be visible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Preoccupation that others will notice blushing, sweating, trembling or a shaky voice and judge them for it.</w:t>
            </w:r>
          </w:p>
        </w:tc>
      </w:tr>
      <w:tr>
        <w:trPr>
          <w:cantSplit/>
        </w:trPr>
        <w:tc>
          <w:tcPr>
            <w:tcW w:type="dxa" w:w="2304"/>
            <w:vAlign w:val="top"/>
          </w:tcPr>
          <w:p>
            <w:pPr>
              <w:spacing w:after="40" w:before="0" w:line="259" w:lineRule="auto"/>
            </w:pPr>
            <w:r>
              <w:rPr>
                <w:rFonts w:ascii="Calibri" w:hAnsi="Calibri"/>
                <w:b/>
                <w:i w:val="0"/>
                <w:color w:val="212121"/>
                <w:sz w:val="19"/>
              </w:rPr>
              <w:t>Palpitations / racing heart in social settings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Autonomic arousal triggered by anticipated or actual scrutiny.</w:t>
            </w:r>
          </w:p>
        </w:tc>
      </w:tr>
      <w:tr>
        <w:trPr>
          <w:cantSplit/>
        </w:trPr>
        <w:tc>
          <w:tcPr>
            <w:tcW w:type="dxa" w:w="2304"/>
            <w:vAlign w:val="top"/>
          </w:tcPr>
          <w:p>
            <w:pPr>
              <w:spacing w:after="40" w:before="0" w:line="259" w:lineRule="auto"/>
            </w:pPr>
            <w:r>
              <w:rPr>
                <w:rFonts w:ascii="Calibri" w:hAnsi="Calibri"/>
                <w:b/>
                <w:i w:val="0"/>
                <w:color w:val="212121"/>
                <w:sz w:val="19"/>
              </w:rPr>
              <w:t>Blushing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Involuntary facial flushing, itself a common focus of the fear of being observed.</w:t>
            </w:r>
          </w:p>
        </w:tc>
      </w:tr>
      <w:tr>
        <w:trPr>
          <w:cantSplit/>
        </w:trPr>
        <w:tc>
          <w:tcPr>
            <w:tcW w:type="dxa" w:w="2304"/>
            <w:vAlign w:val="top"/>
          </w:tcPr>
          <w:p>
            <w:pPr>
              <w:spacing w:after="40" w:before="0" w:line="259" w:lineRule="auto"/>
            </w:pPr>
            <w:r>
              <w:rPr>
                <w:rFonts w:ascii="Calibri" w:hAnsi="Calibri"/>
                <w:b/>
                <w:i w:val="0"/>
                <w:color w:val="212121"/>
                <w:sz w:val="19"/>
              </w:rPr>
              <w:t>Sweating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Excessive sweating, particularly of the palms and face, during feared interactions.</w:t>
            </w:r>
          </w:p>
        </w:tc>
      </w:tr>
      <w:tr>
        <w:trPr>
          <w:cantSplit/>
        </w:trPr>
        <w:tc>
          <w:tcPr>
            <w:tcW w:type="dxa" w:w="2304"/>
            <w:vAlign w:val="top"/>
          </w:tcPr>
          <w:p>
            <w:pPr>
              <w:spacing w:after="40" w:before="0" w:line="259" w:lineRule="auto"/>
            </w:pPr>
            <w:r>
              <w:rPr>
                <w:rFonts w:ascii="Calibri" w:hAnsi="Calibri"/>
                <w:b/>
                <w:i w:val="0"/>
                <w:color w:val="212121"/>
                <w:sz w:val="19"/>
              </w:rPr>
              <w:t>Trembling or shaky voice/hands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Visible tremor that patients fear will betray their anxiety.</w:t>
            </w:r>
          </w:p>
        </w:tc>
      </w:tr>
      <w:tr>
        <w:trPr>
          <w:cantSplit/>
        </w:trPr>
        <w:tc>
          <w:tcPr>
            <w:tcW w:type="dxa" w:w="2304"/>
            <w:vAlign w:val="top"/>
          </w:tcPr>
          <w:p>
            <w:pPr>
              <w:spacing w:after="40" w:before="0" w:line="259" w:lineRule="auto"/>
            </w:pPr>
            <w:r>
              <w:rPr>
                <w:rFonts w:ascii="Calibri" w:hAnsi="Calibri"/>
                <w:b/>
                <w:i w:val="0"/>
                <w:color w:val="212121"/>
                <w:sz w:val="19"/>
              </w:rPr>
              <w:t>Nausea, 'butterflies' or GI upset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Gastrointestinal distress before or during social situations.</w:t>
            </w:r>
          </w:p>
        </w:tc>
      </w:tr>
      <w:tr>
        <w:trPr>
          <w:cantSplit/>
        </w:trPr>
        <w:tc>
          <w:tcPr>
            <w:tcW w:type="dxa" w:w="2304"/>
            <w:vAlign w:val="top"/>
          </w:tcPr>
          <w:p>
            <w:pPr>
              <w:spacing w:after="40" w:before="0" w:line="259" w:lineRule="auto"/>
            </w:pPr>
            <w:r>
              <w:rPr>
                <w:rFonts w:ascii="Calibri" w:hAnsi="Calibri"/>
                <w:b/>
                <w:i w:val="0"/>
                <w:color w:val="212121"/>
                <w:sz w:val="19"/>
              </w:rPr>
              <w:t>Mind going blank / difficulty speaking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Word-finding difficulty, dry mouth and cognitive 'freezing' under scrutiny.</w:t>
            </w:r>
          </w:p>
        </w:tc>
      </w:tr>
      <w:tr>
        <w:trPr>
          <w:cantSplit/>
        </w:trPr>
        <w:tc>
          <w:tcPr>
            <w:tcW w:type="dxa" w:w="2304"/>
            <w:vAlign w:val="top"/>
          </w:tcPr>
          <w:p>
            <w:pPr>
              <w:spacing w:after="40" w:before="0" w:line="259" w:lineRule="auto"/>
            </w:pPr>
            <w:r>
              <w:rPr>
                <w:rFonts w:ascii="Calibri" w:hAnsi="Calibri"/>
                <w:b/>
                <w:i w:val="0"/>
                <w:color w:val="212121"/>
                <w:sz w:val="19"/>
              </w:rPr>
              <w:t>Post-event rumination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Replaying and self-critically analysing a social interaction for hours or days afterwards.</w:t>
            </w:r>
          </w:p>
        </w:tc>
      </w:tr>
      <w:tr>
        <w:trPr>
          <w:cantSplit/>
        </w:trPr>
        <w:tc>
          <w:tcPr>
            <w:tcW w:type="dxa" w:w="2304"/>
            <w:vAlign w:val="top"/>
          </w:tcPr>
          <w:p>
            <w:pPr>
              <w:spacing w:after="40" w:before="0" w:line="259" w:lineRule="auto"/>
            </w:pPr>
            <w:r>
              <w:rPr>
                <w:rFonts w:ascii="Calibri" w:hAnsi="Calibri"/>
                <w:b/>
                <w:i w:val="0"/>
                <w:color w:val="212121"/>
                <w:sz w:val="19"/>
              </w:rPr>
              <w:t>Situational panic attacks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Full panic attacks precipitated specifically by feared social or performance situations.</w:t>
            </w:r>
          </w:p>
        </w:tc>
      </w:tr>
      <w:tr>
        <w:trPr>
          <w:cantSplit/>
        </w:trPr>
        <w:tc>
          <w:tcPr>
            <w:tcW w:type="dxa" w:w="2304"/>
            <w:vAlign w:val="top"/>
          </w:tcPr>
          <w:p>
            <w:pPr>
              <w:spacing w:after="40" w:before="0" w:line="259" w:lineRule="auto"/>
            </w:pPr>
            <w:r>
              <w:rPr>
                <w:rFonts w:ascii="Calibri" w:hAnsi="Calibri"/>
                <w:b/>
                <w:i w:val="0"/>
                <w:color w:val="212121"/>
                <w:sz w:val="19"/>
              </w:rPr>
              <w:t>Selective mutism (children)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Consistent failure to speak in specific social settings (e.g., school) despite speaking elsewhere.</w:t>
            </w:r>
          </w:p>
        </w:tc>
      </w:tr>
      <w:tr>
        <w:trPr>
          <w:cantSplit/>
        </w:trPr>
        <w:tc>
          <w:tcPr>
            <w:tcW w:type="dxa" w:w="2304"/>
            <w:vAlign w:val="top"/>
          </w:tcPr>
          <w:p>
            <w:pPr>
              <w:spacing w:after="40" w:before="0" w:line="259" w:lineRule="auto"/>
            </w:pPr>
            <w:r>
              <w:rPr>
                <w:rFonts w:ascii="Calibri" w:hAnsi="Calibri"/>
                <w:b/>
                <w:i w:val="0"/>
                <w:color w:val="212121"/>
                <w:sz w:val="19"/>
              </w:rPr>
              <w:t>Housebound social isolation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Pervasive avoidance so severe that the person becomes largely confined to home.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Facial blushing / flushing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reddening of the face during scrutiny or when the topic is raised in interview.</w:t>
            </w:r>
          </w:p>
        </w:tc>
      </w:tr>
      <w:tr>
        <w:trPr>
          <w:cantSplit/>
        </w:trPr>
        <w:tc>
          <w:tcPr>
            <w:tcW w:type="dxa" w:w="3456"/>
            <w:vAlign w:val="top"/>
          </w:tcPr>
          <w:p>
            <w:pPr>
              <w:spacing w:after="40" w:before="0" w:line="259" w:lineRule="auto"/>
            </w:pPr>
            <w:r>
              <w:rPr>
                <w:rFonts w:ascii="Calibri" w:hAnsi="Calibri"/>
                <w:b/>
                <w:i w:val="0"/>
                <w:color w:val="212121"/>
                <w:sz w:val="19"/>
              </w:rPr>
              <w:t>Visible tremor (hands/voice)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Fine trembling of the hands or a quavering voice under observation.</w:t>
            </w:r>
          </w:p>
        </w:tc>
      </w:tr>
      <w:tr>
        <w:trPr>
          <w:cantSplit/>
        </w:trPr>
        <w:tc>
          <w:tcPr>
            <w:tcW w:type="dxa" w:w="3456"/>
            <w:vAlign w:val="top"/>
          </w:tcPr>
          <w:p>
            <w:pPr>
              <w:spacing w:after="40" w:before="0" w:line="259" w:lineRule="auto"/>
            </w:pPr>
            <w:r>
              <w:rPr>
                <w:rFonts w:ascii="Calibri" w:hAnsi="Calibri"/>
                <w:b/>
                <w:i w:val="0"/>
                <w:color w:val="212121"/>
                <w:sz w:val="19"/>
              </w:rPr>
              <w:t>Excessive sweating (diaphoresis)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Sweating of palms, forehead or upper lip in feared situations.</w:t>
            </w:r>
          </w:p>
        </w:tc>
      </w:tr>
      <w:tr>
        <w:trPr>
          <w:cantSplit/>
        </w:trPr>
        <w:tc>
          <w:tcPr>
            <w:tcW w:type="dxa" w:w="3456"/>
            <w:vAlign w:val="top"/>
          </w:tcPr>
          <w:p>
            <w:pPr>
              <w:spacing w:after="40" w:before="0" w:line="259" w:lineRule="auto"/>
            </w:pPr>
            <w:r>
              <w:rPr>
                <w:rFonts w:ascii="Calibri" w:hAnsi="Calibri"/>
                <w:b/>
                <w:i w:val="0"/>
                <w:color w:val="212121"/>
                <w:sz w:val="19"/>
              </w:rPr>
              <w:t>Poor or avoidant eye contact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Gaze aversion and reluctance to look at the interviewer, especially early in the encounter.</w:t>
            </w:r>
          </w:p>
        </w:tc>
      </w:tr>
      <w:tr>
        <w:trPr>
          <w:cantSplit/>
        </w:trPr>
        <w:tc>
          <w:tcPr>
            <w:tcW w:type="dxa" w:w="3456"/>
            <w:vAlign w:val="top"/>
          </w:tcPr>
          <w:p>
            <w:pPr>
              <w:spacing w:after="40" w:before="0" w:line="259" w:lineRule="auto"/>
            </w:pPr>
            <w:r>
              <w:rPr>
                <w:rFonts w:ascii="Calibri" w:hAnsi="Calibri"/>
                <w:b/>
                <w:i w:val="0"/>
                <w:color w:val="212121"/>
                <w:sz w:val="19"/>
              </w:rPr>
              <w:t>Soft, hesitant or quavering speech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Low volume, long pauses and word-finding difficulty when speaking to unfamiliar people.</w:t>
            </w:r>
          </w:p>
        </w:tc>
      </w:tr>
      <w:tr>
        <w:trPr>
          <w:cantSplit/>
        </w:trPr>
        <w:tc>
          <w:tcPr>
            <w:tcW w:type="dxa" w:w="3456"/>
            <w:vAlign w:val="top"/>
          </w:tcPr>
          <w:p>
            <w:pPr>
              <w:spacing w:after="40" w:before="0" w:line="259" w:lineRule="auto"/>
            </w:pPr>
            <w:r>
              <w:rPr>
                <w:rFonts w:ascii="Calibri" w:hAnsi="Calibri"/>
                <w:b/>
                <w:i w:val="0"/>
                <w:color w:val="212121"/>
                <w:sz w:val="19"/>
              </w:rPr>
              <w:t>Tachycardia in feared context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Raised heart rate when the person anticipates or enters a scrutinised situation.</w:t>
            </w:r>
          </w:p>
        </w:tc>
      </w:tr>
      <w:tr>
        <w:trPr>
          <w:cantSplit/>
        </w:trPr>
        <w:tc>
          <w:tcPr>
            <w:tcW w:type="dxa" w:w="3456"/>
            <w:vAlign w:val="top"/>
          </w:tcPr>
          <w:p>
            <w:pPr>
              <w:spacing w:after="40" w:before="0" w:line="259" w:lineRule="auto"/>
            </w:pPr>
            <w:r>
              <w:rPr>
                <w:rFonts w:ascii="Calibri" w:hAnsi="Calibri"/>
                <w:b/>
                <w:i w:val="0"/>
                <w:color w:val="212121"/>
                <w:sz w:val="19"/>
              </w:rPr>
              <w:t>Safety behaviours / closed posture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Self-protective behaviours — covering the face, gripping objects, rehearsing, standing at the edge of a group.</w:t>
            </w:r>
          </w:p>
        </w:tc>
      </w:tr>
      <w:tr>
        <w:trPr>
          <w:cantSplit/>
        </w:trPr>
        <w:tc>
          <w:tcPr>
            <w:tcW w:type="dxa" w:w="3456"/>
            <w:vAlign w:val="top"/>
          </w:tcPr>
          <w:p>
            <w:pPr>
              <w:spacing w:after="40" w:before="0" w:line="259" w:lineRule="auto"/>
            </w:pPr>
            <w:r>
              <w:rPr>
                <w:rFonts w:ascii="Calibri" w:hAnsi="Calibri"/>
                <w:b/>
                <w:i w:val="0"/>
                <w:color w:val="212121"/>
                <w:sz w:val="19"/>
              </w:rPr>
              <w:t>Freezing / difficulty initiating speech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Momentary inability to start speaking or to respond when put on the spot.</w:t>
            </w:r>
          </w:p>
        </w:tc>
      </w:tr>
      <w:tr>
        <w:trPr>
          <w:cantSplit/>
        </w:trPr>
        <w:tc>
          <w:tcPr>
            <w:tcW w:type="dxa" w:w="3456"/>
            <w:vAlign w:val="top"/>
          </w:tcPr>
          <w:p>
            <w:pPr>
              <w:spacing w:after="40" w:before="0" w:line="259" w:lineRule="auto"/>
            </w:pPr>
            <w:r>
              <w:rPr>
                <w:rFonts w:ascii="Calibri" w:hAnsi="Calibri"/>
                <w:b/>
                <w:i w:val="0"/>
                <w:color w:val="212121"/>
                <w:sz w:val="19"/>
              </w:rPr>
              <w:t>Signs of comorbid depression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Low, constricted affect and psychomotor slowing when depression coexists.</w:t>
            </w:r>
          </w:p>
        </w:tc>
      </w:tr>
      <w:tr>
        <w:trPr>
          <w:cantSplit/>
        </w:trPr>
        <w:tc>
          <w:tcPr>
            <w:tcW w:type="dxa" w:w="3456"/>
            <w:vAlign w:val="top"/>
          </w:tcPr>
          <w:p>
            <w:pPr>
              <w:spacing w:after="40" w:before="0" w:line="259" w:lineRule="auto"/>
            </w:pPr>
            <w:r>
              <w:rPr>
                <w:rFonts w:ascii="Calibri" w:hAnsi="Calibri"/>
                <w:b/>
                <w:i w:val="0"/>
                <w:color w:val="212121"/>
                <w:sz w:val="19"/>
              </w:rPr>
              <w:t>Stigmata of alcohol use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Alcohol on breath, tremor or other signs suggesting self-medication and possible dependence.</w:t>
            </w:r>
          </w:p>
        </w:tc>
      </w:tr>
      <w:tr>
        <w:trPr>
          <w:cantSplit/>
        </w:trPr>
        <w:tc>
          <w:tcPr>
            <w:tcW w:type="dxa" w:w="3456"/>
            <w:vAlign w:val="top"/>
          </w:tcPr>
          <w:p>
            <w:pPr>
              <w:spacing w:after="40" w:before="0" w:line="259" w:lineRule="auto"/>
            </w:pPr>
            <w:r>
              <w:rPr>
                <w:rFonts w:ascii="Calibri" w:hAnsi="Calibri"/>
                <w:b/>
                <w:i w:val="0"/>
                <w:color w:val="212121"/>
                <w:sz w:val="19"/>
              </w:rPr>
              <w:t>Crying, tantrums or clinging (children)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 children the fear may manifest as crying, tantrums, freezing, clinging or refusal to speak.</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Situational panic attacks in feared settings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anticipatory distress and sleep disruption before events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avoidance causing missed examinations, interviews, work or appointments</w:t>
            </w:r>
          </w:p>
        </w:tc>
        <w:tc>
          <w:tcPr>
            <w:tcW w:type="dxa" w:w="2980"/>
            <w:vAlign w:val="top"/>
          </w:tcPr>
          <w:p>
            <w:pPr>
              <w:spacing w:after="40" w:before="0" w:line="259" w:lineRule="auto"/>
            </w:pPr>
            <w:r>
              <w:rPr>
                <w:rFonts w:ascii="Calibri" w:hAnsi="Calibri"/>
                <w:b w:val="0"/>
                <w:i w:val="0"/>
                <w:color w:val="212121"/>
                <w:sz w:val="19"/>
              </w:rPr>
              <w:t>Immediate, anxiety-driven consequences of the fear and avoidance themselves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major depression (SAD usually preceding 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benzodiazepine or other substance-use disorder (self-medication)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Educational underachievement, school refusal and dropout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 underachievement, avoidance of promotion, and unemployment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relationships and delayed or restricted social/marital roles, with low self-esteem</w:t>
            </w:r>
          </w:p>
        </w:tc>
        <w:tc>
          <w:tcPr>
            <w:tcW w:type="dxa" w:w="2980"/>
            <w:vAlign w:val="top"/>
          </w:tcPr>
          <w:p>
            <w:pPr>
              <w:spacing w:after="40" w:before="0" w:line="259" w:lineRule="auto"/>
            </w:pPr>
            <w:r>
              <w:rPr>
                <w:rFonts w:ascii="Calibri" w:hAnsi="Calibri"/>
                <w:b w:val="0"/>
                <w:i w:val="0"/>
                <w:color w:val="212121"/>
                <w:sz w:val="19"/>
              </w:rPr>
              <w:t>Consequences of chronic, undertreated avoidance — amplified in India by an ~82% treatment gap</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entrenched avoidance and social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Treatment-resistant course with avoidant personality patterns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Suicidal ideation and increased suicide risk (especially with comorbid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loss of income, dependency and family/caregiver burden</w:t>
            </w:r>
          </w:p>
        </w:tc>
        <w:tc>
          <w:tcPr>
            <w:tcW w:type="dxa" w:w="2980"/>
            <w:vAlign w:val="top"/>
          </w:tcPr>
          <w:p>
            <w:pPr>
              <w:spacing w:after="40" w:before="0" w:line="259" w:lineRule="auto"/>
            </w:pPr>
            <w:r>
              <w:rPr>
                <w:rFonts w:ascii="Calibri" w:hAnsi="Calibri"/>
                <w:b w:val="0"/>
                <w:i w:val="0"/>
                <w:color w:val="212121"/>
                <w:sz w:val="19"/>
              </w:rPr>
              <w:t>Irreversible, disabling outcomes of longstanding, inadequately treated social anxiety disorder</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Major depressive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avoidance, isolation and low self-esteem in SAD predispose to depression, which usually follows the SAD; the combination worsens disability and suicide risk. Depression is prominent among the ~58% of Indian SAD patients with a psychiatric comorbidity.</w:t>
            </w:r>
          </w:p>
        </w:tc>
      </w:tr>
      <w:tr>
        <w:trPr>
          <w:cantSplit/>
        </w:trPr>
        <w:tc>
          <w:tcPr>
            <w:tcW w:type="dxa" w:w="2232"/>
            <w:vAlign w:val="top"/>
          </w:tcPr>
          <w:p>
            <w:pPr>
              <w:spacing w:after="40" w:before="0" w:line="259" w:lineRule="auto"/>
            </w:pPr>
            <w:r>
              <w:rPr>
                <w:rFonts w:ascii="Calibri" w:hAnsi="Calibri"/>
                <w:b/>
                <w:i w:val="0"/>
                <w:color w:val="212121"/>
                <w:sz w:val="19"/>
              </w:rPr>
              <w:t>Other anxiety disorders (GAD, panic disorder, agoraphobia, specific phobia)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 threat-circuitry and cognitive vulnerability with SAD and frequently co-occur, compounding avoidance and distress; anxiety disorders are the commonest mental disorders worldwide.</w:t>
            </w:r>
          </w:p>
        </w:tc>
      </w:tr>
      <w:tr>
        <w:trPr>
          <w:cantSplit/>
        </w:trPr>
        <w:tc>
          <w:tcPr>
            <w:tcW w:type="dxa" w:w="2232"/>
            <w:vAlign w:val="top"/>
          </w:tcPr>
          <w:p>
            <w:pPr>
              <w:spacing w:after="40" w:before="0" w:line="259" w:lineRule="auto"/>
            </w:pPr>
            <w:r>
              <w:rPr>
                <w:rFonts w:ascii="Calibri" w:hAnsi="Calibri"/>
                <w:b/>
                <w:i w:val="0"/>
                <w:color w:val="212121"/>
                <w:sz w:val="19"/>
              </w:rPr>
              <w:t>Alcohol 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Alcohol self-medication of social fear can progress to dependence; SAD characteristically precedes and predisposes to alcohol use disorder, which then worsens anxiety and prognosis.</w:t>
            </w:r>
          </w:p>
        </w:tc>
      </w:tr>
      <w:tr>
        <w:trPr>
          <w:cantSplit/>
        </w:trPr>
        <w:tc>
          <w:tcPr>
            <w:tcW w:type="dxa" w:w="2232"/>
            <w:vAlign w:val="top"/>
          </w:tcPr>
          <w:p>
            <w:pPr>
              <w:spacing w:after="40" w:before="0" w:line="259" w:lineRule="auto"/>
            </w:pPr>
            <w:r>
              <w:rPr>
                <w:rFonts w:ascii="Calibri" w:hAnsi="Calibri"/>
                <w:b/>
                <w:i w:val="0"/>
                <w:color w:val="212121"/>
                <w:sz w:val="19"/>
              </w:rPr>
              <w:t>Other substance-use disorders (benzodiazepine, cannabis)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Sedatives and cannabis used to cope with social situations reinforce avoidance and can create a reciprocal, treatment-complicating dual diagnosis.</w:t>
            </w:r>
          </w:p>
        </w:tc>
      </w:tr>
      <w:tr>
        <w:trPr>
          <w:cantSplit/>
        </w:trPr>
        <w:tc>
          <w:tcPr>
            <w:tcW w:type="dxa" w:w="2232"/>
            <w:vAlign w:val="top"/>
          </w:tcPr>
          <w:p>
            <w:pPr>
              <w:spacing w:after="40" w:before="0" w:line="259" w:lineRule="auto"/>
            </w:pPr>
            <w:r>
              <w:rPr>
                <w:rFonts w:ascii="Calibri" w:hAnsi="Calibri"/>
                <w:b/>
                <w:i w:val="0"/>
                <w:color w:val="212121"/>
                <w:sz w:val="19"/>
              </w:rPr>
              <w:t>Avoidant personality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Overlaps substantially with generalized SAD (some regard it as the severe end of the spectrum); its presence signals greater chronicity and shapes the psychotherapeutic approach.</w:t>
            </w:r>
          </w:p>
        </w:tc>
      </w:tr>
      <w:tr>
        <w:trPr>
          <w:cantSplit/>
        </w:trPr>
        <w:tc>
          <w:tcPr>
            <w:tcW w:type="dxa" w:w="2232"/>
            <w:vAlign w:val="top"/>
          </w:tcPr>
          <w:p>
            <w:pPr>
              <w:spacing w:after="40" w:before="0" w:line="259" w:lineRule="auto"/>
            </w:pPr>
            <w:r>
              <w:rPr>
                <w:rFonts w:ascii="Calibri" w:hAnsi="Calibri"/>
                <w:b/>
                <w:i w:val="0"/>
                <w:color w:val="212121"/>
                <w:sz w:val="19"/>
              </w:rPr>
              <w:t>Body dysmorphic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fear of negative evaluation focused on perceived appearance defects; must be distinguished from SAD because it changes the treatment target.</w:t>
            </w:r>
          </w:p>
        </w:tc>
      </w:tr>
      <w:tr>
        <w:trPr>
          <w:cantSplit/>
        </w:trPr>
        <w:tc>
          <w:tcPr>
            <w:tcW w:type="dxa" w:w="2232"/>
            <w:vAlign w:val="top"/>
          </w:tcPr>
          <w:p>
            <w:pPr>
              <w:spacing w:after="40" w:before="0" w:line="259" w:lineRule="auto"/>
            </w:pPr>
            <w:r>
              <w:rPr>
                <w:rFonts w:ascii="Calibri" w:hAnsi="Calibri"/>
                <w:b/>
                <w:i w:val="0"/>
                <w:color w:val="212121"/>
                <w:sz w:val="19"/>
              </w:rPr>
              <w:t>Autism spectrum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Social communication difficulty overlaps with, and can be complicated by, secondary social anxiety; co-occurrence alters assessment and therapy.</w:t>
            </w:r>
          </w:p>
        </w:tc>
      </w:tr>
      <w:tr>
        <w:trPr>
          <w:cantSplit/>
        </w:trPr>
        <w:tc>
          <w:tcPr>
            <w:tcW w:type="dxa" w:w="2232"/>
            <w:vAlign w:val="top"/>
          </w:tcPr>
          <w:p>
            <w:pPr>
              <w:spacing w:after="40" w:before="0" w:line="259" w:lineRule="auto"/>
            </w:pPr>
            <w:r>
              <w:rPr>
                <w:rFonts w:ascii="Calibri" w:hAnsi="Calibri"/>
                <w:b/>
                <w:i w:val="0"/>
                <w:color w:val="212121"/>
                <w:sz w:val="19"/>
              </w:rPr>
              <w:t>Selective mutism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A childhood anxiety condition closely related to and frequently preceding social anxiety disorder.</w:t>
            </w:r>
          </w:p>
        </w:tc>
      </w:tr>
      <w:tr>
        <w:trPr>
          <w:cantSplit/>
        </w:trPr>
        <w:tc>
          <w:tcPr>
            <w:tcW w:type="dxa" w:w="2232"/>
            <w:vAlign w:val="top"/>
          </w:tcPr>
          <w:p>
            <w:pPr>
              <w:spacing w:after="40" w:before="0" w:line="259" w:lineRule="auto"/>
            </w:pPr>
            <w:r>
              <w:rPr>
                <w:rFonts w:ascii="Calibri" w:hAnsi="Calibri"/>
                <w:b/>
                <w:i w:val="0"/>
                <w:color w:val="212121"/>
                <w:sz w:val="19"/>
              </w:rPr>
              <w:t>Visible/stigmatised conditions (stammering, tremor, hyperhidrosis, acne)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Conditions that draw social attention commonly precipitate or worsen secondary social anxiety; treating the underlying condition can reduce the anxiety.</w:t>
            </w:r>
          </w:p>
        </w:tc>
      </w:tr>
      <w:tr>
        <w:trPr>
          <w:cantSplit/>
        </w:trPr>
        <w:tc>
          <w:tcPr>
            <w:tcW w:type="dxa" w:w="2232"/>
            <w:vAlign w:val="top"/>
          </w:tcPr>
          <w:p>
            <w:pPr>
              <w:spacing w:after="40" w:before="0" w:line="259" w:lineRule="auto"/>
            </w:pPr>
            <w:r>
              <w:rPr>
                <w:rFonts w:ascii="Calibri" w:hAnsi="Calibri"/>
                <w:b/>
                <w:i w:val="0"/>
                <w:color w:val="212121"/>
                <w:sz w:val="19"/>
              </w:rPr>
              <w:t>Suicidal behaviour &amp; self-harm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serious potential outcome, particularly when SAD is complicated by depression or substance use; warrants routine risk assessment.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social anxiety disorder is a common, treatable medical condition — not simply 'shyness', a character flaw or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especially in children and students: avoidance of speaking in class, school refusal, fear of eating or performing in public, and persistent dread before social events.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early rather than waiting years; effective psychological and medical treatments exist, and untreated SAD tends to become chronic and to add depression or alcohol problems.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alcohol, sedatives or excess caffeine/tobacco to cope with social situations, as these entrench avoidance and can lead to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where to get help — primary health centres, the District Mental Health Programme and the national tele-mental-health helpline Tele-MANAS (14416).</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teachers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anxious children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cognitive behavioural therapy with graded exposure as first-line, gold-standard treatment — systematically confronting feared situations while dropping safety behaviours.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 restructuring to challenge negative self-appraisal, reduce self-focused attention and curb post-event rumination.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moderate-to-severe or generalized SAD, prescribe an SSRI or SNRI (e.g., escitalopram, sertraline, paroxetine or venlafaxine), allowing several weeks for response.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long-term benzodiazepines (dependence, worsened avoidance); for discrete performance anxiety, a short-acting beta-blocker before the event can control tremor and palpitations.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social-skills and communication training and consider group CBT, which doubles as graded social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comorbidity concurrently — depression, other anxiety disorders and alcohol/substance use — and assess suicide risk at each contact.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SAD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Performance-only subtype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Treatment-seeking adults &amp; students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≥150 minutes/week of moderate aerobic activity (brisk walking, cycling, swimming) to lower baseline anxiety and arousal.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yoga and slow breathing practices, which have evidence for reducing anxiety in Indian populations.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group or partnered activities (walking groups, team sport, classes) to combine exercise with gentle, graded social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up gradually — 'any activity is better than none' — to improve mood, sleep and confidence.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SAD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depression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and energy drinks, which provoke palpitations and tremor that mimic and worsen the arousal patients fear being seen.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regular, balanced meals to avoid hypoglycaemia-driven shakiness and anxiety before events.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alcohol as a social 'lubricant' or coping tool.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an overall balanced, minimally processed diet as part of general mental-health self-care.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SAD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caffeine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before exams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Irregular eaters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sleep–wake schedule and aim for 7–9 hours/night, since poor sleep amplifies next-day anxiety and anticipatory worry.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sleep hygiene — limit evening screens, caffeine and alcohol; keep the bedroom dark, cool and quiet.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CBT for insomnia (CBT-I) for persistent sleeplessness rather than relying on hypnotics.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sleep before high-stress events (exams, interviews, presentations) to reduce next-day arousal.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in exam periods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young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with AUDIT and give brief advice; avoid alcohol and benzodiazepines to get through social situations.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that self-medication gives short-term relief but reinforces avoidance and can progress to dependence, with SAD typically preceding alcohol use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reduction or abstinence in those with hazardous use, and link to de-addiction services where dependence is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social anxiety directly (CBT, SSRI) so that alcohol is no longer needed as a crutch.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Self-medicating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Dual-diagnosis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at suicide risk</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tobacco-cessation support, as nicotine is often used to self-regulate arousal and dependence is common in anxiety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behavioural counselling with nicotine-replacement or pharmacotherapy and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all forms of tobacco used in India — cigarettes, bidis and smokeless/gutkha.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Frame quitting as part of anxiety recovery, and anticipate that cessation can alter drug metabolism — monitor psychotropic dosing.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&amp; young-adult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psychotropics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comorbid anxiety</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7759/cureus.28084" TargetMode="External"/><Relationship Id="rId10" Type="http://schemas.openxmlformats.org/officeDocument/2006/relationships/hyperlink" Target="https://doi.org/10.4103/indianjpsychiatry.indianjpsychiatry_826_23" TargetMode="External"/><Relationship Id="rId11" Type="http://schemas.openxmlformats.org/officeDocument/2006/relationships/hyperlink" Target="https://www.nimh.nih.gov/health/statistics/social-anxiety-disorder" TargetMode="External"/><Relationship Id="rId12" Type="http://schemas.openxmlformats.org/officeDocument/2006/relationships/hyperlink" Target="https://doi.org/10.48029/nji.2021.cxii307" TargetMode="External"/><Relationship Id="rId13" Type="http://schemas.openxmlformats.org/officeDocument/2006/relationships/hyperlink" Target="https://www.mayoclinic.org/diseases-conditions/social-anxiety-disorder/symptoms-causes/syc-20353561" TargetMode="External"/><Relationship Id="rId14" Type="http://schemas.openxmlformats.org/officeDocument/2006/relationships/hyperlink" Target="https://www.who.int/news-room/fact-sheets/detail/anxiety-disor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