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Specific Phobias</w:t>
      </w:r>
    </w:p>
    <w:p>
      <w:pPr>
        <w:spacing w:before="0" w:after="160"/>
      </w:pPr>
      <w:r>
        <w:rPr>
          <w:rFonts w:ascii="Calibri" w:hAnsi="Calibri"/>
          <w:b/>
          <w:i w:val="0"/>
          <w:color w:val="212121"/>
          <w:sz w:val="22"/>
        </w:rPr>
        <w:t xml:space="preserve">AKA </w:t>
      </w:r>
      <w:r>
        <w:rPr>
          <w:rFonts w:ascii="Calibri" w:hAnsi="Calibri"/>
          <w:b w:val="0"/>
          <w:i w:val="0"/>
          <w:color w:val="212121"/>
          <w:sz w:val="22"/>
        </w:rPr>
        <w:t>i.e., Simple phobia, Isolated phobia (ICD-11 6B03; ICD-10 F40.2 specific/isolated phobias); includes named fears such as acrophobia (heights), arachnophobia (spiders), aerophobia (flying), claustrophobia (enclosed spaces), trypanophobia (needles/injections) and odontophobia (dental)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Specific phobia is an anxiety disorder characterised by a marked, persistent and excessive fear of a particular object or situation (the phobic stimulus), which almost always provokes immediate anxiety on exposure and is actively avoided or endured with intense distress. The fear is recognised as out of proportion to the actual danger, lasts six months or more, and causes clinically significant distress or impairment. DSM-5 groups the phobic stimuli into five types — animal; natural environment; blood-injection-injury; situational; and other — and one person may have several phobias at once. It is among the most common of all mental disorders, usually begins in childhood, and is roughly twice as common in females as in males.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India’s National Mental Health Survey (NMHS) 2015–16 estimated neurotic and stress-related disorders (ICD-10 F40–F48, the group that contains phobic disorders) at about 3.7% current prevalence, against an overall current mental-morbidity of 10.6% and a treatment gap exceeding 84% for mental disorders. Specific phobia is among the most common anxiety disorders worldwide, with a reported lifetime/12-month prevalence of roughly 7.7–12.5% and a past-year prevalence near 9% in adults, about twice as high in women (about 12%) as in men (about 6%). Because the fear is usually circumscribed and the feared object can be avoided, most affected Indians never seek care; phobias surface mainly when avoidance blocks essential activities — needle or dental phobia deferring vaccination, blood tests or treatment, or claustrophobia aborting an MRI — so the condition is heavily under-diagnosed.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Specific phobia is a clinical diagnosis based on DSM-5 (or ICD-11) criteria, made after excluding other anxiety disorders and medical or substance causes of the fear. The core requirements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persistent fear or anxiety about a specific object or situation (e.g., flying, heights, animals, receiving an injection, seeing blood);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phobic object or situation almost always provokes immediate fear or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phobic stimulus is actively avoided or else endured with intense fear or anxiety;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or anxiety is out of proportion to the actual danger posed and to the sociocultural context;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fear, anxiety or avoidance is persistent, typically lasting six months or more;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it causes clinically significant distress or impairment in social, occupational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better explained by another mental disorder such as panic disorder, agoraphobia, social anxiety disorder, obsessive-compulsive disorder or post-traumatic stress disorder.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Specific phobia is not staged; DSM-5 specifies five stimulus-based subtypes, and the clinician codes all that apply:</w:t>
      </w:r>
    </w:p>
    <w:p>
      <w:pPr>
        <w:spacing w:before="0" w:after="80"/>
      </w:pPr>
      <w:r>
        <w:rPr>
          <w:rFonts w:ascii="Calibri" w:hAnsi="Calibri"/>
          <w:b w:val="0"/>
          <w:i w:val="0"/>
          <w:color w:val="212121"/>
          <w:sz w:val="21"/>
        </w:rPr>
        <w:t>(1) Animal type — fear of spiders (arachnophobia), insects, dogs, snakes or other animals; typically the earliest to appear, in childhood;</w:t>
      </w:r>
    </w:p>
    <w:p>
      <w:pPr>
        <w:spacing w:before="0" w:after="80"/>
      </w:pPr>
      <w:r>
        <w:rPr>
          <w:rFonts w:ascii="Calibri" w:hAnsi="Calibri"/>
          <w:b w:val="0"/>
          <w:i w:val="0"/>
          <w:color w:val="212121"/>
          <w:sz w:val="21"/>
        </w:rPr>
        <w:t>(2) Natural environment type — fear of heights (acrophobia), storms, water or the dark;</w:t>
      </w:r>
    </w:p>
    <w:p>
      <w:pPr>
        <w:spacing w:before="0" w:after="80"/>
      </w:pPr>
      <w:r>
        <w:rPr>
          <w:rFonts w:ascii="Calibri" w:hAnsi="Calibri"/>
          <w:b w:val="0"/>
          <w:i w:val="0"/>
          <w:color w:val="212121"/>
          <w:sz w:val="21"/>
        </w:rPr>
        <w:t>(3) Blood-injection-injury (BII) type — fear of seeing blood, receiving injections or needles (trypanophobia), or invasive medical and dental procedures; uniquely associated with a diphasic vasovagal response (an initial rise then a sharp fall in heart rate and blood pressure) leading to fainting, and the most strongly familial subtype;</w:t>
      </w:r>
    </w:p>
    <w:p>
      <w:pPr>
        <w:spacing w:before="0" w:after="80"/>
      </w:pPr>
      <w:r>
        <w:rPr>
          <w:rFonts w:ascii="Calibri" w:hAnsi="Calibri"/>
          <w:b w:val="0"/>
          <w:i w:val="0"/>
          <w:color w:val="212121"/>
          <w:sz w:val="21"/>
        </w:rPr>
        <w:t>(4) Situational type — fear of enclosed spaces (claustrophobia), flying (aerophobia), elevators, driving, bridges or tunnels; tends to have a later, more bimodal age of onset;</w:t>
      </w:r>
    </w:p>
    <w:p>
      <w:pPr>
        <w:spacing w:before="0" w:after="80"/>
      </w:pPr>
      <w:r>
        <w:rPr>
          <w:rFonts w:ascii="Calibri" w:hAnsi="Calibri"/>
          <w:b w:val="0"/>
          <w:i w:val="0"/>
          <w:color w:val="212121"/>
          <w:sz w:val="21"/>
        </w:rPr>
        <w:t>(5) Other type — fear of situations that might lead to choking or vomiting, of loud sounds, or (in children) of costumed characters; ‘space phobia’ with fear of falling occurs in older adults.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and familial predisposition: Phobias and anxiety disorders cluster in families through shared polygenic vulnerability; first-degree relatives are at increased risk, and the blood-injection-injury subtype shows the strongest familial aggregation.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Temperament: Behavioural inhibition, high trait anxiety / anxiety sensitivity and a tendency to negative or catastrophic thinking predispose to phobia.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Direct traumatic conditioning: A frightening first-hand experience — a dog bite, near-drowning, being trapped in a lift, a painful injection — can establish a conditioned fear of the associated stimulus.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Vicarious and informational learning: Observing another person’s fearful reaction, or being repeatedly warned that something is dangerous, can create a phobia without any direct bad experience (Rachman’s three pathways to fear).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Evolutionary preparedness: Humans are biologically ‘prepared’ to acquire fears of ancestral threats such as snakes, spiders, heights and blood, which is why these phobias are common and readily learned.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Neurobiology: A hyper-responsive amygdala-based fear circuit with insufficient prefrontal regulation drives exaggerated threat responses; the BII subtype additionally involves a powerful vagal (parasympathetic) reflex that causes fainting.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 and sex: Onset is usually in childhood, and female sex roughly doubles the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Most specific phobias begin in childhood; animal, natural-environment and blood-injection-injury fears typically appear first, when threat learning is rapid and cognitive appraisal of real danger is still immature. In children the fear may show as crying, freezing, clinging or tantrums rather than a stated fear.</w:t>
            </w:r>
          </w:p>
          <w:p>
            <w:pPr>
              <w:spacing w:after="40" w:before="60" w:line="259" w:lineRule="auto"/>
            </w:pPr>
            <w:r>
              <w:rPr>
                <w:rFonts w:ascii="Calibri" w:hAnsi="Calibri"/>
                <w:b w:val="0"/>
                <w:i w:val="0"/>
                <w:color w:val="212121"/>
                <w:sz w:val="19"/>
              </w:rPr>
              <w:t>Specific phobias can first appear in childhood, typically by about age 10, though they may also begin later in life.</w:t>
            </w:r>
          </w:p>
          <w:p>
            <w:pPr>
              <w:spacing w:after="40" w:line="252" w:lineRule="auto"/>
            </w:pPr>
            <w:hyperlink r:id="rId9">
              <w:r>
                <w:rPr>
                  <w:rFonts w:ascii="Calibri" w:hAnsi="Calibri" w:cs="Calibri"/>
                  <w:sz w:val="18"/>
                  <w:color w:val="1155CC"/>
                  <w:u w:val="single"/>
                </w:rPr>
                <w:t xml:space="preserve">mayoclinic.org — specific phobias (symptoms &amp; causes)</w:t>
              </w:r>
            </w:hyperlink>
          </w:p>
          <w:p>
            <w:pPr>
              <w:spacing w:before="60" w:after="40"/>
            </w:pPr>
            <w:r>
              <w:rPr>
                <w:rFonts w:ascii="Calibri" w:hAnsi="Calibri"/>
                <w:b w:val="0"/>
                <w:i w:val="0"/>
                <w:color w:val="5A5A5A"/>
                <w:sz w:val="18"/>
              </w:rPr>
              <w:t>#specificphobia  #childhoodonset  #animalphobia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Phobia is highly prevalent in adolescence, and situational phobias (flying, driving, enclosed spaces) tend to emerge later, in the teens and early adulthood, as independent travel and new situations increase exposure.</w:t>
            </w:r>
          </w:p>
          <w:p>
            <w:pPr>
              <w:spacing w:after="40" w:before="60" w:line="259" w:lineRule="auto"/>
            </w:pPr>
            <w:r>
              <w:rPr>
                <w:rFonts w:ascii="Calibri" w:hAnsi="Calibri"/>
                <w:b w:val="0"/>
                <w:i w:val="0"/>
                <w:color w:val="212121"/>
                <w:sz w:val="19"/>
              </w:rPr>
              <w:t>An estimated 19.3% of US adolescents aged 13–18 have specific phobia (22.1% of girls versus 16.7% of boys); past-year prevalence in adults is highest at ages 18–29 (about 10.3%).</w:t>
            </w:r>
          </w:p>
          <w:p>
            <w:pPr>
              <w:spacing w:after="40" w:line="252" w:lineRule="auto"/>
            </w:pPr>
            <w:hyperlink r:id="rId10">
              <w:r>
                <w:rPr>
                  <w:rFonts w:ascii="Calibri" w:hAnsi="Calibri" w:cs="Calibri"/>
                  <w:sz w:val="18"/>
                  <w:color w:val="1155CC"/>
                  <w:u w:val="single"/>
                </w:rPr>
                <w:t xml:space="preserve">nimh.nih.gov — specific phobia statistics</w:t>
              </w:r>
            </w:hyperlink>
          </w:p>
          <w:p>
            <w:pPr>
              <w:spacing w:before="60" w:after="40"/>
            </w:pPr>
            <w:r>
              <w:rPr>
                <w:rFonts w:ascii="Calibri" w:hAnsi="Calibri"/>
                <w:b w:val="0"/>
                <w:i w:val="0"/>
                <w:color w:val="5A5A5A"/>
                <w:sz w:val="18"/>
              </w:rPr>
              <w:t>#adolescents  #situationalphobia  #youngadults  #prevalence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falls with age, but phobias persist into later life and ‘space phobia’ with fear of falling can emerge in older adults; new physical-symptom-driven fear in the elderly warrants exclusion of cardiac, vestibular or neurological disease first.</w:t>
            </w:r>
          </w:p>
          <w:p>
            <w:pPr>
              <w:spacing w:after="40" w:before="60" w:line="259" w:lineRule="auto"/>
            </w:pPr>
            <w:r>
              <w:rPr>
                <w:rFonts w:ascii="Calibri" w:hAnsi="Calibri"/>
                <w:b w:val="0"/>
                <w:i w:val="0"/>
                <w:color w:val="212121"/>
                <w:sz w:val="19"/>
              </w:rPr>
              <w:t>Past-year prevalence declines to about 5.6% in US adults aged 60 and older.</w:t>
            </w:r>
          </w:p>
          <w:p>
            <w:pPr>
              <w:spacing w:after="40" w:line="252" w:lineRule="auto"/>
            </w:pPr>
            <w:hyperlink r:id="rId10">
              <w:r>
                <w:rPr>
                  <w:rFonts w:ascii="Calibri" w:hAnsi="Calibri" w:cs="Calibri"/>
                  <w:sz w:val="18"/>
                  <w:color w:val="1155CC"/>
                  <w:u w:val="single"/>
                </w:rPr>
                <w:t xml:space="preserve">nimh.nih.gov — specific phobia statistics</w:t>
              </w:r>
            </w:hyperlink>
          </w:p>
          <w:p>
            <w:pPr>
              <w:spacing w:before="60" w:after="40"/>
            </w:pPr>
            <w:r>
              <w:rPr>
                <w:rFonts w:ascii="Calibri" w:hAnsi="Calibri"/>
                <w:b w:val="0"/>
                <w:i w:val="0"/>
                <w:color w:val="5A5A5A"/>
                <w:sz w:val="18"/>
              </w:rPr>
              <w:t>#elderly  #spacephobia  #fallfear  #agingdecline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roughly twice as often as men across almost all subtypes except blood-injection-injury, where the sex gap narrows; hormonal, temperamental and reporting differences all contribute.</w:t>
            </w:r>
          </w:p>
          <w:p>
            <w:pPr>
              <w:spacing w:after="40" w:before="60" w:line="259" w:lineRule="auto"/>
            </w:pPr>
            <w:r>
              <w:rPr>
                <w:rFonts w:ascii="Calibri" w:hAnsi="Calibri"/>
                <w:b w:val="0"/>
                <w:i w:val="0"/>
                <w:color w:val="212121"/>
                <w:sz w:val="19"/>
              </w:rPr>
              <w:t>Past-year prevalence is about 12.2% in women versus 5.8% in men (roughly a 2:1 ratio).</w:t>
            </w:r>
          </w:p>
          <w:p>
            <w:pPr>
              <w:spacing w:after="40" w:line="252" w:lineRule="auto"/>
            </w:pPr>
            <w:hyperlink r:id="rId10">
              <w:r>
                <w:rPr>
                  <w:rFonts w:ascii="Calibri" w:hAnsi="Calibri" w:cs="Calibri"/>
                  <w:sz w:val="18"/>
                  <w:color w:val="1155CC"/>
                  <w:u w:val="single"/>
                </w:rPr>
                <w:t xml:space="preserve">nimh.nih.gov — specific phobia statistics</w:t>
              </w:r>
            </w:hyperlink>
          </w:p>
          <w:p>
            <w:pPr>
              <w:spacing w:before="60" w:after="40"/>
            </w:pPr>
            <w:r>
              <w:rPr>
                <w:rFonts w:ascii="Calibri" w:hAnsi="Calibri"/>
                <w:b w:val="0"/>
                <w:i w:val="0"/>
                <w:color w:val="5A5A5A"/>
                <w:sz w:val="18"/>
              </w:rPr>
              <w:t>#women  #sexdifference  #twiceascommon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&amp; less-educated adults</w:t>
            </w:r>
          </w:p>
        </w:tc>
        <w:tc>
          <w:tcPr>
            <w:tcW w:type="dxa" w:w="4276"/>
            <w:vAlign w:val="top"/>
          </w:tcPr>
          <w:p>
            <w:pPr>
              <w:spacing w:after="60" w:line="259" w:lineRule="auto"/>
            </w:pPr>
            <w:r>
              <w:rPr>
                <w:rFonts w:ascii="Calibri" w:hAnsi="Calibri"/>
                <w:b w:val="0"/>
                <w:i w:val="0"/>
                <w:color w:val="212121"/>
                <w:sz w:val="19"/>
              </w:rPr>
              <w:t>Chronic adversity, insecure work and limited mental-health literacy raise vulnerability to anxiety disorders and, in India, drastically reduce the chance of diagnosis and evidence-based treatment.</w:t>
            </w:r>
          </w:p>
          <w:p>
            <w:pPr>
              <w:spacing w:after="40" w:before="60" w:line="259" w:lineRule="auto"/>
            </w:pPr>
            <w:r>
              <w:rPr>
                <w:rFonts w:ascii="Calibri" w:hAnsi="Calibri"/>
                <w:b w:val="0"/>
                <w:i w:val="0"/>
                <w:color w:val="212121"/>
                <w:sz w:val="19"/>
              </w:rPr>
              <w:t>NMHS 2015–16 found mental morbidity higher in less-educated and lower-income households, with an overall treatment gap of 84.5%.</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#socioeconomic  #treatmentgap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Urban-metro residents (India)</w:t>
            </w:r>
          </w:p>
        </w:tc>
        <w:tc>
          <w:tcPr>
            <w:tcW w:type="dxa" w:w="4276"/>
            <w:vAlign w:val="top"/>
          </w:tcPr>
          <w:p>
            <w:pPr>
              <w:spacing w:after="60" w:line="259" w:lineRule="auto"/>
            </w:pPr>
            <w:r>
              <w:rPr>
                <w:rFonts w:ascii="Calibri" w:hAnsi="Calibri"/>
                <w:b w:val="0"/>
                <w:i w:val="0"/>
                <w:color w:val="212121"/>
                <w:sz w:val="19"/>
              </w:rPr>
              <w:t>Dense urban living exposes people to more phobia-relevant situations — crowded lifts, high-rise buildings, heavy traffic, air travel — and NMHS found higher overall mental morbidity in Indian metros than in rural areas.</w:t>
            </w:r>
          </w:p>
          <w:p>
            <w:pPr>
              <w:spacing w:after="40" w:before="60" w:line="259" w:lineRule="auto"/>
            </w:pPr>
            <w:r>
              <w:rPr>
                <w:rFonts w:ascii="Calibri" w:hAnsi="Calibri"/>
                <w:b w:val="0"/>
                <w:i w:val="0"/>
                <w:color w:val="212121"/>
                <w:sz w:val="19"/>
              </w:rPr>
              <w:t>NMHS 2015–16 reported higher current mental morbidity in urban-metro areas than in rural areas.</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#urban  #metro  #india  #claustrophobia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&amp; culture</w:t>
            </w:r>
          </w:p>
        </w:tc>
        <w:tc>
          <w:tcPr>
            <w:tcW w:type="dxa" w:w="2160"/>
            <w:vAlign w:val="top"/>
          </w:tcPr>
          <w:p>
            <w:pPr>
              <w:spacing w:after="40" w:before="0" w:line="259" w:lineRule="auto"/>
            </w:pPr>
            <w:r>
              <w:rPr>
                <w:rFonts w:ascii="Calibri" w:hAnsi="Calibri"/>
                <w:b w:val="0"/>
                <w:i w:val="0"/>
                <w:color w:val="212121"/>
                <w:sz w:val="19"/>
              </w:rPr>
              <w:t>South Asian care-avoiders</w:t>
            </w:r>
          </w:p>
        </w:tc>
        <w:tc>
          <w:tcPr>
            <w:tcW w:type="dxa" w:w="4276"/>
            <w:vAlign w:val="top"/>
          </w:tcPr>
          <w:p>
            <w:pPr>
              <w:spacing w:after="60" w:line="259" w:lineRule="auto"/>
            </w:pPr>
            <w:r>
              <w:rPr>
                <w:rFonts w:ascii="Calibri" w:hAnsi="Calibri"/>
                <w:b w:val="0"/>
                <w:i w:val="0"/>
                <w:color w:val="212121"/>
                <w:sz w:val="19"/>
              </w:rPr>
              <w:t>In Indian and other South Asian settings, circumscribed fears are widely seen as ordinary dislikes rather than treatable illness, so needle, dental and procedure phobias silently defer vaccination, blood tests and treatment instead of prompting referral.</w:t>
            </w:r>
          </w:p>
          <w:p>
            <w:pPr>
              <w:spacing w:after="40" w:before="60" w:line="259" w:lineRule="auto"/>
            </w:pPr>
            <w:r>
              <w:rPr>
                <w:rFonts w:ascii="Calibri" w:hAnsi="Calibri"/>
                <w:b w:val="0"/>
                <w:i w:val="0"/>
                <w:color w:val="212121"/>
                <w:sz w:val="19"/>
              </w:rPr>
              <w:t>The very high Indian treatment gap (84.5% overall in NMHS 2015–16) means most phobias are never brought to clinical attention.</w:t>
            </w:r>
          </w:p>
          <w:p>
            <w:pPr>
              <w:spacing w:after="40" w:line="252" w:lineRule="auto"/>
            </w:pPr>
            <w:hyperlink r:id="rId11">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#culture  #underdiagnosis  #careavoidance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Activity restriction</w:t>
            </w:r>
          </w:p>
        </w:tc>
        <w:tc>
          <w:tcPr>
            <w:tcW w:type="dxa" w:w="2160"/>
            <w:vAlign w:val="top"/>
          </w:tcPr>
          <w:p>
            <w:pPr>
              <w:spacing w:after="40" w:before="0" w:line="259" w:lineRule="auto"/>
            </w:pPr>
            <w:r>
              <w:rPr>
                <w:rFonts w:ascii="Calibri" w:hAnsi="Calibri"/>
                <w:b w:val="0"/>
                <w:i w:val="0"/>
                <w:color w:val="212121"/>
                <w:sz w:val="19"/>
              </w:rPr>
              <w:t>People with situational or transport phobia</w:t>
            </w:r>
          </w:p>
        </w:tc>
        <w:tc>
          <w:tcPr>
            <w:tcW w:type="dxa" w:w="4276"/>
            <w:vAlign w:val="top"/>
          </w:tcPr>
          <w:p>
            <w:pPr>
              <w:spacing w:after="60" w:line="259" w:lineRule="auto"/>
            </w:pPr>
            <w:r>
              <w:rPr>
                <w:rFonts w:ascii="Calibri" w:hAnsi="Calibri"/>
                <w:b w:val="0"/>
                <w:i w:val="0"/>
                <w:color w:val="212121"/>
                <w:sz w:val="19"/>
              </w:rPr>
              <w:t>Avoidance is the defining behaviour of phobia; fear of driving, public transport, flying or enclosed spaces narrows travel, work and social participation and can secondarily reduce physical activity, while regular exercise lowers baseline anxiety and aids exposure-based coping.</w:t>
            </w:r>
          </w:p>
          <w:p>
            <w:pPr>
              <w:spacing w:after="40" w:before="60" w:line="259" w:lineRule="auto"/>
            </w:pPr>
            <w:r>
              <w:rPr>
                <w:rFonts w:ascii="Calibri" w:hAnsi="Calibri"/>
                <w:b w:val="0"/>
                <w:i w:val="0"/>
                <w:color w:val="212121"/>
                <w:sz w:val="19"/>
              </w:rPr>
              <w:t>Among US adults with past-year specific phobia, about 21.9% have serious role impairment and a further 30.0% moderate impairment.</w:t>
            </w:r>
          </w:p>
          <w:p>
            <w:pPr>
              <w:spacing w:after="40" w:line="252" w:lineRule="auto"/>
            </w:pPr>
            <w:hyperlink r:id="rId10">
              <w:r>
                <w:rPr>
                  <w:rFonts w:ascii="Calibri" w:hAnsi="Calibri" w:cs="Calibri"/>
                  <w:sz w:val="18"/>
                  <w:color w:val="1155CC"/>
                  <w:u w:val="single"/>
                </w:rPr>
                <w:t xml:space="preserve">nimh.nih.gov — specific phobia statistics</w:t>
              </w:r>
            </w:hyperlink>
          </w:p>
          <w:p>
            <w:pPr>
              <w:spacing w:before="60" w:after="40"/>
            </w:pPr>
            <w:r>
              <w:rPr>
                <w:rFonts w:ascii="Calibri" w:hAnsi="Calibri"/>
                <w:b w:val="0"/>
                <w:i w:val="0"/>
                <w:color w:val="5A5A5A"/>
                <w:sz w:val="18"/>
              </w:rPr>
              <w:t>#avoidance  #impairment  #mobility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People who ‘drink to cope’ before feared situations</w:t>
            </w:r>
          </w:p>
        </w:tc>
        <w:tc>
          <w:tcPr>
            <w:tcW w:type="dxa" w:w="4276"/>
            <w:vAlign w:val="top"/>
          </w:tcPr>
          <w:p>
            <w:pPr>
              <w:spacing w:after="60" w:line="259" w:lineRule="auto"/>
            </w:pPr>
            <w:r>
              <w:rPr>
                <w:rFonts w:ascii="Calibri" w:hAnsi="Calibri"/>
                <w:b w:val="0"/>
                <w:i w:val="0"/>
                <w:color w:val="212121"/>
                <w:sz w:val="19"/>
              </w:rPr>
              <w:t>Alcohol and sedatives are commonly used to get through anticipated exposures such as flying or dental visits; this reinforces avoidance, blunts the learning that exposure therapy depends on, and can progress to misuse.</w:t>
            </w:r>
          </w:p>
          <w:p>
            <w:pPr>
              <w:spacing w:after="40" w:before="60" w:line="259" w:lineRule="auto"/>
            </w:pPr>
            <w:r>
              <w:rPr>
                <w:rFonts w:ascii="Calibri" w:hAnsi="Calibri"/>
                <w:b w:val="0"/>
                <w:i w:val="0"/>
                <w:color w:val="212121"/>
                <w:sz w:val="19"/>
              </w:rPr>
              <w:t>Chronic phobia-related stress and avoidance are associated with an increased risk of alcohol or other substance misuse.</w:t>
            </w:r>
          </w:p>
          <w:p>
            <w:pPr>
              <w:spacing w:after="40" w:line="252" w:lineRule="auto"/>
            </w:pPr>
            <w:hyperlink r:id="rId9">
              <w:r>
                <w:rPr>
                  <w:rFonts w:ascii="Calibri" w:hAnsi="Calibri" w:cs="Calibri"/>
                  <w:sz w:val="18"/>
                  <w:color w:val="1155CC"/>
                  <w:u w:val="single"/>
                </w:rPr>
                <w:t xml:space="preserve">mayoclinic.org — specific phobias (complications)</w:t>
              </w:r>
            </w:hyperlink>
          </w:p>
          <w:p>
            <w:pPr>
              <w:spacing w:before="60" w:after="40"/>
            </w:pPr>
            <w:r>
              <w:rPr>
                <w:rFonts w:ascii="Calibri" w:hAnsi="Calibri"/>
                <w:b w:val="0"/>
                <w:i w:val="0"/>
                <w:color w:val="5A5A5A"/>
                <w:sz w:val="18"/>
              </w:rPr>
              <w:t>#alcohol  #selfmedication  #dutchcourage  #substancerisk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&amp; energy-drink consumers</w:t>
            </w:r>
          </w:p>
        </w:tc>
        <w:tc>
          <w:tcPr>
            <w:tcW w:type="dxa" w:w="4276"/>
            <w:vAlign w:val="top"/>
          </w:tcPr>
          <w:p>
            <w:pPr>
              <w:spacing w:after="60" w:line="259" w:lineRule="auto"/>
            </w:pPr>
            <w:r>
              <w:rPr>
                <w:rFonts w:ascii="Calibri" w:hAnsi="Calibri"/>
                <w:b w:val="0"/>
                <w:i w:val="0"/>
                <w:color w:val="212121"/>
                <w:sz w:val="19"/>
              </w:rPr>
              <w:t>Caffeine raises adrenergic tone and heightens the palpitations, tremor and light-headedness felt on phobic exposure, so cutting back is a standard part of anxiety self-management.</w:t>
            </w:r>
          </w:p>
          <w:p>
            <w:pPr>
              <w:spacing w:after="40" w:before="60" w:line="259" w:lineRule="auto"/>
            </w:pPr>
            <w:r>
              <w:rPr>
                <w:rFonts w:ascii="Calibri" w:hAnsi="Calibri"/>
                <w:b w:val="0"/>
                <w:i w:val="0"/>
                <w:color w:val="212121"/>
                <w:sz w:val="19"/>
              </w:rPr>
              <w:t>Self-help guidance for phobias and anxiety includes reducing caffeine, for example avoiding it in the later part of the day.</w:t>
            </w:r>
          </w:p>
          <w:p>
            <w:pPr>
              <w:spacing w:after="40" w:line="252" w:lineRule="auto"/>
            </w:pPr>
            <w:hyperlink r:id="rId12">
              <w:r>
                <w:rPr>
                  <w:rFonts w:ascii="Calibri" w:hAnsi="Calibri" w:cs="Calibri"/>
                  <w:sz w:val="18"/>
                  <w:color w:val="1155CC"/>
                  <w:u w:val="single"/>
                </w:rPr>
                <w:t xml:space="preserve">nhs.uk — phobias (treatment/self-help)</w:t>
              </w:r>
            </w:hyperlink>
          </w:p>
          <w:p>
            <w:pPr>
              <w:spacing w:before="60" w:after="40"/>
            </w:pPr>
            <w:r>
              <w:rPr>
                <w:rFonts w:ascii="Calibri" w:hAnsi="Calibri"/>
                <w:b w:val="0"/>
                <w:i w:val="0"/>
                <w:color w:val="5A5A5A"/>
                <w:sz w:val="18"/>
              </w:rPr>
              <w:t>#caffeine  #energydrinks  #arousal  #selfhelp</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 phobia or anxiety disorder</w:t>
            </w:r>
          </w:p>
        </w:tc>
        <w:tc>
          <w:tcPr>
            <w:tcW w:type="dxa" w:w="4276"/>
            <w:vAlign w:val="top"/>
          </w:tcPr>
          <w:p>
            <w:pPr>
              <w:spacing w:after="60" w:line="259" w:lineRule="auto"/>
            </w:pPr>
            <w:r>
              <w:rPr>
                <w:rFonts w:ascii="Calibri" w:hAnsi="Calibri"/>
                <w:b w:val="0"/>
                <w:i w:val="0"/>
                <w:color w:val="212121"/>
                <w:sz w:val="19"/>
              </w:rPr>
              <w:t>Phobias aggregate in families through inherited biological vulnerability and learned, observed fear behaviour; the blood-injection-injury subtype in particular runs strongly in families.</w:t>
            </w:r>
          </w:p>
          <w:p>
            <w:pPr>
              <w:spacing w:after="40" w:before="60" w:line="259" w:lineRule="auto"/>
            </w:pPr>
            <w:r>
              <w:rPr>
                <w:rFonts w:ascii="Calibri" w:hAnsi="Calibri"/>
                <w:b w:val="0"/>
                <w:i w:val="0"/>
                <w:color w:val="212121"/>
                <w:sz w:val="19"/>
              </w:rPr>
              <w:t>People with relatives who have phobias or anxiety disorders are at increased risk, reflecting both inherited factors and learned behaviour.</w:t>
            </w:r>
          </w:p>
          <w:p>
            <w:pPr>
              <w:spacing w:after="40" w:line="252" w:lineRule="auto"/>
            </w:pPr>
            <w:hyperlink r:id="rId9">
              <w:r>
                <w:rPr>
                  <w:rFonts w:ascii="Calibri" w:hAnsi="Calibri" w:cs="Calibri"/>
                  <w:sz w:val="18"/>
                  <w:color w:val="1155CC"/>
                  <w:u w:val="single"/>
                </w:rPr>
                <w:t xml:space="preserve">mayoclinic.org — specific phobias (risk factors)</w:t>
              </w:r>
            </w:hyperlink>
          </w:p>
          <w:p>
            <w:pPr>
              <w:spacing w:before="60" w:after="40"/>
            </w:pPr>
            <w:r>
              <w:rPr>
                <w:rFonts w:ascii="Calibri" w:hAnsi="Calibri"/>
                <w:b w:val="0"/>
                <w:i w:val="0"/>
                <w:color w:val="5A5A5A"/>
                <w:sz w:val="18"/>
              </w:rPr>
              <w:t>#familyhistory  #genetic  #BIIphobia  #heritability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Temperament</w:t>
            </w:r>
          </w:p>
        </w:tc>
        <w:tc>
          <w:tcPr>
            <w:tcW w:type="dxa" w:w="2160"/>
            <w:vAlign w:val="top"/>
          </w:tcPr>
          <w:p>
            <w:pPr>
              <w:spacing w:after="40" w:before="0" w:line="259" w:lineRule="auto"/>
            </w:pPr>
            <w:r>
              <w:rPr>
                <w:rFonts w:ascii="Calibri" w:hAnsi="Calibri"/>
                <w:b w:val="0"/>
                <w:i w:val="0"/>
                <w:color w:val="212121"/>
                <w:sz w:val="19"/>
              </w:rPr>
              <w:t>Behaviourally inhibited / high anxiety-sensitivity individuals</w:t>
            </w:r>
          </w:p>
        </w:tc>
        <w:tc>
          <w:tcPr>
            <w:tcW w:type="dxa" w:w="4276"/>
            <w:vAlign w:val="top"/>
          </w:tcPr>
          <w:p>
            <w:pPr>
              <w:spacing w:after="60" w:line="259" w:lineRule="auto"/>
            </w:pPr>
            <w:r>
              <w:rPr>
                <w:rFonts w:ascii="Calibri" w:hAnsi="Calibri"/>
                <w:b w:val="0"/>
                <w:i w:val="0"/>
                <w:color w:val="212121"/>
                <w:sz w:val="19"/>
              </w:rPr>
              <w:t>A temperament that is naturally more anxious, inhibited or prone to negative thinking amplifies threat appraisal and the catastrophic interpretation of bodily sensations, predisposing to phobia.</w:t>
            </w:r>
          </w:p>
          <w:p>
            <w:pPr>
              <w:spacing w:after="40" w:before="60" w:line="259" w:lineRule="auto"/>
            </w:pPr>
            <w:r>
              <w:rPr>
                <w:rFonts w:ascii="Calibri" w:hAnsi="Calibri"/>
                <w:b w:val="0"/>
                <w:i w:val="0"/>
                <w:color w:val="212121"/>
                <w:sz w:val="19"/>
              </w:rPr>
              <w:t>People who are more anxious, reserved or inclined to negative thinking show heightened risk of developing phobias.</w:t>
            </w:r>
          </w:p>
          <w:p>
            <w:pPr>
              <w:spacing w:after="40" w:line="252" w:lineRule="auto"/>
            </w:pPr>
            <w:hyperlink r:id="rId9">
              <w:r>
                <w:rPr>
                  <w:rFonts w:ascii="Calibri" w:hAnsi="Calibri" w:cs="Calibri"/>
                  <w:sz w:val="18"/>
                  <w:color w:val="1155CC"/>
                  <w:u w:val="single"/>
                </w:rPr>
                <w:t xml:space="preserve">mayoclinic.org — specific phobias (risk factors)</w:t>
              </w:r>
            </w:hyperlink>
          </w:p>
          <w:p>
            <w:pPr>
              <w:spacing w:before="60" w:after="40"/>
            </w:pPr>
            <w:r>
              <w:rPr>
                <w:rFonts w:ascii="Calibri" w:hAnsi="Calibri"/>
                <w:b w:val="0"/>
                <w:i w:val="0"/>
                <w:color w:val="5A5A5A"/>
                <w:sz w:val="18"/>
              </w:rPr>
              <w:t>#temperament  #behaviouralinhibition  #anxietysensitivity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Other anxiety disorders</w:t>
            </w:r>
          </w:p>
        </w:tc>
        <w:tc>
          <w:tcPr>
            <w:tcW w:type="dxa" w:w="2160"/>
            <w:vAlign w:val="top"/>
          </w:tcPr>
          <w:p>
            <w:pPr>
              <w:spacing w:after="40" w:before="0" w:line="259" w:lineRule="auto"/>
            </w:pPr>
            <w:r>
              <w:rPr>
                <w:rFonts w:ascii="Calibri" w:hAnsi="Calibri"/>
                <w:b w:val="0"/>
                <w:i w:val="0"/>
                <w:color w:val="212121"/>
                <w:sz w:val="19"/>
              </w:rPr>
              <w:t>Patients with panic, GAD, agoraphobia or social anxiety</w:t>
            </w:r>
          </w:p>
        </w:tc>
        <w:tc>
          <w:tcPr>
            <w:tcW w:type="dxa" w:w="4276"/>
            <w:vAlign w:val="top"/>
          </w:tcPr>
          <w:p>
            <w:pPr>
              <w:spacing w:after="60" w:line="259" w:lineRule="auto"/>
            </w:pPr>
            <w:r>
              <w:rPr>
                <w:rFonts w:ascii="Calibri" w:hAnsi="Calibri"/>
                <w:b w:val="0"/>
                <w:i w:val="0"/>
                <w:color w:val="212121"/>
                <w:sz w:val="19"/>
              </w:rPr>
              <w:t>Specific phobia shares fear-circuit pathophysiology and temperamental vulnerability with the other anxiety disorders and frequently co-occurs with them, which increases overall severity and disability.</w:t>
            </w:r>
          </w:p>
          <w:p>
            <w:pPr>
              <w:spacing w:after="40" w:before="60" w:line="259" w:lineRule="auto"/>
            </w:pPr>
            <w:r>
              <w:rPr>
                <w:rFonts w:ascii="Calibri" w:hAnsi="Calibri"/>
                <w:b w:val="0"/>
                <w:i w:val="0"/>
                <w:color w:val="212121"/>
                <w:sz w:val="19"/>
              </w:rPr>
              <w:t>Specific phobia commonly coexists with other anxiety disorders and, when untreated, tends to precede and predict them.</w:t>
            </w:r>
          </w:p>
          <w:p>
            <w:pPr>
              <w:spacing w:after="40" w:line="252" w:lineRule="auto"/>
            </w:pPr>
            <w:hyperlink r:id="rId13">
              <w:r>
                <w:rPr>
                  <w:rFonts w:ascii="Calibri" w:hAnsi="Calibri" w:cs="Calibri"/>
                  <w:sz w:val="18"/>
                  <w:color w:val="1155CC"/>
                  <w:u w:val="single"/>
                </w:rPr>
                <w:t xml:space="preserve">statpearls (ncbi.nlm.nih.gov) — specific phobias</w:t>
              </w:r>
            </w:hyperlink>
          </w:p>
          <w:p>
            <w:pPr>
              <w:spacing w:before="60" w:after="40"/>
            </w:pPr>
            <w:r>
              <w:rPr>
                <w:rFonts w:ascii="Calibri" w:hAnsi="Calibri"/>
                <w:b w:val="0"/>
                <w:i w:val="0"/>
                <w:color w:val="5A5A5A"/>
                <w:sz w:val="18"/>
              </w:rPr>
              <w:t>#anxietydisorders  #comorbidity  #panic  #GAD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major depression</w:t>
            </w:r>
          </w:p>
        </w:tc>
        <w:tc>
          <w:tcPr>
            <w:tcW w:type="dxa" w:w="4276"/>
            <w:vAlign w:val="top"/>
          </w:tcPr>
          <w:p>
            <w:pPr>
              <w:spacing w:after="60" w:line="259" w:lineRule="auto"/>
            </w:pPr>
            <w:r>
              <w:rPr>
                <w:rFonts w:ascii="Calibri" w:hAnsi="Calibri"/>
                <w:b w:val="0"/>
                <w:i w:val="0"/>
                <w:color w:val="212121"/>
                <w:sz w:val="19"/>
              </w:rPr>
              <w:t>Chronic avoidance, restricted life and demoralisation predispose to depression, and the two conditions share stress and monoaminergic mechanisms; comorbid depression raises suicide risk.</w:t>
            </w:r>
          </w:p>
          <w:p>
            <w:pPr>
              <w:spacing w:after="40" w:before="60" w:line="259" w:lineRule="auto"/>
            </w:pPr>
            <w:r>
              <w:rPr>
                <w:rFonts w:ascii="Calibri" w:hAnsi="Calibri"/>
                <w:b w:val="0"/>
                <w:i w:val="0"/>
                <w:color w:val="212121"/>
                <w:sz w:val="19"/>
              </w:rPr>
              <w:t>Many people with specific phobia go on to develop depression and additional anxiety disorders, with an associated increase in suicide risk.</w:t>
            </w:r>
          </w:p>
          <w:p>
            <w:pPr>
              <w:spacing w:after="40" w:line="252" w:lineRule="auto"/>
            </w:pPr>
            <w:hyperlink r:id="rId9">
              <w:r>
                <w:rPr>
                  <w:rFonts w:ascii="Calibri" w:hAnsi="Calibri" w:cs="Calibri"/>
                  <w:sz w:val="18"/>
                  <w:color w:val="1155CC"/>
                  <w:u w:val="single"/>
                </w:rPr>
                <w:t xml:space="preserve">mayoclinic.org — specific phobias (complications)</w:t>
              </w:r>
            </w:hyperlink>
          </w:p>
          <w:p>
            <w:pPr>
              <w:spacing w:before="60" w:after="40"/>
            </w:pPr>
            <w:r>
              <w:rPr>
                <w:rFonts w:ascii="Calibri" w:hAnsi="Calibri"/>
                <w:b w:val="0"/>
                <w:i w:val="0"/>
                <w:color w:val="5A5A5A"/>
                <w:sz w:val="18"/>
              </w:rPr>
              <w:t>#depression  #comorbidity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Blood-injection-injury phobia</w:t>
            </w:r>
          </w:p>
        </w:tc>
        <w:tc>
          <w:tcPr>
            <w:tcW w:type="dxa" w:w="2160"/>
            <w:vAlign w:val="top"/>
          </w:tcPr>
          <w:p>
            <w:pPr>
              <w:spacing w:after="40" w:before="0" w:line="259" w:lineRule="auto"/>
            </w:pPr>
            <w:r>
              <w:rPr>
                <w:rFonts w:ascii="Calibri" w:hAnsi="Calibri"/>
                <w:b w:val="0"/>
                <w:i w:val="0"/>
                <w:color w:val="212121"/>
                <w:sz w:val="19"/>
              </w:rPr>
              <w:t>Needle-phobic patients requiring injections, blood tests or vaccination</w:t>
            </w:r>
          </w:p>
        </w:tc>
        <w:tc>
          <w:tcPr>
            <w:tcW w:type="dxa" w:w="4276"/>
            <w:vAlign w:val="top"/>
          </w:tcPr>
          <w:p>
            <w:pPr>
              <w:spacing w:after="60" w:line="259" w:lineRule="auto"/>
            </w:pPr>
            <w:r>
              <w:rPr>
                <w:rFonts w:ascii="Calibri" w:hAnsi="Calibri"/>
                <w:b w:val="0"/>
                <w:i w:val="0"/>
                <w:color w:val="212121"/>
                <w:sz w:val="19"/>
              </w:rPr>
              <w:t>The blood-injection-injury subtype triggers a diphasic vasovagal reflex — a brief rise then a sharp fall in heart rate and blood pressure — causing fainting; sufferers avoid injections, blood draws, vaccination, insulin and cannula placement, complicating essential medical care.</w:t>
            </w:r>
          </w:p>
          <w:p>
            <w:pPr>
              <w:spacing w:after="40" w:before="60" w:line="259" w:lineRule="auto"/>
            </w:pPr>
            <w:r>
              <w:rPr>
                <w:rFonts w:ascii="Calibri" w:hAnsi="Calibri"/>
                <w:b w:val="0"/>
                <w:i w:val="0"/>
                <w:color w:val="212121"/>
                <w:sz w:val="19"/>
              </w:rPr>
              <w:t>BII-phobic patients are advised to tense their muscles and remain seated during exposure to prevent fainting from the vasovagal reaction.</w:t>
            </w:r>
          </w:p>
          <w:p>
            <w:pPr>
              <w:spacing w:after="40" w:line="252" w:lineRule="auto"/>
            </w:pPr>
            <w:hyperlink r:id="rId13">
              <w:r>
                <w:rPr>
                  <w:rFonts w:ascii="Calibri" w:hAnsi="Calibri" w:cs="Calibri"/>
                  <w:sz w:val="18"/>
                  <w:color w:val="1155CC"/>
                  <w:u w:val="single"/>
                </w:rPr>
                <w:t xml:space="preserve">statpearls (ncbi.nlm.nih.gov) — specific phobias</w:t>
              </w:r>
            </w:hyperlink>
          </w:p>
          <w:p>
            <w:pPr>
              <w:spacing w:before="60" w:after="40"/>
            </w:pPr>
            <w:r>
              <w:rPr>
                <w:rFonts w:ascii="Calibri" w:hAnsi="Calibri"/>
                <w:b w:val="0"/>
                <w:i w:val="0"/>
                <w:color w:val="5A5A5A"/>
                <w:sz w:val="18"/>
              </w:rPr>
              <w:t>#BIIphobia  #needlephobia  #vasovagal  #vaccinehesitancy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Dental phobia</w:t>
            </w:r>
          </w:p>
        </w:tc>
        <w:tc>
          <w:tcPr>
            <w:tcW w:type="dxa" w:w="2160"/>
            <w:vAlign w:val="top"/>
          </w:tcPr>
          <w:p>
            <w:pPr>
              <w:spacing w:after="40" w:before="0" w:line="259" w:lineRule="auto"/>
            </w:pPr>
            <w:r>
              <w:rPr>
                <w:rFonts w:ascii="Calibri" w:hAnsi="Calibri"/>
                <w:b w:val="0"/>
                <w:i w:val="0"/>
                <w:color w:val="212121"/>
                <w:sz w:val="19"/>
              </w:rPr>
              <w:t>Odontophobic patients avoiding dental care</w:t>
            </w:r>
          </w:p>
        </w:tc>
        <w:tc>
          <w:tcPr>
            <w:tcW w:type="dxa" w:w="4276"/>
            <w:vAlign w:val="top"/>
          </w:tcPr>
          <w:p>
            <w:pPr>
              <w:spacing w:after="60" w:line="259" w:lineRule="auto"/>
            </w:pPr>
            <w:r>
              <w:rPr>
                <w:rFonts w:ascii="Calibri" w:hAnsi="Calibri"/>
                <w:b w:val="0"/>
                <w:i w:val="0"/>
                <w:color w:val="212121"/>
                <w:sz w:val="19"/>
              </w:rPr>
              <w:t>Intense fear of dental or medical procedures leads to repeated cancellation and long-term avoidance of dental visits, allowing caries, periodontal disease and pain to progress before care is sought.</w:t>
            </w:r>
          </w:p>
          <w:p>
            <w:pPr>
              <w:spacing w:after="40" w:before="60" w:line="259" w:lineRule="auto"/>
            </w:pPr>
            <w:r>
              <w:rPr>
                <w:rFonts w:ascii="Calibri" w:hAnsi="Calibri"/>
                <w:b w:val="0"/>
                <w:i w:val="0"/>
                <w:color w:val="212121"/>
                <w:sz w:val="19"/>
              </w:rPr>
              <w:t>Dental and medical procedures are among the most common focuses of specific phobia.</w:t>
            </w:r>
          </w:p>
          <w:p>
            <w:pPr>
              <w:spacing w:after="40" w:line="252" w:lineRule="auto"/>
            </w:pPr>
            <w:hyperlink r:id="rId14">
              <w:r>
                <w:rPr>
                  <w:rFonts w:ascii="Calibri" w:hAnsi="Calibri" w:cs="Calibri"/>
                  <w:sz w:val="18"/>
                  <w:color w:val="1155CC"/>
                  <w:u w:val="single"/>
                </w:rPr>
                <w:t xml:space="preserve">adaa.org — specific phobias</w:t>
              </w:r>
            </w:hyperlink>
          </w:p>
          <w:p>
            <w:pPr>
              <w:spacing w:before="60" w:after="40"/>
            </w:pPr>
            <w:r>
              <w:rPr>
                <w:rFonts w:ascii="Calibri" w:hAnsi="Calibri"/>
                <w:b w:val="0"/>
                <w:i w:val="0"/>
                <w:color w:val="5A5A5A"/>
                <w:sz w:val="18"/>
              </w:rPr>
              <w:t>#odontophobia  #dentalphobia  #avoidance  #oralhealth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Claustrophobia &amp; procedures</w:t>
            </w:r>
          </w:p>
        </w:tc>
        <w:tc>
          <w:tcPr>
            <w:tcW w:type="dxa" w:w="2160"/>
            <w:vAlign w:val="top"/>
          </w:tcPr>
          <w:p>
            <w:pPr>
              <w:spacing w:after="40" w:before="0" w:line="259" w:lineRule="auto"/>
            </w:pPr>
            <w:r>
              <w:rPr>
                <w:rFonts w:ascii="Calibri" w:hAnsi="Calibri"/>
                <w:b w:val="0"/>
                <w:i w:val="0"/>
                <w:color w:val="212121"/>
                <w:sz w:val="19"/>
              </w:rPr>
              <w:t>Patients needing MRI, CT, endoscopy or ventilation</w:t>
            </w:r>
          </w:p>
        </w:tc>
        <w:tc>
          <w:tcPr>
            <w:tcW w:type="dxa" w:w="4276"/>
            <w:vAlign w:val="top"/>
          </w:tcPr>
          <w:p>
            <w:pPr>
              <w:spacing w:after="60" w:line="259" w:lineRule="auto"/>
            </w:pPr>
            <w:r>
              <w:rPr>
                <w:rFonts w:ascii="Calibri" w:hAnsi="Calibri"/>
                <w:b w:val="0"/>
                <w:i w:val="0"/>
                <w:color w:val="212121"/>
                <w:sz w:val="19"/>
              </w:rPr>
              <w:t>Situational (enclosed-space) phobia causes acute anxiety inside scanners, masks and endoscopy or ventilation equipment, leading to aborted or non-diagnostic investigations and, at times, unnecessary sedation or general anaesthesia.</w:t>
            </w:r>
          </w:p>
          <w:p>
            <w:pPr>
              <w:spacing w:after="40" w:before="60" w:line="259" w:lineRule="auto"/>
            </w:pPr>
            <w:r>
              <w:rPr>
                <w:rFonts w:ascii="Calibri" w:hAnsi="Calibri"/>
                <w:b w:val="0"/>
                <w:i w:val="0"/>
                <w:color w:val="212121"/>
                <w:sz w:val="19"/>
              </w:rPr>
              <w:t>Claustrophobia is a recognised situational specific phobia that can interrupt enclosed-space medical procedures such as MRI.</w:t>
            </w:r>
          </w:p>
          <w:p>
            <w:pPr>
              <w:spacing w:after="40" w:line="252" w:lineRule="auto"/>
            </w:pPr>
            <w:hyperlink r:id="rId13">
              <w:r>
                <w:rPr>
                  <w:rFonts w:ascii="Calibri" w:hAnsi="Calibri" w:cs="Calibri"/>
                  <w:sz w:val="18"/>
                  <w:color w:val="1155CC"/>
                  <w:u w:val="single"/>
                </w:rPr>
                <w:t xml:space="preserve">statpearls (ncbi.nlm.nih.gov) — specific phobias</w:t>
              </w:r>
            </w:hyperlink>
          </w:p>
          <w:p>
            <w:pPr>
              <w:spacing w:before="60" w:after="40"/>
            </w:pPr>
            <w:r>
              <w:rPr>
                <w:rFonts w:ascii="Calibri" w:hAnsi="Calibri"/>
                <w:b w:val="0"/>
                <w:i w:val="0"/>
                <w:color w:val="5A5A5A"/>
                <w:sz w:val="18"/>
              </w:rPr>
              <w:t>#claustrophobia  #MRI  #procedureanxiety  #situational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aerobic exercise lowers general anxiety and supports exposure-based coping, but physical activity has no established causal role in the onset of specific phobia; avoidance of feared situations (gyms, open spaces, sports) may secondarily reduce activity.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dietary factor is known to cause specific phobia; stimulant-rich foods and drinks can heighten the physical arousal experienced on exposure, and skipped meals may add tremor and light-headedness that amplify the fear response.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raises baseline anxiety and can worsen anticipatory dread before a feared event, but it is not a primary cause of specific phobia; anticipatory insomnia the night before an unavoidable exposure is common.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and nicotine withdrawal increase sympathetic arousal and general anxiety; the link to specific phobia is weak and mostly reflects shared anxiety vulnerability rather than direct causation.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and sedatives are frequently used to endure anticipated exposures (flying, procedures); this reinforces avoidance, blocks corrective learning and can progress to misuse, so alcohol strongly shapes the course even though it does not cause the phobia.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Temperament (behavioural inhibition, anxiety sensitivity) and comorbid anxiety and depressive disorders are the dominant influences on severity, chronicity, impairment and suicide risk in specific phobia.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relationship with specific phobia; dehydration-related palpitations or dizziness could theoretically be misattributed to a feared stimulus, but evidence is negligible.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raises adrenergic tone and intensifies the palpitations, tremor and light-headedness felt on phobic exposure; reducing caffeine is a standard component of anxiety self-management.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with typical specific phobia; excessive fear of germs or contamination (mysophobia) is generally classified under obsessive-compulsive disorder rather than specific phobia.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Actual or anticipated exposure to the specific feared object or situation is the direct provocant of an anxiety response; discrete traumatic experiences and observing others’ fear are key triggers for onset.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the blood-injection-injury subtype, applied muscle tension and remaining seated or lying down counter the vasovagal blood-pressure drop and prevent fainting; posture is otherwise not relevant to the disorder.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Severity Measure for Specific Phobia—Adult (DSM-5, 10 items, 0–4 each)</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Low total score (minimal fear/avoidance)</w:t>
            </w:r>
          </w:p>
        </w:tc>
        <w:tc>
          <w:tcPr>
            <w:tcW w:type="dxa" w:w="1512"/>
            <w:vAlign w:val="top"/>
          </w:tcPr>
          <w:p>
            <w:pPr>
              <w:spacing w:after="40" w:before="0" w:line="259" w:lineRule="auto"/>
            </w:pPr>
            <w:r>
              <w:rPr>
                <w:rFonts w:ascii="Calibri" w:hAnsi="Calibri"/>
                <w:b w:val="0"/>
                <w:i w:val="0"/>
                <w:color w:val="212121"/>
                <w:sz w:val="19"/>
              </w:rPr>
              <w:t>Rising score = more severe phobia</w:t>
            </w:r>
          </w:p>
        </w:tc>
        <w:tc>
          <w:tcPr>
            <w:tcW w:type="dxa" w:w="1468"/>
            <w:vAlign w:val="top"/>
          </w:tcPr>
          <w:p>
            <w:pPr>
              <w:spacing w:after="40" w:before="0" w:line="259" w:lineRule="auto"/>
            </w:pPr>
            <w:r>
              <w:rPr>
                <w:rFonts w:ascii="Calibri" w:hAnsi="Calibri"/>
                <w:b w:val="0"/>
                <w:i w:val="0"/>
                <w:color w:val="212121"/>
                <w:sz w:val="19"/>
              </w:rPr>
              <w:t>Self-rated measure of fear, avoidance and interference; repeat to track treatment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Subjective Units of Distress Scale (SUDS, 0–100)</w:t>
            </w:r>
          </w:p>
        </w:tc>
        <w:tc>
          <w:tcPr>
            <w:tcW w:type="dxa" w:w="1655"/>
            <w:vAlign w:val="top"/>
          </w:tcPr>
          <w:p>
            <w:pPr>
              <w:spacing w:after="40" w:before="0" w:line="259" w:lineRule="auto"/>
            </w:pPr>
            <w:r>
              <w:rPr>
                <w:rFonts w:ascii="Calibri" w:hAnsi="Calibri"/>
                <w:b w:val="0"/>
                <w:i w:val="0"/>
                <w:color w:val="212121"/>
                <w:sz w:val="19"/>
              </w:rPr>
              <w:t>Patients in exposure therapy</w:t>
            </w:r>
          </w:p>
        </w:tc>
        <w:tc>
          <w:tcPr>
            <w:tcW w:type="dxa" w:w="1512"/>
            <w:vAlign w:val="top"/>
          </w:tcPr>
          <w:p>
            <w:pPr>
              <w:spacing w:after="40" w:before="0" w:line="259" w:lineRule="auto"/>
            </w:pPr>
            <w:r>
              <w:rPr>
                <w:rFonts w:ascii="Calibri" w:hAnsi="Calibri"/>
                <w:b w:val="0"/>
                <w:i w:val="0"/>
                <w:color w:val="212121"/>
                <w:sz w:val="19"/>
              </w:rPr>
              <w:t>Falls to &lt; 25 by end of an exposure session</w:t>
            </w:r>
          </w:p>
        </w:tc>
        <w:tc>
          <w:tcPr>
            <w:tcW w:type="dxa" w:w="1512"/>
            <w:vAlign w:val="top"/>
          </w:tcPr>
          <w:p>
            <w:pPr>
              <w:spacing w:after="40" w:before="0" w:line="259" w:lineRule="auto"/>
            </w:pPr>
            <w:r>
              <w:rPr>
                <w:rFonts w:ascii="Calibri" w:hAnsi="Calibri"/>
                <w:b w:val="0"/>
                <w:i w:val="0"/>
                <w:color w:val="212121"/>
                <w:sz w:val="19"/>
              </w:rPr>
              <w:t>Persistently high (&gt; 70) on exposure</w:t>
            </w:r>
          </w:p>
        </w:tc>
        <w:tc>
          <w:tcPr>
            <w:tcW w:type="dxa" w:w="1468"/>
            <w:vAlign w:val="top"/>
          </w:tcPr>
          <w:p>
            <w:pPr>
              <w:spacing w:after="40" w:before="0" w:line="259" w:lineRule="auto"/>
            </w:pPr>
            <w:r>
              <w:rPr>
                <w:rFonts w:ascii="Calibri" w:hAnsi="Calibri"/>
                <w:b w:val="0"/>
                <w:i w:val="0"/>
                <w:color w:val="212121"/>
                <w:sz w:val="19"/>
              </w:rPr>
              <w:t>Guides graded exposure; habituation is shown by a declining SUDS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GAD-7 anxiety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40" w:before="0" w:line="259" w:lineRule="auto"/>
            </w:pPr>
            <w:r>
              <w:rPr>
                <w:rFonts w:ascii="Calibri" w:hAnsi="Calibri"/>
                <w:b w:val="0"/>
                <w:i w:val="0"/>
                <w:color w:val="212121"/>
                <w:sz w:val="19"/>
              </w:rPr>
              <w:t>Detects comorbid generalised anxiety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depression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Detects comorbid depression that raises suicide risk</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Behavioural Avoidance Test — distance/steps toward the feared stimulus</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Completes approach with tolerable anxiety</w:t>
            </w:r>
          </w:p>
        </w:tc>
        <w:tc>
          <w:tcPr>
            <w:tcW w:type="dxa" w:w="1512"/>
            <w:vAlign w:val="top"/>
          </w:tcPr>
          <w:p>
            <w:pPr>
              <w:spacing w:after="40" w:before="0" w:line="259" w:lineRule="auto"/>
            </w:pPr>
            <w:r>
              <w:rPr>
                <w:rFonts w:ascii="Calibri" w:hAnsi="Calibri"/>
                <w:b w:val="0"/>
                <w:i w:val="0"/>
                <w:color w:val="212121"/>
                <w:sz w:val="19"/>
              </w:rPr>
              <w:t>Refuses or aborts approach</w:t>
            </w:r>
          </w:p>
        </w:tc>
        <w:tc>
          <w:tcPr>
            <w:tcW w:type="dxa" w:w="1468"/>
            <w:vAlign w:val="top"/>
          </w:tcPr>
          <w:p>
            <w:pPr>
              <w:spacing w:after="40" w:before="0" w:line="259" w:lineRule="auto"/>
            </w:pPr>
            <w:r>
              <w:rPr>
                <w:rFonts w:ascii="Calibri" w:hAnsi="Calibri"/>
                <w:b w:val="0"/>
                <w:i w:val="0"/>
                <w:color w:val="212121"/>
                <w:sz w:val="19"/>
              </w:rPr>
              <w:t>Objective measure of avoidance and of exposure progress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Symptom duration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&lt; 6 months (may be transient/developmental)</w:t>
            </w:r>
          </w:p>
        </w:tc>
        <w:tc>
          <w:tcPr>
            <w:tcW w:type="dxa" w:w="1512"/>
            <w:vAlign w:val="top"/>
          </w:tcPr>
          <w:p>
            <w:pPr>
              <w:spacing w:after="40" w:before="0" w:line="259" w:lineRule="auto"/>
            </w:pPr>
            <w:r>
              <w:rPr>
                <w:rFonts w:ascii="Calibri" w:hAnsi="Calibri"/>
                <w:b w:val="0"/>
                <w:i w:val="0"/>
                <w:color w:val="212121"/>
                <w:sz w:val="19"/>
              </w:rPr>
              <w:t>≥ 6 months of fear/avoidance</w:t>
            </w:r>
          </w:p>
        </w:tc>
        <w:tc>
          <w:tcPr>
            <w:tcW w:type="dxa" w:w="1468"/>
            <w:vAlign w:val="top"/>
          </w:tcPr>
          <w:p>
            <w:pPr>
              <w:spacing w:after="40" w:before="0" w:line="259" w:lineRule="auto"/>
            </w:pPr>
            <w:r>
              <w:rPr>
                <w:rFonts w:ascii="Calibri" w:hAnsi="Calibri"/>
                <w:b w:val="0"/>
                <w:i w:val="0"/>
                <w:color w:val="212121"/>
                <w:sz w:val="19"/>
              </w:rPr>
              <w:t>DSM-5 duration threshold for diagnosis</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Vasovagal fainting on exposure (BII subtype)</w:t>
            </w:r>
          </w:p>
        </w:tc>
        <w:tc>
          <w:tcPr>
            <w:tcW w:type="dxa" w:w="1655"/>
            <w:vAlign w:val="top"/>
          </w:tcPr>
          <w:p>
            <w:pPr>
              <w:spacing w:after="40" w:before="0" w:line="259" w:lineRule="auto"/>
            </w:pPr>
            <w:r>
              <w:rPr>
                <w:rFonts w:ascii="Calibri" w:hAnsi="Calibri"/>
                <w:b w:val="0"/>
                <w:i w:val="0"/>
                <w:color w:val="212121"/>
                <w:sz w:val="19"/>
              </w:rPr>
              <w:t>Blood-injection-injury phobia</w:t>
            </w:r>
          </w:p>
        </w:tc>
        <w:tc>
          <w:tcPr>
            <w:tcW w:type="dxa" w:w="1512"/>
            <w:vAlign w:val="top"/>
          </w:tcPr>
          <w:p>
            <w:pPr>
              <w:spacing w:after="40" w:before="0" w:line="259" w:lineRule="auto"/>
            </w:pPr>
            <w:r>
              <w:rPr>
                <w:rFonts w:ascii="Calibri" w:hAnsi="Calibri"/>
                <w:b w:val="0"/>
                <w:i w:val="0"/>
                <w:color w:val="212121"/>
                <w:sz w:val="19"/>
              </w:rPr>
              <w:t>No pre-syncope/syncope with applied tension</w:t>
            </w:r>
          </w:p>
        </w:tc>
        <w:tc>
          <w:tcPr>
            <w:tcW w:type="dxa" w:w="1512"/>
            <w:vAlign w:val="top"/>
          </w:tcPr>
          <w:p>
            <w:pPr>
              <w:spacing w:after="40" w:before="0" w:line="259" w:lineRule="auto"/>
            </w:pPr>
            <w:r>
              <w:rPr>
                <w:rFonts w:ascii="Calibri" w:hAnsi="Calibri"/>
                <w:b w:val="0"/>
                <w:i w:val="0"/>
                <w:color w:val="212121"/>
                <w:sz w:val="19"/>
              </w:rPr>
              <w:t>Bradycardia, hypotension and fainting on exposure</w:t>
            </w:r>
          </w:p>
        </w:tc>
        <w:tc>
          <w:tcPr>
            <w:tcW w:type="dxa" w:w="1468"/>
            <w:vAlign w:val="top"/>
          </w:tcPr>
          <w:p>
            <w:pPr>
              <w:spacing w:after="40" w:before="0" w:line="259" w:lineRule="auto"/>
            </w:pPr>
            <w:r>
              <w:rPr>
                <w:rFonts w:ascii="Calibri" w:hAnsi="Calibri"/>
                <w:b w:val="0"/>
                <w:i w:val="0"/>
                <w:color w:val="212121"/>
                <w:sz w:val="19"/>
              </w:rPr>
              <w:t>Applied muscle tension and seated/supine posture prevent the faint</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Sensitive adults</w:t>
            </w:r>
          </w:p>
        </w:tc>
        <w:tc>
          <w:tcPr>
            <w:tcW w:type="dxa" w:w="1512"/>
            <w:vAlign w:val="top"/>
          </w:tcPr>
          <w:p>
            <w:pPr>
              <w:spacing w:after="40" w:before="0" w:line="259" w:lineRule="auto"/>
            </w:pPr>
            <w:r>
              <w:rPr>
                <w:rFonts w:ascii="Calibri" w:hAnsi="Calibri"/>
                <w:b w:val="0"/>
                <w:i w:val="0"/>
                <w:color w:val="212121"/>
                <w:sz w:val="19"/>
              </w:rPr>
              <w:t>&lt; 400 mg/day (less if sensitive)</w:t>
            </w:r>
          </w:p>
        </w:tc>
        <w:tc>
          <w:tcPr>
            <w:tcW w:type="dxa" w:w="1512"/>
            <w:vAlign w:val="top"/>
          </w:tcPr>
          <w:p>
            <w:pPr>
              <w:spacing w:after="40" w:before="0" w:line="259" w:lineRule="auto"/>
            </w:pPr>
            <w:r>
              <w:rPr>
                <w:rFonts w:ascii="Calibri" w:hAnsi="Calibri"/>
                <w:b w:val="0"/>
                <w:i w:val="0"/>
                <w:color w:val="212121"/>
                <w:sz w:val="19"/>
              </w:rPr>
              <w:t>High intake, especially late in the day</w:t>
            </w:r>
          </w:p>
        </w:tc>
        <w:tc>
          <w:tcPr>
            <w:tcW w:type="dxa" w:w="1468"/>
            <w:vAlign w:val="top"/>
          </w:tcPr>
          <w:p>
            <w:pPr>
              <w:spacing w:after="60" w:line="259" w:lineRule="auto"/>
            </w:pPr>
            <w:r>
              <w:rPr>
                <w:rFonts w:ascii="Calibri" w:hAnsi="Calibri"/>
                <w:b w:val="0"/>
                <w:i w:val="0"/>
                <w:color w:val="212121"/>
                <w:sz w:val="19"/>
              </w:rPr>
              <w:t>Caffeine intensifies exposure-related arousal</w:t>
            </w:r>
          </w:p>
          <w:p>
            <w:pPr>
              <w:spacing w:after="40" w:line="252" w:lineRule="auto"/>
            </w:pPr>
            <w:hyperlink r:id="rId12">
              <w:r>
                <w:rPr>
                  <w:rFonts w:ascii="Calibri" w:hAnsi="Calibri" w:cs="Calibri"/>
                  <w:sz w:val="18"/>
                  <w:color w:val="1155CC"/>
                  <w:u w:val="single"/>
                </w:rPr>
                <w:t xml:space="preserve">https://www.nhs.uk/mental-health/conditions/phobias/treatment/</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used to endure a feared situation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Regular ‘drinking to cope’ or binge before exposures</w:t>
            </w:r>
          </w:p>
        </w:tc>
        <w:tc>
          <w:tcPr>
            <w:tcW w:type="dxa" w:w="1468"/>
            <w:vAlign w:val="top"/>
          </w:tcPr>
          <w:p>
            <w:pPr>
              <w:spacing w:after="60" w:line="259" w:lineRule="auto"/>
            </w:pPr>
            <w:r>
              <w:rPr>
                <w:rFonts w:ascii="Calibri" w:hAnsi="Calibri"/>
                <w:b w:val="0"/>
                <w:i w:val="0"/>
                <w:color w:val="212121"/>
                <w:sz w:val="19"/>
              </w:rPr>
              <w:t>Reinforces avoidance and risks dependence</w:t>
            </w:r>
          </w:p>
          <w:p>
            <w:pPr>
              <w:spacing w:after="40" w:line="252" w:lineRule="auto"/>
            </w:pPr>
            <w:hyperlink r:id="rId9">
              <w:r>
                <w:rPr>
                  <w:rFonts w:ascii="Calibri" w:hAnsi="Calibri" w:cs="Calibri"/>
                  <w:sz w:val="18"/>
                  <w:color w:val="1155CC"/>
                  <w:u w:val="single"/>
                </w:rPr>
                <w:t xml:space="preserve">https://www.mayoclinic.org/diseases-conditions/specific-phobias/symptoms-causes/syc-20355156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anticipatory insomnia</w:t>
            </w:r>
          </w:p>
        </w:tc>
        <w:tc>
          <w:tcPr>
            <w:tcW w:type="dxa" w:w="1468"/>
            <w:vAlign w:val="top"/>
          </w:tcPr>
          <w:p>
            <w:pPr>
              <w:spacing w:after="40" w:before="0" w:line="259" w:lineRule="auto"/>
            </w:pPr>
            <w:r>
              <w:rPr>
                <w:rFonts w:ascii="Calibri" w:hAnsi="Calibri"/>
                <w:b w:val="0"/>
                <w:i w:val="0"/>
                <w:color w:val="212121"/>
                <w:sz w:val="19"/>
              </w:rPr>
              <w:t>Sleep loss raises baseline and anticipatory anxiety</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lowers baseline anxiety and aids coping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Heart rate &amp; rhythm</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Normal sinus rhythm</w:t>
            </w:r>
          </w:p>
        </w:tc>
        <w:tc>
          <w:tcPr>
            <w:tcW w:type="dxa" w:w="950"/>
            <w:vAlign w:val="top"/>
          </w:tcPr>
          <w:p>
            <w:pPr>
              <w:spacing w:after="40" w:before="0" w:line="259" w:lineRule="auto"/>
            </w:pPr>
            <w:r>
              <w:rPr>
                <w:rFonts w:ascii="Calibri" w:hAnsi="Calibri"/>
                <w:b w:val="0"/>
                <w:i w:val="0"/>
                <w:color w:val="212121"/>
                <w:sz w:val="16"/>
              </w:rPr>
              <w:t>Arrhythmia or ischaemic changes</w:t>
            </w:r>
          </w:p>
        </w:tc>
        <w:tc>
          <w:tcPr>
            <w:tcW w:type="dxa" w:w="1036"/>
            <w:vAlign w:val="top"/>
          </w:tcPr>
          <w:p>
            <w:pPr>
              <w:spacing w:after="40" w:before="0" w:line="259" w:lineRule="auto"/>
            </w:pPr>
            <w:r>
              <w:rPr>
                <w:rFonts w:ascii="Calibri" w:hAnsi="Calibri"/>
                <w:b w:val="0"/>
                <w:i w:val="0"/>
                <w:color w:val="212121"/>
                <w:sz w:val="16"/>
              </w:rPr>
              <w:t>Excludes a cardiac cause when exposure produces palpitations or chest tightness; usually normal in phobia</w:t>
            </w:r>
          </w:p>
        </w:tc>
        <w:tc>
          <w:tcPr>
            <w:tcW w:type="dxa" w:w="1036"/>
            <w:vAlign w:val="top"/>
          </w:tcPr>
          <w:p>
            <w:pPr>
              <w:spacing w:after="40" w:before="0" w:line="259" w:lineRule="auto"/>
            </w:pPr>
            <w:r>
              <w:rPr>
                <w:rFonts w:ascii="Calibri" w:hAnsi="Calibri"/>
                <w:b w:val="0"/>
                <w:i w:val="0"/>
                <w:color w:val="212121"/>
                <w:sz w:val="16"/>
              </w:rPr>
              <w:t>Adults with palpitations on exposure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Diagnosis remains clinical; ECG is for mimics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 raised free T4 (thyrotoxicosis)</w:t>
            </w:r>
          </w:p>
        </w:tc>
        <w:tc>
          <w:tcPr>
            <w:tcW w:type="dxa" w:w="1036"/>
            <w:vAlign w:val="top"/>
          </w:tcPr>
          <w:p>
            <w:pPr>
              <w:spacing w:after="40" w:before="0" w:line="259" w:lineRule="auto"/>
            </w:pPr>
            <w:r>
              <w:rPr>
                <w:rFonts w:ascii="Calibri" w:hAnsi="Calibri"/>
                <w:b w:val="0"/>
                <w:i w:val="0"/>
                <w:color w:val="212121"/>
                <w:sz w:val="16"/>
              </w:rPr>
              <w:t>Hyperthyroidism mimics generalised anxiety and heightens arousal; treatable mimic to exclude</w:t>
            </w:r>
          </w:p>
        </w:tc>
        <w:tc>
          <w:tcPr>
            <w:tcW w:type="dxa" w:w="1036"/>
            <w:vAlign w:val="top"/>
          </w:tcPr>
          <w:p>
            <w:pPr>
              <w:spacing w:after="40" w:before="0" w:line="259" w:lineRule="auto"/>
            </w:pPr>
            <w:r>
              <w:rPr>
                <w:rFonts w:ascii="Calibri" w:hAnsi="Calibri"/>
                <w:b w:val="0"/>
                <w:i w:val="0"/>
                <w:color w:val="212121"/>
                <w:sz w:val="16"/>
              </w:rPr>
              <w:t>Adults with tremor, palpitations, 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Order when autonomic symptoms are prominent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w:t>
            </w:r>
          </w:p>
        </w:tc>
        <w:tc>
          <w:tcPr>
            <w:tcW w:type="dxa" w:w="892"/>
            <w:vAlign w:val="top"/>
          </w:tcPr>
          <w:p>
            <w:pPr>
              <w:spacing w:after="40" w:before="0" w:line="259" w:lineRule="auto"/>
            </w:pPr>
            <w:r>
              <w:rPr>
                <w:rFonts w:ascii="Calibri" w:hAnsi="Calibri"/>
                <w:b w:val="0"/>
                <w:i w:val="0"/>
                <w:color w:val="212121"/>
                <w:sz w:val="16"/>
              </w:rPr>
              <w:t>Fasting/random glucose</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Hypoglycaemia &lt; 70 mg/dL</w:t>
            </w:r>
          </w:p>
        </w:tc>
        <w:tc>
          <w:tcPr>
            <w:tcW w:type="dxa" w:w="1036"/>
            <w:vAlign w:val="top"/>
          </w:tcPr>
          <w:p>
            <w:pPr>
              <w:spacing w:after="40" w:before="0" w:line="259" w:lineRule="auto"/>
            </w:pPr>
            <w:r>
              <w:rPr>
                <w:rFonts w:ascii="Calibri" w:hAnsi="Calibri"/>
                <w:b w:val="0"/>
                <w:i w:val="0"/>
                <w:color w:val="212121"/>
                <w:sz w:val="16"/>
              </w:rPr>
              <w:t>Hypoglycaemia produces adrenergic symptoms (tremor, sweating, palpitations) that resemble a fear response</w:t>
            </w:r>
          </w:p>
        </w:tc>
        <w:tc>
          <w:tcPr>
            <w:tcW w:type="dxa" w:w="1036"/>
            <w:vAlign w:val="top"/>
          </w:tcPr>
          <w:p>
            <w:pPr>
              <w:spacing w:after="40" w:before="0" w:line="259" w:lineRule="auto"/>
            </w:pPr>
            <w:r>
              <w:rPr>
                <w:rFonts w:ascii="Calibri" w:hAnsi="Calibri"/>
                <w:b w:val="0"/>
                <w:i w:val="0"/>
                <w:color w:val="212121"/>
                <w:sz w:val="16"/>
              </w:rPr>
              <w:t>Adults with attacks; diabetics on treatment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Best checked during symptoms if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within normal range</w:t>
            </w:r>
          </w:p>
        </w:tc>
        <w:tc>
          <w:tcPr>
            <w:tcW w:type="dxa" w:w="950"/>
            <w:vAlign w:val="top"/>
          </w:tcPr>
          <w:p>
            <w:pPr>
              <w:spacing w:after="40" w:before="0" w:line="259" w:lineRule="auto"/>
            </w:pPr>
            <w:r>
              <w:rPr>
                <w:rFonts w:ascii="Calibri" w:hAnsi="Calibri"/>
                <w:b w:val="0"/>
                <w:i w:val="0"/>
                <w:color w:val="212121"/>
                <w:sz w:val="16"/>
              </w:rPr>
              <w:t>Anaemia</w:t>
            </w:r>
          </w:p>
        </w:tc>
        <w:tc>
          <w:tcPr>
            <w:tcW w:type="dxa" w:w="1036"/>
            <w:vAlign w:val="top"/>
          </w:tcPr>
          <w:p>
            <w:pPr>
              <w:spacing w:after="40" w:before="0" w:line="259" w:lineRule="auto"/>
            </w:pPr>
            <w:r>
              <w:rPr>
                <w:rFonts w:ascii="Calibri" w:hAnsi="Calibri"/>
                <w:b w:val="0"/>
                <w:i w:val="0"/>
                <w:color w:val="212121"/>
                <w:sz w:val="16"/>
              </w:rPr>
              <w:t>Anaemia causes palpitations and light-headedness that can be mistaken for anxiety on exposure</w:t>
            </w:r>
          </w:p>
        </w:tc>
        <w:tc>
          <w:tcPr>
            <w:tcW w:type="dxa" w:w="1036"/>
            <w:vAlign w:val="top"/>
          </w:tcPr>
          <w:p>
            <w:pPr>
              <w:spacing w:after="40" w:before="0" w:line="259" w:lineRule="auto"/>
            </w:pPr>
            <w:r>
              <w:rPr>
                <w:rFonts w:ascii="Calibri" w:hAnsi="Calibri"/>
                <w:b w:val="0"/>
                <w:i w:val="0"/>
                <w:color w:val="212121"/>
                <w:sz w:val="16"/>
              </w:rPr>
              <w:t>Women, adults with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Anaemia is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Cardiovascular</w:t>
            </w:r>
          </w:p>
        </w:tc>
        <w:tc>
          <w:tcPr>
            <w:tcW w:type="dxa" w:w="1036"/>
            <w:vAlign w:val="top"/>
          </w:tcPr>
          <w:p>
            <w:pPr>
              <w:spacing w:after="40" w:before="0" w:line="259" w:lineRule="auto"/>
            </w:pPr>
            <w:r>
              <w:rPr>
                <w:rFonts w:ascii="Calibri" w:hAnsi="Calibri"/>
                <w:b w:val="0"/>
                <w:i w:val="0"/>
                <w:color w:val="212121"/>
                <w:sz w:val="16"/>
              </w:rPr>
              <w:t>Heart rate &amp; blood-pressure response</w:t>
            </w:r>
          </w:p>
        </w:tc>
        <w:tc>
          <w:tcPr>
            <w:tcW w:type="dxa" w:w="892"/>
            <w:vAlign w:val="top"/>
          </w:tcPr>
          <w:p>
            <w:pPr>
              <w:spacing w:after="40" w:before="0" w:line="259" w:lineRule="auto"/>
            </w:pPr>
            <w:r>
              <w:rPr>
                <w:rFonts w:ascii="Calibri" w:hAnsi="Calibri"/>
                <w:b w:val="0"/>
                <w:i w:val="0"/>
                <w:color w:val="212121"/>
                <w:sz w:val="16"/>
              </w:rPr>
              <w:t>Monitored exposure / tilt assessment</w:t>
            </w:r>
          </w:p>
        </w:tc>
        <w:tc>
          <w:tcPr>
            <w:tcW w:type="dxa" w:w="950"/>
            <w:vAlign w:val="top"/>
          </w:tcPr>
          <w:p>
            <w:pPr>
              <w:spacing w:after="40" w:before="0" w:line="259" w:lineRule="auto"/>
            </w:pPr>
            <w:r>
              <w:rPr>
                <w:rFonts w:ascii="Calibri" w:hAnsi="Calibri"/>
                <w:b w:val="0"/>
                <w:i w:val="0"/>
                <w:color w:val="212121"/>
                <w:sz w:val="16"/>
              </w:rPr>
              <w:t>Tachycardia with maintained BP (typical fear response)</w:t>
            </w:r>
          </w:p>
        </w:tc>
        <w:tc>
          <w:tcPr>
            <w:tcW w:type="dxa" w:w="950"/>
            <w:vAlign w:val="top"/>
          </w:tcPr>
          <w:p>
            <w:pPr>
              <w:spacing w:after="40" w:before="0" w:line="259" w:lineRule="auto"/>
            </w:pPr>
            <w:r>
              <w:rPr>
                <w:rFonts w:ascii="Calibri" w:hAnsi="Calibri"/>
                <w:b w:val="0"/>
                <w:i w:val="0"/>
                <w:color w:val="212121"/>
                <w:sz w:val="16"/>
              </w:rPr>
              <w:t>Diphasic rise then bradycardia and hypotension → syncope</w:t>
            </w:r>
          </w:p>
        </w:tc>
        <w:tc>
          <w:tcPr>
            <w:tcW w:type="dxa" w:w="1036"/>
            <w:vAlign w:val="top"/>
          </w:tcPr>
          <w:p>
            <w:pPr>
              <w:spacing w:after="40" w:before="0" w:line="259" w:lineRule="auto"/>
            </w:pPr>
            <w:r>
              <w:rPr>
                <w:rFonts w:ascii="Calibri" w:hAnsi="Calibri"/>
                <w:b w:val="0"/>
                <w:i w:val="0"/>
                <w:color w:val="212121"/>
                <w:sz w:val="16"/>
              </w:rPr>
              <w:t>Characterises the blood-injection-injury vasovagal reflex and confirms the fainting mechanism</w:t>
            </w:r>
          </w:p>
        </w:tc>
        <w:tc>
          <w:tcPr>
            <w:tcW w:type="dxa" w:w="1036"/>
            <w:vAlign w:val="top"/>
          </w:tcPr>
          <w:p>
            <w:pPr>
              <w:spacing w:after="40" w:before="0" w:line="259" w:lineRule="auto"/>
            </w:pPr>
            <w:r>
              <w:rPr>
                <w:rFonts w:ascii="Calibri" w:hAnsi="Calibri"/>
                <w:b w:val="0"/>
                <w:i w:val="0"/>
                <w:color w:val="212121"/>
                <w:sz w:val="16"/>
              </w:rPr>
              <w:t>Blood-injection-injury phobia with fainting</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Explains and guides applied-tension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Substance/stimulant screen</w:t>
            </w:r>
          </w:p>
        </w:tc>
        <w:tc>
          <w:tcPr>
            <w:tcW w:type="dxa" w:w="892"/>
            <w:vAlign w:val="top"/>
          </w:tcPr>
          <w:p>
            <w:pPr>
              <w:spacing w:after="40" w:before="0" w:line="259" w:lineRule="auto"/>
            </w:pPr>
            <w:r>
              <w:rPr>
                <w:rFonts w:ascii="Calibri" w:hAnsi="Calibri"/>
                <w:b w:val="0"/>
                <w:i w:val="0"/>
                <w:color w:val="212121"/>
                <w:sz w:val="16"/>
              </w:rPr>
              <w:t>Urine toxicology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Stimulant or other substance positive</w:t>
            </w:r>
          </w:p>
        </w:tc>
        <w:tc>
          <w:tcPr>
            <w:tcW w:type="dxa" w:w="1036"/>
            <w:vAlign w:val="top"/>
          </w:tcPr>
          <w:p>
            <w:pPr>
              <w:spacing w:after="40" w:before="0" w:line="259" w:lineRule="auto"/>
            </w:pPr>
            <w:r>
              <w:rPr>
                <w:rFonts w:ascii="Calibri" w:hAnsi="Calibri"/>
                <w:b w:val="0"/>
                <w:i w:val="0"/>
                <w:color w:val="212121"/>
                <w:sz w:val="16"/>
              </w:rPr>
              <w:t>Identifies substance-induced anxiety and screens self-medication with alcohol/sedatives</w:t>
            </w:r>
          </w:p>
        </w:tc>
        <w:tc>
          <w:tcPr>
            <w:tcW w:type="dxa" w:w="1036"/>
            <w:vAlign w:val="top"/>
          </w:tcPr>
          <w:p>
            <w:pPr>
              <w:spacing w:after="40" w:before="0" w:line="259" w:lineRule="auto"/>
            </w:pPr>
            <w:r>
              <w:rPr>
                <w:rFonts w:ascii="Calibri" w:hAnsi="Calibri"/>
                <w:b w:val="0"/>
                <w:i w:val="0"/>
                <w:color w:val="212121"/>
                <w:sz w:val="16"/>
              </w:rPr>
              <w:t>Patients using alcohol/sedatives to cope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Use only when substance involvement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Circumscribed fear of a specific object/situation with immediate anxiety on exposure</w:t>
            </w:r>
          </w:p>
        </w:tc>
        <w:tc>
          <w:tcPr>
            <w:tcW w:type="dxa" w:w="950"/>
            <w:vAlign w:val="top"/>
          </w:tcPr>
          <w:p>
            <w:pPr>
              <w:spacing w:after="40" w:before="0" w:line="259" w:lineRule="auto"/>
            </w:pPr>
            <w:r>
              <w:rPr>
                <w:rFonts w:ascii="Calibri" w:hAnsi="Calibri"/>
                <w:b w:val="0"/>
                <w:i w:val="0"/>
                <w:color w:val="212121"/>
                <w:sz w:val="16"/>
              </w:rPr>
              <w:t>No specific fear</w:t>
            </w:r>
          </w:p>
        </w:tc>
        <w:tc>
          <w:tcPr>
            <w:tcW w:type="dxa" w:w="950"/>
            <w:vAlign w:val="top"/>
          </w:tcPr>
          <w:p>
            <w:pPr>
              <w:spacing w:after="40" w:before="0" w:line="259" w:lineRule="auto"/>
            </w:pPr>
            <w:r>
              <w:rPr>
                <w:rFonts w:ascii="Calibri" w:hAnsi="Calibri"/>
                <w:b w:val="0"/>
                <w:i w:val="0"/>
                <w:color w:val="212121"/>
                <w:sz w:val="16"/>
              </w:rPr>
              <w:t>Marked fear cued by a defined stimulus, actively avoided</w:t>
            </w:r>
          </w:p>
        </w:tc>
        <w:tc>
          <w:tcPr>
            <w:tcW w:type="dxa" w:w="1036"/>
            <w:vAlign w:val="top"/>
          </w:tcPr>
          <w:p>
            <w:pPr>
              <w:spacing w:after="40" w:before="0" w:line="259" w:lineRule="auto"/>
            </w:pPr>
            <w:r>
              <w:rPr>
                <w:rFonts w:ascii="Calibri" w:hAnsi="Calibri"/>
                <w:b w:val="0"/>
                <w:i w:val="0"/>
                <w:color w:val="212121"/>
                <w:sz w:val="16"/>
              </w:rPr>
              <w:t>Core diagnostic feature; identifies the phobic stimulus and subtype</w:t>
            </w:r>
          </w:p>
        </w:tc>
        <w:tc>
          <w:tcPr>
            <w:tcW w:type="dxa" w:w="1036"/>
            <w:vAlign w:val="top"/>
          </w:tcPr>
          <w:p>
            <w:pPr>
              <w:spacing w:after="40" w:before="0" w:line="259" w:lineRule="auto"/>
            </w:pPr>
            <w:r>
              <w:rPr>
                <w:rFonts w:ascii="Calibri" w:hAnsi="Calibri"/>
                <w:b w:val="0"/>
                <w:i w:val="0"/>
                <w:color w:val="212121"/>
                <w:sz w:val="16"/>
              </w:rPr>
              <w:t>Adults and children with cued fear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Identify animal / natural-environment / BII / situational / other 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Avoidance &amp; functional impact</w:t>
            </w:r>
          </w:p>
        </w:tc>
        <w:tc>
          <w:tcPr>
            <w:tcW w:type="dxa" w:w="979"/>
            <w:vAlign w:val="top"/>
          </w:tcPr>
          <w:p>
            <w:pPr>
              <w:spacing w:after="40" w:before="0" w:line="259" w:lineRule="auto"/>
            </w:pPr>
            <w:r>
              <w:rPr>
                <w:rFonts w:ascii="Calibri" w:hAnsi="Calibri"/>
                <w:b w:val="0"/>
                <w:i w:val="0"/>
                <w:color w:val="212121"/>
                <w:sz w:val="16"/>
              </w:rPr>
              <w:t>Degree of avoidance and interference with work, school, travel and health care</w:t>
            </w:r>
          </w:p>
        </w:tc>
        <w:tc>
          <w:tcPr>
            <w:tcW w:type="dxa" w:w="950"/>
            <w:vAlign w:val="top"/>
          </w:tcPr>
          <w:p>
            <w:pPr>
              <w:spacing w:after="40" w:before="0" w:line="259" w:lineRule="auto"/>
            </w:pPr>
            <w:r>
              <w:rPr>
                <w:rFonts w:ascii="Calibri" w:hAnsi="Calibri"/>
                <w:b w:val="0"/>
                <w:i w:val="0"/>
                <w:color w:val="212121"/>
                <w:sz w:val="16"/>
              </w:rPr>
              <w:t>No avoidance or impairment</w:t>
            </w:r>
          </w:p>
        </w:tc>
        <w:tc>
          <w:tcPr>
            <w:tcW w:type="dxa" w:w="950"/>
            <w:vAlign w:val="top"/>
          </w:tcPr>
          <w:p>
            <w:pPr>
              <w:spacing w:after="40" w:before="0" w:line="259" w:lineRule="auto"/>
            </w:pPr>
            <w:r>
              <w:rPr>
                <w:rFonts w:ascii="Calibri" w:hAnsi="Calibri"/>
                <w:b w:val="0"/>
                <w:i w:val="0"/>
                <w:color w:val="212121"/>
                <w:sz w:val="16"/>
              </w:rPr>
              <w:t>Avoidance disrupts daily life or essential medical care</w:t>
            </w:r>
          </w:p>
        </w:tc>
        <w:tc>
          <w:tcPr>
            <w:tcW w:type="dxa" w:w="1036"/>
            <w:vAlign w:val="top"/>
          </w:tcPr>
          <w:p>
            <w:pPr>
              <w:spacing w:after="40" w:before="0" w:line="259" w:lineRule="auto"/>
            </w:pPr>
            <w:r>
              <w:rPr>
                <w:rFonts w:ascii="Calibri" w:hAnsi="Calibri"/>
                <w:b w:val="0"/>
                <w:i w:val="0"/>
                <w:color w:val="212121"/>
                <w:sz w:val="16"/>
              </w:rPr>
              <w:t>Establishes clinical significance and disability</w:t>
            </w:r>
          </w:p>
        </w:tc>
        <w:tc>
          <w:tcPr>
            <w:tcW w:type="dxa" w:w="1036"/>
            <w:vAlign w:val="top"/>
          </w:tcPr>
          <w:p>
            <w:pPr>
              <w:spacing w:after="40" w:before="0" w:line="259" w:lineRule="auto"/>
            </w:pPr>
            <w:r>
              <w:rPr>
                <w:rFonts w:ascii="Calibri" w:hAnsi="Calibri"/>
                <w:b w:val="0"/>
                <w:i w:val="0"/>
                <w:color w:val="212121"/>
                <w:sz w:val="16"/>
              </w:rPr>
              <w:t>Patients avoiding travel, procedures or vaccination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deferred injections, blood tests, dental care and MRI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course &amp; duration</w:t>
            </w:r>
          </w:p>
        </w:tc>
        <w:tc>
          <w:tcPr>
            <w:tcW w:type="dxa" w:w="979"/>
            <w:vAlign w:val="top"/>
          </w:tcPr>
          <w:p>
            <w:pPr>
              <w:spacing w:after="40" w:before="0" w:line="259" w:lineRule="auto"/>
            </w:pPr>
            <w:r>
              <w:rPr>
                <w:rFonts w:ascii="Calibri" w:hAnsi="Calibri"/>
                <w:b w:val="0"/>
                <w:i w:val="0"/>
                <w:color w:val="212121"/>
                <w:sz w:val="16"/>
              </w:rPr>
              <w:t>Childhood/adolescent onset, precipitating trauma or vicarious learning, ≥ 6 months</w:t>
            </w:r>
          </w:p>
        </w:tc>
        <w:tc>
          <w:tcPr>
            <w:tcW w:type="dxa" w:w="950"/>
            <w:vAlign w:val="top"/>
          </w:tcPr>
          <w:p>
            <w:pPr>
              <w:spacing w:after="40" w:before="0" w:line="259" w:lineRule="auto"/>
            </w:pPr>
            <w:r>
              <w:rPr>
                <w:rFonts w:ascii="Calibri" w:hAnsi="Calibri"/>
                <w:b w:val="0"/>
                <w:i w:val="0"/>
                <w:color w:val="212121"/>
                <w:sz w:val="16"/>
              </w:rPr>
              <w:t>Transient developmental fear</w:t>
            </w:r>
          </w:p>
        </w:tc>
        <w:tc>
          <w:tcPr>
            <w:tcW w:type="dxa" w:w="950"/>
            <w:vAlign w:val="top"/>
          </w:tcPr>
          <w:p>
            <w:pPr>
              <w:spacing w:after="40" w:before="0" w:line="259" w:lineRule="auto"/>
            </w:pPr>
            <w:r>
              <w:rPr>
                <w:rFonts w:ascii="Calibri" w:hAnsi="Calibri"/>
                <w:b w:val="0"/>
                <w:i w:val="0"/>
                <w:color w:val="212121"/>
                <w:sz w:val="16"/>
              </w:rPr>
              <w:t>Persistent fear ≥ 6 months</w:t>
            </w:r>
          </w:p>
        </w:tc>
        <w:tc>
          <w:tcPr>
            <w:tcW w:type="dxa" w:w="1036"/>
            <w:vAlign w:val="top"/>
          </w:tcPr>
          <w:p>
            <w:pPr>
              <w:spacing w:after="40" w:before="0" w:line="259" w:lineRule="auto"/>
            </w:pPr>
            <w:r>
              <w:rPr>
                <w:rFonts w:ascii="Calibri" w:hAnsi="Calibri"/>
                <w:b w:val="0"/>
                <w:i w:val="0"/>
                <w:color w:val="212121"/>
                <w:sz w:val="16"/>
              </w:rPr>
              <w:t>Separates a lasting phobia from a normal, transient fear</w:t>
            </w:r>
          </w:p>
        </w:tc>
        <w:tc>
          <w:tcPr>
            <w:tcW w:type="dxa" w:w="1036"/>
            <w:vAlign w:val="top"/>
          </w:tcPr>
          <w:p>
            <w:pPr>
              <w:spacing w:after="40" w:before="0" w:line="259" w:lineRule="auto"/>
            </w:pPr>
            <w:r>
              <w:rPr>
                <w:rFonts w:ascii="Calibri" w:hAnsi="Calibri"/>
                <w:b w:val="0"/>
                <w:i w:val="0"/>
                <w:color w:val="212121"/>
                <w:sz w:val="16"/>
              </w:rPr>
              <w:t>Children and adults with persistent fear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Note any conditioning event (bite, near-drowning, painful injection)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substance use</w:t>
            </w:r>
          </w:p>
        </w:tc>
        <w:tc>
          <w:tcPr>
            <w:tcW w:type="dxa" w:w="979"/>
            <w:vAlign w:val="top"/>
          </w:tcPr>
          <w:p>
            <w:pPr>
              <w:spacing w:after="40" w:before="0" w:line="259" w:lineRule="auto"/>
            </w:pPr>
            <w:r>
              <w:rPr>
                <w:rFonts w:ascii="Calibri" w:hAnsi="Calibri"/>
                <w:b w:val="0"/>
                <w:i w:val="0"/>
                <w:color w:val="212121"/>
                <w:sz w:val="16"/>
              </w:rPr>
              <w:t>Other anxiety disorders, depression, alcohol/sedative use to cope</w:t>
            </w:r>
          </w:p>
        </w:tc>
        <w:tc>
          <w:tcPr>
            <w:tcW w:type="dxa" w:w="950"/>
            <w:vAlign w:val="top"/>
          </w:tcPr>
          <w:p>
            <w:pPr>
              <w:spacing w:after="40" w:before="0" w:line="259" w:lineRule="auto"/>
            </w:pPr>
            <w:r>
              <w:rPr>
                <w:rFonts w:ascii="Calibri" w:hAnsi="Calibri"/>
                <w:b w:val="0"/>
                <w:i w:val="0"/>
                <w:color w:val="212121"/>
                <w:sz w:val="16"/>
              </w:rPr>
              <w:t>No comorbidity</w:t>
            </w:r>
          </w:p>
        </w:tc>
        <w:tc>
          <w:tcPr>
            <w:tcW w:type="dxa" w:w="950"/>
            <w:vAlign w:val="top"/>
          </w:tcPr>
          <w:p>
            <w:pPr>
              <w:spacing w:after="40" w:before="0" w:line="259" w:lineRule="auto"/>
            </w:pPr>
            <w:r>
              <w:rPr>
                <w:rFonts w:ascii="Calibri" w:hAnsi="Calibri"/>
                <w:b w:val="0"/>
                <w:i w:val="0"/>
                <w:color w:val="212121"/>
                <w:sz w:val="16"/>
              </w:rPr>
              <w:t>Comorbid anxiety/depression or self-medication</w:t>
            </w:r>
          </w:p>
        </w:tc>
        <w:tc>
          <w:tcPr>
            <w:tcW w:type="dxa" w:w="1036"/>
            <w:vAlign w:val="top"/>
          </w:tcPr>
          <w:p>
            <w:pPr>
              <w:spacing w:after="40" w:before="0" w:line="259" w:lineRule="auto"/>
            </w:pPr>
            <w:r>
              <w:rPr>
                <w:rFonts w:ascii="Calibri" w:hAnsi="Calibri"/>
                <w:b w:val="0"/>
                <w:i w:val="0"/>
                <w:color w:val="212121"/>
                <w:sz w:val="16"/>
              </w:rPr>
              <w:t>Detects conditions that raise severity and suicide risk</w:t>
            </w:r>
          </w:p>
        </w:tc>
        <w:tc>
          <w:tcPr>
            <w:tcW w:type="dxa" w:w="1036"/>
            <w:vAlign w:val="top"/>
          </w:tcPr>
          <w:p>
            <w:pPr>
              <w:spacing w:after="40" w:before="0" w:line="259" w:lineRule="auto"/>
            </w:pPr>
            <w:r>
              <w:rPr>
                <w:rFonts w:ascii="Calibri" w:hAnsi="Calibri"/>
                <w:b w:val="0"/>
                <w:i w:val="0"/>
                <w:color w:val="212121"/>
                <w:sz w:val="16"/>
              </w:rPr>
              <w:t>Patients with multiple fears or low mood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Always screen mood and suicide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w:t>
            </w:r>
          </w:p>
        </w:tc>
        <w:tc>
          <w:tcPr>
            <w:tcW w:type="dxa" w:w="950"/>
            <w:vAlign w:val="top"/>
          </w:tcPr>
          <w:p>
            <w:pPr>
              <w:spacing w:after="40" w:before="0" w:line="259" w:lineRule="auto"/>
            </w:pPr>
            <w:r>
              <w:rPr>
                <w:rFonts w:ascii="Calibri" w:hAnsi="Calibri"/>
                <w:b w:val="0"/>
                <w:i w:val="0"/>
                <w:color w:val="212121"/>
                <w:sz w:val="16"/>
              </w:rPr>
              <w:t>Cognitions &amp; insight</w:t>
            </w:r>
          </w:p>
        </w:tc>
        <w:tc>
          <w:tcPr>
            <w:tcW w:type="dxa" w:w="979"/>
            <w:vAlign w:val="top"/>
          </w:tcPr>
          <w:p>
            <w:pPr>
              <w:spacing w:after="40" w:before="0" w:line="259" w:lineRule="auto"/>
            </w:pPr>
            <w:r>
              <w:rPr>
                <w:rFonts w:ascii="Calibri" w:hAnsi="Calibri"/>
                <w:b w:val="0"/>
                <w:i w:val="0"/>
                <w:color w:val="212121"/>
                <w:sz w:val="16"/>
              </w:rPr>
              <w:t>Recognition that fear is excessive, anticipatory anxiety, catastrophic beliefs</w:t>
            </w:r>
          </w:p>
        </w:tc>
        <w:tc>
          <w:tcPr>
            <w:tcW w:type="dxa" w:w="950"/>
            <w:vAlign w:val="top"/>
          </w:tcPr>
          <w:p>
            <w:pPr>
              <w:spacing w:after="40" w:before="0" w:line="259" w:lineRule="auto"/>
            </w:pPr>
            <w:r>
              <w:rPr>
                <w:rFonts w:ascii="Calibri" w:hAnsi="Calibri"/>
                <w:b w:val="0"/>
                <w:i w:val="0"/>
                <w:color w:val="212121"/>
                <w:sz w:val="16"/>
              </w:rPr>
              <w:t>No catastrophic beliefs</w:t>
            </w:r>
          </w:p>
        </w:tc>
        <w:tc>
          <w:tcPr>
            <w:tcW w:type="dxa" w:w="950"/>
            <w:vAlign w:val="top"/>
          </w:tcPr>
          <w:p>
            <w:pPr>
              <w:spacing w:after="40" w:before="0" w:line="259" w:lineRule="auto"/>
            </w:pPr>
            <w:r>
              <w:rPr>
                <w:rFonts w:ascii="Calibri" w:hAnsi="Calibri"/>
                <w:b w:val="0"/>
                <w:i w:val="0"/>
                <w:color w:val="212121"/>
                <w:sz w:val="16"/>
              </w:rPr>
              <w:t>Anticipatory dread and catastrophic misappraisal of the stimulus</w:t>
            </w:r>
          </w:p>
        </w:tc>
        <w:tc>
          <w:tcPr>
            <w:tcW w:type="dxa" w:w="1036"/>
            <w:vAlign w:val="top"/>
          </w:tcPr>
          <w:p>
            <w:pPr>
              <w:spacing w:after="40" w:before="0" w:line="259" w:lineRule="auto"/>
            </w:pPr>
            <w:r>
              <w:rPr>
                <w:rFonts w:ascii="Calibri" w:hAnsi="Calibri"/>
                <w:b w:val="0"/>
                <w:i w:val="0"/>
                <w:color w:val="212121"/>
                <w:sz w:val="16"/>
              </w:rPr>
              <w:t>Reveals the cognitive drivers targeted in CBT</w:t>
            </w:r>
          </w:p>
        </w:tc>
        <w:tc>
          <w:tcPr>
            <w:tcW w:type="dxa" w:w="1036"/>
            <w:vAlign w:val="top"/>
          </w:tcPr>
          <w:p>
            <w:pPr>
              <w:spacing w:after="40" w:before="0" w:line="259" w:lineRule="auto"/>
            </w:pPr>
            <w:r>
              <w:rPr>
                <w:rFonts w:ascii="Calibri" w:hAnsi="Calibri"/>
                <w:b w:val="0"/>
                <w:i w:val="0"/>
                <w:color w:val="212121"/>
                <w:sz w:val="16"/>
              </w:rPr>
              <w:t>Anxious, avoidant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Insight into excessiveness is usually preserved in adults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Vitals &amp; targeted exam</w:t>
            </w:r>
          </w:p>
        </w:tc>
        <w:tc>
          <w:tcPr>
            <w:tcW w:type="dxa" w:w="979"/>
            <w:vAlign w:val="top"/>
          </w:tcPr>
          <w:p>
            <w:pPr>
              <w:spacing w:after="40" w:before="0" w:line="259" w:lineRule="auto"/>
            </w:pPr>
            <w:r>
              <w:rPr>
                <w:rFonts w:ascii="Calibri" w:hAnsi="Calibri"/>
                <w:b w:val="0"/>
                <w:i w:val="0"/>
                <w:color w:val="212121"/>
                <w:sz w:val="16"/>
              </w:rPr>
              <w:t>Pulse, BP, autonomic signs; response to the feared stimulus</w:t>
            </w:r>
          </w:p>
        </w:tc>
        <w:tc>
          <w:tcPr>
            <w:tcW w:type="dxa" w:w="950"/>
            <w:vAlign w:val="top"/>
          </w:tcPr>
          <w:p>
            <w:pPr>
              <w:spacing w:after="40" w:before="0" w:line="259" w:lineRule="auto"/>
            </w:pPr>
            <w:r>
              <w:rPr>
                <w:rFonts w:ascii="Calibri" w:hAnsi="Calibri"/>
                <w:b w:val="0"/>
                <w:i w:val="0"/>
                <w:color w:val="212121"/>
                <w:sz w:val="16"/>
              </w:rPr>
              <w:t>Normal away from the phobic stimulus</w:t>
            </w:r>
          </w:p>
        </w:tc>
        <w:tc>
          <w:tcPr>
            <w:tcW w:type="dxa" w:w="950"/>
            <w:vAlign w:val="top"/>
          </w:tcPr>
          <w:p>
            <w:pPr>
              <w:spacing w:after="40" w:before="0" w:line="259" w:lineRule="auto"/>
            </w:pPr>
            <w:r>
              <w:rPr>
                <w:rFonts w:ascii="Calibri" w:hAnsi="Calibri"/>
                <w:b w:val="0"/>
                <w:i w:val="0"/>
                <w:color w:val="212121"/>
                <w:sz w:val="16"/>
              </w:rPr>
              <w:t>Tachycardia, tremor, sweating on exposure; pallor and bradycardia in BII</w:t>
            </w:r>
          </w:p>
        </w:tc>
        <w:tc>
          <w:tcPr>
            <w:tcW w:type="dxa" w:w="1036"/>
            <w:vAlign w:val="top"/>
          </w:tcPr>
          <w:p>
            <w:pPr>
              <w:spacing w:after="40" w:before="0" w:line="259" w:lineRule="auto"/>
            </w:pPr>
            <w:r>
              <w:rPr>
                <w:rFonts w:ascii="Calibri" w:hAnsi="Calibri"/>
                <w:b w:val="0"/>
                <w:i w:val="0"/>
                <w:color w:val="212121"/>
                <w:sz w:val="16"/>
              </w:rPr>
              <w:t>Confirms the fear response and detects the BII vasovagal pattern; excludes mimics</w:t>
            </w:r>
          </w:p>
        </w:tc>
        <w:tc>
          <w:tcPr>
            <w:tcW w:type="dxa" w:w="1036"/>
            <w:vAlign w:val="top"/>
          </w:tcPr>
          <w:p>
            <w:pPr>
              <w:spacing w:after="40" w:before="0" w:line="259" w:lineRule="auto"/>
            </w:pPr>
            <w:r>
              <w:rPr>
                <w:rFonts w:ascii="Calibri" w:hAnsi="Calibri"/>
                <w:b w:val="0"/>
                <w:i w:val="0"/>
                <w:color w:val="212121"/>
                <w:sz w:val="16"/>
              </w:rPr>
              <w:t>Patients examined during or near exposure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Examination is typically normal between exposures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Rating scales</w:t>
            </w:r>
          </w:p>
        </w:tc>
        <w:tc>
          <w:tcPr>
            <w:tcW w:type="dxa" w:w="950"/>
            <w:vAlign w:val="top"/>
          </w:tcPr>
          <w:p>
            <w:pPr>
              <w:spacing w:after="40" w:before="0" w:line="259" w:lineRule="auto"/>
            </w:pPr>
            <w:r>
              <w:rPr>
                <w:rFonts w:ascii="Calibri" w:hAnsi="Calibri"/>
                <w:b w:val="0"/>
                <w:i w:val="0"/>
                <w:color w:val="212121"/>
                <w:sz w:val="16"/>
              </w:rPr>
              <w:t>Severity Measure / Fear Questionnaire / SUDS</w:t>
            </w:r>
          </w:p>
        </w:tc>
        <w:tc>
          <w:tcPr>
            <w:tcW w:type="dxa" w:w="979"/>
            <w:vAlign w:val="top"/>
          </w:tcPr>
          <w:p>
            <w:pPr>
              <w:spacing w:after="40" w:before="0" w:line="259" w:lineRule="auto"/>
            </w:pPr>
            <w:r>
              <w:rPr>
                <w:rFonts w:ascii="Calibri" w:hAnsi="Calibri"/>
                <w:b w:val="0"/>
                <w:i w:val="0"/>
                <w:color w:val="212121"/>
                <w:sz w:val="16"/>
              </w:rPr>
              <w:t>Standardised fear, avoidance and distress scores</w:t>
            </w:r>
          </w:p>
        </w:tc>
        <w:tc>
          <w:tcPr>
            <w:tcW w:type="dxa" w:w="950"/>
            <w:vAlign w:val="top"/>
          </w:tcPr>
          <w:p>
            <w:pPr>
              <w:spacing w:after="40" w:before="0" w:line="259" w:lineRule="auto"/>
            </w:pPr>
            <w:r>
              <w:rPr>
                <w:rFonts w:ascii="Calibri" w:hAnsi="Calibri"/>
                <w:b w:val="0"/>
                <w:i w:val="0"/>
                <w:color w:val="212121"/>
                <w:sz w:val="16"/>
              </w:rPr>
              <w:t>Low scores</w:t>
            </w:r>
          </w:p>
        </w:tc>
        <w:tc>
          <w:tcPr>
            <w:tcW w:type="dxa" w:w="950"/>
            <w:vAlign w:val="top"/>
          </w:tcPr>
          <w:p>
            <w:pPr>
              <w:spacing w:after="40" w:before="0" w:line="259" w:lineRule="auto"/>
            </w:pPr>
            <w:r>
              <w:rPr>
                <w:rFonts w:ascii="Calibri" w:hAnsi="Calibri"/>
                <w:b w:val="0"/>
                <w:i w:val="0"/>
                <w:color w:val="212121"/>
                <w:sz w:val="16"/>
              </w:rPr>
              <w:t>Elevated scores</w:t>
            </w:r>
          </w:p>
        </w:tc>
        <w:tc>
          <w:tcPr>
            <w:tcW w:type="dxa" w:w="1036"/>
            <w:vAlign w:val="top"/>
          </w:tcPr>
          <w:p>
            <w:pPr>
              <w:spacing w:after="40" w:before="0" w:line="259" w:lineRule="auto"/>
            </w:pPr>
            <w:r>
              <w:rPr>
                <w:rFonts w:ascii="Calibri" w:hAnsi="Calibri"/>
                <w:b w:val="0"/>
                <w:i w:val="0"/>
                <w:color w:val="212121"/>
                <w:sz w:val="16"/>
              </w:rPr>
              <w:t>Quantifies severity and tracks response to exposure therapy</w:t>
            </w:r>
          </w:p>
        </w:tc>
        <w:tc>
          <w:tcPr>
            <w:tcW w:type="dxa" w:w="1036"/>
            <w:vAlign w:val="top"/>
          </w:tcPr>
          <w:p>
            <w:pPr>
              <w:spacing w:after="40" w:before="0" w:line="259" w:lineRule="auto"/>
            </w:pPr>
            <w:r>
              <w:rPr>
                <w:rFonts w:ascii="Calibri" w:hAnsi="Calibri"/>
                <w:b w:val="0"/>
                <w:i w:val="0"/>
                <w:color w:val="212121"/>
                <w:sz w:val="16"/>
              </w:rPr>
              <w:t>All diagnosed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Repeat to demonstrate habituation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Behavioural test</w:t>
            </w:r>
          </w:p>
        </w:tc>
        <w:tc>
          <w:tcPr>
            <w:tcW w:type="dxa" w:w="950"/>
            <w:vAlign w:val="top"/>
          </w:tcPr>
          <w:p>
            <w:pPr>
              <w:spacing w:after="40" w:before="0" w:line="259" w:lineRule="auto"/>
            </w:pPr>
            <w:r>
              <w:rPr>
                <w:rFonts w:ascii="Calibri" w:hAnsi="Calibri"/>
                <w:b w:val="0"/>
                <w:i w:val="0"/>
                <w:color w:val="212121"/>
                <w:sz w:val="16"/>
              </w:rPr>
              <w:t>Behavioural Avoidance Test (BAT)</w:t>
            </w:r>
          </w:p>
        </w:tc>
        <w:tc>
          <w:tcPr>
            <w:tcW w:type="dxa" w:w="979"/>
            <w:vAlign w:val="top"/>
          </w:tcPr>
          <w:p>
            <w:pPr>
              <w:spacing w:after="40" w:before="0" w:line="259" w:lineRule="auto"/>
            </w:pPr>
            <w:r>
              <w:rPr>
                <w:rFonts w:ascii="Calibri" w:hAnsi="Calibri"/>
                <w:b w:val="0"/>
                <w:i w:val="0"/>
                <w:color w:val="212121"/>
                <w:sz w:val="16"/>
              </w:rPr>
              <w:t>Graded approach toward the feared stimulus</w:t>
            </w:r>
          </w:p>
        </w:tc>
        <w:tc>
          <w:tcPr>
            <w:tcW w:type="dxa" w:w="950"/>
            <w:vAlign w:val="top"/>
          </w:tcPr>
          <w:p>
            <w:pPr>
              <w:spacing w:after="40" w:before="0" w:line="259" w:lineRule="auto"/>
            </w:pPr>
            <w:r>
              <w:rPr>
                <w:rFonts w:ascii="Calibri" w:hAnsi="Calibri"/>
                <w:b w:val="0"/>
                <w:i w:val="0"/>
                <w:color w:val="212121"/>
                <w:sz w:val="16"/>
              </w:rPr>
              <w:t>Completes approach with tolerable distress</w:t>
            </w:r>
          </w:p>
        </w:tc>
        <w:tc>
          <w:tcPr>
            <w:tcW w:type="dxa" w:w="950"/>
            <w:vAlign w:val="top"/>
          </w:tcPr>
          <w:p>
            <w:pPr>
              <w:spacing w:after="40" w:before="0" w:line="259" w:lineRule="auto"/>
            </w:pPr>
            <w:r>
              <w:rPr>
                <w:rFonts w:ascii="Calibri" w:hAnsi="Calibri"/>
                <w:b w:val="0"/>
                <w:i w:val="0"/>
                <w:color w:val="212121"/>
                <w:sz w:val="16"/>
              </w:rPr>
              <w:t>Refuses or aborts the approach</w:t>
            </w:r>
          </w:p>
        </w:tc>
        <w:tc>
          <w:tcPr>
            <w:tcW w:type="dxa" w:w="1036"/>
            <w:vAlign w:val="top"/>
          </w:tcPr>
          <w:p>
            <w:pPr>
              <w:spacing w:after="40" w:before="0" w:line="259" w:lineRule="auto"/>
            </w:pPr>
            <w:r>
              <w:rPr>
                <w:rFonts w:ascii="Calibri" w:hAnsi="Calibri"/>
                <w:b w:val="0"/>
                <w:i w:val="0"/>
                <w:color w:val="212121"/>
                <w:sz w:val="16"/>
              </w:rPr>
              <w:t>Objectively measures avoidance and guides the exposure hierarchy</w:t>
            </w:r>
          </w:p>
        </w:tc>
        <w:tc>
          <w:tcPr>
            <w:tcW w:type="dxa" w:w="1036"/>
            <w:vAlign w:val="top"/>
          </w:tcPr>
          <w:p>
            <w:pPr>
              <w:spacing w:after="40" w:before="0" w:line="259" w:lineRule="auto"/>
            </w:pPr>
            <w:r>
              <w:rPr>
                <w:rFonts w:ascii="Calibri" w:hAnsi="Calibri"/>
                <w:b w:val="0"/>
                <w:i w:val="0"/>
                <w:color w:val="212121"/>
                <w:sz w:val="16"/>
              </w:rPr>
              <w:t>Patients entering exposure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used to measure treatment progress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Immediate intense fear or anxiety on exposure to the feared stimulus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the reaction is near-automatic and out of proportion to real danger.</w:t>
            </w:r>
          </w:p>
        </w:tc>
      </w:tr>
      <w:tr>
        <w:trPr>
          <w:cantSplit/>
        </w:trPr>
        <w:tc>
          <w:tcPr>
            <w:tcW w:type="dxa" w:w="2304"/>
            <w:vAlign w:val="top"/>
          </w:tcPr>
          <w:p>
            <w:pPr>
              <w:spacing w:after="40" w:before="0" w:line="259" w:lineRule="auto"/>
            </w:pPr>
            <w:r>
              <w:rPr>
                <w:rFonts w:ascii="Calibri" w:hAnsi="Calibri"/>
                <w:b/>
                <w:i w:val="0"/>
                <w:color w:val="212121"/>
                <w:sz w:val="19"/>
              </w:rPr>
              <w:t>Anticipatory anxiety / dread before possible exposure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Worry in the days or hours before an unavoidable encounter (e.g., a flight or an injection).</w:t>
            </w:r>
          </w:p>
        </w:tc>
      </w:tr>
      <w:tr>
        <w:trPr>
          <w:cantSplit/>
        </w:trPr>
        <w:tc>
          <w:tcPr>
            <w:tcW w:type="dxa" w:w="2304"/>
            <w:vAlign w:val="top"/>
          </w:tcPr>
          <w:p>
            <w:pPr>
              <w:spacing w:after="40" w:before="0" w:line="259" w:lineRule="auto"/>
            </w:pPr>
            <w:r>
              <w:rPr>
                <w:rFonts w:ascii="Calibri" w:hAnsi="Calibri"/>
                <w:b/>
                <w:i w:val="0"/>
                <w:color w:val="212121"/>
                <w:sz w:val="19"/>
              </w:rPr>
              <w:t>Palpitations or pounding heart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surge during the fear response.</w:t>
            </w:r>
          </w:p>
        </w:tc>
      </w:tr>
      <w:tr>
        <w:trPr>
          <w:cantSplit/>
        </w:trPr>
        <w:tc>
          <w:tcPr>
            <w:tcW w:type="dxa" w:w="2304"/>
            <w:vAlign w:val="top"/>
          </w:tcPr>
          <w:p>
            <w:pPr>
              <w:spacing w:after="40" w:before="0" w:line="259" w:lineRule="auto"/>
            </w:pPr>
            <w:r>
              <w:rPr>
                <w:rFonts w:ascii="Calibri" w:hAnsi="Calibri"/>
                <w:b/>
                <w:i w:val="0"/>
                <w:color w:val="212121"/>
                <w:sz w:val="19"/>
              </w:rPr>
              <w:t>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sympathetic activation on exposure.</w:t>
            </w:r>
          </w:p>
        </w:tc>
      </w:tr>
      <w:tr>
        <w:trPr>
          <w:cantSplit/>
        </w:trPr>
        <w:tc>
          <w:tcPr>
            <w:tcW w:type="dxa" w:w="2304"/>
            <w:vAlign w:val="top"/>
          </w:tcPr>
          <w:p>
            <w:pPr>
              <w:spacing w:after="40" w:before="0" w:line="259" w:lineRule="auto"/>
            </w:pPr>
            <w:r>
              <w:rPr>
                <w:rFonts w:ascii="Calibri" w:hAnsi="Calibri"/>
                <w:b/>
                <w:i w:val="0"/>
                <w:color w:val="212121"/>
                <w:sz w:val="19"/>
              </w:rPr>
              <w:t>Trembling or shaking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Motor sign of the fight-or-flight response.</w:t>
            </w:r>
          </w:p>
        </w:tc>
      </w:tr>
      <w:tr>
        <w:trPr>
          <w:cantSplit/>
        </w:trPr>
        <w:tc>
          <w:tcPr>
            <w:tcW w:type="dxa" w:w="2304"/>
            <w:vAlign w:val="top"/>
          </w:tcPr>
          <w:p>
            <w:pPr>
              <w:spacing w:after="40" w:before="0" w:line="259" w:lineRule="auto"/>
            </w:pPr>
            <w:r>
              <w:rPr>
                <w:rFonts w:ascii="Calibri" w:hAnsi="Calibri"/>
                <w:b/>
                <w:i w:val="0"/>
                <w:color w:val="212121"/>
                <w:sz w:val="19"/>
              </w:rPr>
              <w:t>Shortness of breath or 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Air-hunger and thoracic tightness that can escalate toward a panic attack.</w:t>
            </w:r>
          </w:p>
        </w:tc>
      </w:tr>
      <w:tr>
        <w:trPr>
          <w:cantSplit/>
        </w:trPr>
        <w:tc>
          <w:tcPr>
            <w:tcW w:type="dxa" w:w="2304"/>
            <w:vAlign w:val="top"/>
          </w:tcPr>
          <w:p>
            <w:pPr>
              <w:spacing w:after="40" w:before="0" w:line="259" w:lineRule="auto"/>
            </w:pPr>
            <w:r>
              <w:rPr>
                <w:rFonts w:ascii="Calibri" w:hAnsi="Calibri"/>
                <w:b/>
                <w:i w:val="0"/>
                <w:color w:val="212121"/>
                <w:sz w:val="19"/>
              </w:rPr>
              <w:t>Overwhelming urge to escape or avoid the stimulus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Drives the avoidance that maintains the phobia.</w:t>
            </w:r>
          </w:p>
        </w:tc>
      </w:tr>
      <w:tr>
        <w:trPr>
          <w:cantSplit/>
        </w:trPr>
        <w:tc>
          <w:tcPr>
            <w:tcW w:type="dxa" w:w="2304"/>
            <w:vAlign w:val="top"/>
          </w:tcPr>
          <w:p>
            <w:pPr>
              <w:spacing w:after="40" w:before="0" w:line="259" w:lineRule="auto"/>
            </w:pPr>
            <w:r>
              <w:rPr>
                <w:rFonts w:ascii="Calibri" w:hAnsi="Calibri"/>
                <w:b/>
                <w:i w:val="0"/>
                <w:color w:val="212121"/>
                <w:sz w:val="19"/>
              </w:rPr>
              <w:t>Nausea or abdominal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Gut autonomic response during acute fear.</w:t>
            </w:r>
          </w:p>
        </w:tc>
      </w:tr>
      <w:tr>
        <w:trPr>
          <w:cantSplit/>
        </w:trPr>
        <w:tc>
          <w:tcPr>
            <w:tcW w:type="dxa" w:w="2304"/>
            <w:vAlign w:val="top"/>
          </w:tcPr>
          <w:p>
            <w:pPr>
              <w:spacing w:after="40" w:before="0" w:line="259" w:lineRule="auto"/>
            </w:pPr>
            <w:r>
              <w:rPr>
                <w:rFonts w:ascii="Calibri" w:hAnsi="Calibri"/>
                <w:b/>
                <w:i w:val="0"/>
                <w:color w:val="212121"/>
                <w:sz w:val="19"/>
              </w:rPr>
              <w:t>Dizziness or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from hyperventilation; a warning of fainting in the BII subtype.</w:t>
            </w:r>
          </w:p>
        </w:tc>
      </w:tr>
      <w:tr>
        <w:trPr>
          <w:cantSplit/>
        </w:trPr>
        <w:tc>
          <w:tcPr>
            <w:tcW w:type="dxa" w:w="2304"/>
            <w:vAlign w:val="top"/>
          </w:tcPr>
          <w:p>
            <w:pPr>
              <w:spacing w:after="40" w:before="0" w:line="259" w:lineRule="auto"/>
            </w:pPr>
            <w:r>
              <w:rPr>
                <w:rFonts w:ascii="Calibri" w:hAnsi="Calibri"/>
                <w:b/>
                <w:i w:val="0"/>
                <w:color w:val="212121"/>
                <w:sz w:val="19"/>
              </w:rPr>
              <w:t>Dry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salivation from sympathetic arousal.</w:t>
            </w:r>
          </w:p>
        </w:tc>
      </w:tr>
      <w:tr>
        <w:trPr>
          <w:cantSplit/>
        </w:trPr>
        <w:tc>
          <w:tcPr>
            <w:tcW w:type="dxa" w:w="2304"/>
            <w:vAlign w:val="top"/>
          </w:tcPr>
          <w:p>
            <w:pPr>
              <w:spacing w:after="40" w:before="0" w:line="259" w:lineRule="auto"/>
            </w:pPr>
            <w:r>
              <w:rPr>
                <w:rFonts w:ascii="Calibri" w:hAnsi="Calibri"/>
                <w:b/>
                <w:i w:val="0"/>
                <w:color w:val="212121"/>
                <w:sz w:val="19"/>
              </w:rPr>
              <w:t>Faintness or actual fainting on seeing blood/needles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Hallmark of the blood-injection-injury subtype, driven by a vasovagal (parasympathetic) reflex.</w:t>
            </w:r>
          </w:p>
        </w:tc>
      </w:tr>
      <w:tr>
        <w:trPr>
          <w:cantSplit/>
        </w:trPr>
        <w:tc>
          <w:tcPr>
            <w:tcW w:type="dxa" w:w="2304"/>
            <w:vAlign w:val="top"/>
          </w:tcPr>
          <w:p>
            <w:pPr>
              <w:spacing w:after="40" w:before="0" w:line="259" w:lineRule="auto"/>
            </w:pPr>
            <w:r>
              <w:rPr>
                <w:rFonts w:ascii="Calibri" w:hAnsi="Calibri"/>
                <w:b/>
                <w:i w:val="0"/>
                <w:color w:val="212121"/>
                <w:sz w:val="19"/>
              </w:rPr>
              <w:t>Crying, freezing, clinging or tantrums (in children)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How the fear typically expresses itself in young children rather than a stated fear.</w:t>
            </w:r>
          </w:p>
        </w:tc>
      </w:tr>
      <w:tr>
        <w:trPr>
          <w:cantSplit/>
        </w:trPr>
        <w:tc>
          <w:tcPr>
            <w:tcW w:type="dxa" w:w="2304"/>
            <w:vAlign w:val="top"/>
          </w:tcPr>
          <w:p>
            <w:pPr>
              <w:spacing w:after="40" w:before="0" w:line="259" w:lineRule="auto"/>
            </w:pPr>
            <w:r>
              <w:rPr>
                <w:rFonts w:ascii="Calibri" w:hAnsi="Calibri"/>
                <w:b/>
                <w:i w:val="0"/>
                <w:color w:val="212121"/>
                <w:sz w:val="19"/>
              </w:rPr>
              <w:t>Derealisation or depersonalisation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sense of unreality or detachment during an intense exposure reaction.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Tachycardia during exposure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correlate of the adrenergic fear response; resolves away from the stimulus.</w:t>
            </w:r>
          </w:p>
        </w:tc>
      </w:tr>
      <w:tr>
        <w:trPr>
          <w:cantSplit/>
        </w:trPr>
        <w:tc>
          <w:tcPr>
            <w:tcW w:type="dxa" w:w="3456"/>
            <w:vAlign w:val="top"/>
          </w:tcPr>
          <w:p>
            <w:pPr>
              <w:spacing w:after="40" w:before="0" w:line="259" w:lineRule="auto"/>
            </w:pPr>
            <w:r>
              <w:rPr>
                <w:rFonts w:ascii="Calibri" w:hAnsi="Calibri"/>
                <w:b/>
                <w:i w:val="0"/>
                <w:color w:val="212121"/>
                <w:sz w:val="19"/>
              </w:rPr>
              <w:t>Tachypnoea / hyperventilation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breathing that can drive light-headedness and tingling.</w:t>
            </w:r>
          </w:p>
        </w:tc>
      </w:tr>
      <w:tr>
        <w:trPr>
          <w:cantSplit/>
        </w:trPr>
        <w:tc>
          <w:tcPr>
            <w:tcW w:type="dxa" w:w="3456"/>
            <w:vAlign w:val="top"/>
          </w:tcPr>
          <w:p>
            <w:pPr>
              <w:spacing w:after="40" w:before="0" w:line="259" w:lineRule="auto"/>
            </w:pPr>
            <w:r>
              <w:rPr>
                <w:rFonts w:ascii="Calibri" w:hAnsi="Calibri"/>
                <w:b/>
                <w:i w:val="0"/>
                <w:color w:val="212121"/>
                <w:sz w:val="19"/>
              </w:rPr>
              <w:t>Visible sweating (diaphoresis)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overactivity on exposure.</w:t>
            </w:r>
          </w:p>
        </w:tc>
      </w:tr>
      <w:tr>
        <w:trPr>
          <w:cantSplit/>
        </w:trPr>
        <w:tc>
          <w:tcPr>
            <w:tcW w:type="dxa" w:w="3456"/>
            <w:vAlign w:val="top"/>
          </w:tcPr>
          <w:p>
            <w:pPr>
              <w:spacing w:after="40" w:before="0" w:line="259" w:lineRule="auto"/>
            </w:pPr>
            <w:r>
              <w:rPr>
                <w:rFonts w:ascii="Calibri" w:hAnsi="Calibri"/>
                <w:b/>
                <w:i w:val="0"/>
                <w:color w:val="212121"/>
                <w:sz w:val="19"/>
              </w:rPr>
              <w:t>Fine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Adrenergic tremor during acute fear.</w:t>
            </w:r>
          </w:p>
        </w:tc>
      </w:tr>
      <w:tr>
        <w:trPr>
          <w:cantSplit/>
        </w:trPr>
        <w:tc>
          <w:tcPr>
            <w:tcW w:type="dxa" w:w="3456"/>
            <w:vAlign w:val="top"/>
          </w:tcPr>
          <w:p>
            <w:pPr>
              <w:spacing w:after="40" w:before="0" w:line="259" w:lineRule="auto"/>
            </w:pPr>
            <w:r>
              <w:rPr>
                <w:rFonts w:ascii="Calibri" w:hAnsi="Calibri"/>
                <w:b/>
                <w:i w:val="0"/>
                <w:color w:val="212121"/>
                <w:sz w:val="19"/>
              </w:rPr>
              <w:t>Behavioural avoidance / refusal to approach the stimulus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key observable sign; may be seen on a behavioural avoidance test.</w:t>
            </w:r>
          </w:p>
        </w:tc>
      </w:tr>
      <w:tr>
        <w:trPr>
          <w:cantSplit/>
        </w:trPr>
        <w:tc>
          <w:tcPr>
            <w:tcW w:type="dxa" w:w="3456"/>
            <w:vAlign w:val="top"/>
          </w:tcPr>
          <w:p>
            <w:pPr>
              <w:spacing w:after="40" w:before="0" w:line="259" w:lineRule="auto"/>
            </w:pPr>
            <w:r>
              <w:rPr>
                <w:rFonts w:ascii="Calibri" w:hAnsi="Calibri"/>
                <w:b/>
                <w:i w:val="0"/>
                <w:color w:val="212121"/>
                <w:sz w:val="19"/>
              </w:rPr>
              <w:t>Pallor with bradycardia and hypotension (BII subtype)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 diphasic vasovagal pattern that precedes fainting with blood or needles.</w:t>
            </w:r>
          </w:p>
        </w:tc>
      </w:tr>
      <w:tr>
        <w:trPr>
          <w:cantSplit/>
        </w:trPr>
        <w:tc>
          <w:tcPr>
            <w:tcW w:type="dxa" w:w="3456"/>
            <w:vAlign w:val="top"/>
          </w:tcPr>
          <w:p>
            <w:pPr>
              <w:spacing w:after="40" w:before="0" w:line="259" w:lineRule="auto"/>
            </w:pPr>
            <w:r>
              <w:rPr>
                <w:rFonts w:ascii="Calibri" w:hAnsi="Calibri"/>
                <w:b/>
                <w:i w:val="0"/>
                <w:color w:val="212121"/>
                <w:sz w:val="19"/>
              </w:rPr>
              <w:t>Vasovagal syncope on exposure (BII subtype)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Actual fainting, distinctive to blood-injection-injury phobia; risk of falls and injury.</w:t>
            </w:r>
          </w:p>
        </w:tc>
      </w:tr>
      <w:tr>
        <w:trPr>
          <w:cantSplit/>
        </w:trPr>
        <w:tc>
          <w:tcPr>
            <w:tcW w:type="dxa" w:w="3456"/>
            <w:vAlign w:val="top"/>
          </w:tcPr>
          <w:p>
            <w:pPr>
              <w:spacing w:after="40" w:before="0" w:line="259" w:lineRule="auto"/>
            </w:pPr>
            <w:r>
              <w:rPr>
                <w:rFonts w:ascii="Calibri" w:hAnsi="Calibri"/>
                <w:b/>
                <w:i w:val="0"/>
                <w:color w:val="212121"/>
                <w:sz w:val="19"/>
              </w:rPr>
              <w:t>Freezing, clinging or tantrum (children)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Behavioural expression of fear in young children.</w:t>
            </w:r>
          </w:p>
        </w:tc>
      </w:tr>
      <w:tr>
        <w:trPr>
          <w:cantSplit/>
        </w:trPr>
        <w:tc>
          <w:tcPr>
            <w:tcW w:type="dxa" w:w="3456"/>
            <w:vAlign w:val="top"/>
          </w:tcPr>
          <w:p>
            <w:pPr>
              <w:spacing w:after="40" w:before="0" w:line="259" w:lineRule="auto"/>
            </w:pPr>
            <w:r>
              <w:rPr>
                <w:rFonts w:ascii="Calibri" w:hAnsi="Calibri"/>
                <w:b/>
                <w:i w:val="0"/>
                <w:color w:val="212121"/>
                <w:sz w:val="19"/>
              </w:rPr>
              <w:t>Normal examination away from the phobic stimulus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key clue that the reaction is cued and situational rather than due to primary organic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panic-level anxiety or a full panic attack on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syncope with falls and injury in the blood-injection-injury subtype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Hyperventilation with light-headedness, tingling and carpopedal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Anticipatory anxiety and distress before unavoidable exposures</w:t>
            </w:r>
          </w:p>
        </w:tc>
        <w:tc>
          <w:tcPr>
            <w:tcW w:type="dxa" w:w="2980"/>
            <w:vAlign w:val="top"/>
          </w:tcPr>
          <w:p>
            <w:pPr>
              <w:spacing w:after="40" w:before="0" w:line="259" w:lineRule="auto"/>
            </w:pPr>
            <w:r>
              <w:rPr>
                <w:rFonts w:ascii="Calibri" w:hAnsi="Calibri"/>
                <w:b w:val="0"/>
                <w:i w:val="0"/>
                <w:color w:val="212121"/>
                <w:sz w:val="19"/>
              </w:rPr>
              <w:t>Direct consequences of the acute fear response and, in the BII subtype, the vasovagal reflex.</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Pervasive avoidance that restricts travel, work, schooling and social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Avoidance of essential health care — deferred vaccination, blood tests, dental treatment, insulin injections or MRI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and other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or sedative misuse used to endure feared situations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Academic underachievement and occupational limitation (e.g., flying phobia constraining careers)</w:t>
            </w:r>
          </w:p>
        </w:tc>
        <w:tc>
          <w:tcPr>
            <w:tcW w:type="dxa" w:w="2980"/>
            <w:vAlign w:val="top"/>
          </w:tcPr>
          <w:p>
            <w:pPr>
              <w:spacing w:after="40" w:before="0" w:line="259" w:lineRule="auto"/>
            </w:pPr>
            <w:r>
              <w:rPr>
                <w:rFonts w:ascii="Calibri" w:hAnsi="Calibri"/>
                <w:b w:val="0"/>
                <w:i w:val="0"/>
                <w:color w:val="212121"/>
                <w:sz w:val="19"/>
              </w:rPr>
              <w:t>Arise from chronic avoidance and from maladaptive coping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functional disability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 outcomes of untreated physical illness because diagnostic or treatment procedures are refused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and behaviour where depression is comorbid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w:t>
            </w:r>
          </w:p>
        </w:tc>
        <w:tc>
          <w:tcPr>
            <w:tcW w:type="dxa" w:w="2980"/>
            <w:vAlign w:val="top"/>
          </w:tcPr>
          <w:p>
            <w:pPr>
              <w:spacing w:after="40" w:before="0" w:line="259" w:lineRule="auto"/>
            </w:pPr>
            <w:r>
              <w:rPr>
                <w:rFonts w:ascii="Calibri" w:hAnsi="Calibri"/>
                <w:b w:val="0"/>
                <w:i w:val="0"/>
                <w:color w:val="212121"/>
                <w:sz w:val="19"/>
              </w:rPr>
              <w:t>Irreversible or hard-to-reverse outcomes of longstanding, untreated or under-treated phobia.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Other anxiety disorders (GAD, agoraphobia)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 fear-circuit pathophysiology and temperamental vulnerability; high comorbidity increases severity and disability.</w:t>
            </w:r>
          </w:p>
        </w:tc>
      </w:tr>
      <w:tr>
        <w:trPr>
          <w:cantSplit/>
        </w:trPr>
        <w:tc>
          <w:tcPr>
            <w:tcW w:type="dxa" w:w="2232"/>
            <w:vAlign w:val="top"/>
          </w:tcPr>
          <w:p>
            <w:pPr>
              <w:spacing w:after="40" w:before="0" w:line="259" w:lineRule="auto"/>
            </w:pPr>
            <w:r>
              <w:rPr>
                <w:rFonts w:ascii="Calibri" w:hAnsi="Calibri"/>
                <w:b/>
                <w:i w:val="0"/>
                <w:color w:val="212121"/>
                <w:sz w:val="19"/>
              </w:rPr>
              <w:t>Panic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Overlapping autonomic fear response; phobic exposure can culminate in panic attacks and the two frequently coexist.</w:t>
            </w:r>
          </w:p>
        </w:tc>
      </w:tr>
      <w:tr>
        <w:trPr>
          <w:cantSplit/>
        </w:trPr>
        <w:tc>
          <w:tcPr>
            <w:tcW w:type="dxa" w:w="2232"/>
            <w:vAlign w:val="top"/>
          </w:tcPr>
          <w:p>
            <w:pPr>
              <w:spacing w:after="40" w:before="0" w:line="259" w:lineRule="auto"/>
            </w:pPr>
            <w:r>
              <w:rPr>
                <w:rFonts w:ascii="Calibri" w:hAnsi="Calibri"/>
                <w:b/>
                <w:i w:val="0"/>
                <w:color w:val="212121"/>
                <w:sz w:val="19"/>
              </w:rPr>
              <w:t>Social anxiety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Related fear-and-avoidance disorder with shared temperament and early onset; distinguished by fear of social scrutiny rather than a specific object.</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avoidance and restricted life predispose to depression through shared stress mechanisms; comorbidity raises suicide risk.</w:t>
            </w:r>
          </w:p>
        </w:tc>
      </w:tr>
      <w:tr>
        <w:trPr>
          <w:cantSplit/>
        </w:trPr>
        <w:tc>
          <w:tcPr>
            <w:tcW w:type="dxa" w:w="2232"/>
            <w:vAlign w:val="top"/>
          </w:tcPr>
          <w:p>
            <w:pPr>
              <w:spacing w:after="40" w:before="0" w:line="259" w:lineRule="auto"/>
            </w:pPr>
            <w:r>
              <w:rPr>
                <w:rFonts w:ascii="Calibri" w:hAnsi="Calibri"/>
                <w:b/>
                <w:i w:val="0"/>
                <w:color w:val="212121"/>
                <w:sz w:val="19"/>
              </w:rPr>
              <w:t>Alcohol / sedative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Substances used to endure feared situations reinforce avoidance and can progress to dependence, which then complicates treatment.</w:t>
            </w:r>
          </w:p>
        </w:tc>
      </w:tr>
      <w:tr>
        <w:trPr>
          <w:cantSplit/>
        </w:trPr>
        <w:tc>
          <w:tcPr>
            <w:tcW w:type="dxa" w:w="2232"/>
            <w:vAlign w:val="top"/>
          </w:tcPr>
          <w:p>
            <w:pPr>
              <w:spacing w:after="40" w:before="0" w:line="259" w:lineRule="auto"/>
            </w:pPr>
            <w:r>
              <w:rPr>
                <w:rFonts w:ascii="Calibri" w:hAnsi="Calibri"/>
                <w:b/>
                <w:i w:val="0"/>
                <w:color w:val="212121"/>
                <w:sz w:val="19"/>
              </w:rPr>
              <w:t>Vasovagal syncope (BII subtype)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diphasic vagal reflex on seeing blood or needles causes fainting; this shared mechanism defines the subtype and mandates applied-tension management.</w:t>
            </w:r>
          </w:p>
        </w:tc>
      </w:tr>
      <w:tr>
        <w:trPr>
          <w:cantSplit/>
        </w:trPr>
        <w:tc>
          <w:tcPr>
            <w:tcW w:type="dxa" w:w="2232"/>
            <w:vAlign w:val="top"/>
          </w:tcPr>
          <w:p>
            <w:pPr>
              <w:spacing w:after="40" w:before="0" w:line="259" w:lineRule="auto"/>
            </w:pPr>
            <w:r>
              <w:rPr>
                <w:rFonts w:ascii="Calibri" w:hAnsi="Calibri"/>
                <w:b/>
                <w:i w:val="0"/>
                <w:color w:val="212121"/>
                <w:sz w:val="19"/>
              </w:rPr>
              <w:t>Dental caries &amp; periodontal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Dental phobia (odontophobia) causes long-term avoidance of dental care, allowing oral disease to progress.</w:t>
            </w:r>
          </w:p>
        </w:tc>
      </w:tr>
      <w:tr>
        <w:trPr>
          <w:cantSplit/>
        </w:trPr>
        <w:tc>
          <w:tcPr>
            <w:tcW w:type="dxa" w:w="2232"/>
            <w:vAlign w:val="top"/>
          </w:tcPr>
          <w:p>
            <w:pPr>
              <w:spacing w:after="40" w:before="0" w:line="259" w:lineRule="auto"/>
            </w:pPr>
            <w:r>
              <w:rPr>
                <w:rFonts w:ascii="Calibri" w:hAnsi="Calibri"/>
                <w:b/>
                <w:i w:val="0"/>
                <w:color w:val="212121"/>
                <w:sz w:val="19"/>
              </w:rPr>
              <w:t>Under-immunisation / vaccine hesitancy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Needle phobia is an important driver of avoided or delayed vaccination and blood tests, with public-health consequences.</w:t>
            </w:r>
          </w:p>
        </w:tc>
      </w:tr>
      <w:tr>
        <w:trPr>
          <w:cantSplit/>
        </w:trPr>
        <w:tc>
          <w:tcPr>
            <w:tcW w:type="dxa" w:w="2232"/>
            <w:vAlign w:val="top"/>
          </w:tcPr>
          <w:p>
            <w:pPr>
              <w:spacing w:after="40" w:before="0" w:line="259" w:lineRule="auto"/>
            </w:pPr>
            <w:r>
              <w:rPr>
                <w:rFonts w:ascii="Calibri" w:hAnsi="Calibri"/>
                <w:b/>
                <w:i w:val="0"/>
                <w:color w:val="212121"/>
                <w:sz w:val="19"/>
              </w:rPr>
              <w:t>Poorly controlled injection- or procedure-dependent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Needle or claustrophobia can obstruct insulin therapy, blood monitoring, MRI, endoscopy or chemotherapy, worsening the underlying illness.</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treatable mimic that heightens anxiety and arousal and must be excluded when autonomic symptoms are prominent.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specific phobias are very common and among the most treatable of all mental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avoidance is what keeps a phobia alive — each avoidance makes the fear stronger, while facing it gradually makes it shrink.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when a circumscribed fear crosses into a disorder: when it is persistent (≥ 6 months), out of proportion, and interferes with daily life or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needle or dental phobia block vaccination, blood tests or treatment; tell the clinician about the fear so it can be managed.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blood-injection-injury fear, learn the applied-tension technique (repeatedly tensing the arm and leg muscles) and stay seated or lying down to prevent fainting.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early — model calm behaviour for children and avoid reinforcing a child’s fear by allowing complete avoidance.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Needle- and dental-phobic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situational phobias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exposure-based cognitive behavioural therapy (graded exposure and systematic desensitisation) as the first-line and most effective treatment; many specific phobias respond to brief, even single-session,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 fear hierarchy and progress through it, staying in each step until the anxiety (SUDS) falls, so habituation and new learning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applied-tension technique for blood-injection-injury phobia to raise blood pressure and prevent vasovagal fainting during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relaxation, slow breathing and cognitive restructuring of catastrophic beliefs to support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virtual-reality or imaginal exposure where in-vivo exposure is impractical (e.g., flying).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medication for adjunctive or situational use — a short-acting benzodiazepine or beta-blocker for an unavoidable one-off exposure, or an SSRI when there is comorbid anxiety or depression — not as a substitute for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comorbid depression or substance misuse and assess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relapse prevention with occasional self-directed exposure to maintain gains.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specific 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BII/needle-phobic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impairing phobias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to lower baseline anxiety and improve stress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activity to rebuild participation where a situational phobia has restricted movement and social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and paced breathing to improve autonomic regulation and calm anticipatory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or avoidance-restricted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situational phobias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colas and energy drinks, which heighten the palpitations and tremor felt on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so that hunger-related tremor and light-headedness do not amplify the fear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adequately hydrated, especially before an anticipated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skip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 before exposures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as sleep loss raises baseline and anticipatory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the night before an unavoidable feared event to limit anticipatory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late caffeine and alcohol, which fragment sleep and worsen next-day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facing a scheduled exposure (flight, procedure)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or sedatives to ‘get through’ feared situations such as flying or dental visits — it reinforces avoidance and blocks the learning that cures 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regular ‘drinking to cope’ can progress to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exposure therapy instead of self-medicating; screen for and treat any alcohol or sedative misuse.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drink to 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flying or procedure 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Sedative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cigarettes to manage anxiety; nicotine and its withdrawal both increase arousal and general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quitting, anticipate a transient rise in anxiety and use cessation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 who smoke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yoclinic.org/diseases-conditions/specific-phobias/symptoms-causes/syc-20355156" TargetMode="External"/><Relationship Id="rId10" Type="http://schemas.openxmlformats.org/officeDocument/2006/relationships/hyperlink" Target="https://www.nimh.nih.gov/health/statistics/specific-phobia" TargetMode="External"/><Relationship Id="rId11" Type="http://schemas.openxmlformats.org/officeDocument/2006/relationships/hyperlink" Target="https://journals.sagepub.com/doi/10.1177/0020764020907941" TargetMode="External"/><Relationship Id="rId12" Type="http://schemas.openxmlformats.org/officeDocument/2006/relationships/hyperlink" Target="https://www.nhs.uk/mental-health/conditions/phobias/treatment/" TargetMode="External"/><Relationship Id="rId13" Type="http://schemas.openxmlformats.org/officeDocument/2006/relationships/hyperlink" Target="https://www.ncbi.nlm.nih.gov/books/NBK499923/" TargetMode="External"/><Relationship Id="rId14" Type="http://schemas.openxmlformats.org/officeDocument/2006/relationships/hyperlink" Target="https://adaa.org/understanding-anxiety/specific-phob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