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Obsessive-Compulsive Disorder</w:t>
      </w:r>
    </w:p>
    <w:p>
      <w:pPr>
        <w:spacing w:before="0" w:after="160"/>
      </w:pPr>
      <w:r>
        <w:rPr>
          <w:rFonts w:ascii="Calibri" w:hAnsi="Calibri"/>
          <w:b/>
          <w:i w:val="0"/>
          <w:color w:val="212121"/>
          <w:sz w:val="22"/>
        </w:rPr>
        <w:t xml:space="preserve">AKA </w:t>
      </w:r>
      <w:r>
        <w:rPr>
          <w:rFonts w:ascii="Calibri" w:hAnsi="Calibri"/>
          <w:b w:val="0"/>
          <w:i w:val="0"/>
          <w:color w:val="212121"/>
          <w:sz w:val="22"/>
        </w:rPr>
        <w:t>i.e., OCD, Obsessional Neurosis, Anankastic Neurosis; (lay) “Doubting Disease”, compulsive washing/checking</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Obsessive-compulsive disorder (OCD) is a chronic neuropsychiatric condition characterised by recurrent, intrusive, unwanted thoughts, images or urges (obsessions) that provoke marked anxiety, and by repetitive behaviours or mental acts (compulsions) performed to neutralise that distress or prevent a feared event. The obsessions and compulsions are time-consuming (typically more than one hour a day) or cause clinically significant distress and impairment, and most adults recognise them as excessive. OCD usually follows a chronic, waxing-and-waning course and is a leading contributor to years lived with disability among mental disorders.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The National Mental Health Survey of India (2015-16) estimated the current prevalence of OCD at about 0.76% of adults (roughly 1 in 130), with a lifetime prevalence near 0.8%; the treatment gap for common mental disorders in India exceeds 80%, so most cases remain untreated for years. Screening studies in Indian college and medical students report far higher rates of clinically significant obsessive-compulsive symptoms (point prevalence around 3.3% and probable OCD up to ~29%).</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OCD is a clinical diagnosis made on DSM-5 / ICD-11 criteria; no laboratory test confirms it. Diagnosis requires: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presence of obsessions, compulsions, or both — obsessions are recurrent, persistent, intrusive and unwanted thoughts, urges or images that cause marked anxiety, which the person attempts to ignore, suppress or neutralise;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compulsions are repetitive behaviours (e.g., hand-washing, checking, ordering) or mental acts (e.g., praying, counting, silent word repetition) that the person feels driven to perform in response to an obsession or rigid rules, aimed at reducing distress or preventing a dreaded event but not realistically connected to it or clearly excessive;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obsessions/compulsions are time-consuming (e.g., &gt; 1 hour/day) or cause clinically significant distress or impairment in social, academic, occupational or other important areas;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symptoms are not attributable to a substance or another medical condition and are not better explained by another mental disorder;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specifiers are recorded — insight (good/fair, poor, or absent/delusional) and whether tic-related — and severity is graded with the Yale-Brown Obsessive Compulsive Scale (Y-BOCS).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OCD is clinically heterogeneous and is described by symptom dimensions, insight and age of onset rather than by discrete stages:</w:t>
      </w:r>
    </w:p>
    <w:p>
      <w:pPr>
        <w:spacing w:before="0" w:after="80"/>
      </w:pPr>
      <w:r>
        <w:rPr>
          <w:rFonts w:ascii="Calibri" w:hAnsi="Calibri"/>
          <w:b w:val="0"/>
          <w:i w:val="0"/>
          <w:color w:val="212121"/>
          <w:sz w:val="21"/>
        </w:rPr>
        <w:t>(1) Contamination/cleaning dimension — contamination obsessions with washing and cleaning compulsions; the commonest presentation in Indian clinics.</w:t>
      </w:r>
    </w:p>
    <w:p>
      <w:pPr>
        <w:spacing w:before="0" w:after="80"/>
      </w:pPr>
      <w:r>
        <w:rPr>
          <w:rFonts w:ascii="Calibri" w:hAnsi="Calibri"/>
          <w:b w:val="0"/>
          <w:i w:val="0"/>
          <w:color w:val="212121"/>
          <w:sz w:val="21"/>
        </w:rPr>
        <w:t>(2) Harm/doubt–checking dimension — pathological doubt and fear of harm with repeated checking and reassurance-seeking.</w:t>
      </w:r>
    </w:p>
    <w:p>
      <w:pPr>
        <w:spacing w:before="0" w:after="80"/>
      </w:pPr>
      <w:r>
        <w:rPr>
          <w:rFonts w:ascii="Calibri" w:hAnsi="Calibri"/>
          <w:b w:val="0"/>
          <w:i w:val="0"/>
          <w:color w:val="212121"/>
          <w:sz w:val="21"/>
        </w:rPr>
        <w:t>(3) Symmetry/ordering dimension — need for symmetry, exactness and “just-right” feelings with ordering, arranging, counting and repeating.</w:t>
      </w:r>
    </w:p>
    <w:p>
      <w:pPr>
        <w:spacing w:before="0" w:after="80"/>
      </w:pPr>
      <w:r>
        <w:rPr>
          <w:rFonts w:ascii="Calibri" w:hAnsi="Calibri"/>
          <w:b w:val="0"/>
          <w:i w:val="0"/>
          <w:color w:val="212121"/>
          <w:sz w:val="21"/>
        </w:rPr>
        <w:t>(4) Taboo/forbidden-thoughts dimension — aggressive, sexual, religious (scrupulosity) or blasphemous obsessions with predominantly covert mental rituals; prominent in Indian and student samples.</w:t>
      </w:r>
    </w:p>
    <w:p>
      <w:pPr>
        <w:spacing w:before="0" w:after="80"/>
      </w:pPr>
      <w:r>
        <w:rPr>
          <w:rFonts w:ascii="Calibri" w:hAnsi="Calibri"/>
          <w:b w:val="0"/>
          <w:i w:val="0"/>
          <w:color w:val="212121"/>
          <w:sz w:val="21"/>
        </w:rPr>
        <w:t>(5) OCD-spectrum and reclassified conditions — hoarding, previously an OCD subtype, is now a separate DSM-5 diagnosis (hoarding disorder); related spectrum conditions include body dysmorphic disorder, trichotillomania (hair-pulling) and excoriation (skin-picking) disorder.</w:t>
      </w:r>
    </w:p>
    <w:p>
      <w:pPr>
        <w:spacing w:before="0" w:after="80"/>
      </w:pPr>
      <w:r>
        <w:rPr>
          <w:rFonts w:ascii="Calibri" w:hAnsi="Calibri"/>
          <w:b w:val="0"/>
          <w:i w:val="0"/>
          <w:color w:val="212121"/>
          <w:sz w:val="21"/>
        </w:rPr>
        <w:t>By insight: good/fair, poor, or absent/delusional. By onset: early (childhood, often tic-related and male-predominant) versus late (early adulthood), which differ in genetics and treatment response.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OCD is moderately heritable (twin-study heritability commonly ~40–50%); first-degree relatives, especially of early-onset cases, carry substantially higher risk.</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Cortico-striato-thalamo-cortical (CSTC) circuit dysfunction: hyperactivity in the orbitofrontal cortex, anterior cingulate and caudate underlies the repetitive doubt-and-check loop.</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Neurotransmitter dysregulation: serotonergic (and glutamatergic/dopaminergic) abnormalities are implicated, supported by SSRI responsiveness and candidate-gene findings.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Neurodevelopmental / immune triggers: early-onset, tic-related OCD, and a paediatric autoimmune (PANDAS/PANS) subtype following streptococcal infection.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Cognitive-behavioural factors: inflated responsibility, thought-action fusion, intolerance of uncertainty and perfectionism maintain obsessions through anxiety-relieving compulsions (negative reinforcement).</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Psychosocial stressors: onset or exacerbation often follows major stress, pregnancy/postpartum, or life transitions, and hygiene-focused public-health messaging (e.g., during COVID-19) can precipitate contamination OCD.</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adults (late adolescence–early adulthood)</w:t>
            </w:r>
          </w:p>
        </w:tc>
        <w:tc>
          <w:tcPr>
            <w:tcW w:type="dxa" w:w="4276"/>
            <w:vAlign w:val="top"/>
          </w:tcPr>
          <w:p>
            <w:pPr>
              <w:spacing w:after="60" w:line="259" w:lineRule="auto"/>
            </w:pPr>
            <w:r>
              <w:rPr>
                <w:rFonts w:ascii="Calibri" w:hAnsi="Calibri"/>
                <w:b w:val="0"/>
                <w:i w:val="0"/>
                <w:color w:val="212121"/>
                <w:sz w:val="19"/>
              </w:rPr>
              <w:t>OCD typically emerges in late adolescence and early adulthood, when academic, occupational and relationship demands peak and anxiety-relieving compulsions become entrenched through negative reinforcement. More than half of cases begin before age 18.</w:t>
            </w:r>
          </w:p>
          <w:p>
            <w:pPr>
              <w:spacing w:after="40" w:before="60" w:line="259" w:lineRule="auto"/>
            </w:pPr>
            <w:r>
              <w:rPr>
                <w:rFonts w:ascii="Calibri" w:hAnsi="Calibri"/>
                <w:b w:val="0"/>
                <w:i w:val="0"/>
                <w:color w:val="212121"/>
                <w:sz w:val="19"/>
              </w:rPr>
              <w:t>Among college students in Kerala the point prevalence of OCD was 3.3%, with a further 8.5% having subthreshold OCD.</w:t>
            </w:r>
          </w:p>
          <w:p>
            <w:pPr>
              <w:spacing w:after="40" w:line="252" w:lineRule="auto"/>
            </w:pPr>
            <w:hyperlink r:id="rId9">
              <w:r>
                <w:rPr>
                  <w:rFonts w:ascii="Calibri" w:hAnsi="Calibri" w:cs="Calibri"/>
                  <w:sz w:val="18"/>
                  <w:color w:val="1155CC"/>
                  <w:u w:val="single"/>
                </w:rPr>
                <w:t xml:space="preserve">pubmed.ncbi.nlm.nih.gov/28529361 — OCD in Kerala college students</w:t>
              </w:r>
            </w:hyperlink>
          </w:p>
          <w:p>
            <w:pPr>
              <w:spacing w:before="60" w:after="40"/>
            </w:pPr>
            <w:r>
              <w:rPr>
                <w:rFonts w:ascii="Calibri" w:hAnsi="Calibri"/>
                <w:b w:val="0"/>
                <w:i w:val="0"/>
                <w:color w:val="5A5A5A"/>
                <w:sz w:val="18"/>
              </w:rPr>
              <w:t>#youngadults  #onset  #students  #anxiety  #lateadolescence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OCD is less often diagnosed in older adults and is usually long-standing and under-treated. Genuinely new (late) onset is unusual and should prompt a search for an organic or neurological cause such as stroke or dementia.</w:t>
            </w:r>
          </w:p>
          <w:p>
            <w:pPr>
              <w:spacing w:after="40" w:before="60" w:line="259" w:lineRule="auto"/>
            </w:pPr>
            <w:r>
              <w:rPr>
                <w:rFonts w:ascii="Calibri" w:hAnsi="Calibri"/>
                <w:b w:val="0"/>
                <w:i w:val="0"/>
                <w:color w:val="212121"/>
                <w:sz w:val="19"/>
              </w:rPr>
              <w:t>Late-onset OCD is uncommon; new obsessive-compulsive symptoms in an elderly person warrant screening for neurological disease.</w:t>
            </w:r>
          </w:p>
          <w:p>
            <w:pPr>
              <w:spacing w:before="60" w:after="40"/>
            </w:pPr>
            <w:r>
              <w:rPr>
                <w:rFonts w:ascii="Calibri" w:hAnsi="Calibri"/>
                <w:b w:val="0"/>
                <w:i w:val="0"/>
                <w:color w:val="5A5A5A"/>
                <w:sz w:val="18"/>
              </w:rPr>
              <w:t>#elderly  #lateonset  #organicOCD  #neurological</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Males more often have early-onset, tic-related OCD and predominate in Indian treatment-seeking samples; they show more checking and repeating compulsions, sexual and religious obsessions, and substance-use comorbidity.</w:t>
            </w:r>
          </w:p>
          <w:p>
            <w:pPr>
              <w:spacing w:after="40" w:before="60" w:line="259" w:lineRule="auto"/>
            </w:pPr>
            <w:r>
              <w:rPr>
                <w:rFonts w:ascii="Calibri" w:hAnsi="Calibri"/>
                <w:b w:val="0"/>
                <w:i w:val="0"/>
                <w:color w:val="212121"/>
                <w:sz w:val="19"/>
              </w:rPr>
              <w:t>In a multicentric Indian study of 945 patients with OCD, 59.7% were male; men had an earlier onset and more checking compulsions and substance use.</w:t>
            </w:r>
          </w:p>
          <w:p>
            <w:pPr>
              <w:spacing w:after="40" w:line="252" w:lineRule="auto"/>
            </w:pPr>
            <w:hyperlink r:id="rId10">
              <w:r>
                <w:rPr>
                  <w:rFonts w:ascii="Calibri" w:hAnsi="Calibri" w:cs="Calibri"/>
                  <w:sz w:val="18"/>
                  <w:color w:val="1155CC"/>
                  <w:u w:val="single"/>
                </w:rPr>
                <w:t xml:space="preserve">pubmed.ncbi.nlm.nih.gov/30086467 — gender differences (multicentric India)</w:t>
              </w:r>
            </w:hyperlink>
          </w:p>
          <w:p>
            <w:pPr>
              <w:spacing w:before="60" w:after="40"/>
            </w:pPr>
            <w:r>
              <w:rPr>
                <w:rFonts w:ascii="Calibri" w:hAnsi="Calibri"/>
                <w:b w:val="0"/>
                <w:i w:val="0"/>
                <w:color w:val="5A5A5A"/>
                <w:sz w:val="18"/>
              </w:rPr>
              <w:t>#male  #earlyonset  #checking  #tics  #substanceuse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In the adult general population OCD is somewhat more common in women, who more often have contamination obsessions, perinatal (pregnancy/postpartum) onset, and comorbid depression with higher suicidal risk.</w:t>
            </w:r>
          </w:p>
          <w:p>
            <w:pPr>
              <w:spacing w:after="40" w:before="60" w:line="259" w:lineRule="auto"/>
            </w:pPr>
            <w:r>
              <w:rPr>
                <w:rFonts w:ascii="Calibri" w:hAnsi="Calibri"/>
                <w:b w:val="0"/>
                <w:i w:val="0"/>
                <w:color w:val="212121"/>
                <w:sz w:val="19"/>
              </w:rPr>
              <w:t>Past-year OCD prevalence is higher in females (1.8%) than in males (0.5%).</w:t>
            </w:r>
          </w:p>
          <w:p>
            <w:pPr>
              <w:spacing w:after="40" w:line="252" w:lineRule="auto"/>
            </w:pPr>
            <w:hyperlink r:id="rId11">
              <w:r>
                <w:rPr>
                  <w:rFonts w:ascii="Calibri" w:hAnsi="Calibri" w:cs="Calibri"/>
                  <w:sz w:val="18"/>
                  <w:color w:val="1155CC"/>
                  <w:u w:val="single"/>
                </w:rPr>
                <w:t xml:space="preserve">nimh.nih.gov — OCD statistics</w:t>
              </w:r>
            </w:hyperlink>
          </w:p>
          <w:p>
            <w:pPr>
              <w:spacing w:before="60" w:after="40"/>
            </w:pPr>
            <w:r>
              <w:rPr>
                <w:rFonts w:ascii="Calibri" w:hAnsi="Calibri"/>
                <w:b w:val="0"/>
                <w:i w:val="0"/>
                <w:color w:val="5A5A5A"/>
                <w:sz w:val="18"/>
              </w:rPr>
              <w:t>#female  #perinatal  #contamination  #depression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Low-awareness, low-income and rural populations</w:t>
            </w:r>
          </w:p>
        </w:tc>
        <w:tc>
          <w:tcPr>
            <w:tcW w:type="dxa" w:w="4276"/>
            <w:vAlign w:val="top"/>
          </w:tcPr>
          <w:p>
            <w:pPr>
              <w:spacing w:after="60" w:line="259" w:lineRule="auto"/>
            </w:pPr>
            <w:r>
              <w:rPr>
                <w:rFonts w:ascii="Calibri" w:hAnsi="Calibri"/>
                <w:b w:val="0"/>
                <w:i w:val="0"/>
                <w:color w:val="212121"/>
                <w:sz w:val="19"/>
              </w:rPr>
              <w:t>OCD occurs across all socioeconomic strata, but low mental-health literacy, stigma and scarce specialist services mean most patients remain untreated for years, worsening chronicity and disability.</w:t>
            </w:r>
          </w:p>
          <w:p>
            <w:pPr>
              <w:spacing w:after="40" w:before="60" w:line="259" w:lineRule="auto"/>
            </w:pPr>
            <w:r>
              <w:rPr>
                <w:rFonts w:ascii="Calibri" w:hAnsi="Calibri"/>
                <w:b w:val="0"/>
                <w:i w:val="0"/>
                <w:color w:val="212121"/>
                <w:sz w:val="19"/>
              </w:rPr>
              <w:t>The National Mental Health Survey found a treatment gap of about 80.4% for common mental disorders in India.</w:t>
            </w:r>
          </w:p>
          <w:p>
            <w:pPr>
              <w:spacing w:after="40" w:line="252" w:lineRule="auto"/>
            </w:pPr>
            <w:hyperlink r:id="rId12">
              <w:r>
                <w:rPr>
                  <w:rFonts w:ascii="Calibri" w:hAnsi="Calibri" w:cs="Calibri"/>
                  <w:sz w:val="18"/>
                  <w:color w:val="1155CC"/>
                  <w:u w:val="single"/>
                </w:rPr>
                <w:t xml:space="preserve">pubmed.ncbi.nlm.nih.gov/35400745 — NMHS India 2016</w:t>
              </w:r>
            </w:hyperlink>
          </w:p>
          <w:p>
            <w:pPr>
              <w:spacing w:before="60" w:after="40"/>
            </w:pPr>
            <w:r>
              <w:rPr>
                <w:rFonts w:ascii="Calibri" w:hAnsi="Calibri"/>
                <w:b w:val="0"/>
                <w:i w:val="0"/>
                <w:color w:val="5A5A5A"/>
                <w:sz w:val="18"/>
              </w:rPr>
              <w:t>#treatmentgap  #stigma  #ruralhealth  #awareness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Occupation/region</w:t>
            </w:r>
          </w:p>
        </w:tc>
        <w:tc>
          <w:tcPr>
            <w:tcW w:type="dxa" w:w="2160"/>
            <w:vAlign w:val="top"/>
          </w:tcPr>
          <w:p>
            <w:pPr>
              <w:spacing w:after="40" w:before="0" w:line="259" w:lineRule="auto"/>
            </w:pPr>
            <w:r>
              <w:rPr>
                <w:rFonts w:ascii="Calibri" w:hAnsi="Calibri"/>
                <w:b w:val="0"/>
                <w:i w:val="0"/>
                <w:color w:val="212121"/>
                <w:sz w:val="19"/>
              </w:rPr>
              <w:t>Medical and college students (urban India)</w:t>
            </w:r>
          </w:p>
        </w:tc>
        <w:tc>
          <w:tcPr>
            <w:tcW w:type="dxa" w:w="4276"/>
            <w:vAlign w:val="top"/>
          </w:tcPr>
          <w:p>
            <w:pPr>
              <w:spacing w:after="60" w:line="259" w:lineRule="auto"/>
            </w:pPr>
            <w:r>
              <w:rPr>
                <w:rFonts w:ascii="Calibri" w:hAnsi="Calibri"/>
                <w:b w:val="0"/>
                <w:i w:val="0"/>
                <w:color w:val="212121"/>
                <w:sz w:val="19"/>
              </w:rPr>
              <w:t>High academic pressure, perfectionism and health anxiety in students of professional courses are associated with markedly elevated obsessive-compulsive symptom rates and overlapping body-image concerns.</w:t>
            </w:r>
          </w:p>
          <w:p>
            <w:pPr>
              <w:spacing w:after="40" w:before="60" w:line="259" w:lineRule="auto"/>
            </w:pPr>
            <w:r>
              <w:rPr>
                <w:rFonts w:ascii="Calibri" w:hAnsi="Calibri"/>
                <w:b w:val="0"/>
                <w:i w:val="0"/>
                <w:color w:val="212121"/>
                <w:sz w:val="19"/>
              </w:rPr>
              <w:t>Among medical undergraduates in Secunderabad, Telangana, 29.1% screened positive for probable OCD, and body-image (dysmorphic) concerns were present in 26.1%.</w:t>
            </w:r>
          </w:p>
          <w:p>
            <w:pPr>
              <w:spacing w:after="40" w:line="252" w:lineRule="auto"/>
            </w:pPr>
            <w:hyperlink r:id="rId13">
              <w:r>
                <w:rPr>
                  <w:rFonts w:ascii="Calibri" w:hAnsi="Calibri" w:cs="Calibri"/>
                  <w:sz w:val="18"/>
                  <w:color w:val="1155CC"/>
                  <w:u w:val="single"/>
                </w:rPr>
                <w:t xml:space="preserve">pubmed.ncbi.nlm.nih.gov/41164680 — OCD in medical undergraduates</w:t>
              </w:r>
            </w:hyperlink>
          </w:p>
          <w:p>
            <w:pPr>
              <w:spacing w:before="60" w:after="40"/>
            </w:pPr>
            <w:r>
              <w:rPr>
                <w:rFonts w:ascii="Calibri" w:hAnsi="Calibri"/>
                <w:b w:val="0"/>
                <w:i w:val="0"/>
                <w:color w:val="5A5A5A"/>
                <w:sz w:val="18"/>
              </w:rPr>
              <w:t>#students  #examstress  #perfectionism  #urban  #bodyimage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Urbanisation</w:t>
            </w:r>
          </w:p>
        </w:tc>
        <w:tc>
          <w:tcPr>
            <w:tcW w:type="dxa" w:w="2160"/>
            <w:vAlign w:val="top"/>
          </w:tcPr>
          <w:p>
            <w:pPr>
              <w:spacing w:after="40" w:before="0" w:line="259" w:lineRule="auto"/>
            </w:pPr>
            <w:r>
              <w:rPr>
                <w:rFonts w:ascii="Calibri" w:hAnsi="Calibri"/>
                <w:b w:val="0"/>
                <w:i w:val="0"/>
                <w:color w:val="212121"/>
                <w:sz w:val="19"/>
              </w:rPr>
              <w:t>Metro-city residents</w:t>
            </w:r>
          </w:p>
        </w:tc>
        <w:tc>
          <w:tcPr>
            <w:tcW w:type="dxa" w:w="4276"/>
            <w:vAlign w:val="top"/>
          </w:tcPr>
          <w:p>
            <w:pPr>
              <w:spacing w:after="60" w:line="259" w:lineRule="auto"/>
            </w:pPr>
            <w:r>
              <w:rPr>
                <w:rFonts w:ascii="Calibri" w:hAnsi="Calibri"/>
                <w:b w:val="0"/>
                <w:i w:val="0"/>
                <w:color w:val="212121"/>
                <w:sz w:val="19"/>
              </w:rPr>
              <w:t>Urban living, fast pace and psychosocial stress are linked to a higher burden of common mental disorders; contamination and pollution-related concerns can be amplified in crowded urban settings.</w:t>
            </w:r>
          </w:p>
          <w:p>
            <w:pPr>
              <w:spacing w:after="40" w:before="60" w:line="259" w:lineRule="auto"/>
            </w:pPr>
            <w:r>
              <w:rPr>
                <w:rFonts w:ascii="Calibri" w:hAnsi="Calibri"/>
                <w:b w:val="0"/>
                <w:i w:val="0"/>
                <w:color w:val="212121"/>
                <w:sz w:val="19"/>
              </w:rPr>
              <w:t>NMHS found the prevalence of common mental disorders to be highest in metropolitan urban areas.</w:t>
            </w:r>
          </w:p>
          <w:p>
            <w:pPr>
              <w:spacing w:after="40" w:line="252" w:lineRule="auto"/>
            </w:pPr>
            <w:hyperlink r:id="rId12">
              <w:r>
                <w:rPr>
                  <w:rFonts w:ascii="Calibri" w:hAnsi="Calibri" w:cs="Calibri"/>
                  <w:sz w:val="18"/>
                  <w:color w:val="1155CC"/>
                  <w:u w:val="single"/>
                </w:rPr>
                <w:t xml:space="preserve">pubmed.ncbi.nlm.nih.gov/35400745 — NMHS India 2016</w:t>
              </w:r>
            </w:hyperlink>
          </w:p>
          <w:p>
            <w:pPr>
              <w:spacing w:before="60" w:after="40"/>
            </w:pPr>
            <w:r>
              <w:rPr>
                <w:rFonts w:ascii="Calibri" w:hAnsi="Calibri"/>
                <w:b w:val="0"/>
                <w:i w:val="0"/>
                <w:color w:val="5A5A5A"/>
                <w:sz w:val="18"/>
              </w:rPr>
              <w:t>#urban  #metros  #stress  #contamination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Cultural-religious context</w:t>
            </w:r>
          </w:p>
        </w:tc>
        <w:tc>
          <w:tcPr>
            <w:tcW w:type="dxa" w:w="2160"/>
            <w:vAlign w:val="top"/>
          </w:tcPr>
          <w:p>
            <w:pPr>
              <w:spacing w:after="40" w:before="0" w:line="259" w:lineRule="auto"/>
            </w:pPr>
            <w:r>
              <w:rPr>
                <w:rFonts w:ascii="Calibri" w:hAnsi="Calibri"/>
                <w:b w:val="0"/>
                <w:i w:val="0"/>
                <w:color w:val="212121"/>
                <w:sz w:val="19"/>
              </w:rPr>
              <w:t>Ritual-purity and scrupulosity-oriented groups</w:t>
            </w:r>
          </w:p>
        </w:tc>
        <w:tc>
          <w:tcPr>
            <w:tcW w:type="dxa" w:w="4276"/>
            <w:vAlign w:val="top"/>
          </w:tcPr>
          <w:p>
            <w:pPr>
              <w:spacing w:after="60" w:line="259" w:lineRule="auto"/>
            </w:pPr>
            <w:r>
              <w:rPr>
                <w:rFonts w:ascii="Calibri" w:hAnsi="Calibri"/>
                <w:b w:val="0"/>
                <w:i w:val="0"/>
                <w:color w:val="212121"/>
                <w:sz w:val="19"/>
              </w:rPr>
              <w:t>In India, culturally sanctioned notions of ritual purity and intense religious observance can shape and reinforce contamination and religious (scrupulosity) obsessions, sometimes delaying recognition of the behaviour as illness.</w:t>
            </w:r>
          </w:p>
          <w:p>
            <w:pPr>
              <w:spacing w:after="40" w:before="60" w:line="259" w:lineRule="auto"/>
            </w:pPr>
            <w:r>
              <w:rPr>
                <w:rFonts w:ascii="Calibri" w:hAnsi="Calibri"/>
                <w:b w:val="0"/>
                <w:i w:val="0"/>
                <w:color w:val="212121"/>
                <w:sz w:val="19"/>
              </w:rPr>
              <w:t>In a large Indian clinic sample, religious and sexual obsessions were significantly more frequent in men with OCD.</w:t>
            </w:r>
          </w:p>
          <w:p>
            <w:pPr>
              <w:spacing w:after="40" w:line="252" w:lineRule="auto"/>
            </w:pPr>
            <w:hyperlink r:id="rId14">
              <w:r>
                <w:rPr>
                  <w:rFonts w:ascii="Calibri" w:hAnsi="Calibri" w:cs="Calibri"/>
                  <w:sz w:val="18"/>
                  <w:color w:val="1155CC"/>
                  <w:u w:val="single"/>
                </w:rPr>
                <w:t xml:space="preserve">pubmed.ncbi.nlm.nih.gov/24813030 — gender differences, Indian sample</w:t>
              </w:r>
            </w:hyperlink>
          </w:p>
          <w:p>
            <w:pPr>
              <w:spacing w:before="60" w:after="40"/>
            </w:pPr>
            <w:r>
              <w:rPr>
                <w:rFonts w:ascii="Calibri" w:hAnsi="Calibri"/>
                <w:b w:val="0"/>
                <w:i w:val="0"/>
                <w:color w:val="5A5A5A"/>
                <w:sz w:val="18"/>
              </w:rPr>
              <w:t>#scrupulosity  #culture  #contamination  #religiousOCD</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Stress / high-demand roles</w:t>
            </w:r>
          </w:p>
        </w:tc>
        <w:tc>
          <w:tcPr>
            <w:tcW w:type="dxa" w:w="2160"/>
            <w:vAlign w:val="top"/>
          </w:tcPr>
          <w:p>
            <w:pPr>
              <w:spacing w:after="40" w:before="0" w:line="259" w:lineRule="auto"/>
            </w:pPr>
            <w:r>
              <w:rPr>
                <w:rFonts w:ascii="Calibri" w:hAnsi="Calibri"/>
                <w:b w:val="0"/>
                <w:i w:val="0"/>
                <w:color w:val="212121"/>
                <w:sz w:val="19"/>
              </w:rPr>
              <w:t>Students in exams, high-pressure workers, new parents</w:t>
            </w:r>
          </w:p>
        </w:tc>
        <w:tc>
          <w:tcPr>
            <w:tcW w:type="dxa" w:w="4276"/>
            <w:vAlign w:val="top"/>
          </w:tcPr>
          <w:p>
            <w:pPr>
              <w:spacing w:after="60" w:line="259" w:lineRule="auto"/>
            </w:pPr>
            <w:r>
              <w:rPr>
                <w:rFonts w:ascii="Calibri" w:hAnsi="Calibri"/>
                <w:b w:val="0"/>
                <w:i w:val="0"/>
                <w:color w:val="212121"/>
                <w:sz w:val="19"/>
              </w:rPr>
              <w:t>Acute and chronic stress, sleep loss and major life transitions (examinations, childbirth) commonly precipitate or worsen obsessions and compulsions.</w:t>
            </w:r>
          </w:p>
          <w:p>
            <w:pPr>
              <w:spacing w:after="40" w:before="60" w:line="259" w:lineRule="auto"/>
            </w:pPr>
            <w:r>
              <w:rPr>
                <w:rFonts w:ascii="Calibri" w:hAnsi="Calibri"/>
                <w:b w:val="0"/>
                <w:i w:val="0"/>
                <w:color w:val="212121"/>
                <w:sz w:val="19"/>
              </w:rPr>
              <w:t>Students with OCD or subthreshold OCD had significantly higher psychological distress and suicidality than their peers.</w:t>
            </w:r>
          </w:p>
          <w:p>
            <w:pPr>
              <w:spacing w:after="40" w:line="252" w:lineRule="auto"/>
            </w:pPr>
            <w:hyperlink r:id="rId9">
              <w:r>
                <w:rPr>
                  <w:rFonts w:ascii="Calibri" w:hAnsi="Calibri" w:cs="Calibri"/>
                  <w:sz w:val="18"/>
                  <w:color w:val="1155CC"/>
                  <w:u w:val="single"/>
                </w:rPr>
                <w:t xml:space="preserve">pubmed.ncbi.nlm.nih.gov/28529361 — OCD in Kerala college students</w:t>
              </w:r>
            </w:hyperlink>
          </w:p>
          <w:p>
            <w:pPr>
              <w:spacing w:before="60" w:after="40"/>
            </w:pPr>
            <w:r>
              <w:rPr>
                <w:rFonts w:ascii="Calibri" w:hAnsi="Calibri"/>
                <w:b w:val="0"/>
                <w:i w:val="0"/>
                <w:color w:val="5A5A5A"/>
                <w:sz w:val="18"/>
              </w:rPr>
              <w:t>#stress  #provoking  #perinatal  #exams  #distress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 substance use</w:t>
            </w:r>
          </w:p>
        </w:tc>
        <w:tc>
          <w:tcPr>
            <w:tcW w:type="dxa" w:w="2160"/>
            <w:vAlign w:val="top"/>
          </w:tcPr>
          <w:p>
            <w:pPr>
              <w:spacing w:after="40" w:before="0" w:line="259" w:lineRule="auto"/>
            </w:pPr>
            <w:r>
              <w:rPr>
                <w:rFonts w:ascii="Calibri" w:hAnsi="Calibri"/>
                <w:b w:val="0"/>
                <w:i w:val="0"/>
                <w:color w:val="212121"/>
                <w:sz w:val="19"/>
              </w:rPr>
              <w:t>Tobacco and alcohol users</w:t>
            </w:r>
          </w:p>
        </w:tc>
        <w:tc>
          <w:tcPr>
            <w:tcW w:type="dxa" w:w="4276"/>
            <w:vAlign w:val="top"/>
          </w:tcPr>
          <w:p>
            <w:pPr>
              <w:spacing w:after="60" w:line="259" w:lineRule="auto"/>
            </w:pPr>
            <w:r>
              <w:rPr>
                <w:rFonts w:ascii="Calibri" w:hAnsi="Calibri"/>
                <w:b w:val="0"/>
                <w:i w:val="0"/>
                <w:color w:val="212121"/>
                <w:sz w:val="19"/>
              </w:rPr>
              <w:t>Patients may use tobacco or alcohol to blunt obsessional anxiety; substance use is more frequent in OCD and complicates treatment and adherence.</w:t>
            </w:r>
          </w:p>
          <w:p>
            <w:pPr>
              <w:spacing w:after="40" w:before="60" w:line="259" w:lineRule="auto"/>
            </w:pPr>
            <w:r>
              <w:rPr>
                <w:rFonts w:ascii="Calibri" w:hAnsi="Calibri"/>
                <w:b w:val="0"/>
                <w:i w:val="0"/>
                <w:color w:val="212121"/>
                <w:sz w:val="19"/>
              </w:rPr>
              <w:t>Students with OCD/subthreshold OCD reported higher rates of tobacco and alcohol use than controls.</w:t>
            </w:r>
          </w:p>
          <w:p>
            <w:pPr>
              <w:spacing w:after="40" w:line="252" w:lineRule="auto"/>
            </w:pPr>
            <w:hyperlink r:id="rId9">
              <w:r>
                <w:rPr>
                  <w:rFonts w:ascii="Calibri" w:hAnsi="Calibri" w:cs="Calibri"/>
                  <w:sz w:val="18"/>
                  <w:color w:val="1155CC"/>
                  <w:u w:val="single"/>
                </w:rPr>
                <w:t xml:space="preserve">pubmed.ncbi.nlm.nih.gov/28529361 — OCD in Kerala college students</w:t>
              </w:r>
            </w:hyperlink>
          </w:p>
          <w:p>
            <w:pPr>
              <w:spacing w:before="60" w:after="40"/>
            </w:pPr>
            <w:r>
              <w:rPr>
                <w:rFonts w:ascii="Calibri" w:hAnsi="Calibri"/>
                <w:b w:val="0"/>
                <w:i w:val="0"/>
                <w:color w:val="5A5A5A"/>
                <w:sz w:val="18"/>
              </w:rPr>
              <w:t>#tobacco  #alcohol  #selfmedication  #substanceuse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Sleep disruption</w:t>
            </w:r>
          </w:p>
        </w:tc>
        <w:tc>
          <w:tcPr>
            <w:tcW w:type="dxa" w:w="2160"/>
            <w:vAlign w:val="top"/>
          </w:tcPr>
          <w:p>
            <w:pPr>
              <w:spacing w:after="40" w:before="0" w:line="259" w:lineRule="auto"/>
            </w:pPr>
            <w:r>
              <w:rPr>
                <w:rFonts w:ascii="Calibri" w:hAnsi="Calibri"/>
                <w:b w:val="0"/>
                <w:i w:val="0"/>
                <w:color w:val="212121"/>
                <w:sz w:val="19"/>
              </w:rPr>
              <w:t>Poor and delayed sleepers</w:t>
            </w:r>
          </w:p>
        </w:tc>
        <w:tc>
          <w:tcPr>
            <w:tcW w:type="dxa" w:w="4276"/>
            <w:vAlign w:val="top"/>
          </w:tcPr>
          <w:p>
            <w:pPr>
              <w:spacing w:after="60" w:line="259" w:lineRule="auto"/>
            </w:pPr>
            <w:r>
              <w:rPr>
                <w:rFonts w:ascii="Calibri" w:hAnsi="Calibri"/>
                <w:b w:val="0"/>
                <w:i w:val="0"/>
                <w:color w:val="212121"/>
                <w:sz w:val="19"/>
              </w:rPr>
              <w:t>Night-time rituals, rumination and anxiety cause insomnia and a delayed sleep phase, which in turn intensify daytime symptom severity and impair response to treatment.</w:t>
            </w:r>
          </w:p>
          <w:p>
            <w:pPr>
              <w:spacing w:after="40" w:before="60" w:line="259" w:lineRule="auto"/>
            </w:pPr>
            <w:r>
              <w:rPr>
                <w:rFonts w:ascii="Calibri" w:hAnsi="Calibri"/>
                <w:b w:val="0"/>
                <w:i w:val="0"/>
                <w:color w:val="212121"/>
                <w:sz w:val="19"/>
              </w:rPr>
              <w:t>Insomnia and delayed sleep are common in OCD and are associated with greater symptom severity.</w:t>
            </w:r>
          </w:p>
          <w:p>
            <w:pPr>
              <w:spacing w:before="60" w:after="40"/>
            </w:pPr>
            <w:r>
              <w:rPr>
                <w:rFonts w:ascii="Calibri" w:hAnsi="Calibri"/>
                <w:b w:val="0"/>
                <w:i w:val="0"/>
                <w:color w:val="5A5A5A"/>
                <w:sz w:val="18"/>
              </w:rPr>
              <w:t>#insomnia  #sleep  #ritualsatnight  #delayedsleep</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Stimulant intake</w:t>
            </w:r>
          </w:p>
        </w:tc>
        <w:tc>
          <w:tcPr>
            <w:tcW w:type="dxa" w:w="2160"/>
            <w:vAlign w:val="top"/>
          </w:tcPr>
          <w:p>
            <w:pPr>
              <w:spacing w:after="40" w:before="0" w:line="259" w:lineRule="auto"/>
            </w:pPr>
            <w:r>
              <w:rPr>
                <w:rFonts w:ascii="Calibri" w:hAnsi="Calibri"/>
                <w:b w:val="0"/>
                <w:i w:val="0"/>
                <w:color w:val="212121"/>
                <w:sz w:val="19"/>
              </w:rPr>
              <w:t>High caffeine / energy-drink consumers</w:t>
            </w:r>
          </w:p>
        </w:tc>
        <w:tc>
          <w:tcPr>
            <w:tcW w:type="dxa" w:w="4276"/>
            <w:vAlign w:val="top"/>
          </w:tcPr>
          <w:p>
            <w:pPr>
              <w:spacing w:after="60" w:line="259" w:lineRule="auto"/>
            </w:pPr>
            <w:r>
              <w:rPr>
                <w:rFonts w:ascii="Calibri" w:hAnsi="Calibri"/>
                <w:b w:val="0"/>
                <w:i w:val="0"/>
                <w:color w:val="212121"/>
                <w:sz w:val="19"/>
              </w:rPr>
              <w:t>There is no established dietary cause of OCD, but caffeine and other stimulants are anxiogenic and can heighten obsessional anxiety and worsen insomnia.</w:t>
            </w:r>
          </w:p>
          <w:p>
            <w:pPr>
              <w:spacing w:after="40" w:before="60" w:line="259" w:lineRule="auto"/>
            </w:pPr>
            <w:r>
              <w:rPr>
                <w:rFonts w:ascii="Calibri" w:hAnsi="Calibri"/>
                <w:b w:val="0"/>
                <w:i w:val="0"/>
                <w:color w:val="212121"/>
                <w:sz w:val="19"/>
              </w:rPr>
              <w:t>Excess caffeine can aggravate anxiety and sleep disturbance that fuel obsessive-compulsive symptoms.</w:t>
            </w:r>
          </w:p>
          <w:p>
            <w:pPr>
              <w:spacing w:before="60" w:after="40"/>
            </w:pPr>
            <w:r>
              <w:rPr>
                <w:rFonts w:ascii="Calibri" w:hAnsi="Calibri"/>
                <w:b w:val="0"/>
                <w:i w:val="0"/>
                <w:color w:val="5A5A5A"/>
                <w:sz w:val="18"/>
              </w:rPr>
              <w:t>#caffeine  #stimulants  #anxiogenic  #energydrinks</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OCD patients</w:t>
            </w:r>
          </w:p>
        </w:tc>
        <w:tc>
          <w:tcPr>
            <w:tcW w:type="dxa" w:w="4276"/>
            <w:vAlign w:val="top"/>
          </w:tcPr>
          <w:p>
            <w:pPr>
              <w:spacing w:after="60" w:line="259" w:lineRule="auto"/>
            </w:pPr>
            <w:r>
              <w:rPr>
                <w:rFonts w:ascii="Calibri" w:hAnsi="Calibri"/>
                <w:b w:val="0"/>
                <w:i w:val="0"/>
                <w:color w:val="212121"/>
                <w:sz w:val="19"/>
              </w:rPr>
              <w:t>OCD aggregates in families; twin studies indicate moderate heritability, with candidate genes in the serotonergic, glutamatergic and dopaminergic systems implicated.</w:t>
            </w:r>
          </w:p>
          <w:p>
            <w:pPr>
              <w:spacing w:after="40" w:before="60" w:line="259" w:lineRule="auto"/>
            </w:pPr>
            <w:r>
              <w:rPr>
                <w:rFonts w:ascii="Calibri" w:hAnsi="Calibri"/>
                <w:b w:val="0"/>
                <w:i w:val="0"/>
                <w:color w:val="212121"/>
                <w:sz w:val="19"/>
              </w:rPr>
              <w:t>Family and twin studies establish OCD as a heritable, polygenic disorder (twin-based heritability commonly estimated at ~40–50%).</w:t>
            </w:r>
          </w:p>
          <w:p>
            <w:pPr>
              <w:spacing w:after="40" w:line="252" w:lineRule="auto"/>
            </w:pPr>
            <w:hyperlink r:id="rId15">
              <w:r>
                <w:rPr>
                  <w:rFonts w:ascii="Calibri" w:hAnsi="Calibri" w:cs="Calibri"/>
                  <w:sz w:val="18"/>
                  <w:color w:val="1155CC"/>
                  <w:u w:val="single"/>
                </w:rPr>
                <w:t xml:space="preserve">pubmed.ncbi.nlm.nih.gov/30745675 — genetics of OCD (review)</w:t>
              </w:r>
            </w:hyperlink>
          </w:p>
          <w:p>
            <w:pPr>
              <w:spacing w:before="60" w:after="40"/>
            </w:pPr>
            <w:r>
              <w:rPr>
                <w:rFonts w:ascii="Calibri" w:hAnsi="Calibri"/>
                <w:b w:val="0"/>
                <w:i w:val="0"/>
                <w:color w:val="5A5A5A"/>
                <w:sz w:val="18"/>
              </w:rPr>
              <w:t>#familyhistory  #heritable  #genetics  #serotonin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Early-onset / tic-related probands</w:t>
            </w:r>
          </w:p>
        </w:tc>
        <w:tc>
          <w:tcPr>
            <w:tcW w:type="dxa" w:w="2160"/>
            <w:vAlign w:val="top"/>
          </w:tcPr>
          <w:p>
            <w:pPr>
              <w:spacing w:after="40" w:before="0" w:line="259" w:lineRule="auto"/>
            </w:pPr>
            <w:r>
              <w:rPr>
                <w:rFonts w:ascii="Calibri" w:hAnsi="Calibri"/>
                <w:b w:val="0"/>
                <w:i w:val="0"/>
                <w:color w:val="212121"/>
                <w:sz w:val="19"/>
              </w:rPr>
              <w:t>Childhood-onset OCD families</w:t>
            </w:r>
          </w:p>
        </w:tc>
        <w:tc>
          <w:tcPr>
            <w:tcW w:type="dxa" w:w="4276"/>
            <w:vAlign w:val="top"/>
          </w:tcPr>
          <w:p>
            <w:pPr>
              <w:spacing w:after="60" w:line="259" w:lineRule="auto"/>
            </w:pPr>
            <w:r>
              <w:rPr>
                <w:rFonts w:ascii="Calibri" w:hAnsi="Calibri"/>
                <w:b w:val="0"/>
                <w:i w:val="0"/>
                <w:color w:val="212121"/>
                <w:sz w:val="19"/>
              </w:rPr>
              <w:t>Early-onset, tic-related OCD carries a higher familial (genetic) loading than late-onset disease and more often co-occurs with tics and Tourette syndrome.</w:t>
            </w:r>
          </w:p>
          <w:p>
            <w:pPr>
              <w:spacing w:after="40" w:before="60" w:line="259" w:lineRule="auto"/>
            </w:pPr>
            <w:r>
              <w:rPr>
                <w:rFonts w:ascii="Calibri" w:hAnsi="Calibri"/>
                <w:b w:val="0"/>
                <w:i w:val="0"/>
                <w:color w:val="212121"/>
                <w:sz w:val="19"/>
              </w:rPr>
              <w:t>OCD is polygenic, with contributions from both common and rare variants, including de novo deleterious variations.</w:t>
            </w:r>
          </w:p>
          <w:p>
            <w:pPr>
              <w:spacing w:after="40" w:line="252" w:lineRule="auto"/>
            </w:pPr>
            <w:hyperlink r:id="rId16">
              <w:r>
                <w:rPr>
                  <w:rFonts w:ascii="Calibri" w:hAnsi="Calibri" w:cs="Calibri"/>
                  <w:sz w:val="18"/>
                  <w:color w:val="1155CC"/>
                  <w:u w:val="single"/>
                </w:rPr>
                <w:t xml:space="preserve">pubmed.ncbi.nlm.nih.gov/34030745 — genetics of OCD (review)</w:t>
              </w:r>
            </w:hyperlink>
          </w:p>
          <w:p>
            <w:pPr>
              <w:spacing w:before="60" w:after="40"/>
            </w:pPr>
            <w:r>
              <w:rPr>
                <w:rFonts w:ascii="Calibri" w:hAnsi="Calibri"/>
                <w:b w:val="0"/>
                <w:i w:val="0"/>
                <w:color w:val="5A5A5A"/>
                <w:sz w:val="18"/>
              </w:rPr>
              <w:t>#earlyonset  #tics  #polygenic  #denovo</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Major depression</w:t>
            </w:r>
          </w:p>
        </w:tc>
        <w:tc>
          <w:tcPr>
            <w:tcW w:type="dxa" w:w="2160"/>
            <w:vAlign w:val="top"/>
          </w:tcPr>
          <w:p>
            <w:pPr>
              <w:spacing w:after="40" w:before="0" w:line="259" w:lineRule="auto"/>
            </w:pPr>
            <w:r>
              <w:rPr>
                <w:rFonts w:ascii="Calibri" w:hAnsi="Calibri"/>
                <w:b w:val="0"/>
                <w:i w:val="0"/>
                <w:color w:val="212121"/>
                <w:sz w:val="19"/>
              </w:rPr>
              <w:t>Patients with comorbid MDD</w:t>
            </w:r>
          </w:p>
        </w:tc>
        <w:tc>
          <w:tcPr>
            <w:tcW w:type="dxa" w:w="4276"/>
            <w:vAlign w:val="top"/>
          </w:tcPr>
          <w:p>
            <w:pPr>
              <w:spacing w:after="60" w:line="259" w:lineRule="auto"/>
            </w:pPr>
            <w:r>
              <w:rPr>
                <w:rFonts w:ascii="Calibri" w:hAnsi="Calibri"/>
                <w:b w:val="0"/>
                <w:i w:val="0"/>
                <w:color w:val="212121"/>
                <w:sz w:val="19"/>
              </w:rPr>
              <w:t>Depression frequently develops secondary to the distress and disability of OCD and worsens prognosis and suicide risk; the relationship is bidirectional.</w:t>
            </w:r>
          </w:p>
          <w:p>
            <w:pPr>
              <w:spacing w:after="40" w:before="60" w:line="259" w:lineRule="auto"/>
            </w:pPr>
            <w:r>
              <w:rPr>
                <w:rFonts w:ascii="Calibri" w:hAnsi="Calibri"/>
                <w:b w:val="0"/>
                <w:i w:val="0"/>
                <w:color w:val="212121"/>
                <w:sz w:val="19"/>
              </w:rPr>
              <w:t>In an Indian OCD sample, women had significantly higher rates of comorbid depression and greater suicidal risk than men.</w:t>
            </w:r>
          </w:p>
          <w:p>
            <w:pPr>
              <w:spacing w:after="40" w:line="252" w:lineRule="auto"/>
            </w:pPr>
            <w:hyperlink r:id="rId14">
              <w:r>
                <w:rPr>
                  <w:rFonts w:ascii="Calibri" w:hAnsi="Calibri" w:cs="Calibri"/>
                  <w:sz w:val="18"/>
                  <w:color w:val="1155CC"/>
                  <w:u w:val="single"/>
                </w:rPr>
                <w:t xml:space="preserve">pubmed.ncbi.nlm.nih.gov/24813030 — gender differences, Indian sample</w:t>
              </w:r>
            </w:hyperlink>
          </w:p>
          <w:p>
            <w:pPr>
              <w:spacing w:before="60" w:after="40"/>
            </w:pPr>
            <w:r>
              <w:rPr>
                <w:rFonts w:ascii="Calibri" w:hAnsi="Calibri"/>
                <w:b w:val="0"/>
                <w:i w:val="0"/>
                <w:color w:val="5A5A5A"/>
                <w:sz w:val="18"/>
              </w:rPr>
              <w:t>#depression  #suiciderisk  #comorbidity  #bidirectional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Anxiety disorders</w:t>
            </w:r>
          </w:p>
        </w:tc>
        <w:tc>
          <w:tcPr>
            <w:tcW w:type="dxa" w:w="2160"/>
            <w:vAlign w:val="top"/>
          </w:tcPr>
          <w:p>
            <w:pPr>
              <w:spacing w:after="40" w:before="0" w:line="259" w:lineRule="auto"/>
            </w:pPr>
            <w:r>
              <w:rPr>
                <w:rFonts w:ascii="Calibri" w:hAnsi="Calibri"/>
                <w:b w:val="0"/>
                <w:i w:val="0"/>
                <w:color w:val="212121"/>
                <w:sz w:val="19"/>
              </w:rPr>
              <w:t>Patients with comorbid anxiety / agoraphobia</w:t>
            </w:r>
          </w:p>
        </w:tc>
        <w:tc>
          <w:tcPr>
            <w:tcW w:type="dxa" w:w="4276"/>
            <w:vAlign w:val="top"/>
          </w:tcPr>
          <w:p>
            <w:pPr>
              <w:spacing w:after="60" w:line="259" w:lineRule="auto"/>
            </w:pPr>
            <w:r>
              <w:rPr>
                <w:rFonts w:ascii="Calibri" w:hAnsi="Calibri"/>
                <w:b w:val="0"/>
                <w:i w:val="0"/>
                <w:color w:val="212121"/>
                <w:sz w:val="19"/>
              </w:rPr>
              <w:t>Other anxiety disorders (generalised anxiety, panic, agoraphobia, social phobia) share pathophysiology with OCD and commonly coexist, adding to overall disability.</w:t>
            </w:r>
          </w:p>
          <w:p>
            <w:pPr>
              <w:spacing w:after="40" w:before="60" w:line="259" w:lineRule="auto"/>
            </w:pPr>
            <w:r>
              <w:rPr>
                <w:rFonts w:ascii="Calibri" w:hAnsi="Calibri"/>
                <w:b w:val="0"/>
                <w:i w:val="0"/>
                <w:color w:val="212121"/>
                <w:sz w:val="19"/>
              </w:rPr>
              <w:t>In a multicentric Indian study, women with OCD had more comorbid agoraphobia and men more substance use and social phobia.</w:t>
            </w:r>
          </w:p>
          <w:p>
            <w:pPr>
              <w:spacing w:after="40" w:line="252" w:lineRule="auto"/>
            </w:pPr>
            <w:hyperlink r:id="rId10">
              <w:r>
                <w:rPr>
                  <w:rFonts w:ascii="Calibri" w:hAnsi="Calibri" w:cs="Calibri"/>
                  <w:sz w:val="18"/>
                  <w:color w:val="1155CC"/>
                  <w:u w:val="single"/>
                </w:rPr>
                <w:t xml:space="preserve">pubmed.ncbi.nlm.nih.gov/30086467 — gender differences (multicentric India)</w:t>
              </w:r>
            </w:hyperlink>
          </w:p>
          <w:p>
            <w:pPr>
              <w:spacing w:before="60" w:after="40"/>
            </w:pPr>
            <w:r>
              <w:rPr>
                <w:rFonts w:ascii="Calibri" w:hAnsi="Calibri"/>
                <w:b w:val="0"/>
                <w:i w:val="0"/>
                <w:color w:val="5A5A5A"/>
                <w:sz w:val="18"/>
              </w:rPr>
              <w:t>#anxiety  #agoraphobia  #socialphobia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Tic disorders / Tourette</w:t>
            </w:r>
          </w:p>
        </w:tc>
        <w:tc>
          <w:tcPr>
            <w:tcW w:type="dxa" w:w="2160"/>
            <w:vAlign w:val="top"/>
          </w:tcPr>
          <w:p>
            <w:pPr>
              <w:spacing w:after="40" w:before="0" w:line="259" w:lineRule="auto"/>
            </w:pPr>
            <w:r>
              <w:rPr>
                <w:rFonts w:ascii="Calibri" w:hAnsi="Calibri"/>
                <w:b w:val="0"/>
                <w:i w:val="0"/>
                <w:color w:val="212121"/>
                <w:sz w:val="19"/>
              </w:rPr>
              <w:t>Early-onset OCD with tics</w:t>
            </w:r>
          </w:p>
        </w:tc>
        <w:tc>
          <w:tcPr>
            <w:tcW w:type="dxa" w:w="4276"/>
            <w:vAlign w:val="top"/>
          </w:tcPr>
          <w:p>
            <w:pPr>
              <w:spacing w:after="60" w:line="259" w:lineRule="auto"/>
            </w:pPr>
            <w:r>
              <w:rPr>
                <w:rFonts w:ascii="Calibri" w:hAnsi="Calibri"/>
                <w:b w:val="0"/>
                <w:i w:val="0"/>
                <w:color w:val="212121"/>
                <w:sz w:val="19"/>
              </w:rPr>
              <w:t>Tic disorders and Tourette syndrome share neurodevelopmental circuitry with OCD; tic-related OCD is a recognised DSM-5 specifier and influences medication choice (e.g., antipsychotic augmentation).</w:t>
            </w:r>
          </w:p>
          <w:p>
            <w:pPr>
              <w:spacing w:after="40" w:before="60" w:line="259" w:lineRule="auto"/>
            </w:pPr>
            <w:r>
              <w:rPr>
                <w:rFonts w:ascii="Calibri" w:hAnsi="Calibri"/>
                <w:b w:val="0"/>
                <w:i w:val="0"/>
                <w:color w:val="212121"/>
                <w:sz w:val="19"/>
              </w:rPr>
              <w:t>Tic-related, early-onset OCD is more common in males and carries higher familial loading.</w:t>
            </w:r>
          </w:p>
          <w:p>
            <w:pPr>
              <w:spacing w:before="60" w:after="40"/>
            </w:pPr>
            <w:r>
              <w:rPr>
                <w:rFonts w:ascii="Calibri" w:hAnsi="Calibri"/>
                <w:b w:val="0"/>
                <w:i w:val="0"/>
                <w:color w:val="5A5A5A"/>
                <w:sz w:val="18"/>
              </w:rPr>
              <w:t>#tics  #tourette  #neurodevelopmental  #earlyonset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Body dysmorphic &amp; OCD-spectrum</w:t>
            </w:r>
          </w:p>
        </w:tc>
        <w:tc>
          <w:tcPr>
            <w:tcW w:type="dxa" w:w="2160"/>
            <w:vAlign w:val="top"/>
          </w:tcPr>
          <w:p>
            <w:pPr>
              <w:spacing w:after="40" w:before="0" w:line="259" w:lineRule="auto"/>
            </w:pPr>
            <w:r>
              <w:rPr>
                <w:rFonts w:ascii="Calibri" w:hAnsi="Calibri"/>
                <w:b w:val="0"/>
                <w:i w:val="0"/>
                <w:color w:val="212121"/>
                <w:sz w:val="19"/>
              </w:rPr>
              <w:t>Patients with BDD, trichotillomania, excoriation</w:t>
            </w:r>
          </w:p>
        </w:tc>
        <w:tc>
          <w:tcPr>
            <w:tcW w:type="dxa" w:w="4276"/>
            <w:vAlign w:val="top"/>
          </w:tcPr>
          <w:p>
            <w:pPr>
              <w:spacing w:after="60" w:line="259" w:lineRule="auto"/>
            </w:pPr>
            <w:r>
              <w:rPr>
                <w:rFonts w:ascii="Calibri" w:hAnsi="Calibri"/>
                <w:b w:val="0"/>
                <w:i w:val="0"/>
                <w:color w:val="212121"/>
                <w:sz w:val="19"/>
              </w:rPr>
              <w:t>OCD-spectrum disorders (body dysmorphic disorder, hair-pulling and skin-picking) share phenomenology and genetics with OCD and frequently co-occur.</w:t>
            </w:r>
          </w:p>
          <w:p>
            <w:pPr>
              <w:spacing w:after="40" w:before="60" w:line="259" w:lineRule="auto"/>
            </w:pPr>
            <w:r>
              <w:rPr>
                <w:rFonts w:ascii="Calibri" w:hAnsi="Calibri"/>
                <w:b w:val="0"/>
                <w:i w:val="0"/>
                <w:color w:val="212121"/>
                <w:sz w:val="19"/>
              </w:rPr>
              <w:t>Body-image (dysmorphic) concerns were present in 26.1% of medical students screening positive for OCD symptoms.</w:t>
            </w:r>
          </w:p>
          <w:p>
            <w:pPr>
              <w:spacing w:after="40" w:line="252" w:lineRule="auto"/>
            </w:pPr>
            <w:hyperlink r:id="rId13">
              <w:r>
                <w:rPr>
                  <w:rFonts w:ascii="Calibri" w:hAnsi="Calibri" w:cs="Calibri"/>
                  <w:sz w:val="18"/>
                  <w:color w:val="1155CC"/>
                  <w:u w:val="single"/>
                </w:rPr>
                <w:t xml:space="preserve">pubmed.ncbi.nlm.nih.gov/41164680 — OCD in medical undergraduates</w:t>
              </w:r>
            </w:hyperlink>
          </w:p>
          <w:p>
            <w:pPr>
              <w:spacing w:before="60" w:after="40"/>
            </w:pPr>
            <w:r>
              <w:rPr>
                <w:rFonts w:ascii="Calibri" w:hAnsi="Calibri"/>
                <w:b w:val="0"/>
                <w:i w:val="0"/>
                <w:color w:val="5A5A5A"/>
                <w:sz w:val="18"/>
              </w:rPr>
              <w:t>#BDD  #trichotillomania  #excoriation  #spectrum</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aerobic exercise reduces anxiety and can augment standard OCD treatment; physical inactivity and sedentary routines are common and may worsen mood and sleep that fuel symptoms.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dietary factor causes OCD. Interest exists in glutamate-modulating and anti-inflammatory nutrients (e.g., N-acetylcysteine, omega-3) as adjuncts, but evidence is weak; a balanced diet is advised.</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Insomnia and delayed sleep phase are common in OCD, worsen daytime symptom severity, and can impair response to therapy; treating sleep improves overall control.</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Tobacco use is somewhat more frequent in OCD, often as attempted self-medication of anxiety, but is not causal and worsens general health.</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and substance use disorders are common comorbidities used to relieve obsessional anxiety; they worsen the course and interact with pharmacotherapy.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other anxiety disorders and suicidality are strongly and often bidirectionally comorbid; comorbidity is central to severity, prognosis and treatment planning (about half of clinic patients have a psychiatric comorbidity).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Water itself is not causal, but compulsive washing in the contamination subtype drives excessive water use and hand dermatitis; hydration should not be restricted by contamination fears.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is anxiogenic and can intensify obsessional anxiety and insomnia; moderation is advised in symptomatic patients.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Hygiene is a core theme: contamination obsessions drive compulsive washing and skin damage, and hygiene-focused public-health messaging (e.g., COVID-19) can precipitate or worsen contamination OCD.</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Stressful life events, pregnancy and the postpartum period, streptococcal infection (PANDAS/PANS in children) and public health scares can precipitate or exacerbate OCD.</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Yale-Brown Obsessive Compulsive Scale (Y-BOCS) total</w:t>
            </w:r>
          </w:p>
        </w:tc>
        <w:tc>
          <w:tcPr>
            <w:tcW w:type="dxa" w:w="1655"/>
            <w:vAlign w:val="top"/>
          </w:tcPr>
          <w:p>
            <w:pPr>
              <w:spacing w:after="40" w:before="0" w:line="259" w:lineRule="auto"/>
            </w:pPr>
            <w:r>
              <w:rPr>
                <w:rFonts w:ascii="Calibri" w:hAnsi="Calibri"/>
                <w:b w:val="0"/>
                <w:i w:val="0"/>
                <w:color w:val="212121"/>
                <w:sz w:val="19"/>
              </w:rPr>
              <w:t>Adults with OCD</w:t>
            </w:r>
          </w:p>
        </w:tc>
        <w:tc>
          <w:tcPr>
            <w:tcW w:type="dxa" w:w="1512"/>
            <w:vAlign w:val="top"/>
          </w:tcPr>
          <w:p>
            <w:pPr>
              <w:spacing w:after="40" w:before="0" w:line="259" w:lineRule="auto"/>
            </w:pPr>
            <w:r>
              <w:rPr>
                <w:rFonts w:ascii="Calibri" w:hAnsi="Calibri"/>
                <w:b w:val="0"/>
                <w:i w:val="0"/>
                <w:color w:val="212121"/>
                <w:sz w:val="19"/>
              </w:rPr>
              <w:t>0–7 (subclinical)</w:t>
            </w:r>
          </w:p>
        </w:tc>
        <w:tc>
          <w:tcPr>
            <w:tcW w:type="dxa" w:w="1512"/>
            <w:vAlign w:val="top"/>
          </w:tcPr>
          <w:p>
            <w:pPr>
              <w:spacing w:after="40" w:before="0" w:line="259" w:lineRule="auto"/>
            </w:pPr>
            <w:r>
              <w:rPr>
                <w:rFonts w:ascii="Calibri" w:hAnsi="Calibri"/>
                <w:b w:val="0"/>
                <w:i w:val="0"/>
                <w:color w:val="212121"/>
                <w:sz w:val="19"/>
              </w:rPr>
              <w:t>≥ 16 (clinically significant); ≥ 24 severe</w:t>
            </w:r>
          </w:p>
        </w:tc>
        <w:tc>
          <w:tcPr>
            <w:tcW w:type="dxa" w:w="1468"/>
            <w:vAlign w:val="top"/>
          </w:tcPr>
          <w:p>
            <w:pPr>
              <w:spacing w:after="60" w:line="259" w:lineRule="auto"/>
            </w:pPr>
            <w:r>
              <w:rPr>
                <w:rFonts w:ascii="Calibri" w:hAnsi="Calibri"/>
                <w:b w:val="0"/>
                <w:i w:val="0"/>
                <w:color w:val="212121"/>
                <w:sz w:val="19"/>
              </w:rPr>
              <w:t>Gold-standard clinician-rated 10-item severity scale; tracks treatment response</w:t>
            </w:r>
          </w:p>
          <w:p>
            <w:pPr>
              <w:spacing w:after="40" w:line="252" w:lineRule="auto"/>
            </w:pPr>
            <w:hyperlink r:id="rId17">
              <w:r>
                <w:rPr>
                  <w:rFonts w:ascii="Calibri" w:hAnsi="Calibri" w:cs="Calibri"/>
                  <w:sz w:val="18"/>
                  <w:color w:val="1155CC"/>
                  <w:u w:val="single"/>
                </w:rPr>
                <w:t xml:space="preserve">https://pmc.ncbi.nlm.nih.gov/articles/PMC12865426/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Time occupied by obsessions/compulsions (hours/day)</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&lt; 1 hour/day</w:t>
            </w:r>
          </w:p>
        </w:tc>
        <w:tc>
          <w:tcPr>
            <w:tcW w:type="dxa" w:w="1512"/>
            <w:vAlign w:val="top"/>
          </w:tcPr>
          <w:p>
            <w:pPr>
              <w:spacing w:after="40" w:before="0" w:line="259" w:lineRule="auto"/>
            </w:pPr>
            <w:r>
              <w:rPr>
                <w:rFonts w:ascii="Calibri" w:hAnsi="Calibri"/>
                <w:b w:val="0"/>
                <w:i w:val="0"/>
                <w:color w:val="212121"/>
                <w:sz w:val="19"/>
              </w:rPr>
              <w:t>&gt; 1 hour/day (&gt; 3 h = severe)</w:t>
            </w:r>
          </w:p>
        </w:tc>
        <w:tc>
          <w:tcPr>
            <w:tcW w:type="dxa" w:w="1468"/>
            <w:vAlign w:val="top"/>
          </w:tcPr>
          <w:p>
            <w:pPr>
              <w:spacing w:after="40" w:before="0" w:line="259" w:lineRule="auto"/>
            </w:pPr>
            <w:r>
              <w:rPr>
                <w:rFonts w:ascii="Calibri" w:hAnsi="Calibri"/>
                <w:b w:val="0"/>
                <w:i w:val="0"/>
                <w:color w:val="212121"/>
                <w:sz w:val="19"/>
              </w:rPr>
              <w:t>DSM-5 time-consuming threshold; proxy for functional impairment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PHQ-9 (comorbid depression screen)</w:t>
            </w:r>
          </w:p>
        </w:tc>
        <w:tc>
          <w:tcPr>
            <w:tcW w:type="dxa" w:w="1655"/>
            <w:vAlign w:val="top"/>
          </w:tcPr>
          <w:p>
            <w:pPr>
              <w:spacing w:after="40" w:before="0" w:line="259" w:lineRule="auto"/>
            </w:pPr>
            <w:r>
              <w:rPr>
                <w:rFonts w:ascii="Calibri" w:hAnsi="Calibri"/>
                <w:b w:val="0"/>
                <w:i w:val="0"/>
                <w:color w:val="212121"/>
                <w:sz w:val="19"/>
              </w:rPr>
              <w:t>OCD patients</w:t>
            </w:r>
          </w:p>
        </w:tc>
        <w:tc>
          <w:tcPr>
            <w:tcW w:type="dxa" w:w="1512"/>
            <w:vAlign w:val="top"/>
          </w:tcPr>
          <w:p>
            <w:pPr>
              <w:spacing w:after="40" w:before="0" w:line="259" w:lineRule="auto"/>
            </w:pPr>
            <w:r>
              <w:rPr>
                <w:rFonts w:ascii="Calibri" w:hAnsi="Calibri"/>
                <w:b w:val="0"/>
                <w:i w:val="0"/>
                <w:color w:val="212121"/>
                <w:sz w:val="19"/>
              </w:rPr>
              <w:t>&lt; 5</w:t>
            </w:r>
          </w:p>
        </w:tc>
        <w:tc>
          <w:tcPr>
            <w:tcW w:type="dxa" w:w="1512"/>
            <w:vAlign w:val="top"/>
          </w:tcPr>
          <w:p>
            <w:pPr>
              <w:spacing w:after="40" w:before="0" w:line="259" w:lineRule="auto"/>
            </w:pPr>
            <w:r>
              <w:rPr>
                <w:rFonts w:ascii="Calibri" w:hAnsi="Calibri"/>
                <w:b w:val="0"/>
                <w:i w:val="0"/>
                <w:color w:val="212121"/>
                <w:sz w:val="19"/>
              </w:rPr>
              <w:t>≥ 10</w:t>
            </w:r>
          </w:p>
        </w:tc>
        <w:tc>
          <w:tcPr>
            <w:tcW w:type="dxa" w:w="1468"/>
            <w:vAlign w:val="top"/>
          </w:tcPr>
          <w:p>
            <w:pPr>
              <w:spacing w:after="60" w:line="259" w:lineRule="auto"/>
            </w:pPr>
            <w:r>
              <w:rPr>
                <w:rFonts w:ascii="Calibri" w:hAnsi="Calibri"/>
                <w:b w:val="0"/>
                <w:i w:val="0"/>
                <w:color w:val="212121"/>
                <w:sz w:val="19"/>
              </w:rPr>
              <w:t>Screen routinely given high comorbid depression and suicide risk</w:t>
            </w:r>
          </w:p>
          <w:p>
            <w:pPr>
              <w:spacing w:after="40" w:line="252" w:lineRule="auto"/>
            </w:pPr>
            <w:hyperlink r:id="rId14">
              <w:r>
                <w:rPr>
                  <w:rFonts w:ascii="Calibri" w:hAnsi="Calibri" w:cs="Calibri"/>
                  <w:sz w:val="18"/>
                  <w:color w:val="1155CC"/>
                  <w:u w:val="single"/>
                </w:rPr>
                <w:t xml:space="preserve">https://pubmed.ncbi.nlm.nih.gov/24813030/</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hours/night</w:t>
            </w:r>
          </w:p>
        </w:tc>
        <w:tc>
          <w:tcPr>
            <w:tcW w:type="dxa" w:w="1468"/>
            <w:vAlign w:val="top"/>
          </w:tcPr>
          <w:p>
            <w:pPr>
              <w:spacing w:after="40" w:before="0" w:line="259" w:lineRule="auto"/>
            </w:pPr>
            <w:r>
              <w:rPr>
                <w:rFonts w:ascii="Calibri" w:hAnsi="Calibri"/>
                <w:b w:val="0"/>
                <w:i w:val="0"/>
                <w:color w:val="212121"/>
                <w:sz w:val="19"/>
              </w:rPr>
              <w:t>Insomnia and delayed sleep worsen daytime symptom severity</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Aerobic exercise reduces anxiety and augments therapy</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Adolescents, 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Tobacco use is more frequent in OCD; offer cessation support</w:t>
            </w:r>
          </w:p>
          <w:p>
            <w:pPr>
              <w:spacing w:after="40" w:line="252" w:lineRule="auto"/>
            </w:pPr>
            <w:hyperlink r:id="rId9">
              <w:r>
                <w:rPr>
                  <w:rFonts w:ascii="Calibri" w:hAnsi="Calibri" w:cs="Calibri"/>
                  <w:sz w:val="18"/>
                  <w:color w:val="1155CC"/>
                  <w:u w:val="single"/>
                </w:rPr>
                <w:t xml:space="preserve">https://pubmed.ncbi.nlm.nih.gov/28529361/</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(avoid self-medication)</w:t>
            </w:r>
          </w:p>
        </w:tc>
        <w:tc>
          <w:tcPr>
            <w:tcW w:type="dxa" w:w="1512"/>
            <w:vAlign w:val="top"/>
          </w:tcPr>
          <w:p>
            <w:pPr>
              <w:spacing w:after="40" w:before="0" w:line="259" w:lineRule="auto"/>
            </w:pPr>
            <w:r>
              <w:rPr>
                <w:rFonts w:ascii="Calibri" w:hAnsi="Calibri"/>
                <w:b w:val="0"/>
                <w:i w:val="0"/>
                <w:color w:val="212121"/>
                <w:sz w:val="19"/>
              </w:rPr>
              <w:t>Regular/binge use</w:t>
            </w:r>
          </w:p>
        </w:tc>
        <w:tc>
          <w:tcPr>
            <w:tcW w:type="dxa" w:w="1468"/>
            <w:vAlign w:val="top"/>
          </w:tcPr>
          <w:p>
            <w:pPr>
              <w:spacing w:after="60" w:line="259" w:lineRule="auto"/>
            </w:pPr>
            <w:r>
              <w:rPr>
                <w:rFonts w:ascii="Calibri" w:hAnsi="Calibri"/>
                <w:b w:val="0"/>
                <w:i w:val="0"/>
                <w:color w:val="212121"/>
                <w:sz w:val="19"/>
              </w:rPr>
              <w:t>Alcohol worsens anxiety and interacts with SSRIs/clomipramine</w:t>
            </w:r>
          </w:p>
          <w:p>
            <w:pPr>
              <w:spacing w:after="40" w:line="252" w:lineRule="auto"/>
            </w:pPr>
            <w:hyperlink r:id="rId9">
              <w:r>
                <w:rPr>
                  <w:rFonts w:ascii="Calibri" w:hAnsi="Calibri" w:cs="Calibri"/>
                  <w:sz w:val="18"/>
                  <w:color w:val="1155CC"/>
                  <w:u w:val="single"/>
                </w:rPr>
                <w:t xml:space="preserve">https://pubmed.ncbi.nlm.nih.gov/28529361/</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Anxious/symptomatic patients</w:t>
            </w:r>
          </w:p>
        </w:tc>
        <w:tc>
          <w:tcPr>
            <w:tcW w:type="dxa" w:w="1512"/>
            <w:vAlign w:val="top"/>
          </w:tcPr>
          <w:p>
            <w:pPr>
              <w:spacing w:after="40" w:before="0" w:line="259" w:lineRule="auto"/>
            </w:pPr>
            <w:r>
              <w:rPr>
                <w:rFonts w:ascii="Calibri" w:hAnsi="Calibri"/>
                <w:b w:val="0"/>
                <w:i w:val="0"/>
                <w:color w:val="212121"/>
                <w:sz w:val="19"/>
              </w:rPr>
              <w:t>&lt; 400 mg/day</w:t>
            </w:r>
          </w:p>
        </w:tc>
        <w:tc>
          <w:tcPr>
            <w:tcW w:type="dxa" w:w="1512"/>
            <w:vAlign w:val="top"/>
          </w:tcPr>
          <w:p>
            <w:pPr>
              <w:spacing w:after="40" w:before="0" w:line="259" w:lineRule="auto"/>
            </w:pPr>
            <w:r>
              <w:rPr>
                <w:rFonts w:ascii="Calibri" w:hAnsi="Calibri"/>
                <w:b w:val="0"/>
                <w:i w:val="0"/>
                <w:color w:val="212121"/>
                <w:sz w:val="19"/>
              </w:rPr>
              <w:t>&gt; 400 mg/day</w:t>
            </w:r>
          </w:p>
        </w:tc>
        <w:tc>
          <w:tcPr>
            <w:tcW w:type="dxa" w:w="1468"/>
            <w:vAlign w:val="top"/>
          </w:tcPr>
          <w:p>
            <w:pPr>
              <w:spacing w:after="40" w:before="0" w:line="259" w:lineRule="auto"/>
            </w:pPr>
            <w:r>
              <w:rPr>
                <w:rFonts w:ascii="Calibri" w:hAnsi="Calibri"/>
                <w:b w:val="0"/>
                <w:i w:val="0"/>
                <w:color w:val="212121"/>
                <w:sz w:val="19"/>
              </w:rPr>
              <w:t>Anxiogenic; can worsen obsessional anxiety and insomnia</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Handwashing frequency and skin integrity</w:t>
            </w:r>
          </w:p>
        </w:tc>
        <w:tc>
          <w:tcPr>
            <w:tcW w:type="dxa" w:w="1655"/>
            <w:vAlign w:val="top"/>
          </w:tcPr>
          <w:p>
            <w:pPr>
              <w:spacing w:after="40" w:before="0" w:line="259" w:lineRule="auto"/>
            </w:pPr>
            <w:r>
              <w:rPr>
                <w:rFonts w:ascii="Calibri" w:hAnsi="Calibri"/>
                <w:b w:val="0"/>
                <w:i w:val="0"/>
                <w:color w:val="212121"/>
                <w:sz w:val="19"/>
              </w:rPr>
              <w:t>Contamination subtype</w:t>
            </w:r>
          </w:p>
        </w:tc>
        <w:tc>
          <w:tcPr>
            <w:tcW w:type="dxa" w:w="1512"/>
            <w:vAlign w:val="top"/>
          </w:tcPr>
          <w:p>
            <w:pPr>
              <w:spacing w:after="40" w:before="0" w:line="259" w:lineRule="auto"/>
            </w:pPr>
            <w:r>
              <w:rPr>
                <w:rFonts w:ascii="Calibri" w:hAnsi="Calibri"/>
                <w:b w:val="0"/>
                <w:i w:val="0"/>
                <w:color w:val="212121"/>
                <w:sz w:val="19"/>
              </w:rPr>
              <w:t>Normal washing, intact skin</w:t>
            </w:r>
          </w:p>
        </w:tc>
        <w:tc>
          <w:tcPr>
            <w:tcW w:type="dxa" w:w="1512"/>
            <w:vAlign w:val="top"/>
          </w:tcPr>
          <w:p>
            <w:pPr>
              <w:spacing w:after="40" w:before="0" w:line="259" w:lineRule="auto"/>
            </w:pPr>
            <w:r>
              <w:rPr>
                <w:rFonts w:ascii="Calibri" w:hAnsi="Calibri"/>
                <w:b w:val="0"/>
                <w:i w:val="0"/>
                <w:color w:val="212121"/>
                <w:sz w:val="19"/>
              </w:rPr>
              <w:t>Repeated washing with chapping/dermatitis</w:t>
            </w:r>
          </w:p>
        </w:tc>
        <w:tc>
          <w:tcPr>
            <w:tcW w:type="dxa" w:w="1468"/>
            <w:vAlign w:val="top"/>
          </w:tcPr>
          <w:p>
            <w:pPr>
              <w:spacing w:after="40" w:before="0" w:line="259" w:lineRule="auto"/>
            </w:pPr>
            <w:r>
              <w:rPr>
                <w:rFonts w:ascii="Calibri" w:hAnsi="Calibri"/>
                <w:b w:val="0"/>
                <w:i w:val="0"/>
                <w:color w:val="212121"/>
                <w:sz w:val="19"/>
              </w:rPr>
              <w:t>Objective marker of compulsive severity in the contamination dimension</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Insight (Brown Assessment of Beliefs Scale, BABS)</w:t>
            </w:r>
          </w:p>
        </w:tc>
        <w:tc>
          <w:tcPr>
            <w:tcW w:type="dxa" w:w="1655"/>
            <w:vAlign w:val="top"/>
          </w:tcPr>
          <w:p>
            <w:pPr>
              <w:spacing w:after="40" w:before="0" w:line="259" w:lineRule="auto"/>
            </w:pPr>
            <w:r>
              <w:rPr>
                <w:rFonts w:ascii="Calibri" w:hAnsi="Calibri"/>
                <w:b w:val="0"/>
                <w:i w:val="0"/>
                <w:color w:val="212121"/>
                <w:sz w:val="19"/>
              </w:rPr>
              <w:t>Poor-insight patients</w:t>
            </w:r>
          </w:p>
        </w:tc>
        <w:tc>
          <w:tcPr>
            <w:tcW w:type="dxa" w:w="1512"/>
            <w:vAlign w:val="top"/>
          </w:tcPr>
          <w:p>
            <w:pPr>
              <w:spacing w:after="40" w:before="0" w:line="259" w:lineRule="auto"/>
            </w:pPr>
            <w:r>
              <w:rPr>
                <w:rFonts w:ascii="Calibri" w:hAnsi="Calibri"/>
                <w:b w:val="0"/>
                <w:i w:val="0"/>
                <w:color w:val="212121"/>
                <w:sz w:val="19"/>
              </w:rPr>
              <w:t>Good/fair insight</w:t>
            </w:r>
          </w:p>
        </w:tc>
        <w:tc>
          <w:tcPr>
            <w:tcW w:type="dxa" w:w="1512"/>
            <w:vAlign w:val="top"/>
          </w:tcPr>
          <w:p>
            <w:pPr>
              <w:spacing w:after="40" w:before="0" w:line="259" w:lineRule="auto"/>
            </w:pPr>
            <w:r>
              <w:rPr>
                <w:rFonts w:ascii="Calibri" w:hAnsi="Calibri"/>
                <w:b w:val="0"/>
                <w:i w:val="0"/>
                <w:color w:val="212121"/>
                <w:sz w:val="19"/>
              </w:rPr>
              <w:t>Poor or absent (delusional) insight</w:t>
            </w:r>
          </w:p>
        </w:tc>
        <w:tc>
          <w:tcPr>
            <w:tcW w:type="dxa" w:w="1468"/>
            <w:vAlign w:val="top"/>
          </w:tcPr>
          <w:p>
            <w:pPr>
              <w:spacing w:after="40" w:before="0" w:line="259" w:lineRule="auto"/>
            </w:pPr>
            <w:r>
              <w:rPr>
                <w:rFonts w:ascii="Calibri" w:hAnsi="Calibri"/>
                <w:b w:val="0"/>
                <w:i w:val="0"/>
                <w:color w:val="212121"/>
                <w:sz w:val="19"/>
              </w:rPr>
              <w:t>Poor insight predicts poorer treatment response and prognosis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 Stimulating Hormone (TSH)</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&lt; 0.4 or &gt; 4.0 mIU/L</w:t>
            </w:r>
          </w:p>
        </w:tc>
        <w:tc>
          <w:tcPr>
            <w:tcW w:type="dxa" w:w="1036"/>
            <w:vAlign w:val="top"/>
          </w:tcPr>
          <w:p>
            <w:pPr>
              <w:spacing w:after="40" w:before="0" w:line="259" w:lineRule="auto"/>
            </w:pPr>
            <w:r>
              <w:rPr>
                <w:rFonts w:ascii="Calibri" w:hAnsi="Calibri"/>
                <w:b w:val="0"/>
                <w:i w:val="0"/>
                <w:color w:val="212121"/>
                <w:sz w:val="16"/>
              </w:rPr>
              <w:t>Excludes thyroid dysfunction that can mimic or worsen anxiety symptoms</w:t>
            </w:r>
          </w:p>
        </w:tc>
        <w:tc>
          <w:tcPr>
            <w:tcW w:type="dxa" w:w="1036"/>
            <w:vAlign w:val="top"/>
          </w:tcPr>
          <w:p>
            <w:pPr>
              <w:spacing w:after="40" w:before="0" w:line="259" w:lineRule="auto"/>
            </w:pPr>
            <w:r>
              <w:rPr>
                <w:rFonts w:ascii="Calibri" w:hAnsi="Calibri"/>
                <w:b w:val="0"/>
                <w:i w:val="0"/>
                <w:color w:val="212121"/>
                <w:sz w:val="16"/>
              </w:rPr>
              <w:t>New presentation, atypical or refractory anxiety</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Baseline before pharmacotherapy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Age/sex-specific reference</w:t>
            </w:r>
          </w:p>
        </w:tc>
        <w:tc>
          <w:tcPr>
            <w:tcW w:type="dxa" w:w="950"/>
            <w:vAlign w:val="top"/>
          </w:tcPr>
          <w:p>
            <w:pPr>
              <w:spacing w:after="40" w:before="0" w:line="259" w:lineRule="auto"/>
            </w:pPr>
            <w:r>
              <w:rPr>
                <w:rFonts w:ascii="Calibri" w:hAnsi="Calibri"/>
                <w:b w:val="0"/>
                <w:i w:val="0"/>
                <w:color w:val="212121"/>
                <w:sz w:val="16"/>
              </w:rPr>
              <w:t>Anaemia, leucocytosis</w:t>
            </w:r>
          </w:p>
        </w:tc>
        <w:tc>
          <w:tcPr>
            <w:tcW w:type="dxa" w:w="1036"/>
            <w:vAlign w:val="top"/>
          </w:tcPr>
          <w:p>
            <w:pPr>
              <w:spacing w:after="40" w:before="0" w:line="259" w:lineRule="auto"/>
            </w:pPr>
            <w:r>
              <w:rPr>
                <w:rFonts w:ascii="Calibri" w:hAnsi="Calibri"/>
                <w:b w:val="0"/>
                <w:i w:val="0"/>
                <w:color w:val="212121"/>
                <w:sz w:val="16"/>
              </w:rPr>
              <w:t>Baseline screen; helps exclude organic contributors before treatment</w:t>
            </w:r>
          </w:p>
        </w:tc>
        <w:tc>
          <w:tcPr>
            <w:tcW w:type="dxa" w:w="1036"/>
            <w:vAlign w:val="top"/>
          </w:tcPr>
          <w:p>
            <w:pPr>
              <w:spacing w:after="40" w:before="0" w:line="259" w:lineRule="auto"/>
            </w:pPr>
            <w:r>
              <w:rPr>
                <w:rFonts w:ascii="Calibri" w:hAnsi="Calibri"/>
                <w:b w:val="0"/>
                <w:i w:val="0"/>
                <w:color w:val="212121"/>
                <w:sz w:val="16"/>
              </w:rPr>
              <w:t>Patients starting pharmacotherapy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Baseline</w:t>
            </w:r>
          </w:p>
        </w:tc>
        <w:tc>
          <w:tcPr>
            <w:tcW w:type="dxa" w:w="720"/>
            <w:vAlign w:val="top"/>
          </w:tcPr>
          <w:p>
            <w:pPr>
              <w:spacing w:after="40" w:before="0" w:line="259" w:lineRule="auto"/>
            </w:pPr>
            <w:r>
              <w:rPr>
                <w:rFonts w:ascii="Calibri" w:hAnsi="Calibri"/>
                <w:b w:val="0"/>
                <w:i w:val="0"/>
                <w:color w:val="212121"/>
                <w:sz w:val="16"/>
              </w:rPr>
              <w:t>Obtained before initiating an SSRI</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&amp; lipid profile</w:t>
            </w:r>
          </w:p>
        </w:tc>
        <w:tc>
          <w:tcPr>
            <w:tcW w:type="dxa" w:w="892"/>
            <w:vAlign w:val="top"/>
          </w:tcPr>
          <w:p>
            <w:pPr>
              <w:spacing w:after="40" w:before="0" w:line="259" w:lineRule="auto"/>
            </w:pPr>
            <w:r>
              <w:rPr>
                <w:rFonts w:ascii="Calibri" w:hAnsi="Calibri"/>
                <w:b w:val="0"/>
                <w:i w:val="0"/>
                <w:color w:val="212121"/>
                <w:sz w:val="16"/>
              </w:rPr>
              <w:t>Metabolic panel</w:t>
            </w:r>
          </w:p>
        </w:tc>
        <w:tc>
          <w:tcPr>
            <w:tcW w:type="dxa" w:w="950"/>
            <w:vAlign w:val="top"/>
          </w:tcPr>
          <w:p>
            <w:pPr>
              <w:spacing w:after="40" w:before="0" w:line="259" w:lineRule="auto"/>
            </w:pPr>
            <w:r>
              <w:rPr>
                <w:rFonts w:ascii="Calibri" w:hAnsi="Calibri"/>
                <w:b w:val="0"/>
                <w:i w:val="0"/>
                <w:color w:val="212121"/>
                <w:sz w:val="16"/>
              </w:rPr>
              <w:t>FBS 70–99 mg/dL; LDL &lt; 100 mg/dL</w:t>
            </w:r>
          </w:p>
        </w:tc>
        <w:tc>
          <w:tcPr>
            <w:tcW w:type="dxa" w:w="950"/>
            <w:vAlign w:val="top"/>
          </w:tcPr>
          <w:p>
            <w:pPr>
              <w:spacing w:after="40" w:before="0" w:line="259" w:lineRule="auto"/>
            </w:pPr>
            <w:r>
              <w:rPr>
                <w:rFonts w:ascii="Calibri" w:hAnsi="Calibri"/>
                <w:b w:val="0"/>
                <w:i w:val="0"/>
                <w:color w:val="212121"/>
                <w:sz w:val="16"/>
              </w:rPr>
              <w:t>Elevated values</w:t>
            </w:r>
          </w:p>
        </w:tc>
        <w:tc>
          <w:tcPr>
            <w:tcW w:type="dxa" w:w="1036"/>
            <w:vAlign w:val="top"/>
          </w:tcPr>
          <w:p>
            <w:pPr>
              <w:spacing w:after="40" w:before="0" w:line="259" w:lineRule="auto"/>
            </w:pPr>
            <w:r>
              <w:rPr>
                <w:rFonts w:ascii="Calibri" w:hAnsi="Calibri"/>
                <w:b w:val="0"/>
                <w:i w:val="0"/>
                <w:color w:val="212121"/>
                <w:sz w:val="16"/>
              </w:rPr>
              <w:t>Baseline metabolic status for long-term pharmacotherapy and comorbidity</w:t>
            </w:r>
          </w:p>
        </w:tc>
        <w:tc>
          <w:tcPr>
            <w:tcW w:type="dxa" w:w="1036"/>
            <w:vAlign w:val="top"/>
          </w:tcPr>
          <w:p>
            <w:pPr>
              <w:spacing w:after="40" w:before="0" w:line="259" w:lineRule="auto"/>
            </w:pPr>
            <w:r>
              <w:rPr>
                <w:rFonts w:ascii="Calibri" w:hAnsi="Calibri"/>
                <w:b w:val="0"/>
                <w:i w:val="0"/>
                <w:color w:val="212121"/>
                <w:sz w:val="16"/>
              </w:rPr>
              <w:t>Adults on/considering long-term medication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Relevant if augmenting with antipsychotics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Anti-streptolysin O (ASO) titre &amp; throat swab</w:t>
            </w:r>
          </w:p>
        </w:tc>
        <w:tc>
          <w:tcPr>
            <w:tcW w:type="dxa" w:w="892"/>
            <w:vAlign w:val="top"/>
          </w:tcPr>
          <w:p>
            <w:pPr>
              <w:spacing w:after="40" w:before="0" w:line="259" w:lineRule="auto"/>
            </w:pPr>
            <w:r>
              <w:rPr>
                <w:rFonts w:ascii="Calibri" w:hAnsi="Calibri"/>
                <w:b w:val="0"/>
                <w:i w:val="0"/>
                <w:color w:val="212121"/>
                <w:sz w:val="16"/>
              </w:rPr>
              <w:t>Streptococcal workup</w:t>
            </w:r>
          </w:p>
        </w:tc>
        <w:tc>
          <w:tcPr>
            <w:tcW w:type="dxa" w:w="950"/>
            <w:vAlign w:val="top"/>
          </w:tcPr>
          <w:p>
            <w:pPr>
              <w:spacing w:after="40" w:before="0" w:line="259" w:lineRule="auto"/>
            </w:pPr>
            <w:r>
              <w:rPr>
                <w:rFonts w:ascii="Calibri" w:hAnsi="Calibri"/>
                <w:b w:val="0"/>
                <w:i w:val="0"/>
                <w:color w:val="212121"/>
                <w:sz w:val="16"/>
              </w:rPr>
              <w:t>ASO &lt; 200 IU/mL; swab negative</w:t>
            </w:r>
          </w:p>
        </w:tc>
        <w:tc>
          <w:tcPr>
            <w:tcW w:type="dxa" w:w="950"/>
            <w:vAlign w:val="top"/>
          </w:tcPr>
          <w:p>
            <w:pPr>
              <w:spacing w:after="40" w:before="0" w:line="259" w:lineRule="auto"/>
            </w:pPr>
            <w:r>
              <w:rPr>
                <w:rFonts w:ascii="Calibri" w:hAnsi="Calibri"/>
                <w:b w:val="0"/>
                <w:i w:val="0"/>
                <w:color w:val="212121"/>
                <w:sz w:val="16"/>
              </w:rPr>
              <w:t>Elevated ASO; positive swab</w:t>
            </w:r>
          </w:p>
        </w:tc>
        <w:tc>
          <w:tcPr>
            <w:tcW w:type="dxa" w:w="1036"/>
            <w:vAlign w:val="top"/>
          </w:tcPr>
          <w:p>
            <w:pPr>
              <w:spacing w:after="40" w:before="0" w:line="259" w:lineRule="auto"/>
            </w:pPr>
            <w:r>
              <w:rPr>
                <w:rFonts w:ascii="Calibri" w:hAnsi="Calibri"/>
                <w:b w:val="0"/>
                <w:i w:val="0"/>
                <w:color w:val="212121"/>
                <w:sz w:val="16"/>
              </w:rPr>
              <w:t>Evaluates abrupt-onset paediatric OCD/tics for PANDAS/PANS</w:t>
            </w:r>
          </w:p>
        </w:tc>
        <w:tc>
          <w:tcPr>
            <w:tcW w:type="dxa" w:w="1036"/>
            <w:vAlign w:val="top"/>
          </w:tcPr>
          <w:p>
            <w:pPr>
              <w:spacing w:after="40" w:before="0" w:line="259" w:lineRule="auto"/>
            </w:pPr>
            <w:r>
              <w:rPr>
                <w:rFonts w:ascii="Calibri" w:hAnsi="Calibri"/>
                <w:b w:val="0"/>
                <w:i w:val="0"/>
                <w:color w:val="212121"/>
                <w:sz w:val="16"/>
              </w:rPr>
              <w:t>Children with sudden-onset OCD or tics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Only when onset is abrupt/post-infectious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w:t>
            </w:r>
          </w:p>
        </w:tc>
        <w:tc>
          <w:tcPr>
            <w:tcW w:type="dxa" w:w="1036"/>
            <w:vAlign w:val="top"/>
          </w:tcPr>
          <w:p>
            <w:pPr>
              <w:spacing w:after="40" w:before="0" w:line="259" w:lineRule="auto"/>
            </w:pPr>
            <w:r>
              <w:rPr>
                <w:rFonts w:ascii="Calibri" w:hAnsi="Calibri"/>
                <w:b w:val="0"/>
                <w:i w:val="0"/>
                <w:color w:val="212121"/>
                <w:sz w:val="16"/>
              </w:rPr>
              <w:t>Electrocardiogram (ECG) — QTc</w:t>
            </w:r>
          </w:p>
        </w:tc>
        <w:tc>
          <w:tcPr>
            <w:tcW w:type="dxa" w:w="892"/>
            <w:vAlign w:val="top"/>
          </w:tcPr>
          <w:p>
            <w:pPr>
              <w:spacing w:after="40" w:before="0" w:line="259" w:lineRule="auto"/>
            </w:pPr>
            <w:r>
              <w:rPr>
                <w:rFonts w:ascii="Calibri" w:hAnsi="Calibri"/>
                <w:b w:val="0"/>
                <w:i w:val="0"/>
                <w:color w:val="212121"/>
                <w:sz w:val="16"/>
              </w:rPr>
              <w:t>Cardiac safety screen</w:t>
            </w:r>
          </w:p>
        </w:tc>
        <w:tc>
          <w:tcPr>
            <w:tcW w:type="dxa" w:w="950"/>
            <w:vAlign w:val="top"/>
          </w:tcPr>
          <w:p>
            <w:pPr>
              <w:spacing w:after="40" w:before="0" w:line="259" w:lineRule="auto"/>
            </w:pPr>
            <w:r>
              <w:rPr>
                <w:rFonts w:ascii="Calibri" w:hAnsi="Calibri"/>
                <w:b w:val="0"/>
                <w:i w:val="0"/>
                <w:color w:val="212121"/>
                <w:sz w:val="16"/>
              </w:rPr>
              <w:t>QTc &lt; 450 ms (M) / &lt; 470 ms (F)</w:t>
            </w:r>
          </w:p>
        </w:tc>
        <w:tc>
          <w:tcPr>
            <w:tcW w:type="dxa" w:w="950"/>
            <w:vAlign w:val="top"/>
          </w:tcPr>
          <w:p>
            <w:pPr>
              <w:spacing w:after="40" w:before="0" w:line="259" w:lineRule="auto"/>
            </w:pPr>
            <w:r>
              <w:rPr>
                <w:rFonts w:ascii="Calibri" w:hAnsi="Calibri"/>
                <w:b w:val="0"/>
                <w:i w:val="0"/>
                <w:color w:val="212121"/>
                <w:sz w:val="16"/>
              </w:rPr>
              <w:t>Prolonged QTc</w:t>
            </w:r>
          </w:p>
        </w:tc>
        <w:tc>
          <w:tcPr>
            <w:tcW w:type="dxa" w:w="1036"/>
            <w:vAlign w:val="top"/>
          </w:tcPr>
          <w:p>
            <w:pPr>
              <w:spacing w:after="40" w:before="0" w:line="259" w:lineRule="auto"/>
            </w:pPr>
            <w:r>
              <w:rPr>
                <w:rFonts w:ascii="Calibri" w:hAnsi="Calibri"/>
                <w:b w:val="0"/>
                <w:i w:val="0"/>
                <w:color w:val="212121"/>
                <w:sz w:val="16"/>
              </w:rPr>
              <w:t>Baseline safety before high-dose SSRI or clomipramine</w:t>
            </w:r>
          </w:p>
        </w:tc>
        <w:tc>
          <w:tcPr>
            <w:tcW w:type="dxa" w:w="1036"/>
            <w:vAlign w:val="top"/>
          </w:tcPr>
          <w:p>
            <w:pPr>
              <w:spacing w:after="40" w:before="0" w:line="259" w:lineRule="auto"/>
            </w:pPr>
            <w:r>
              <w:rPr>
                <w:rFonts w:ascii="Calibri" w:hAnsi="Calibri"/>
                <w:b w:val="0"/>
                <w:i w:val="0"/>
                <w:color w:val="212121"/>
                <w:sz w:val="16"/>
              </w:rPr>
              <w:t>Patients on clomipramine/high-dose SSRI, cardiac risk</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Safety</w:t>
            </w:r>
          </w:p>
        </w:tc>
        <w:tc>
          <w:tcPr>
            <w:tcW w:type="dxa" w:w="720"/>
            <w:vAlign w:val="top"/>
          </w:tcPr>
          <w:p>
            <w:pPr>
              <w:spacing w:after="40" w:before="0" w:line="259" w:lineRule="auto"/>
            </w:pPr>
            <w:r>
              <w:rPr>
                <w:rFonts w:ascii="Calibri" w:hAnsi="Calibri"/>
                <w:b w:val="0"/>
                <w:i w:val="0"/>
                <w:color w:val="212121"/>
                <w:sz w:val="16"/>
              </w:rPr>
              <w:t>Citalopram and clomipramine can prolong QT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MRI brain</w:t>
            </w:r>
          </w:p>
        </w:tc>
        <w:tc>
          <w:tcPr>
            <w:tcW w:type="dxa" w:w="892"/>
            <w:vAlign w:val="top"/>
          </w:tcPr>
          <w:p>
            <w:pPr>
              <w:spacing w:after="40" w:before="0" w:line="259" w:lineRule="auto"/>
            </w:pPr>
            <w:r>
              <w:rPr>
                <w:rFonts w:ascii="Calibri" w:hAnsi="Calibri"/>
                <w:b w:val="0"/>
                <w:i w:val="0"/>
                <w:color w:val="212121"/>
                <w:sz w:val="16"/>
              </w:rPr>
              <w:t>Neuroimaging</w:t>
            </w:r>
          </w:p>
        </w:tc>
        <w:tc>
          <w:tcPr>
            <w:tcW w:type="dxa" w:w="950"/>
            <w:vAlign w:val="top"/>
          </w:tcPr>
          <w:p>
            <w:pPr>
              <w:spacing w:after="40" w:before="0" w:line="259" w:lineRule="auto"/>
            </w:pPr>
            <w:r>
              <w:rPr>
                <w:rFonts w:ascii="Calibri" w:hAnsi="Calibri"/>
                <w:b w:val="0"/>
                <w:i w:val="0"/>
                <w:color w:val="212121"/>
                <w:sz w:val="16"/>
              </w:rPr>
              <w:t>No structural lesion</w:t>
            </w:r>
          </w:p>
        </w:tc>
        <w:tc>
          <w:tcPr>
            <w:tcW w:type="dxa" w:w="950"/>
            <w:vAlign w:val="top"/>
          </w:tcPr>
          <w:p>
            <w:pPr>
              <w:spacing w:after="40" w:before="0" w:line="259" w:lineRule="auto"/>
            </w:pPr>
            <w:r>
              <w:rPr>
                <w:rFonts w:ascii="Calibri" w:hAnsi="Calibri"/>
                <w:b w:val="0"/>
                <w:i w:val="0"/>
                <w:color w:val="212121"/>
                <w:sz w:val="16"/>
              </w:rPr>
              <w:t>Focal lesion / basal-ganglia pathology</w:t>
            </w:r>
          </w:p>
        </w:tc>
        <w:tc>
          <w:tcPr>
            <w:tcW w:type="dxa" w:w="1036"/>
            <w:vAlign w:val="top"/>
          </w:tcPr>
          <w:p>
            <w:pPr>
              <w:spacing w:after="40" w:before="0" w:line="259" w:lineRule="auto"/>
            </w:pPr>
            <w:r>
              <w:rPr>
                <w:rFonts w:ascii="Calibri" w:hAnsi="Calibri"/>
                <w:b w:val="0"/>
                <w:i w:val="0"/>
                <w:color w:val="212121"/>
                <w:sz w:val="16"/>
              </w:rPr>
              <w:t>Reserved for atypical, late-onset or neurologically abnormal presentations</w:t>
            </w:r>
          </w:p>
        </w:tc>
        <w:tc>
          <w:tcPr>
            <w:tcW w:type="dxa" w:w="1036"/>
            <w:vAlign w:val="top"/>
          </w:tcPr>
          <w:p>
            <w:pPr>
              <w:spacing w:after="40" w:before="0" w:line="259" w:lineRule="auto"/>
            </w:pPr>
            <w:r>
              <w:rPr>
                <w:rFonts w:ascii="Calibri" w:hAnsi="Calibri"/>
                <w:b w:val="0"/>
                <w:i w:val="0"/>
                <w:color w:val="212121"/>
                <w:sz w:val="16"/>
              </w:rPr>
              <w:t>Late-onset or atypical OCD with neurological signs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Not part of routine OCD workup</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Psychometric</w:t>
            </w:r>
          </w:p>
        </w:tc>
        <w:tc>
          <w:tcPr>
            <w:tcW w:type="dxa" w:w="950"/>
            <w:vAlign w:val="top"/>
          </w:tcPr>
          <w:p>
            <w:pPr>
              <w:spacing w:after="40" w:before="0" w:line="259" w:lineRule="auto"/>
            </w:pPr>
            <w:r>
              <w:rPr>
                <w:rFonts w:ascii="Calibri" w:hAnsi="Calibri"/>
                <w:b w:val="0"/>
                <w:i w:val="0"/>
                <w:color w:val="212121"/>
                <w:sz w:val="16"/>
              </w:rPr>
              <w:t>Yale-Brown Obsessive Compulsive Scale (Y-BOCS + symptom checklist)</w:t>
            </w:r>
          </w:p>
        </w:tc>
        <w:tc>
          <w:tcPr>
            <w:tcW w:type="dxa" w:w="979"/>
            <w:vAlign w:val="top"/>
          </w:tcPr>
          <w:p>
            <w:pPr>
              <w:spacing w:after="40" w:before="0" w:line="259" w:lineRule="auto"/>
            </w:pPr>
            <w:r>
              <w:rPr>
                <w:rFonts w:ascii="Calibri" w:hAnsi="Calibri"/>
                <w:b w:val="0"/>
                <w:i w:val="0"/>
                <w:color w:val="212121"/>
                <w:sz w:val="16"/>
              </w:rPr>
              <w:t>Severity and symptom dimensions</w:t>
            </w:r>
          </w:p>
        </w:tc>
        <w:tc>
          <w:tcPr>
            <w:tcW w:type="dxa" w:w="950"/>
            <w:vAlign w:val="top"/>
          </w:tcPr>
          <w:p>
            <w:pPr>
              <w:spacing w:after="40" w:before="0" w:line="259" w:lineRule="auto"/>
            </w:pPr>
            <w:r>
              <w:rPr>
                <w:rFonts w:ascii="Calibri" w:hAnsi="Calibri"/>
                <w:b w:val="0"/>
                <w:i w:val="0"/>
                <w:color w:val="212121"/>
                <w:sz w:val="16"/>
              </w:rPr>
              <w:t>0–7</w:t>
            </w:r>
          </w:p>
        </w:tc>
        <w:tc>
          <w:tcPr>
            <w:tcW w:type="dxa" w:w="950"/>
            <w:vAlign w:val="top"/>
          </w:tcPr>
          <w:p>
            <w:pPr>
              <w:spacing w:after="40" w:before="0" w:line="259" w:lineRule="auto"/>
            </w:pPr>
            <w:r>
              <w:rPr>
                <w:rFonts w:ascii="Calibri" w:hAnsi="Calibri"/>
                <w:b w:val="0"/>
                <w:i w:val="0"/>
                <w:color w:val="212121"/>
                <w:sz w:val="16"/>
              </w:rPr>
              <w:t>≥ 16</w:t>
            </w:r>
          </w:p>
        </w:tc>
        <w:tc>
          <w:tcPr>
            <w:tcW w:type="dxa" w:w="1036"/>
            <w:vAlign w:val="top"/>
          </w:tcPr>
          <w:p>
            <w:pPr>
              <w:spacing w:after="40" w:before="0" w:line="259" w:lineRule="auto"/>
            </w:pPr>
            <w:r>
              <w:rPr>
                <w:rFonts w:ascii="Calibri" w:hAnsi="Calibri"/>
                <w:b w:val="0"/>
                <w:i w:val="0"/>
                <w:color w:val="212121"/>
                <w:sz w:val="16"/>
              </w:rPr>
              <w:t>Quantifies severity and maps symptom dimensions; primary outcome measure</w:t>
            </w:r>
          </w:p>
        </w:tc>
        <w:tc>
          <w:tcPr>
            <w:tcW w:type="dxa" w:w="1036"/>
            <w:vAlign w:val="top"/>
          </w:tcPr>
          <w:p>
            <w:pPr>
              <w:spacing w:after="40" w:before="0" w:line="259" w:lineRule="auto"/>
            </w:pPr>
            <w:r>
              <w:rPr>
                <w:rFonts w:ascii="Calibri" w:hAnsi="Calibri"/>
                <w:b w:val="0"/>
                <w:i w:val="0"/>
                <w:color w:val="212121"/>
                <w:sz w:val="16"/>
              </w:rPr>
              <w:t>All patients with OCD</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Clinician-administered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Diagnostic interview</w:t>
            </w:r>
          </w:p>
        </w:tc>
        <w:tc>
          <w:tcPr>
            <w:tcW w:type="dxa" w:w="950"/>
            <w:vAlign w:val="top"/>
          </w:tcPr>
          <w:p>
            <w:pPr>
              <w:spacing w:after="40" w:before="0" w:line="259" w:lineRule="auto"/>
            </w:pPr>
            <w:r>
              <w:rPr>
                <w:rFonts w:ascii="Calibri" w:hAnsi="Calibri"/>
                <w:b w:val="0"/>
                <w:i w:val="0"/>
                <w:color w:val="212121"/>
                <w:sz w:val="16"/>
              </w:rPr>
              <w:t>Structured interview (MINI/SCID) against DSM-5</w:t>
            </w:r>
          </w:p>
        </w:tc>
        <w:tc>
          <w:tcPr>
            <w:tcW w:type="dxa" w:w="979"/>
            <w:vAlign w:val="top"/>
          </w:tcPr>
          <w:p>
            <w:pPr>
              <w:spacing w:after="40" w:before="0" w:line="259" w:lineRule="auto"/>
            </w:pPr>
            <w:r>
              <w:rPr>
                <w:rFonts w:ascii="Calibri" w:hAnsi="Calibri"/>
                <w:b w:val="0"/>
                <w:i w:val="0"/>
                <w:color w:val="212121"/>
                <w:sz w:val="16"/>
              </w:rPr>
              <w:t>Diagnosis and comorbidity</w:t>
            </w:r>
          </w:p>
        </w:tc>
        <w:tc>
          <w:tcPr>
            <w:tcW w:type="dxa" w:w="950"/>
            <w:vAlign w:val="top"/>
          </w:tcPr>
          <w:p>
            <w:pPr>
              <w:spacing w:after="40" w:before="0" w:line="259" w:lineRule="auto"/>
            </w:pPr>
            <w:r>
              <w:rPr>
                <w:rFonts w:ascii="Calibri" w:hAnsi="Calibri"/>
                <w:b w:val="0"/>
                <w:i w:val="0"/>
                <w:color w:val="212121"/>
                <w:sz w:val="16"/>
              </w:rPr>
              <w:t>Criteria not met</w:t>
            </w:r>
          </w:p>
        </w:tc>
        <w:tc>
          <w:tcPr>
            <w:tcW w:type="dxa" w:w="950"/>
            <w:vAlign w:val="top"/>
          </w:tcPr>
          <w:p>
            <w:pPr>
              <w:spacing w:after="40" w:before="0" w:line="259" w:lineRule="auto"/>
            </w:pPr>
            <w:r>
              <w:rPr>
                <w:rFonts w:ascii="Calibri" w:hAnsi="Calibri"/>
                <w:b w:val="0"/>
                <w:i w:val="0"/>
                <w:color w:val="212121"/>
                <w:sz w:val="16"/>
              </w:rPr>
              <w:t>Criteria met</w:t>
            </w:r>
          </w:p>
        </w:tc>
        <w:tc>
          <w:tcPr>
            <w:tcW w:type="dxa" w:w="1036"/>
            <w:vAlign w:val="top"/>
          </w:tcPr>
          <w:p>
            <w:pPr>
              <w:spacing w:after="40" w:before="0" w:line="259" w:lineRule="auto"/>
            </w:pPr>
            <w:r>
              <w:rPr>
                <w:rFonts w:ascii="Calibri" w:hAnsi="Calibri"/>
                <w:b w:val="0"/>
                <w:i w:val="0"/>
                <w:color w:val="212121"/>
                <w:sz w:val="16"/>
              </w:rPr>
              <w:t>Confirms OCD and identifies comorbid depression, anxiety and substance use</w:t>
            </w:r>
          </w:p>
        </w:tc>
        <w:tc>
          <w:tcPr>
            <w:tcW w:type="dxa" w:w="1036"/>
            <w:vAlign w:val="top"/>
          </w:tcPr>
          <w:p>
            <w:pPr>
              <w:spacing w:after="40" w:before="0" w:line="259" w:lineRule="auto"/>
            </w:pPr>
            <w:r>
              <w:rPr>
                <w:rFonts w:ascii="Calibri" w:hAnsi="Calibri"/>
                <w:b w:val="0"/>
                <w:i w:val="0"/>
                <w:color w:val="212121"/>
                <w:sz w:val="16"/>
              </w:rPr>
              <w:t>New diagnosis, complex presentations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Distinguishes OCD from GAD, psychosis and OCPD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 — obsessions, compulsions, time, avoidance, insight</w:t>
            </w:r>
          </w:p>
        </w:tc>
        <w:tc>
          <w:tcPr>
            <w:tcW w:type="dxa" w:w="979"/>
            <w:vAlign w:val="top"/>
          </w:tcPr>
          <w:p>
            <w:pPr>
              <w:spacing w:after="40" w:before="0" w:line="259" w:lineRule="auto"/>
            </w:pPr>
            <w:r>
              <w:rPr>
                <w:rFonts w:ascii="Calibri" w:hAnsi="Calibri"/>
                <w:b w:val="0"/>
                <w:i w:val="0"/>
                <w:color w:val="212121"/>
                <w:sz w:val="16"/>
              </w:rPr>
              <w:t>Core clinical features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 &gt; 1 h/day or distressing/impairing</w:t>
            </w:r>
          </w:p>
        </w:tc>
        <w:tc>
          <w:tcPr>
            <w:tcW w:type="dxa" w:w="1036"/>
            <w:vAlign w:val="top"/>
          </w:tcPr>
          <w:p>
            <w:pPr>
              <w:spacing w:after="40" w:before="0" w:line="259" w:lineRule="auto"/>
            </w:pPr>
            <w:r>
              <w:rPr>
                <w:rFonts w:ascii="Calibri" w:hAnsi="Calibri"/>
                <w:b w:val="0"/>
                <w:i w:val="0"/>
                <w:color w:val="212121"/>
                <w:sz w:val="16"/>
              </w:rPr>
              <w:t>Establishes the obsession-compulsion cycle and functional impact</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Patients may conceal taboo (sexual/aggressive/religious) obsessions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 of OCD, tics and anxiety</w:t>
            </w:r>
          </w:p>
        </w:tc>
        <w:tc>
          <w:tcPr>
            <w:tcW w:type="dxa" w:w="979"/>
            <w:vAlign w:val="top"/>
          </w:tcPr>
          <w:p>
            <w:pPr>
              <w:spacing w:after="40" w:before="0" w:line="259" w:lineRule="auto"/>
            </w:pPr>
            <w:r>
              <w:rPr>
                <w:rFonts w:ascii="Calibri" w:hAnsi="Calibri"/>
                <w:b w:val="0"/>
                <w:i w:val="0"/>
                <w:color w:val="212121"/>
                <w:sz w:val="16"/>
              </w:rPr>
              <w:t>Genetic loading</w:t>
            </w:r>
          </w:p>
        </w:tc>
        <w:tc>
          <w:tcPr>
            <w:tcW w:type="dxa" w:w="950"/>
            <w:vAlign w:val="top"/>
          </w:tcPr>
          <w:p>
            <w:pPr>
              <w:spacing w:after="40" w:before="0" w:line="259" w:lineRule="auto"/>
            </w:pPr>
            <w:r>
              <w:rPr>
                <w:rFonts w:ascii="Calibri" w:hAnsi="Calibri"/>
                <w:b w:val="0"/>
                <w:i w:val="0"/>
                <w:color w:val="212121"/>
                <w:sz w:val="16"/>
              </w:rPr>
              <w:t>No affected relatives</w:t>
            </w:r>
          </w:p>
        </w:tc>
        <w:tc>
          <w:tcPr>
            <w:tcW w:type="dxa" w:w="950"/>
            <w:vAlign w:val="top"/>
          </w:tcPr>
          <w:p>
            <w:pPr>
              <w:spacing w:after="40" w:before="0" w:line="259" w:lineRule="auto"/>
            </w:pPr>
            <w:r>
              <w:rPr>
                <w:rFonts w:ascii="Calibri" w:hAnsi="Calibri"/>
                <w:b w:val="0"/>
                <w:i w:val="0"/>
                <w:color w:val="212121"/>
                <w:sz w:val="16"/>
              </w:rPr>
              <w:t>≥ 1 first-degree relative affected</w:t>
            </w:r>
          </w:p>
        </w:tc>
        <w:tc>
          <w:tcPr>
            <w:tcW w:type="dxa" w:w="1036"/>
            <w:vAlign w:val="top"/>
          </w:tcPr>
          <w:p>
            <w:pPr>
              <w:spacing w:after="40" w:before="0" w:line="259" w:lineRule="auto"/>
            </w:pPr>
            <w:r>
              <w:rPr>
                <w:rFonts w:ascii="Calibri" w:hAnsi="Calibri"/>
                <w:b w:val="0"/>
                <w:i w:val="0"/>
                <w:color w:val="212121"/>
                <w:sz w:val="16"/>
              </w:rPr>
              <w:t>Supports diagnosis and flags early-onset/tic-related risk</w:t>
            </w:r>
          </w:p>
        </w:tc>
        <w:tc>
          <w:tcPr>
            <w:tcW w:type="dxa" w:w="1036"/>
            <w:vAlign w:val="top"/>
          </w:tcPr>
          <w:p>
            <w:pPr>
              <w:spacing w:after="40" w:before="0" w:line="259" w:lineRule="auto"/>
            </w:pPr>
            <w:r>
              <w:rPr>
                <w:rFonts w:ascii="Calibri" w:hAnsi="Calibri"/>
                <w:b w:val="0"/>
                <w:i w:val="0"/>
                <w:color w:val="212121"/>
                <w:sz w:val="16"/>
              </w:rPr>
              <w:t>Relatives of probands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age at onset in relatives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Risk assessment</w:t>
            </w:r>
          </w:p>
        </w:tc>
        <w:tc>
          <w:tcPr>
            <w:tcW w:type="dxa" w:w="950"/>
            <w:vAlign w:val="top"/>
          </w:tcPr>
          <w:p>
            <w:pPr>
              <w:spacing w:after="40" w:before="0" w:line="259" w:lineRule="auto"/>
            </w:pPr>
            <w:r>
              <w:rPr>
                <w:rFonts w:ascii="Calibri" w:hAnsi="Calibri"/>
                <w:b w:val="0"/>
                <w:i w:val="0"/>
                <w:color w:val="212121"/>
                <w:sz w:val="16"/>
              </w:rPr>
              <w:t>Depression and suicide screen (PHQ-9, C-SSRS)</w:t>
            </w:r>
          </w:p>
        </w:tc>
        <w:tc>
          <w:tcPr>
            <w:tcW w:type="dxa" w:w="979"/>
            <w:vAlign w:val="top"/>
          </w:tcPr>
          <w:p>
            <w:pPr>
              <w:spacing w:after="40" w:before="0" w:line="259" w:lineRule="auto"/>
            </w:pPr>
            <w:r>
              <w:rPr>
                <w:rFonts w:ascii="Calibri" w:hAnsi="Calibri"/>
                <w:b w:val="0"/>
                <w:i w:val="0"/>
                <w:color w:val="212121"/>
                <w:sz w:val="16"/>
              </w:rPr>
              <w:t>Comorbidity and risk</w:t>
            </w:r>
          </w:p>
        </w:tc>
        <w:tc>
          <w:tcPr>
            <w:tcW w:type="dxa" w:w="950"/>
            <w:vAlign w:val="top"/>
          </w:tcPr>
          <w:p>
            <w:pPr>
              <w:spacing w:after="40" w:before="0" w:line="259" w:lineRule="auto"/>
            </w:pPr>
            <w:r>
              <w:rPr>
                <w:rFonts w:ascii="Calibri" w:hAnsi="Calibri"/>
                <w:b w:val="0"/>
                <w:i w:val="0"/>
                <w:color w:val="212121"/>
                <w:sz w:val="16"/>
              </w:rPr>
              <w:t>Low risk</w:t>
            </w:r>
          </w:p>
        </w:tc>
        <w:tc>
          <w:tcPr>
            <w:tcW w:type="dxa" w:w="950"/>
            <w:vAlign w:val="top"/>
          </w:tcPr>
          <w:p>
            <w:pPr>
              <w:spacing w:after="40" w:before="0" w:line="259" w:lineRule="auto"/>
            </w:pPr>
            <w:r>
              <w:rPr>
                <w:rFonts w:ascii="Calibri" w:hAnsi="Calibri"/>
                <w:b w:val="0"/>
                <w:i w:val="0"/>
                <w:color w:val="212121"/>
                <w:sz w:val="16"/>
              </w:rPr>
              <w:t>Elevated depression/suicidality</w:t>
            </w:r>
          </w:p>
        </w:tc>
        <w:tc>
          <w:tcPr>
            <w:tcW w:type="dxa" w:w="1036"/>
            <w:vAlign w:val="top"/>
          </w:tcPr>
          <w:p>
            <w:pPr>
              <w:spacing w:after="40" w:before="0" w:line="259" w:lineRule="auto"/>
            </w:pPr>
            <w:r>
              <w:rPr>
                <w:rFonts w:ascii="Calibri" w:hAnsi="Calibri"/>
                <w:b w:val="0"/>
                <w:i w:val="0"/>
                <w:color w:val="212121"/>
                <w:sz w:val="16"/>
              </w:rPr>
              <w:t>High comorbid depression and suicide risk, particularly in women, must be assessed</w:t>
            </w:r>
          </w:p>
        </w:tc>
        <w:tc>
          <w:tcPr>
            <w:tcW w:type="dxa" w:w="1036"/>
            <w:vAlign w:val="top"/>
          </w:tcPr>
          <w:p>
            <w:pPr>
              <w:spacing w:after="40" w:before="0" w:line="259" w:lineRule="auto"/>
            </w:pPr>
            <w:r>
              <w:rPr>
                <w:rFonts w:ascii="Calibri" w:hAnsi="Calibri"/>
                <w:b w:val="0"/>
                <w:i w:val="0"/>
                <w:color w:val="212121"/>
                <w:sz w:val="16"/>
              </w:rPr>
              <w:t>Patients with low mood or hopelessness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Safety</w:t>
            </w:r>
          </w:p>
        </w:tc>
        <w:tc>
          <w:tcPr>
            <w:tcW w:type="dxa" w:w="720"/>
            <w:vAlign w:val="top"/>
          </w:tcPr>
          <w:p>
            <w:pPr>
              <w:spacing w:after="40" w:before="0" w:line="259" w:lineRule="auto"/>
            </w:pPr>
            <w:r>
              <w:rPr>
                <w:rFonts w:ascii="Calibri" w:hAnsi="Calibri"/>
                <w:b w:val="0"/>
                <w:i w:val="0"/>
                <w:color w:val="212121"/>
                <w:sz w:val="16"/>
              </w:rPr>
              <w:t>Reassess at follow-up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Skin/hand exam and tic examination</w:t>
            </w:r>
          </w:p>
        </w:tc>
        <w:tc>
          <w:tcPr>
            <w:tcW w:type="dxa" w:w="979"/>
            <w:vAlign w:val="top"/>
          </w:tcPr>
          <w:p>
            <w:pPr>
              <w:spacing w:after="40" w:before="0" w:line="259" w:lineRule="auto"/>
            </w:pPr>
            <w:r>
              <w:rPr>
                <w:rFonts w:ascii="Calibri" w:hAnsi="Calibri"/>
                <w:b w:val="0"/>
                <w:i w:val="0"/>
                <w:color w:val="212121"/>
                <w:sz w:val="16"/>
              </w:rPr>
              <w:t>Physical sequelae</w:t>
            </w:r>
          </w:p>
        </w:tc>
        <w:tc>
          <w:tcPr>
            <w:tcW w:type="dxa" w:w="950"/>
            <w:vAlign w:val="top"/>
          </w:tcPr>
          <w:p>
            <w:pPr>
              <w:spacing w:after="40" w:before="0" w:line="259" w:lineRule="auto"/>
            </w:pPr>
            <w:r>
              <w:rPr>
                <w:rFonts w:ascii="Calibri" w:hAnsi="Calibri"/>
                <w:b w:val="0"/>
                <w:i w:val="0"/>
                <w:color w:val="212121"/>
                <w:sz w:val="16"/>
              </w:rPr>
              <w:t>Intact skin, no tics</w:t>
            </w:r>
          </w:p>
        </w:tc>
        <w:tc>
          <w:tcPr>
            <w:tcW w:type="dxa" w:w="950"/>
            <w:vAlign w:val="top"/>
          </w:tcPr>
          <w:p>
            <w:pPr>
              <w:spacing w:after="40" w:before="0" w:line="259" w:lineRule="auto"/>
            </w:pPr>
            <w:r>
              <w:rPr>
                <w:rFonts w:ascii="Calibri" w:hAnsi="Calibri"/>
                <w:b w:val="0"/>
                <w:i w:val="0"/>
                <w:color w:val="212121"/>
                <w:sz w:val="16"/>
              </w:rPr>
              <w:t>Washing dermatitis, chapping, tics</w:t>
            </w:r>
          </w:p>
        </w:tc>
        <w:tc>
          <w:tcPr>
            <w:tcW w:type="dxa" w:w="1036"/>
            <w:vAlign w:val="top"/>
          </w:tcPr>
          <w:p>
            <w:pPr>
              <w:spacing w:after="40" w:before="0" w:line="259" w:lineRule="auto"/>
            </w:pPr>
            <w:r>
              <w:rPr>
                <w:rFonts w:ascii="Calibri" w:hAnsi="Calibri"/>
                <w:b w:val="0"/>
                <w:i w:val="0"/>
                <w:color w:val="212121"/>
                <w:sz w:val="16"/>
              </w:rPr>
              <w:t>Objective markers of compulsive washing and of tic-related subtype</w:t>
            </w:r>
          </w:p>
        </w:tc>
        <w:tc>
          <w:tcPr>
            <w:tcW w:type="dxa" w:w="1036"/>
            <w:vAlign w:val="top"/>
          </w:tcPr>
          <w:p>
            <w:pPr>
              <w:spacing w:after="40" w:before="0" w:line="259" w:lineRule="auto"/>
            </w:pPr>
            <w:r>
              <w:rPr>
                <w:rFonts w:ascii="Calibri" w:hAnsi="Calibri"/>
                <w:b w:val="0"/>
                <w:i w:val="0"/>
                <w:color w:val="212121"/>
                <w:sz w:val="16"/>
              </w:rPr>
              <w:t>Contamination subtype, early-onset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Also assess for excoriation/hair-pulling</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Contamination obsessions with washing/cleaning compulsions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Fear of germs, dirt or bodily fluids driving repetitive washing and cleaning; the commonest presentation.</w:t>
            </w:r>
          </w:p>
        </w:tc>
      </w:tr>
      <w:tr>
        <w:trPr>
          <w:cantSplit/>
        </w:trPr>
        <w:tc>
          <w:tcPr>
            <w:tcW w:type="dxa" w:w="2304"/>
            <w:vAlign w:val="top"/>
          </w:tcPr>
          <w:p>
            <w:pPr>
              <w:spacing w:after="40" w:before="0" w:line="259" w:lineRule="auto"/>
            </w:pPr>
            <w:r>
              <w:rPr>
                <w:rFonts w:ascii="Calibri" w:hAnsi="Calibri"/>
                <w:b/>
                <w:i w:val="0"/>
                <w:color w:val="212121"/>
                <w:sz w:val="19"/>
              </w:rPr>
              <w:t>Pathological doubt with checking compulsions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Doubts about locks, gas, appliances or causing harm leading to repeated checking and reassurance-seeking.</w:t>
            </w:r>
          </w:p>
        </w:tc>
      </w:tr>
      <w:tr>
        <w:trPr>
          <w:cantSplit/>
        </w:trPr>
        <w:tc>
          <w:tcPr>
            <w:tcW w:type="dxa" w:w="2304"/>
            <w:vAlign w:val="top"/>
          </w:tcPr>
          <w:p>
            <w:pPr>
              <w:spacing w:after="40" w:before="0" w:line="259" w:lineRule="auto"/>
            </w:pPr>
            <w:r>
              <w:rPr>
                <w:rFonts w:ascii="Calibri" w:hAnsi="Calibri"/>
                <w:b/>
                <w:i w:val="0"/>
                <w:color w:val="212121"/>
                <w:sz w:val="19"/>
              </w:rPr>
              <w:t>Need for symmetry/order and “just-right” feelings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Arranging, aligning, counting and repeating actions until they feel exactly right.</w:t>
            </w:r>
          </w:p>
        </w:tc>
      </w:tr>
      <w:tr>
        <w:trPr>
          <w:cantSplit/>
        </w:trPr>
        <w:tc>
          <w:tcPr>
            <w:tcW w:type="dxa" w:w="2304"/>
            <w:vAlign w:val="top"/>
          </w:tcPr>
          <w:p>
            <w:pPr>
              <w:spacing w:after="40" w:before="0" w:line="259" w:lineRule="auto"/>
            </w:pPr>
            <w:r>
              <w:rPr>
                <w:rFonts w:ascii="Calibri" w:hAnsi="Calibri"/>
                <w:b/>
                <w:i w:val="0"/>
                <w:color w:val="212121"/>
                <w:sz w:val="19"/>
              </w:rPr>
              <w:t>Intrusive taboo thoughts (aggressive, sexual, religious/blasphemous)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Ego-dystonic thoughts causing intense guilt and anxiety; often concealed. Reported in 67.1% of an Indian student sample.</w:t>
            </w:r>
          </w:p>
        </w:tc>
      </w:tr>
      <w:tr>
        <w:trPr>
          <w:cantSplit/>
        </w:trPr>
        <w:tc>
          <w:tcPr>
            <w:tcW w:type="dxa" w:w="2304"/>
            <w:vAlign w:val="top"/>
          </w:tcPr>
          <w:p>
            <w:pPr>
              <w:spacing w:after="40" w:before="0" w:line="259" w:lineRule="auto"/>
            </w:pPr>
            <w:r>
              <w:rPr>
                <w:rFonts w:ascii="Calibri" w:hAnsi="Calibri"/>
                <w:b/>
                <w:i w:val="0"/>
                <w:color w:val="212121"/>
                <w:sz w:val="19"/>
              </w:rPr>
              <w:t>Mental rituals (silent praying, counting, word repetition)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Covert neutralising acts performed to reduce distress. Present in 57.4% of an Indian student sample.</w:t>
            </w:r>
          </w:p>
        </w:tc>
      </w:tr>
      <w:tr>
        <w:trPr>
          <w:cantSplit/>
        </w:trPr>
        <w:tc>
          <w:tcPr>
            <w:tcW w:type="dxa" w:w="2304"/>
            <w:vAlign w:val="top"/>
          </w:tcPr>
          <w:p>
            <w:pPr>
              <w:spacing w:after="40" w:before="0" w:line="259" w:lineRule="auto"/>
            </w:pPr>
            <w:r>
              <w:rPr>
                <w:rFonts w:ascii="Calibri" w:hAnsi="Calibri"/>
                <w:b/>
                <w:i w:val="0"/>
                <w:color w:val="212121"/>
                <w:sz w:val="19"/>
              </w:rPr>
              <w:t>Reassurance-seeking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Repeatedly asking family or clinicians to confirm safety or cleanliness.</w:t>
            </w:r>
          </w:p>
        </w:tc>
      </w:tr>
      <w:tr>
        <w:trPr>
          <w:cantSplit/>
        </w:trPr>
        <w:tc>
          <w:tcPr>
            <w:tcW w:type="dxa" w:w="2304"/>
            <w:vAlign w:val="top"/>
          </w:tcPr>
          <w:p>
            <w:pPr>
              <w:spacing w:after="40" w:before="0" w:line="259" w:lineRule="auto"/>
            </w:pPr>
            <w:r>
              <w:rPr>
                <w:rFonts w:ascii="Calibri" w:hAnsi="Calibri"/>
                <w:b/>
                <w:i w:val="0"/>
                <w:color w:val="212121"/>
                <w:sz w:val="19"/>
              </w:rPr>
              <w:t>Avoidance of triggers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Avoiding objects, places or situations that provoke obsessions, shrinking daily activity.</w:t>
            </w:r>
          </w:p>
        </w:tc>
      </w:tr>
      <w:tr>
        <w:trPr>
          <w:cantSplit/>
        </w:trPr>
        <w:tc>
          <w:tcPr>
            <w:tcW w:type="dxa" w:w="2304"/>
            <w:vAlign w:val="top"/>
          </w:tcPr>
          <w:p>
            <w:pPr>
              <w:spacing w:after="40" w:before="0" w:line="259" w:lineRule="auto"/>
            </w:pPr>
            <w:r>
              <w:rPr>
                <w:rFonts w:ascii="Calibri" w:hAnsi="Calibri"/>
                <w:b/>
                <w:i w:val="0"/>
                <w:color w:val="212121"/>
                <w:sz w:val="19"/>
              </w:rPr>
              <w:t>Marked anxiety/distress when resisting compulsions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Rising tension that is relieved only by performing the ritual.</w:t>
            </w:r>
          </w:p>
        </w:tc>
      </w:tr>
      <w:tr>
        <w:trPr>
          <w:cantSplit/>
        </w:trPr>
        <w:tc>
          <w:tcPr>
            <w:tcW w:type="dxa" w:w="2304"/>
            <w:vAlign w:val="top"/>
          </w:tcPr>
          <w:p>
            <w:pPr>
              <w:spacing w:after="40" w:before="0" w:line="259" w:lineRule="auto"/>
            </w:pPr>
            <w:r>
              <w:rPr>
                <w:rFonts w:ascii="Calibri" w:hAnsi="Calibri"/>
                <w:b/>
                <w:i w:val="0"/>
                <w:color w:val="212121"/>
                <w:sz w:val="19"/>
              </w:rPr>
              <w:t>Rituals occupying more than one hour a day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Time-consuming compulsions causing lateness and functional impairment.</w:t>
            </w:r>
          </w:p>
        </w:tc>
      </w:tr>
      <w:tr>
        <w:trPr>
          <w:cantSplit/>
        </w:trPr>
        <w:tc>
          <w:tcPr>
            <w:tcW w:type="dxa" w:w="2304"/>
            <w:vAlign w:val="top"/>
          </w:tcPr>
          <w:p>
            <w:pPr>
              <w:spacing w:after="40" w:before="0" w:line="259" w:lineRule="auto"/>
            </w:pPr>
            <w:r>
              <w:rPr>
                <w:rFonts w:ascii="Calibri" w:hAnsi="Calibri"/>
                <w:b/>
                <w:i w:val="0"/>
                <w:color w:val="212121"/>
                <w:sz w:val="19"/>
              </w:rPr>
              <w:t>Compulsive slowness / indecision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Primary obsessional slowness with extreme meticulousness over routine tasks.</w:t>
            </w:r>
          </w:p>
        </w:tc>
      </w:tr>
      <w:tr>
        <w:trPr>
          <w:cantSplit/>
        </w:trPr>
        <w:tc>
          <w:tcPr>
            <w:tcW w:type="dxa" w:w="2304"/>
            <w:vAlign w:val="top"/>
          </w:tcPr>
          <w:p>
            <w:pPr>
              <w:spacing w:after="40" w:before="0" w:line="259" w:lineRule="auto"/>
            </w:pPr>
            <w:r>
              <w:rPr>
                <w:rFonts w:ascii="Calibri" w:hAnsi="Calibri"/>
                <w:b/>
                <w:i w:val="0"/>
                <w:color w:val="212121"/>
                <w:sz w:val="19"/>
              </w:rPr>
              <w:t>Hoarding urges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Difficulty discarding possessions; now classified separately as hoarding disorder but historically OCD-related.</w:t>
            </w:r>
          </w:p>
        </w:tc>
      </w:tr>
      <w:tr>
        <w:trPr>
          <w:cantSplit/>
        </w:trPr>
        <w:tc>
          <w:tcPr>
            <w:tcW w:type="dxa" w:w="2304"/>
            <w:vAlign w:val="top"/>
          </w:tcPr>
          <w:p>
            <w:pPr>
              <w:spacing w:after="40" w:before="0" w:line="259" w:lineRule="auto"/>
            </w:pPr>
            <w:r>
              <w:rPr>
                <w:rFonts w:ascii="Calibri" w:hAnsi="Calibri"/>
                <w:b/>
                <w:i w:val="0"/>
                <w:color w:val="212121"/>
                <w:sz w:val="19"/>
              </w:rPr>
              <w:t>Poor or absent insight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Some patients hold obsessional beliefs with near-delusional conviction, worsening prognosis.</w:t>
            </w:r>
          </w:p>
        </w:tc>
      </w:tr>
      <w:tr>
        <w:trPr>
          <w:cantSplit/>
        </w:trPr>
        <w:tc>
          <w:tcPr>
            <w:tcW w:type="dxa" w:w="2304"/>
            <w:vAlign w:val="top"/>
          </w:tcPr>
          <w:p>
            <w:pPr>
              <w:spacing w:after="40" w:before="0" w:line="259" w:lineRule="auto"/>
            </w:pPr>
            <w:r>
              <w:rPr>
                <w:rFonts w:ascii="Calibri" w:hAnsi="Calibri"/>
                <w:b/>
                <w:i w:val="0"/>
                <w:color w:val="212121"/>
                <w:sz w:val="19"/>
              </w:rPr>
              <w:t>Suicidal ideation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Arising from chronic distress and comorbid depression; higher in women in Indian samples.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Chapped, macerated or dermatitic hands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From repetitive washing and sanitiser use in the contamination subtype.</w:t>
            </w:r>
          </w:p>
        </w:tc>
      </w:tr>
      <w:tr>
        <w:trPr>
          <w:cantSplit/>
        </w:trPr>
        <w:tc>
          <w:tcPr>
            <w:tcW w:type="dxa" w:w="3456"/>
            <w:vAlign w:val="top"/>
          </w:tcPr>
          <w:p>
            <w:pPr>
              <w:spacing w:after="40" w:before="0" w:line="259" w:lineRule="auto"/>
            </w:pPr>
            <w:r>
              <w:rPr>
                <w:rFonts w:ascii="Calibri" w:hAnsi="Calibri"/>
                <w:b/>
                <w:i w:val="0"/>
                <w:color w:val="212121"/>
                <w:sz w:val="19"/>
              </w:rPr>
              <w:t>Observable checking/repeating behaviour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Patient checks, re-reads or repeats actions during the consultation.</w:t>
            </w:r>
          </w:p>
        </w:tc>
      </w:tr>
      <w:tr>
        <w:trPr>
          <w:cantSplit/>
        </w:trPr>
        <w:tc>
          <w:tcPr>
            <w:tcW w:type="dxa" w:w="3456"/>
            <w:vAlign w:val="top"/>
          </w:tcPr>
          <w:p>
            <w:pPr>
              <w:spacing w:after="40" w:before="0" w:line="259" w:lineRule="auto"/>
            </w:pPr>
            <w:r>
              <w:rPr>
                <w:rFonts w:ascii="Calibri" w:hAnsi="Calibri"/>
                <w:b/>
                <w:i w:val="0"/>
                <w:color w:val="212121"/>
                <w:sz w:val="19"/>
              </w:rPr>
              <w:t>Reassurance-seeking during consultation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Repeated questions seeking certainty about safety or contamination.</w:t>
            </w:r>
          </w:p>
        </w:tc>
      </w:tr>
      <w:tr>
        <w:trPr>
          <w:cantSplit/>
        </w:trPr>
        <w:tc>
          <w:tcPr>
            <w:tcW w:type="dxa" w:w="3456"/>
            <w:vAlign w:val="top"/>
          </w:tcPr>
          <w:p>
            <w:pPr>
              <w:spacing w:after="40" w:before="0" w:line="259" w:lineRule="auto"/>
            </w:pPr>
            <w:r>
              <w:rPr>
                <w:rFonts w:ascii="Calibri" w:hAnsi="Calibri"/>
                <w:b/>
                <w:i w:val="0"/>
                <w:color w:val="212121"/>
                <w:sz w:val="19"/>
              </w:rPr>
              <w:t>Excessive time in bathroom / chronic lateness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Reported by family; reflects lengthy washing or checking rituals.</w:t>
            </w:r>
          </w:p>
        </w:tc>
      </w:tr>
      <w:tr>
        <w:trPr>
          <w:cantSplit/>
        </w:trPr>
        <w:tc>
          <w:tcPr>
            <w:tcW w:type="dxa" w:w="3456"/>
            <w:vAlign w:val="top"/>
          </w:tcPr>
          <w:p>
            <w:pPr>
              <w:spacing w:after="40" w:before="0" w:line="259" w:lineRule="auto"/>
            </w:pPr>
            <w:r>
              <w:rPr>
                <w:rFonts w:ascii="Calibri" w:hAnsi="Calibri"/>
                <w:b/>
                <w:i w:val="0"/>
                <w:color w:val="212121"/>
                <w:sz w:val="19"/>
              </w:rPr>
              <w:t>Avoidance behaviours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Refusal to touch surfaces, shake hands, or enter “contaminated” areas.</w:t>
            </w:r>
          </w:p>
        </w:tc>
      </w:tr>
      <w:tr>
        <w:trPr>
          <w:cantSplit/>
        </w:trPr>
        <w:tc>
          <w:tcPr>
            <w:tcW w:type="dxa" w:w="3456"/>
            <w:vAlign w:val="top"/>
          </w:tcPr>
          <w:p>
            <w:pPr>
              <w:spacing w:after="40" w:before="0" w:line="259" w:lineRule="auto"/>
            </w:pPr>
            <w:r>
              <w:rPr>
                <w:rFonts w:ascii="Calibri" w:hAnsi="Calibri"/>
                <w:b/>
                <w:i w:val="0"/>
                <w:color w:val="212121"/>
                <w:sz w:val="19"/>
              </w:rPr>
              <w:t>Visible anxiety/distress when a ritual is prevented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Tension and restlessness on response prevention during interview.</w:t>
            </w:r>
          </w:p>
        </w:tc>
      </w:tr>
      <w:tr>
        <w:trPr>
          <w:cantSplit/>
        </w:trPr>
        <w:tc>
          <w:tcPr>
            <w:tcW w:type="dxa" w:w="3456"/>
            <w:vAlign w:val="top"/>
          </w:tcPr>
          <w:p>
            <w:pPr>
              <w:spacing w:after="40" w:before="0" w:line="259" w:lineRule="auto"/>
            </w:pPr>
            <w:r>
              <w:rPr>
                <w:rFonts w:ascii="Calibri" w:hAnsi="Calibri"/>
                <w:b/>
                <w:i w:val="0"/>
                <w:color w:val="212121"/>
                <w:sz w:val="19"/>
              </w:rPr>
              <w:t>Skin excoriations or patchy hair loss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OCD-spectrum body-focused repetitive behaviours (skin-picking, hair-pulling).</w:t>
            </w:r>
          </w:p>
        </w:tc>
      </w:tr>
      <w:tr>
        <w:trPr>
          <w:cantSplit/>
        </w:trPr>
        <w:tc>
          <w:tcPr>
            <w:tcW w:type="dxa" w:w="3456"/>
            <w:vAlign w:val="top"/>
          </w:tcPr>
          <w:p>
            <w:pPr>
              <w:spacing w:after="40" w:before="0" w:line="259" w:lineRule="auto"/>
            </w:pPr>
            <w:r>
              <w:rPr>
                <w:rFonts w:ascii="Calibri" w:hAnsi="Calibri"/>
                <w:b/>
                <w:i w:val="0"/>
                <w:color w:val="212121"/>
                <w:sz w:val="19"/>
              </w:rPr>
              <w:t>Motor or vocal tics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Seen in early-onset, tic-related OCD.</w:t>
            </w:r>
          </w:p>
        </w:tc>
      </w:tr>
      <w:tr>
        <w:trPr>
          <w:cantSplit/>
        </w:trPr>
        <w:tc>
          <w:tcPr>
            <w:tcW w:type="dxa" w:w="3456"/>
            <w:vAlign w:val="top"/>
          </w:tcPr>
          <w:p>
            <w:pPr>
              <w:spacing w:after="40" w:before="0" w:line="259" w:lineRule="auto"/>
            </w:pPr>
            <w:r>
              <w:rPr>
                <w:rFonts w:ascii="Calibri" w:hAnsi="Calibri"/>
                <w:b/>
                <w:i w:val="0"/>
                <w:color w:val="212121"/>
                <w:sz w:val="19"/>
              </w:rPr>
              <w:t>Raw, bleeding or eczematous skin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Severe washing injuries and contact dermatitis.</w:t>
            </w:r>
          </w:p>
        </w:tc>
      </w:tr>
      <w:tr>
        <w:trPr>
          <w:cantSplit/>
        </w:trPr>
        <w:tc>
          <w:tcPr>
            <w:tcW w:type="dxa" w:w="3456"/>
            <w:vAlign w:val="top"/>
          </w:tcPr>
          <w:p>
            <w:pPr>
              <w:spacing w:after="40" w:before="0" w:line="259" w:lineRule="auto"/>
            </w:pPr>
            <w:r>
              <w:rPr>
                <w:rFonts w:ascii="Calibri" w:hAnsi="Calibri"/>
                <w:b/>
                <w:i w:val="0"/>
                <w:color w:val="212121"/>
                <w:sz w:val="19"/>
              </w:rPr>
              <w:t>Nutritional neglect or weight loss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 severe cases where rituals dominate the entire day.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time loss to rituals (often several hours a 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Marked distress and functional impairment (academic, occupational, social)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accommodation and household disruption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avoidance that shrinks daily activity</w:t>
            </w:r>
          </w:p>
        </w:tc>
        <w:tc>
          <w:tcPr>
            <w:tcW w:type="dxa" w:w="2980"/>
            <w:vAlign w:val="top"/>
          </w:tcPr>
          <w:p>
            <w:pPr>
              <w:spacing w:after="40" w:before="0" w:line="259" w:lineRule="auto"/>
            </w:pPr>
            <w:r>
              <w:rPr>
                <w:rFonts w:ascii="Calibri" w:hAnsi="Calibri"/>
                <w:b w:val="0"/>
                <w:i w:val="0"/>
                <w:color w:val="212121"/>
                <w:sz w:val="19"/>
              </w:rPr>
              <w:t>Direct consequences of unremitting obsessions and compulsions.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major depression and other anxiety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alcohol or substance use as self-medication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Dermatological damage (dermatitis, excoriation) from compulsive washing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isolation and relationship/marital 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Academic failure and job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Suicidal ideation and attempts</w:t>
            </w:r>
          </w:p>
        </w:tc>
        <w:tc>
          <w:tcPr>
            <w:tcW w:type="dxa" w:w="2980"/>
            <w:vAlign w:val="top"/>
          </w:tcPr>
          <w:p>
            <w:pPr>
              <w:spacing w:after="40" w:before="0" w:line="259" w:lineRule="auto"/>
            </w:pPr>
            <w:r>
              <w:rPr>
                <w:rFonts w:ascii="Calibri" w:hAnsi="Calibri"/>
                <w:b w:val="0"/>
                <w:i w:val="0"/>
                <w:color w:val="212121"/>
                <w:sz w:val="19"/>
              </w:rPr>
              <w:t>Downstream psychiatric, physical and social effects of chronic OCD.</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treatment-refractory OCD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disability and unemployment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Marital and family breakdown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Completed suicide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intensive treatment — augmentation, inpatient ERP, or neurosurgery (deep brain stimulation, anterior cingulotomy)</w:t>
            </w:r>
          </w:p>
        </w:tc>
        <w:tc>
          <w:tcPr>
            <w:tcW w:type="dxa" w:w="2980"/>
            <w:vAlign w:val="top"/>
          </w:tcPr>
          <w:p>
            <w:pPr>
              <w:spacing w:after="40" w:before="0" w:line="259" w:lineRule="auto"/>
            </w:pPr>
            <w:r>
              <w:rPr>
                <w:rFonts w:ascii="Calibri" w:hAnsi="Calibri"/>
                <w:b w:val="0"/>
                <w:i w:val="0"/>
                <w:color w:val="212121"/>
                <w:sz w:val="19"/>
              </w:rPr>
              <w:t>Irreversible or high-burden outcomes of longstanding, inadequately treated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Major depressive disorder</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Commonest comorbidity; usually develops secondary to OCD distress and disability, worsening suicide risk; the relationship is bidirectional.</w:t>
            </w:r>
          </w:p>
        </w:tc>
      </w:tr>
      <w:tr>
        <w:trPr>
          <w:cantSplit/>
        </w:trPr>
        <w:tc>
          <w:tcPr>
            <w:tcW w:type="dxa" w:w="2232"/>
            <w:vAlign w:val="top"/>
          </w:tcPr>
          <w:p>
            <w:pPr>
              <w:spacing w:after="40" w:before="0" w:line="259" w:lineRule="auto"/>
            </w:pPr>
            <w:r>
              <w:rPr>
                <w:rFonts w:ascii="Calibri" w:hAnsi="Calibri"/>
                <w:b/>
                <w:i w:val="0"/>
                <w:color w:val="212121"/>
                <w:sz w:val="19"/>
              </w:rPr>
              <w:t>Psychiatric comorbidity (any)</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About half of patients attending an OCD clinic have at least one comorbid psychiatric disorder, which shapes treatment.</w:t>
            </w:r>
          </w:p>
          <w:p>
            <w:pPr>
              <w:spacing w:after="40" w:before="0" w:line="259" w:lineRule="auto"/>
            </w:pPr>
            <w:r>
              <w:rPr>
                <w:rFonts w:ascii="Calibri" w:hAnsi="Calibri"/>
                <w:b/>
                <w:i w:val="0"/>
                <w:color w:val="212121"/>
                <w:sz w:val="19"/>
              </w:rPr>
              <w:t>~51%</w:t>
            </w:r>
          </w:p>
        </w:tc>
      </w:tr>
      <w:tr>
        <w:trPr>
          <w:cantSplit/>
        </w:trPr>
        <w:tc>
          <w:tcPr>
            <w:tcW w:type="dxa" w:w="2232"/>
            <w:vAlign w:val="top"/>
          </w:tcPr>
          <w:p>
            <w:pPr>
              <w:spacing w:after="40" w:before="0" w:line="259" w:lineRule="auto"/>
            </w:pPr>
            <w:r>
              <w:rPr>
                <w:rFonts w:ascii="Calibri" w:hAnsi="Calibri"/>
                <w:b/>
                <w:i w:val="0"/>
                <w:color w:val="212121"/>
                <w:sz w:val="19"/>
              </w:rPr>
              <w:t>Anxiety disorders (GAD, panic, agoraphobia)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Share pathophysiology and commonly coexist; agoraphobia is more frequent in women with OCD.</w:t>
            </w:r>
          </w:p>
        </w:tc>
      </w:tr>
      <w:tr>
        <w:trPr>
          <w:cantSplit/>
        </w:trPr>
        <w:tc>
          <w:tcPr>
            <w:tcW w:type="dxa" w:w="2232"/>
            <w:vAlign w:val="top"/>
          </w:tcPr>
          <w:p>
            <w:pPr>
              <w:spacing w:after="40" w:before="0" w:line="259" w:lineRule="auto"/>
            </w:pPr>
            <w:r>
              <w:rPr>
                <w:rFonts w:ascii="Calibri" w:hAnsi="Calibri"/>
                <w:b/>
                <w:i w:val="0"/>
                <w:color w:val="212121"/>
                <w:sz w:val="19"/>
              </w:rPr>
              <w:t>Social phobia (social anxiety disorder)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Frequently coexists — more so in men in Indian samples — with overlapping avoidance behaviour.</w:t>
            </w:r>
          </w:p>
        </w:tc>
      </w:tr>
      <w:tr>
        <w:trPr>
          <w:cantSplit/>
        </w:trPr>
        <w:tc>
          <w:tcPr>
            <w:tcW w:type="dxa" w:w="2232"/>
            <w:vAlign w:val="top"/>
          </w:tcPr>
          <w:p>
            <w:pPr>
              <w:spacing w:after="40" w:before="0" w:line="259" w:lineRule="auto"/>
            </w:pPr>
            <w:r>
              <w:rPr>
                <w:rFonts w:ascii="Calibri" w:hAnsi="Calibri"/>
                <w:b/>
                <w:i w:val="0"/>
                <w:color w:val="212121"/>
                <w:sz w:val="19"/>
              </w:rPr>
              <w:t>Tic disorders / Tourette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 neurodevelopmental circuitry; define the tic-related OCD specifier and guide antipsychotic augmentation.</w:t>
            </w:r>
          </w:p>
        </w:tc>
      </w:tr>
      <w:tr>
        <w:trPr>
          <w:cantSplit/>
        </w:trPr>
        <w:tc>
          <w:tcPr>
            <w:tcW w:type="dxa" w:w="2232"/>
            <w:vAlign w:val="top"/>
          </w:tcPr>
          <w:p>
            <w:pPr>
              <w:spacing w:after="40" w:before="0" w:line="259" w:lineRule="auto"/>
            </w:pPr>
            <w:r>
              <w:rPr>
                <w:rFonts w:ascii="Calibri" w:hAnsi="Calibri"/>
                <w:b/>
                <w:i w:val="0"/>
                <w:color w:val="212121"/>
                <w:sz w:val="19"/>
              </w:rPr>
              <w:t>Body dysmorphic disorder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OCD-spectrum disorder sharing genetics and phenomenology; body-image concerns were common in OCD-symptomatic students.</w:t>
            </w:r>
          </w:p>
          <w:p>
            <w:pPr>
              <w:spacing w:after="40" w:before="0" w:line="259" w:lineRule="auto"/>
            </w:pPr>
            <w:r>
              <w:rPr>
                <w:rFonts w:ascii="Calibri" w:hAnsi="Calibri"/>
                <w:b/>
                <w:i w:val="0"/>
                <w:color w:val="212121"/>
                <w:sz w:val="19"/>
              </w:rPr>
              <w:t>Up to 26.1%</w:t>
            </w:r>
          </w:p>
        </w:tc>
      </w:tr>
      <w:tr>
        <w:trPr>
          <w:cantSplit/>
        </w:trPr>
        <w:tc>
          <w:tcPr>
            <w:tcW w:type="dxa" w:w="2232"/>
            <w:vAlign w:val="top"/>
          </w:tcPr>
          <w:p>
            <w:pPr>
              <w:spacing w:after="40" w:before="0" w:line="259" w:lineRule="auto"/>
            </w:pPr>
            <w:r>
              <w:rPr>
                <w:rFonts w:ascii="Calibri" w:hAnsi="Calibri"/>
                <w:b/>
                <w:i w:val="0"/>
                <w:color w:val="212121"/>
                <w:sz w:val="19"/>
              </w:rPr>
              <w:t>Substance and alcohol use disorders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Often used to self-medicate obsessional anxiety; more frequent in OCD and complicate pharmacotherapy.</w:t>
            </w:r>
          </w:p>
        </w:tc>
      </w:tr>
      <w:tr>
        <w:trPr>
          <w:cantSplit/>
        </w:trPr>
        <w:tc>
          <w:tcPr>
            <w:tcW w:type="dxa" w:w="2232"/>
            <w:vAlign w:val="top"/>
          </w:tcPr>
          <w:p>
            <w:pPr>
              <w:spacing w:after="40" w:before="0" w:line="259" w:lineRule="auto"/>
            </w:pPr>
            <w:r>
              <w:rPr>
                <w:rFonts w:ascii="Calibri" w:hAnsi="Calibri"/>
                <w:b/>
                <w:i w:val="0"/>
                <w:color w:val="212121"/>
                <w:sz w:val="19"/>
              </w:rPr>
              <w:t>Suicidal behaviour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Elevated risk from chronic distress and comorbid depression, greater in women in Indian samples.</w:t>
            </w:r>
          </w:p>
        </w:tc>
      </w:tr>
      <w:tr>
        <w:trPr>
          <w:cantSplit/>
        </w:trPr>
        <w:tc>
          <w:tcPr>
            <w:tcW w:type="dxa" w:w="2232"/>
            <w:vAlign w:val="top"/>
          </w:tcPr>
          <w:p>
            <w:pPr>
              <w:spacing w:after="40" w:before="0" w:line="259" w:lineRule="auto"/>
            </w:pPr>
            <w:r>
              <w:rPr>
                <w:rFonts w:ascii="Calibri" w:hAnsi="Calibri"/>
                <w:b/>
                <w:i w:val="0"/>
                <w:color w:val="212121"/>
                <w:sz w:val="19"/>
              </w:rPr>
              <w:t>Hoarding disorder</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Formerly an OCD subtype, now a separate diagnosis that shares mechanisms and frequently co-occurs.</w:t>
            </w:r>
          </w:p>
        </w:tc>
      </w:tr>
      <w:tr>
        <w:trPr>
          <w:cantSplit/>
        </w:trPr>
        <w:tc>
          <w:tcPr>
            <w:tcW w:type="dxa" w:w="2232"/>
            <w:vAlign w:val="top"/>
          </w:tcPr>
          <w:p>
            <w:pPr>
              <w:spacing w:after="40" w:before="0" w:line="259" w:lineRule="auto"/>
            </w:pPr>
            <w:r>
              <w:rPr>
                <w:rFonts w:ascii="Calibri" w:hAnsi="Calibri"/>
                <w:b/>
                <w:i w:val="0"/>
                <w:color w:val="212121"/>
                <w:sz w:val="19"/>
              </w:rPr>
              <w:t>Perinatal (postpartum) OCD</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Pregnancy and the postpartum period can precipitate or worsen OCD, often with harm-related obsessions about the infant.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occasional unwanted intrusive thoughts are normal; it is the distress and ritualising, not the thought itself, that defines OCD.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distinguish OCD from ordinary carefulness or habit, and recognise warning signs (rituals over an hour a day, avoidance, constant reassurance-seeking).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professional help early — OCD is highly treatable and delay worsens chronicity.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stigma and secrecy: taboo obsessions (sexual, aggressive, religious) are common and do not reflect a person's character or intentions.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should avoid “accommodating” rituals (participating in or enabling compulsions), which maintains the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rationale of exposure and response prevention (ERP), the first-line psychological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and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 subthreshold individuals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at least 150 minutes/week of aerobic exercise (brisk walking, jogging, cycling) to reduce anxiety and augment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scheduled activity to interrupt rituals and rumination and to provide daily structure.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Incorporate yoga and breathing/relaxation practices as adjuncts to standard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routine physical activity to counter inactivity and improve mood and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OCD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diet; there is no special “anti-OCD” diet and restrictive eating is unnecessary.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caffeine and energy drinks, which are anxiogenic and can intensify obsessional anxiety and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and stimulants taken to numb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regular meals and adequate hydration; contamination fears must not be allowed to restrict nutrition.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caffeine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Contamination-subtype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fixed sleep-wake schedule and practise good sleep hygiene.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a firm “lights-out” limit to prevent night-time checking and washing rituals.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insomnia, which worsens daytime symptom severity and impairs response to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screens, caffeine and stimulating activity before bed.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OCD patients with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Night-time ritualisers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nicotine does not treat anxiety and harms overall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tobacco use and offer cessation support, as smoking is more frequent in OCD.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underlying anxiety with ERP and medication rather than smoking.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comorbid substance use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alcohol to relieve obsessional anxiety; it gives only short-term relief and worsens the course.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alcohol and substance use disorders, which are common comorbidities.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Remember that alcohol interacts with SSRIs and clomipramine and can worsen mood and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substance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SSRIs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Exposure and response prevention (ERP), a form of cognitive-behavioural therapy, is the first-line psychotherapy for OCD.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SSRIs are first-line pharmacotherapy, usually at higher doses and for longer than in depression (8–12 weeks to judge response).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clomipramine or SSRI augmentation (e.g., low-dose antipsychotic) for partial or non-response, ideally combined with ERP.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Routinely screen and treat comorbid depression and assess suicide risk at every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to reduce accommodation of rituals and to support ERP homework.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treatment long-term with relapse-prevention planning; refer refractory cases to specialist services.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OCD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Treatment-refractory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Poor-insight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8529361/" TargetMode="External"/><Relationship Id="rId10" Type="http://schemas.openxmlformats.org/officeDocument/2006/relationships/hyperlink" Target="https://pubmed.ncbi.nlm.nih.gov/30086467/" TargetMode="External"/><Relationship Id="rId11" Type="http://schemas.openxmlformats.org/officeDocument/2006/relationships/hyperlink" Target="https://www.nimh.nih.gov/health/statistics/obsessive-compulsive-disorder-ocd" TargetMode="External"/><Relationship Id="rId12" Type="http://schemas.openxmlformats.org/officeDocument/2006/relationships/hyperlink" Target="https://pubmed.ncbi.nlm.nih.gov/35400745/" TargetMode="External"/><Relationship Id="rId13" Type="http://schemas.openxmlformats.org/officeDocument/2006/relationships/hyperlink" Target="https://pubmed.ncbi.nlm.nih.gov/41164680/" TargetMode="External"/><Relationship Id="rId14" Type="http://schemas.openxmlformats.org/officeDocument/2006/relationships/hyperlink" Target="https://pubmed.ncbi.nlm.nih.gov/24813030/" TargetMode="External"/><Relationship Id="rId15" Type="http://schemas.openxmlformats.org/officeDocument/2006/relationships/hyperlink" Target="https://pubmed.ncbi.nlm.nih.gov/30745675/" TargetMode="External"/><Relationship Id="rId16" Type="http://schemas.openxmlformats.org/officeDocument/2006/relationships/hyperlink" Target="https://pubmed.ncbi.nlm.nih.gov/34030745/" TargetMode="External"/><Relationship Id="rId17" Type="http://schemas.openxmlformats.org/officeDocument/2006/relationships/hyperlink" Target="https://pmc.ncbi.nlm.nih.gov/articles/PMC128654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