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Post-Traumatic Stress Disorder</w:t>
      </w:r>
    </w:p>
    <w:p>
      <w:pPr>
        <w:spacing w:before="0" w:after="160"/>
      </w:pPr>
      <w:r>
        <w:rPr>
          <w:rFonts w:ascii="Calibri" w:hAnsi="Calibri"/>
          <w:b/>
          <w:i w:val="0"/>
          <w:color w:val="212121"/>
          <w:sz w:val="22"/>
        </w:rPr>
        <w:t xml:space="preserve">AKA </w:t>
      </w:r>
      <w:r>
        <w:rPr>
          <w:rFonts w:ascii="Calibri" w:hAnsi="Calibri"/>
          <w:b w:val="0"/>
          <w:i w:val="0"/>
          <w:color w:val="212121"/>
          <w:sz w:val="22"/>
        </w:rPr>
        <w:t>i.e., PTSD, Post-traumatic stress, Trauma- and stressor-related disorder, Traumatic neurosis, Shell shock / Combat (battle) fatigue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Post-traumatic stress disorder (PTSD) is a trauma- and stressor-related psychiatric disorder that develops in a subset of people after exposure to an actual or threatened death, serious injury, or sexual violence — experienced directly, witnessed, learned of in a close other, or through repeated exposure to aversive details (e.g., first responders). It is defined by four symptom clusters persisting for more than one month: intrusive re-experiencing (flashbacks, nightmares), avoidance of trauma reminders, negative alterations in cognition and mood, and heightened arousal and reactivity (hypervigilance, exaggerated startle, sleep disturbance), causing clinically significant distress or impairment in social and occupational functioning.</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Community-based epidemiological studies report a strikingly low PTSD prevalence in India of about 0.2%, far below worldwide estimates of roughly 3.9–24%. However, this national average conceals extreme heterogeneity: trauma-exposed Indian populations carry a very high burden — an estimated 19% of adults across the conflict-affected Kashmir Valley meet criteria for PTSD — and disaster survivors (e.g., the 2004 tsunami in Tamil Nadu and the Andaman &amp; Nicobar Islands), women exposed to intimate-partner and gender-based violence, and combat/uniformed personnel are disproportionately affected.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PTSD is a clinical diagnosis based on DSM-5-TR (or ICD-11) criteria following exposure to a qualifying traumatic event, with symptoms persisting more than one month and causing significant distress or functional impairment. Diagnosis requires: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A — exposure to actual or threatened death, serious injury, or sexual violence: directly experienced, witnessed in person, learned of a close relative's/friend's trauma, or repeated/extreme exposure to aversive details (e.g., police, disaster responders);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B — ≥ 1 intrusion symptom: recurrent involuntary distressing memories, distressing dreams, dissociative flashbacks, or intense/prolonged psychological or physiological reactivity to internal or external trauma cues;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C — persistent avoidance of trauma-related thoughts and feelings, and/or of external reminders (people, places, conversations, activities, objects, situations);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D — ≥ 2 negative alterations in cognition and mood: dissociative amnesia for the event, persistent exaggerated negative beliefs, distorted blame of self/others, persistent negative emotional state, diminished interest, detachment, or inability to feel positive emotions;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Criterion E — ≥ 2 marked alterations in arousal and reactivity: irritability/angry outbursts, reckless or self-destructive behaviour, hypervigilance, exaggerated startle, concentration problems, or sleep disturbance;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Criteria F–H — duration of Criteria B–E more than 1 month, clinically significant distress or functional impairment, and symptoms not attributable to a substance or another medical condition;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Validated instruments support screening and severity rating: PC-PTSD-5 (primary-care screen, positive ≥ 3), PCL-5 (self-report, score 0–80; provisional cut-off ~31–33), and the clinician-administered CAPS-5 structured interview (diagnostic gold standard).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PTSD and closely related trauma- and stressor-related presentations are classified along several clinically important axes:</w:t>
      </w:r>
    </w:p>
    <w:p>
      <w:pPr>
        <w:spacing w:before="0" w:after="80"/>
      </w:pPr>
      <w:r>
        <w:rPr>
          <w:rFonts w:ascii="Calibri" w:hAnsi="Calibri"/>
          <w:b w:val="0"/>
          <w:i w:val="0"/>
          <w:color w:val="212121"/>
          <w:sz w:val="21"/>
        </w:rPr>
        <w:t>(1) Acute versus chronic PTSD, distinguished by symptom duration of 1–3 months (acute) versus more than 3 months (chronic), the latter carrying greater disability and comorbidity;</w:t>
      </w:r>
    </w:p>
    <w:p>
      <w:pPr>
        <w:spacing w:before="0" w:after="80"/>
      </w:pPr>
      <w:r>
        <w:rPr>
          <w:rFonts w:ascii="Calibri" w:hAnsi="Calibri"/>
          <w:b w:val="0"/>
          <w:i w:val="0"/>
          <w:color w:val="212121"/>
          <w:sz w:val="21"/>
        </w:rPr>
        <w:t>(2) PTSD with delayed expression (delayed-onset PTSD), in which the full diagnostic threshold is met only 6 months or more after the traumatic event;</w:t>
      </w:r>
    </w:p>
    <w:p>
      <w:pPr>
        <w:spacing w:before="0" w:after="80"/>
      </w:pPr>
      <w:r>
        <w:rPr>
          <w:rFonts w:ascii="Calibri" w:hAnsi="Calibri"/>
          <w:b w:val="0"/>
          <w:i w:val="0"/>
          <w:color w:val="212121"/>
          <w:sz w:val="21"/>
        </w:rPr>
        <w:t>(3) PTSD with the dissociative subtype (DSM-5), in which PTSD is accompanied by prominent depersonalisation or derealisation, often linked to early/repeated trauma and needing tailored therapy;</w:t>
      </w:r>
    </w:p>
    <w:p>
      <w:pPr>
        <w:spacing w:before="0" w:after="80"/>
      </w:pPr>
      <w:r>
        <w:rPr>
          <w:rFonts w:ascii="Calibri" w:hAnsi="Calibri"/>
          <w:b w:val="0"/>
          <w:i w:val="0"/>
          <w:color w:val="212121"/>
          <w:sz w:val="21"/>
        </w:rPr>
        <w:t>(4) Acute Stress Disorder, an analogous trauma reaction with symptoms lasting from 3 days to 1 month after exposure, which may resolve or evolve into PTSD; and</w:t>
      </w:r>
    </w:p>
    <w:p>
      <w:pPr>
        <w:spacing w:before="0" w:after="80"/>
      </w:pPr>
      <w:r>
        <w:rPr>
          <w:rFonts w:ascii="Calibri" w:hAnsi="Calibri"/>
          <w:b w:val="0"/>
          <w:i w:val="0"/>
          <w:color w:val="212121"/>
          <w:sz w:val="21"/>
        </w:rPr>
        <w:t>(5) Complex PTSD (ICD-11), arising from prolonged or repeated trauma (childhood abuse, captivity, trafficking, chronic armed conflict), which adds disturbances in self-organisation — affect dysregulation, negative self-concept, and disturbed relationships — to core PTSD symptoms.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Traumatic event exposure: The necessary cause — armed conflict and combat, physical and sexual assault, road-traffic and industrial accidents, natural disasters (earthquakes, tsunami, floods, cyclones), terrorism, intimate-partner violence, childhood abuse, and life-threatening illness or traumatic childbirth.</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Female sex and gender-based violence: Women carry roughly twice the lifetime risk, partly because of higher exposure to sexual and interpersonal violence and sex differences in stress physiology.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Prior trauma and childhood adversity: Earlier, repeated, or developmental trauma sensitises stress-response systems and markedly increases vulnerability to later PTSD.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Peritraumatic factors: Trauma severity and proximity, perceived life threat, physical injury, and dissociation during the event strongly predict PTSD onset.</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Post-trauma context and social support: Lack of social support, ongoing threat, displacement, and secondary stressors after the event impede natural recovery.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Neurobiological dysregulation: Amygdala hyperactivity with impaired ventromedial-prefrontal and hippocampal regulation of fear, plus HPA-axis abnormalities, drive persistent fear conditioning and failure of extinction.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and pre-existing psychiatric vulnerability: Moderate heritability and a personal or family history of depression, anxiety, or substance use disorders raise susceptibility.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PTSD most often begins in young-to-middle adulthood, when exposure to assault, accidents, occupational trauma and interpersonal violence peaks; cumulative trauma and life stress sustain the disorder.</w:t>
            </w:r>
          </w:p>
          <w:p>
            <w:pPr>
              <w:spacing w:after="40" w:before="60" w:line="259" w:lineRule="auto"/>
            </w:pPr>
            <w:r>
              <w:rPr>
                <w:rFonts w:ascii="Calibri" w:hAnsi="Calibri"/>
                <w:b w:val="0"/>
                <w:i w:val="0"/>
                <w:color w:val="212121"/>
                <w:sz w:val="19"/>
              </w:rPr>
              <w:t>In US adults, past-year PTSD is 3.6% and lifetime 6.8%, with the highest past-year rate (5.3%) in the 45–59-year band.</w:t>
            </w:r>
          </w:p>
          <w:p>
            <w:pPr>
              <w:spacing w:after="40" w:line="252" w:lineRule="auto"/>
            </w:pPr>
            <w:hyperlink r:id="rId9">
              <w:r>
                <w:rPr>
                  <w:rFonts w:ascii="Calibri" w:hAnsi="Calibri" w:cs="Calibri"/>
                  <w:sz w:val="18"/>
                  <w:color w:val="1155CC"/>
                  <w:u w:val="single"/>
                </w:rPr>
                <w:t xml:space="preserve">nimh.nih.gov — PTSD statistics</w:t>
              </w:r>
            </w:hyperlink>
          </w:p>
          <w:p>
            <w:pPr>
              <w:spacing w:before="60" w:after="40"/>
            </w:pPr>
            <w:r>
              <w:rPr>
                <w:rFonts w:ascii="Calibri" w:hAnsi="Calibri"/>
                <w:b w:val="0"/>
                <w:i w:val="0"/>
                <w:color w:val="5A5A5A"/>
                <w:sz w:val="18"/>
              </w:rPr>
              <w:t>#trauma  #adults  #hyperarousal  #workingage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Children and adolescents exposed to disaster, abuse or armed conflict are highly vulnerable; developing brains and dependence on caregivers amplify traumatic impact and may cause developmental and behavioural sequelae.</w:t>
            </w:r>
          </w:p>
          <w:p>
            <w:pPr>
              <w:spacing w:after="40" w:before="60" w:line="259" w:lineRule="auto"/>
            </w:pPr>
            <w:r>
              <w:rPr>
                <w:rFonts w:ascii="Calibri" w:hAnsi="Calibri"/>
                <w:b w:val="0"/>
                <w:i w:val="0"/>
                <w:color w:val="212121"/>
                <w:sz w:val="19"/>
              </w:rPr>
              <w:t>Lifetime PTSD among US adolescents (13–18 y) is ~5.0%; Indian studies of tsunami-affected children in Tamil Nadu and of Kashmir-conflict children document markedly elevated rates.</w:t>
            </w:r>
          </w:p>
          <w:p>
            <w:pPr>
              <w:spacing w:after="40" w:line="252" w:lineRule="auto"/>
            </w:pPr>
            <w:hyperlink r:id="rId10">
              <w:r>
                <w:rPr>
                  <w:rFonts w:ascii="Calibri" w:hAnsi="Calibri" w:cs="Calibri"/>
                  <w:sz w:val="18"/>
                  <w:color w:val="1155CC"/>
                  <w:u w:val="single"/>
                </w:rPr>
                <w:t xml:space="preserve">pubmed.ncbi.nlm.nih.gov/17306747 — tsunami children, Tamil Nadu</w:t>
              </w:r>
            </w:hyperlink>
          </w:p>
          <w:p>
            <w:pPr>
              <w:spacing w:before="60" w:after="40"/>
            </w:pPr>
            <w:r>
              <w:rPr>
                <w:rFonts w:ascii="Calibri" w:hAnsi="Calibri"/>
                <w:b w:val="0"/>
                <w:i w:val="0"/>
                <w:color w:val="5A5A5A"/>
                <w:sz w:val="18"/>
              </w:rPr>
              <w:t>#childtrauma  #disaster  #kashmir  #adolescents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carry roughly double the lifetime risk of men, largely because of higher exposure to sexual assault and intimate-partner violence and sex differences in stress neurobiology.</w:t>
            </w:r>
          </w:p>
          <w:p>
            <w:pPr>
              <w:spacing w:after="40" w:before="60" w:line="259" w:lineRule="auto"/>
            </w:pPr>
            <w:r>
              <w:rPr>
                <w:rFonts w:ascii="Calibri" w:hAnsi="Calibri"/>
                <w:b w:val="0"/>
                <w:i w:val="0"/>
                <w:color w:val="212121"/>
                <w:sz w:val="19"/>
              </w:rPr>
              <w:t>About 8 of every 100 women versus 4 of every 100 men develop PTSD in their lifetime; US past-year prevalence is 5.2% (female) versus 1.8% (male).</w:t>
            </w:r>
          </w:p>
          <w:p>
            <w:pPr>
              <w:spacing w:after="40" w:line="252" w:lineRule="auto"/>
            </w:pPr>
            <w:hyperlink r:id="rId11">
              <w:r>
                <w:rPr>
                  <w:rFonts w:ascii="Calibri" w:hAnsi="Calibri" w:cs="Calibri"/>
                  <w:sz w:val="18"/>
                  <w:color w:val="1155CC"/>
                  <w:u w:val="single"/>
                </w:rPr>
                <w:t xml:space="preserve">ptsd.va.gov — how common is PTSD in adults</w:t>
              </w:r>
            </w:hyperlink>
          </w:p>
          <w:p>
            <w:pPr>
              <w:spacing w:before="60" w:after="40"/>
            </w:pPr>
            <w:r>
              <w:rPr>
                <w:rFonts w:ascii="Calibri" w:hAnsi="Calibri"/>
                <w:b w:val="0"/>
                <w:i w:val="0"/>
                <w:color w:val="5A5A5A"/>
                <w:sz w:val="18"/>
              </w:rPr>
              <w:t>#women  #gbv  #sexualassault  #ipv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less-educated, widowed or displaced</w:t>
            </w:r>
          </w:p>
        </w:tc>
        <w:tc>
          <w:tcPr>
            <w:tcW w:type="dxa" w:w="4276"/>
            <w:vAlign w:val="top"/>
          </w:tcPr>
          <w:p>
            <w:pPr>
              <w:spacing w:after="60" w:line="259" w:lineRule="auto"/>
            </w:pPr>
            <w:r>
              <w:rPr>
                <w:rFonts w:ascii="Calibri" w:hAnsi="Calibri"/>
                <w:b w:val="0"/>
                <w:i w:val="0"/>
                <w:color w:val="212121"/>
                <w:sz w:val="19"/>
              </w:rPr>
              <w:t>Poverty, low education, displacement and loss of a spouse limit coping resources and social support and prolong exposure to adversity, raising PTSD risk and chronicity.</w:t>
            </w:r>
          </w:p>
          <w:p>
            <w:pPr>
              <w:spacing w:after="40" w:before="60" w:line="259" w:lineRule="auto"/>
            </w:pPr>
            <w:r>
              <w:rPr>
                <w:rFonts w:ascii="Calibri" w:hAnsi="Calibri"/>
                <w:b w:val="0"/>
                <w:i w:val="0"/>
                <w:color w:val="212121"/>
                <w:sz w:val="19"/>
              </w:rPr>
              <w:t>In the Kashmir Valley survey (n = 5,519), PTSD was significantly higher among those with no formal education, rural residents, adults over 55, and the widowed/divorced/separated.</w:t>
            </w:r>
          </w:p>
          <w:p>
            <w:pPr>
              <w:spacing w:after="40" w:line="252" w:lineRule="auto"/>
            </w:pPr>
            <w:hyperlink r:id="rId12">
              <w:r>
                <w:rPr>
                  <w:rFonts w:ascii="Calibri" w:hAnsi="Calibri" w:cs="Calibri"/>
                  <w:sz w:val="18"/>
                  <w:color w:val="1155CC"/>
                  <w:u w:val="single"/>
                </w:rPr>
                <w:t xml:space="preserve">pubmed.ncbi.nlm.nih.gov/29082026 — Kashmir Valley survey</w:t>
              </w:r>
            </w:hyperlink>
          </w:p>
          <w:p>
            <w:pPr>
              <w:spacing w:before="60" w:after="40"/>
            </w:pPr>
            <w:r>
              <w:rPr>
                <w:rFonts w:ascii="Calibri" w:hAnsi="Calibri"/>
                <w:b w:val="0"/>
                <w:i w:val="0"/>
                <w:color w:val="5A5A5A"/>
                <w:sz w:val="18"/>
              </w:rPr>
              <w:t>#poverty  #displacement  #socialsupport  #inequity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conflict exposure</w:t>
            </w:r>
          </w:p>
        </w:tc>
        <w:tc>
          <w:tcPr>
            <w:tcW w:type="dxa" w:w="2160"/>
            <w:vAlign w:val="top"/>
          </w:tcPr>
          <w:p>
            <w:pPr>
              <w:spacing w:after="40" w:before="0" w:line="259" w:lineRule="auto"/>
            </w:pPr>
            <w:r>
              <w:rPr>
                <w:rFonts w:ascii="Calibri" w:hAnsi="Calibri"/>
                <w:b w:val="0"/>
                <w:i w:val="0"/>
                <w:color w:val="212121"/>
                <w:sz w:val="19"/>
              </w:rPr>
              <w:t>Conflict-affected populations (Kashmir Valley)</w:t>
            </w:r>
          </w:p>
        </w:tc>
        <w:tc>
          <w:tcPr>
            <w:tcW w:type="dxa" w:w="4276"/>
            <w:vAlign w:val="top"/>
          </w:tcPr>
          <w:p>
            <w:pPr>
              <w:spacing w:after="60" w:line="259" w:lineRule="auto"/>
            </w:pPr>
            <w:r>
              <w:rPr>
                <w:rFonts w:ascii="Calibri" w:hAnsi="Calibri"/>
                <w:b w:val="0"/>
                <w:i w:val="0"/>
                <w:color w:val="212121"/>
                <w:sz w:val="19"/>
              </w:rPr>
              <w:t>Populations living through chronic armed conflict face repeated, unpredictable trauma with little means of escape, producing very high PTSD burdens with a clear dose-response to cumulative traumatic events.</w:t>
            </w:r>
          </w:p>
          <w:p>
            <w:pPr>
              <w:spacing w:after="40" w:before="60" w:line="259" w:lineRule="auto"/>
            </w:pPr>
            <w:r>
              <w:rPr>
                <w:rFonts w:ascii="Calibri" w:hAnsi="Calibri"/>
                <w:b w:val="0"/>
                <w:i w:val="0"/>
                <w:color w:val="212121"/>
                <w:sz w:val="19"/>
              </w:rPr>
              <w:t>PTSD prevalence reached ~19% (95% CI 17.5–21.2) among adults across the Kashmir Valley, with depression at 41% and anxiety at 26%.</w:t>
            </w:r>
          </w:p>
          <w:p>
            <w:pPr>
              <w:spacing w:after="40" w:line="252" w:lineRule="auto"/>
            </w:pPr>
            <w:hyperlink r:id="rId12">
              <w:r>
                <w:rPr>
                  <w:rFonts w:ascii="Calibri" w:hAnsi="Calibri" w:cs="Calibri"/>
                  <w:sz w:val="18"/>
                  <w:color w:val="1155CC"/>
                  <w:u w:val="single"/>
                </w:rPr>
                <w:t xml:space="preserve">pubmed.ncbi.nlm.nih.gov/29082026 — Kashmir Valley survey</w:t>
              </w:r>
            </w:hyperlink>
          </w:p>
          <w:p>
            <w:pPr>
              <w:spacing w:before="60" w:after="40"/>
            </w:pPr>
            <w:r>
              <w:rPr>
                <w:rFonts w:ascii="Calibri" w:hAnsi="Calibri"/>
                <w:b w:val="0"/>
                <w:i w:val="0"/>
                <w:color w:val="5A5A5A"/>
                <w:sz w:val="18"/>
              </w:rPr>
              <w:t>#conflict  #kashmir  #doseresponse  #collectivetrauma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disaster exposure</w:t>
            </w:r>
          </w:p>
        </w:tc>
        <w:tc>
          <w:tcPr>
            <w:tcW w:type="dxa" w:w="2160"/>
            <w:vAlign w:val="top"/>
          </w:tcPr>
          <w:p>
            <w:pPr>
              <w:spacing w:after="40" w:before="0" w:line="259" w:lineRule="auto"/>
            </w:pPr>
            <w:r>
              <w:rPr>
                <w:rFonts w:ascii="Calibri" w:hAnsi="Calibri"/>
                <w:b w:val="0"/>
                <w:i w:val="0"/>
                <w:color w:val="212121"/>
                <w:sz w:val="19"/>
              </w:rPr>
              <w:t>Disaster-prone coastal &amp; seismic zones</w:t>
            </w:r>
          </w:p>
        </w:tc>
        <w:tc>
          <w:tcPr>
            <w:tcW w:type="dxa" w:w="4276"/>
            <w:vAlign w:val="top"/>
          </w:tcPr>
          <w:p>
            <w:pPr>
              <w:spacing w:after="60" w:line="259" w:lineRule="auto"/>
            </w:pPr>
            <w:r>
              <w:rPr>
                <w:rFonts w:ascii="Calibri" w:hAnsi="Calibri"/>
                <w:b w:val="0"/>
                <w:i w:val="0"/>
                <w:color w:val="212121"/>
                <w:sz w:val="19"/>
              </w:rPr>
              <w:t>Communities in India's disaster-prone coastal belts (Tamil Nadu, Andaman &amp; Nicobar) and seismic zones suffer mass-casualty natural disasters that leave survivors — especially children and the bereaved — with high rates of PTSD.</w:t>
            </w:r>
          </w:p>
          <w:p>
            <w:pPr>
              <w:spacing w:after="40" w:before="60" w:line="259" w:lineRule="auto"/>
            </w:pPr>
            <w:r>
              <w:rPr>
                <w:rFonts w:ascii="Calibri" w:hAnsi="Calibri"/>
                <w:b w:val="0"/>
                <w:i w:val="0"/>
                <w:color w:val="212121"/>
                <w:sz w:val="19"/>
              </w:rPr>
              <w:t>Studies of the 2004 Indian Ocean tsunami in Tamil Nadu and the Andaman &amp; Nicobar Islands documented substantial PTSD among displaced survivors.</w:t>
            </w:r>
          </w:p>
          <w:p>
            <w:pPr>
              <w:spacing w:after="40" w:line="252" w:lineRule="auto"/>
            </w:pPr>
            <w:hyperlink r:id="rId10">
              <w:r>
                <w:rPr>
                  <w:rFonts w:ascii="Calibri" w:hAnsi="Calibri" w:cs="Calibri"/>
                  <w:sz w:val="18"/>
                  <w:color w:val="1155CC"/>
                  <w:u w:val="single"/>
                </w:rPr>
                <w:t xml:space="preserve">pubmed.ncbi.nlm.nih.gov/17306747 — tsunami survivors</w:t>
              </w:r>
            </w:hyperlink>
          </w:p>
          <w:p>
            <w:pPr>
              <w:spacing w:before="60" w:after="40"/>
            </w:pPr>
            <w:r>
              <w:rPr>
                <w:rFonts w:ascii="Calibri" w:hAnsi="Calibri"/>
                <w:b w:val="0"/>
                <w:i w:val="0"/>
                <w:color w:val="5A5A5A"/>
                <w:sz w:val="18"/>
              </w:rPr>
              <w:t>#disaster  #tsunami  #floods  #displacement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w:t>
            </w:r>
          </w:p>
        </w:tc>
        <w:tc>
          <w:tcPr>
            <w:tcW w:type="dxa" w:w="4276"/>
            <w:vAlign w:val="top"/>
          </w:tcPr>
          <w:p>
            <w:pPr>
              <w:spacing w:after="60" w:line="259" w:lineRule="auto"/>
            </w:pPr>
            <w:r>
              <w:rPr>
                <w:rFonts w:ascii="Calibri" w:hAnsi="Calibri"/>
                <w:b w:val="0"/>
                <w:i w:val="0"/>
                <w:color w:val="212121"/>
                <w:sz w:val="19"/>
              </w:rPr>
              <w:t>Physical inactivity is associated with worse PTSD and depressive symptoms, whereas structured aerobic and resistance exercise reduces symptom severity; sedentary patients tend to recover more slowly.</w:t>
            </w:r>
          </w:p>
          <w:p>
            <w:pPr>
              <w:spacing w:after="40" w:before="60" w:line="259" w:lineRule="auto"/>
            </w:pPr>
            <w:r>
              <w:rPr>
                <w:rFonts w:ascii="Calibri" w:hAnsi="Calibri"/>
                <w:b w:val="0"/>
                <w:i w:val="0"/>
                <w:color w:val="212121"/>
                <w:sz w:val="19"/>
              </w:rPr>
              <w:t>A systematic review and meta-analysis found physical activity significantly reduces PTSD symptoms and comorbid depressive symptoms.</w:t>
            </w:r>
          </w:p>
          <w:p>
            <w:pPr>
              <w:spacing w:after="40" w:line="252" w:lineRule="auto"/>
            </w:pPr>
            <w:hyperlink r:id="rId13">
              <w:r>
                <w:rPr>
                  <w:rFonts w:ascii="Calibri" w:hAnsi="Calibri" w:cs="Calibri"/>
                  <w:sz w:val="18"/>
                  <w:color w:val="1155CC"/>
                  <w:u w:val="single"/>
                </w:rPr>
                <w:t xml:space="preserve">pubmed.ncbi.nlm.nih.gov/26500072 — physical activity &amp; PTSD meta-analysis</w:t>
              </w:r>
            </w:hyperlink>
          </w:p>
          <w:p>
            <w:pPr>
              <w:spacing w:before="60" w:after="40"/>
            </w:pPr>
            <w:r>
              <w:rPr>
                <w:rFonts w:ascii="Calibri" w:hAnsi="Calibri"/>
                <w:b w:val="0"/>
                <w:i w:val="0"/>
                <w:color w:val="5A5A5A"/>
                <w:sz w:val="18"/>
              </w:rPr>
              <w:t>#sedentary  #exercise  #hyperarousal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users</w:t>
            </w:r>
          </w:p>
        </w:tc>
        <w:tc>
          <w:tcPr>
            <w:tcW w:type="dxa" w:w="4276"/>
            <w:vAlign w:val="top"/>
          </w:tcPr>
          <w:p>
            <w:pPr>
              <w:spacing w:after="60" w:line="259" w:lineRule="auto"/>
            </w:pPr>
            <w:r>
              <w:rPr>
                <w:rFonts w:ascii="Calibri" w:hAnsi="Calibri"/>
                <w:b w:val="0"/>
                <w:i w:val="0"/>
                <w:color w:val="212121"/>
                <w:sz w:val="19"/>
              </w:rPr>
              <w:t>Smoking is substantially more common in people with PTSD, who often use nicotine to self-regulate arousal; nicotine dependence and PTSD reinforce each other and add cardiovascular risk.</w:t>
            </w:r>
          </w:p>
          <w:p>
            <w:pPr>
              <w:spacing w:before="60" w:after="40"/>
            </w:pPr>
            <w:r>
              <w:rPr>
                <w:rFonts w:ascii="Calibri" w:hAnsi="Calibri"/>
                <w:b w:val="0"/>
                <w:i w:val="0"/>
                <w:color w:val="5A5A5A"/>
                <w:sz w:val="18"/>
              </w:rPr>
              <w:t>#smoking  #nicotine  #selfmedication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hazardous drinkers</w:t>
            </w:r>
          </w:p>
        </w:tc>
        <w:tc>
          <w:tcPr>
            <w:tcW w:type="dxa" w:w="4276"/>
            <w:vAlign w:val="top"/>
          </w:tcPr>
          <w:p>
            <w:pPr>
              <w:spacing w:after="60" w:line="259" w:lineRule="auto"/>
            </w:pPr>
            <w:r>
              <w:rPr>
                <w:rFonts w:ascii="Calibri" w:hAnsi="Calibri"/>
                <w:b w:val="0"/>
                <w:i w:val="0"/>
                <w:color w:val="212121"/>
                <w:sz w:val="19"/>
              </w:rPr>
              <w:t>Alcohol and drugs are commonly used to numb intrusive memories and insomnia; this self-medication drives high rates of substance use disorder that worsen prognosis and treatment engagement.</w:t>
            </w:r>
          </w:p>
          <w:p>
            <w:pPr>
              <w:spacing w:after="40" w:before="60" w:line="259" w:lineRule="auto"/>
            </w:pPr>
            <w:r>
              <w:rPr>
                <w:rFonts w:ascii="Calibri" w:hAnsi="Calibri"/>
                <w:b w:val="0"/>
                <w:i w:val="0"/>
                <w:color w:val="212121"/>
                <w:sz w:val="19"/>
              </w:rPr>
              <w:t>Up to 60% of people with PTSD develop a substance use disorder.</w:t>
            </w:r>
          </w:p>
          <w:p>
            <w:pPr>
              <w:spacing w:after="40" w:line="252" w:lineRule="auto"/>
            </w:pPr>
            <w:hyperlink r:id="rId14">
              <w:r>
                <w:rPr>
                  <w:rFonts w:ascii="Calibri" w:hAnsi="Calibri" w:cs="Calibri"/>
                  <w:sz w:val="18"/>
                  <w:color w:val="1155CC"/>
                  <w:u w:val="single"/>
                </w:rPr>
                <w:t xml:space="preserve">msdmanuals.com — PTSD (professional)</w:t>
              </w:r>
            </w:hyperlink>
          </w:p>
          <w:p>
            <w:pPr>
              <w:spacing w:before="60" w:after="40"/>
            </w:pPr>
            <w:r>
              <w:rPr>
                <w:rFonts w:ascii="Calibri" w:hAnsi="Calibri"/>
                <w:b w:val="0"/>
                <w:i w:val="0"/>
                <w:color w:val="5A5A5A"/>
                <w:sz w:val="18"/>
              </w:rPr>
              <w:t>#alcohol  #selfmedication  #sud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Uniformed &amp; high-exposure workers</w:t>
            </w:r>
          </w:p>
        </w:tc>
        <w:tc>
          <w:tcPr>
            <w:tcW w:type="dxa" w:w="4276"/>
            <w:vAlign w:val="top"/>
          </w:tcPr>
          <w:p>
            <w:pPr>
              <w:spacing w:after="60" w:line="259" w:lineRule="auto"/>
            </w:pPr>
            <w:r>
              <w:rPr>
                <w:rFonts w:ascii="Calibri" w:hAnsi="Calibri"/>
                <w:b w:val="0"/>
                <w:i w:val="0"/>
                <w:color w:val="212121"/>
                <w:sz w:val="19"/>
              </w:rPr>
              <w:t>Repeated occupational exposure to death, injury and threat places military personnel, police, firefighters, disaster responders, healthcare and frontline workers at elevated risk.</w:t>
            </w:r>
          </w:p>
          <w:p>
            <w:pPr>
              <w:spacing w:after="40" w:before="60" w:line="259" w:lineRule="auto"/>
            </w:pPr>
            <w:r>
              <w:rPr>
                <w:rFonts w:ascii="Calibri" w:hAnsi="Calibri"/>
                <w:b w:val="0"/>
                <w:i w:val="0"/>
                <w:color w:val="212121"/>
                <w:sz w:val="19"/>
              </w:rPr>
              <w:t>Veterans have higher rates of PTSD than civilians.</w:t>
            </w:r>
          </w:p>
          <w:p>
            <w:pPr>
              <w:spacing w:after="40" w:line="252" w:lineRule="auto"/>
            </w:pPr>
            <w:hyperlink r:id="rId11">
              <w:r>
                <w:rPr>
                  <w:rFonts w:ascii="Calibri" w:hAnsi="Calibri" w:cs="Calibri"/>
                  <w:sz w:val="18"/>
                  <w:color w:val="1155CC"/>
                  <w:u w:val="single"/>
                </w:rPr>
                <w:t xml:space="preserve">ptsd.va.gov — how common is PTSD in adults</w:t>
              </w:r>
            </w:hyperlink>
          </w:p>
          <w:p>
            <w:pPr>
              <w:spacing w:before="60" w:after="40"/>
            </w:pPr>
            <w:r>
              <w:rPr>
                <w:rFonts w:ascii="Calibri" w:hAnsi="Calibri"/>
                <w:b w:val="0"/>
                <w:i w:val="0"/>
                <w:color w:val="5A5A5A"/>
                <w:sz w:val="18"/>
              </w:rPr>
              <w:t>#veterans  #firstresponders  #occupationaltrauma</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Caffeine &amp; alcohol intake</w:t>
            </w:r>
          </w:p>
        </w:tc>
        <w:tc>
          <w:tcPr>
            <w:tcW w:type="dxa" w:w="2160"/>
            <w:vAlign w:val="top"/>
          </w:tcPr>
          <w:p>
            <w:pPr>
              <w:spacing w:after="40" w:before="0" w:line="259" w:lineRule="auto"/>
            </w:pPr>
            <w:r>
              <w:rPr>
                <w:rFonts w:ascii="Calibri" w:hAnsi="Calibri"/>
                <w:b w:val="0"/>
                <w:i w:val="0"/>
                <w:color w:val="212121"/>
                <w:sz w:val="19"/>
              </w:rPr>
              <w:t>High caffeine / alcohol consumers</w:t>
            </w:r>
          </w:p>
        </w:tc>
        <w:tc>
          <w:tcPr>
            <w:tcW w:type="dxa" w:w="4276"/>
            <w:vAlign w:val="top"/>
          </w:tcPr>
          <w:p>
            <w:pPr>
              <w:spacing w:after="60" w:line="259" w:lineRule="auto"/>
            </w:pPr>
            <w:r>
              <w:rPr>
                <w:rFonts w:ascii="Calibri" w:hAnsi="Calibri"/>
                <w:b w:val="0"/>
                <w:i w:val="0"/>
                <w:color w:val="212121"/>
                <w:sz w:val="19"/>
              </w:rPr>
              <w:t>High caffeine intake can intensify hyperarousal, anxiety and insomnia and provoke panic-like symptoms, while alcohol used as a sedative fragments sleep and worsens nightmares — both perpetuating PTSD symptoms.</w:t>
            </w:r>
          </w:p>
          <w:p>
            <w:pPr>
              <w:spacing w:before="60" w:after="40"/>
            </w:pPr>
            <w:r>
              <w:rPr>
                <w:rFonts w:ascii="Calibri" w:hAnsi="Calibri"/>
                <w:b w:val="0"/>
                <w:i w:val="0"/>
                <w:color w:val="5A5A5A"/>
                <w:sz w:val="18"/>
              </w:rPr>
              <w:t>#caffeine  #alcohol  #insomnia</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PTSD, mood or anxiety disorders</w:t>
            </w:r>
          </w:p>
        </w:tc>
        <w:tc>
          <w:tcPr>
            <w:tcW w:type="dxa" w:w="4276"/>
            <w:vAlign w:val="top"/>
          </w:tcPr>
          <w:p>
            <w:pPr>
              <w:spacing w:after="60" w:line="259" w:lineRule="auto"/>
            </w:pPr>
            <w:r>
              <w:rPr>
                <w:rFonts w:ascii="Calibri" w:hAnsi="Calibri"/>
                <w:b w:val="0"/>
                <w:i w:val="0"/>
                <w:color w:val="212121"/>
                <w:sz w:val="19"/>
              </w:rPr>
              <w:t>PTSD is moderately heritable; a family or personal history of PTSD, depression, anxiety or substance use raises susceptibility through shared stress-reactivity and fear-regulation pathways.</w:t>
            </w:r>
          </w:p>
          <w:p>
            <w:pPr>
              <w:spacing w:before="60" w:after="40"/>
            </w:pPr>
            <w:r>
              <w:rPr>
                <w:rFonts w:ascii="Calibri" w:hAnsi="Calibri"/>
                <w:b w:val="0"/>
                <w:i w:val="0"/>
                <w:color w:val="5A5A5A"/>
                <w:sz w:val="18"/>
              </w:rPr>
              <w:t>#heritability  #familyhistory  #stressreactivity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Patients with major depressive disorder</w:t>
            </w:r>
          </w:p>
        </w:tc>
        <w:tc>
          <w:tcPr>
            <w:tcW w:type="dxa" w:w="4276"/>
            <w:vAlign w:val="top"/>
          </w:tcPr>
          <w:p>
            <w:pPr>
              <w:spacing w:after="60" w:line="259" w:lineRule="auto"/>
            </w:pPr>
            <w:r>
              <w:rPr>
                <w:rFonts w:ascii="Calibri" w:hAnsi="Calibri"/>
                <w:b w:val="0"/>
                <w:i w:val="0"/>
                <w:color w:val="212121"/>
                <w:sz w:val="19"/>
              </w:rPr>
              <w:t>Major depression and PTSD share stress-related neurobiology and frequently co-occur bidirectionally, amplifying disability and suicide risk.</w:t>
            </w:r>
          </w:p>
          <w:p>
            <w:pPr>
              <w:spacing w:after="40" w:before="60" w:line="259" w:lineRule="auto"/>
            </w:pPr>
            <w:r>
              <w:rPr>
                <w:rFonts w:ascii="Calibri" w:hAnsi="Calibri"/>
                <w:b w:val="0"/>
                <w:i w:val="0"/>
                <w:color w:val="212121"/>
                <w:sz w:val="19"/>
              </w:rPr>
              <w:t>Depressive disorders are among the most common comorbidities of PTSD.</w:t>
            </w:r>
          </w:p>
          <w:p>
            <w:pPr>
              <w:spacing w:after="40" w:line="252" w:lineRule="auto"/>
            </w:pPr>
            <w:hyperlink r:id="rId15">
              <w:r>
                <w:rPr>
                  <w:rFonts w:ascii="Calibri" w:hAnsi="Calibri" w:cs="Calibri"/>
                  <w:sz w:val="18"/>
                  <w:color w:val="1155CC"/>
                  <w:u w:val="single"/>
                </w:rPr>
                <w:t xml:space="preserve">pubmed.ncbi.nlm.nih.gov/17503104 — depression–PTSD comorbidity</w:t>
              </w:r>
            </w:hyperlink>
          </w:p>
          <w:p>
            <w:pPr>
              <w:spacing w:before="60" w:after="40"/>
            </w:pPr>
            <w:r>
              <w:rPr>
                <w:rFonts w:ascii="Calibri" w:hAnsi="Calibri"/>
                <w:b w:val="0"/>
                <w:i w:val="0"/>
                <w:color w:val="5A5A5A"/>
                <w:sz w:val="18"/>
              </w:rPr>
              <w:t>#depression  #comorbidity  #suiciderisk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Substance use disorder</w:t>
            </w:r>
          </w:p>
        </w:tc>
        <w:tc>
          <w:tcPr>
            <w:tcW w:type="dxa" w:w="2160"/>
            <w:vAlign w:val="top"/>
          </w:tcPr>
          <w:p>
            <w:pPr>
              <w:spacing w:after="40" w:before="0" w:line="259" w:lineRule="auto"/>
            </w:pPr>
            <w:r>
              <w:rPr>
                <w:rFonts w:ascii="Calibri" w:hAnsi="Calibri"/>
                <w:b w:val="0"/>
                <w:i w:val="0"/>
                <w:color w:val="212121"/>
                <w:sz w:val="19"/>
              </w:rPr>
              <w:t>Patients with alcohol/drug use disorder</w:t>
            </w:r>
          </w:p>
        </w:tc>
        <w:tc>
          <w:tcPr>
            <w:tcW w:type="dxa" w:w="4276"/>
            <w:vAlign w:val="top"/>
          </w:tcPr>
          <w:p>
            <w:pPr>
              <w:spacing w:after="60" w:line="259" w:lineRule="auto"/>
            </w:pPr>
            <w:r>
              <w:rPr>
                <w:rFonts w:ascii="Calibri" w:hAnsi="Calibri"/>
                <w:b w:val="0"/>
                <w:i w:val="0"/>
                <w:color w:val="212121"/>
                <w:sz w:val="19"/>
              </w:rPr>
              <w:t>Self-medication of intrusion and arousal symptoms leads to high rates of alcohol and drug use disorders, which impair engagement with treatment and worsen outcomes.</w:t>
            </w:r>
          </w:p>
          <w:p>
            <w:pPr>
              <w:spacing w:after="40" w:before="60" w:line="259" w:lineRule="auto"/>
            </w:pPr>
            <w:r>
              <w:rPr>
                <w:rFonts w:ascii="Calibri" w:hAnsi="Calibri"/>
                <w:b w:val="0"/>
                <w:i w:val="0"/>
                <w:color w:val="212121"/>
                <w:sz w:val="19"/>
              </w:rPr>
              <w:t>Up to 60% of people with PTSD develop a substance use disorder.</w:t>
            </w:r>
          </w:p>
          <w:p>
            <w:pPr>
              <w:spacing w:after="40" w:line="252" w:lineRule="auto"/>
            </w:pPr>
            <w:hyperlink r:id="rId14">
              <w:r>
                <w:rPr>
                  <w:rFonts w:ascii="Calibri" w:hAnsi="Calibri" w:cs="Calibri"/>
                  <w:sz w:val="18"/>
                  <w:color w:val="1155CC"/>
                  <w:u w:val="single"/>
                </w:rPr>
                <w:t xml:space="preserve">msdmanuals.com — PTSD (professional)</w:t>
              </w:r>
            </w:hyperlink>
          </w:p>
          <w:p>
            <w:pPr>
              <w:spacing w:before="60" w:after="40"/>
            </w:pPr>
            <w:r>
              <w:rPr>
                <w:rFonts w:ascii="Calibri" w:hAnsi="Calibri"/>
                <w:b w:val="0"/>
                <w:i w:val="0"/>
                <w:color w:val="5A5A5A"/>
                <w:sz w:val="18"/>
              </w:rPr>
              <w:t>#sud  #alcohol  #dualdiagnosis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Traumatic brain injury</w:t>
            </w:r>
          </w:p>
        </w:tc>
        <w:tc>
          <w:tcPr>
            <w:tcW w:type="dxa" w:w="2160"/>
            <w:vAlign w:val="top"/>
          </w:tcPr>
          <w:p>
            <w:pPr>
              <w:spacing w:after="40" w:before="0" w:line="259" w:lineRule="auto"/>
            </w:pPr>
            <w:r>
              <w:rPr>
                <w:rFonts w:ascii="Calibri" w:hAnsi="Calibri"/>
                <w:b w:val="0"/>
                <w:i w:val="0"/>
                <w:color w:val="212121"/>
                <w:sz w:val="19"/>
              </w:rPr>
              <w:t>Patients with TBI (combat, blast, road-traffic)</w:t>
            </w:r>
          </w:p>
        </w:tc>
        <w:tc>
          <w:tcPr>
            <w:tcW w:type="dxa" w:w="4276"/>
            <w:vAlign w:val="top"/>
          </w:tcPr>
          <w:p>
            <w:pPr>
              <w:spacing w:after="60" w:line="259" w:lineRule="auto"/>
            </w:pPr>
            <w:r>
              <w:rPr>
                <w:rFonts w:ascii="Calibri" w:hAnsi="Calibri"/>
                <w:b w:val="0"/>
                <w:i w:val="0"/>
                <w:color w:val="212121"/>
                <w:sz w:val="19"/>
              </w:rPr>
              <w:t>Blast, combat and road-traffic injuries often cause concurrent traumatic brain injury and PTSD; overlapping symptoms (poor concentration, sleep disturbance, irritability) complicate diagnosis and management.</w:t>
            </w:r>
          </w:p>
          <w:p>
            <w:pPr>
              <w:spacing w:before="60" w:after="40"/>
            </w:pPr>
            <w:r>
              <w:rPr>
                <w:rFonts w:ascii="Calibri" w:hAnsi="Calibri"/>
                <w:b w:val="0"/>
                <w:i w:val="0"/>
                <w:color w:val="5A5A5A"/>
                <w:sz w:val="18"/>
              </w:rPr>
              <w:t>#TBI  #polytrauma  #concussion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Cardiometabolic disease</w:t>
            </w:r>
          </w:p>
        </w:tc>
        <w:tc>
          <w:tcPr>
            <w:tcW w:type="dxa" w:w="2160"/>
            <w:vAlign w:val="top"/>
          </w:tcPr>
          <w:p>
            <w:pPr>
              <w:spacing w:after="40" w:before="0" w:line="259" w:lineRule="auto"/>
            </w:pPr>
            <w:r>
              <w:rPr>
                <w:rFonts w:ascii="Calibri" w:hAnsi="Calibri"/>
                <w:b w:val="0"/>
                <w:i w:val="0"/>
                <w:color w:val="212121"/>
                <w:sz w:val="19"/>
              </w:rPr>
              <w:t>Patients with hypertension / CVD / diabetes</w:t>
            </w:r>
          </w:p>
        </w:tc>
        <w:tc>
          <w:tcPr>
            <w:tcW w:type="dxa" w:w="4276"/>
            <w:vAlign w:val="top"/>
          </w:tcPr>
          <w:p>
            <w:pPr>
              <w:spacing w:after="60" w:line="259" w:lineRule="auto"/>
            </w:pPr>
            <w:r>
              <w:rPr>
                <w:rFonts w:ascii="Calibri" w:hAnsi="Calibri"/>
                <w:b w:val="0"/>
                <w:i w:val="0"/>
                <w:color w:val="212121"/>
                <w:sz w:val="19"/>
              </w:rPr>
              <w:t>Chronic hyperarousal, HPA-axis dysregulation and unhealthy behaviours raise the long-term risk of hypertension, coronary heart disease and cardiometabolic disease.</w:t>
            </w:r>
          </w:p>
          <w:p>
            <w:pPr>
              <w:spacing w:after="40" w:before="60" w:line="259" w:lineRule="auto"/>
            </w:pPr>
            <w:r>
              <w:rPr>
                <w:rFonts w:ascii="Calibri" w:hAnsi="Calibri"/>
                <w:b w:val="0"/>
                <w:i w:val="0"/>
                <w:color w:val="212121"/>
                <w:sz w:val="19"/>
              </w:rPr>
              <w:t>Stress-related disorders including PTSD are associated with an increased risk of incident cardiovascular disease.</w:t>
            </w:r>
          </w:p>
          <w:p>
            <w:pPr>
              <w:spacing w:after="40" w:line="252" w:lineRule="auto"/>
            </w:pPr>
            <w:hyperlink r:id="rId16">
              <w:r>
                <w:rPr>
                  <w:rFonts w:ascii="Calibri" w:hAnsi="Calibri" w:cs="Calibri"/>
                  <w:sz w:val="18"/>
                  <w:color w:val="1155CC"/>
                  <w:u w:val="single"/>
                </w:rPr>
                <w:t xml:space="preserve">pubmed.ncbi.nlm.nih.gov/30971390 — stress disorders &amp; CVD (JAMA cohort)</w:t>
              </w:r>
            </w:hyperlink>
          </w:p>
          <w:p>
            <w:pPr>
              <w:spacing w:before="60" w:after="40"/>
            </w:pPr>
            <w:r>
              <w:rPr>
                <w:rFonts w:ascii="Calibri" w:hAnsi="Calibri"/>
                <w:b w:val="0"/>
                <w:i w:val="0"/>
                <w:color w:val="5A5A5A"/>
                <w:sz w:val="18"/>
              </w:rPr>
              <w:t>#cardiovascular  #cardiometabolic  #HPAaxis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Aerobic and resistance exercise significantly reduce PTSD symptoms and comorbid depression in randomised trials/meta-analyses; physical inactivity slows recovery and worsens hyperarousal.</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direct dietary cause of PTSD; balanced nutrition and omega-3 may support recovery and cardiometabolic health, while excess caffeine and alcohol aggravate symptoms.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Insomnia and recurrent trauma nightmares are near-universal, bidirectionally maintain PTSD, and are key treatment targets (CBT-I, imagery rehearsal, prazosin).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substantially more prevalent in PTSD and is used to self-regulate arousal, reinforcing dependence and adding cardiovascular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and drugs are widely used to self-medicate intrusion and insomnia; up to 60% of people with PTSD develop a substance use disorder, worsening prognosis.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PTSD is highly comorbid with depression, anxiety and substance use disorders and carries markedly elevated suicide risk; comorbidity is the rule rather than the exception.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direct link between hydration status and PTSD.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 caffeine intake intensifies hyperarousal, anxiety and insomnia and can trigger panic-like symptoms; moderation aids symptom control.</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Neglect of hygiene and self-care can occur in severe or chronic PTSD with comorbid depression, reflecting functional decline rather than a cause.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Trauma reminders — sensory cues, anniversaries, media coverage, or returning to the site — provoke intrusions, flashbacks and acute arousal, and are central to symptom maintenance.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with PTSD</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Exercise reduces PTSD and depressive symptom severity</w:t>
            </w:r>
          </w:p>
          <w:p>
            <w:pPr>
              <w:spacing w:after="40" w:line="252" w:lineRule="auto"/>
            </w:pPr>
            <w:hyperlink r:id="rId13">
              <w:r>
                <w:rPr>
                  <w:rFonts w:ascii="Calibri" w:hAnsi="Calibri" w:cs="Calibri"/>
                  <w:sz w:val="18"/>
                  <w:color w:val="1155CC"/>
                  <w:u w:val="single"/>
                </w:rPr>
                <w:t xml:space="preserve">https://pubmed.ncbi.nlm.nih.gov/26500072/</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Insomnia is a core, near-universal PTSD symptom</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Trauma nightmares (nights/week)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 1 recurrent trauma nightmare/week</w:t>
            </w:r>
          </w:p>
        </w:tc>
        <w:tc>
          <w:tcPr>
            <w:tcW w:type="dxa" w:w="1468"/>
            <w:vAlign w:val="top"/>
          </w:tcPr>
          <w:p>
            <w:pPr>
              <w:spacing w:after="60" w:line="259" w:lineRule="auto"/>
            </w:pPr>
            <w:r>
              <w:rPr>
                <w:rFonts w:ascii="Calibri" w:hAnsi="Calibri"/>
                <w:b w:val="0"/>
                <w:i w:val="0"/>
                <w:color w:val="212121"/>
                <w:sz w:val="19"/>
              </w:rPr>
              <w:t>Prazosin and imagery-rehearsal therapy may reduce nightmares</w:t>
            </w:r>
          </w:p>
          <w:p>
            <w:pPr>
              <w:spacing w:after="40" w:line="252" w:lineRule="auto"/>
            </w:pPr>
            <w:hyperlink r:id="rId14">
              <w:r>
                <w:rPr>
                  <w:rFonts w:ascii="Calibri" w:hAnsi="Calibri" w:cs="Calibri"/>
                  <w:sz w:val="18"/>
                  <w:color w:val="1155CC"/>
                  <w:u w:val="single"/>
                </w:rPr>
                <w:t xml:space="preserve">https://www.msdmanuals.com/professional/psychiatric-disorders/anxiety-and-stressor-related-disorders/posttraumatic-stress-disorder-ptsd</w:t>
              </w:r>
            </w:hyperlink>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PCL-5 score (0–80)</w:t>
            </w:r>
          </w:p>
        </w:tc>
        <w:tc>
          <w:tcPr>
            <w:tcW w:type="dxa" w:w="1655"/>
            <w:vAlign w:val="top"/>
          </w:tcPr>
          <w:p>
            <w:pPr>
              <w:spacing w:after="40" w:before="0" w:line="259" w:lineRule="auto"/>
            </w:pPr>
            <w:r>
              <w:rPr>
                <w:rFonts w:ascii="Calibri" w:hAnsi="Calibri"/>
                <w:b w:val="0"/>
                <w:i w:val="0"/>
                <w:color w:val="212121"/>
                <w:sz w:val="19"/>
              </w:rPr>
              <w:t>Trauma-exposed adults</w:t>
            </w:r>
          </w:p>
        </w:tc>
        <w:tc>
          <w:tcPr>
            <w:tcW w:type="dxa" w:w="1512"/>
            <w:vAlign w:val="top"/>
          </w:tcPr>
          <w:p>
            <w:pPr>
              <w:spacing w:after="40" w:before="0" w:line="259" w:lineRule="auto"/>
            </w:pPr>
            <w:r>
              <w:rPr>
                <w:rFonts w:ascii="Calibri" w:hAnsi="Calibri"/>
                <w:b w:val="0"/>
                <w:i w:val="0"/>
                <w:color w:val="212121"/>
                <w:sz w:val="19"/>
              </w:rPr>
              <w:t>&lt; 31</w:t>
            </w:r>
          </w:p>
        </w:tc>
        <w:tc>
          <w:tcPr>
            <w:tcW w:type="dxa" w:w="1512"/>
            <w:vAlign w:val="top"/>
          </w:tcPr>
          <w:p>
            <w:pPr>
              <w:spacing w:after="40" w:before="0" w:line="259" w:lineRule="auto"/>
            </w:pPr>
            <w:r>
              <w:rPr>
                <w:rFonts w:ascii="Calibri" w:hAnsi="Calibri"/>
                <w:b w:val="0"/>
                <w:i w:val="0"/>
                <w:color w:val="212121"/>
                <w:sz w:val="19"/>
              </w:rPr>
              <w:t>≥ 31–33 (probable PTSD)</w:t>
            </w:r>
          </w:p>
        </w:tc>
        <w:tc>
          <w:tcPr>
            <w:tcW w:type="dxa" w:w="1468"/>
            <w:vAlign w:val="top"/>
          </w:tcPr>
          <w:p>
            <w:pPr>
              <w:spacing w:after="40" w:before="0" w:line="259" w:lineRule="auto"/>
            </w:pPr>
            <w:r>
              <w:rPr>
                <w:rFonts w:ascii="Calibri" w:hAnsi="Calibri"/>
                <w:b w:val="0"/>
                <w:i w:val="0"/>
                <w:color w:val="212121"/>
                <w:sz w:val="19"/>
              </w:rPr>
              <w:t>Self-report severity and treatment-monitoring scale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PHQ-9 (comorbid depression)</w:t>
            </w:r>
          </w:p>
        </w:tc>
        <w:tc>
          <w:tcPr>
            <w:tcW w:type="dxa" w:w="1655"/>
            <w:vAlign w:val="top"/>
          </w:tcPr>
          <w:p>
            <w:pPr>
              <w:spacing w:after="40" w:before="0" w:line="259" w:lineRule="auto"/>
            </w:pPr>
            <w:r>
              <w:rPr>
                <w:rFonts w:ascii="Calibri" w:hAnsi="Calibri"/>
                <w:b w:val="0"/>
                <w:i w:val="0"/>
                <w:color w:val="212121"/>
                <w:sz w:val="19"/>
              </w:rPr>
              <w:t>Adults with PTSD</w:t>
            </w:r>
          </w:p>
        </w:tc>
        <w:tc>
          <w:tcPr>
            <w:tcW w:type="dxa" w:w="1512"/>
            <w:vAlign w:val="top"/>
          </w:tcPr>
          <w:p>
            <w:pPr>
              <w:spacing w:after="40" w:before="0" w:line="259" w:lineRule="auto"/>
            </w:pPr>
            <w:r>
              <w:rPr>
                <w:rFonts w:ascii="Calibri" w:hAnsi="Calibri"/>
                <w:b w:val="0"/>
                <w:i w:val="0"/>
                <w:color w:val="212121"/>
                <w:sz w:val="19"/>
              </w:rPr>
              <w:t>&lt; 5</w:t>
            </w:r>
          </w:p>
        </w:tc>
        <w:tc>
          <w:tcPr>
            <w:tcW w:type="dxa" w:w="1512"/>
            <w:vAlign w:val="top"/>
          </w:tcPr>
          <w:p>
            <w:pPr>
              <w:spacing w:after="40" w:before="0" w:line="259" w:lineRule="auto"/>
            </w:pPr>
            <w:r>
              <w:rPr>
                <w:rFonts w:ascii="Calibri" w:hAnsi="Calibri"/>
                <w:b w:val="0"/>
                <w:i w:val="0"/>
                <w:color w:val="212121"/>
                <w:sz w:val="19"/>
              </w:rPr>
              <w:t>≥ 10 (moderate)</w:t>
            </w:r>
          </w:p>
        </w:tc>
        <w:tc>
          <w:tcPr>
            <w:tcW w:type="dxa" w:w="1468"/>
            <w:vAlign w:val="top"/>
          </w:tcPr>
          <w:p>
            <w:pPr>
              <w:spacing w:after="40" w:before="0" w:line="259" w:lineRule="auto"/>
            </w:pPr>
            <w:r>
              <w:rPr>
                <w:rFonts w:ascii="Calibri" w:hAnsi="Calibri"/>
                <w:b w:val="0"/>
                <w:i w:val="0"/>
                <w:color w:val="212121"/>
                <w:sz w:val="19"/>
              </w:rPr>
              <w:t>Screens for comorbid depression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Suicide risk (C-SSRS)</w:t>
            </w:r>
          </w:p>
        </w:tc>
        <w:tc>
          <w:tcPr>
            <w:tcW w:type="dxa" w:w="1655"/>
            <w:vAlign w:val="top"/>
          </w:tcPr>
          <w:p>
            <w:pPr>
              <w:spacing w:after="40" w:before="0" w:line="259" w:lineRule="auto"/>
            </w:pPr>
            <w:r>
              <w:rPr>
                <w:rFonts w:ascii="Calibri" w:hAnsi="Calibri"/>
                <w:b w:val="0"/>
                <w:i w:val="0"/>
                <w:color w:val="212121"/>
                <w:sz w:val="19"/>
              </w:rPr>
              <w:t>All patients with PTSD</w:t>
            </w:r>
          </w:p>
        </w:tc>
        <w:tc>
          <w:tcPr>
            <w:tcW w:type="dxa" w:w="1512"/>
            <w:vAlign w:val="top"/>
          </w:tcPr>
          <w:p>
            <w:pPr>
              <w:spacing w:after="40" w:before="0" w:line="259" w:lineRule="auto"/>
            </w:pPr>
            <w:r>
              <w:rPr>
                <w:rFonts w:ascii="Calibri" w:hAnsi="Calibri"/>
                <w:b w:val="0"/>
                <w:i w:val="0"/>
                <w:color w:val="212121"/>
                <w:sz w:val="19"/>
              </w:rPr>
              <w:t>No ideation</w:t>
            </w:r>
          </w:p>
        </w:tc>
        <w:tc>
          <w:tcPr>
            <w:tcW w:type="dxa" w:w="1512"/>
            <w:vAlign w:val="top"/>
          </w:tcPr>
          <w:p>
            <w:pPr>
              <w:spacing w:after="40" w:before="0" w:line="259" w:lineRule="auto"/>
            </w:pPr>
            <w:r>
              <w:rPr>
                <w:rFonts w:ascii="Calibri" w:hAnsi="Calibri"/>
                <w:b w:val="0"/>
                <w:i w:val="0"/>
                <w:color w:val="212121"/>
                <w:sz w:val="19"/>
              </w:rPr>
              <w:t>Any active ideation, plan or intent</w:t>
            </w:r>
          </w:p>
        </w:tc>
        <w:tc>
          <w:tcPr>
            <w:tcW w:type="dxa" w:w="1468"/>
            <w:vAlign w:val="top"/>
          </w:tcPr>
          <w:p>
            <w:pPr>
              <w:spacing w:after="40" w:before="0" w:line="259" w:lineRule="auto"/>
            </w:pPr>
            <w:r>
              <w:rPr>
                <w:rFonts w:ascii="Calibri" w:hAnsi="Calibri"/>
                <w:b w:val="0"/>
                <w:i w:val="0"/>
                <w:color w:val="212121"/>
                <w:sz w:val="19"/>
              </w:rPr>
              <w:t>PTSD carries markedly elevated suicide risk</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40" w:before="0" w:line="259" w:lineRule="auto"/>
            </w:pPr>
            <w:r>
              <w:rPr>
                <w:rFonts w:ascii="Calibri" w:hAnsi="Calibri"/>
                <w:b w:val="0"/>
                <w:i w:val="0"/>
                <w:color w:val="212121"/>
                <w:sz w:val="19"/>
              </w:rPr>
              <w:t>High smoking rates; adds cardiovascular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AUDIT score / 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AUDIT &lt; 8; ≤ 14 drinks/week</w:t>
            </w:r>
          </w:p>
        </w:tc>
        <w:tc>
          <w:tcPr>
            <w:tcW w:type="dxa" w:w="1512"/>
            <w:vAlign w:val="top"/>
          </w:tcPr>
          <w:p>
            <w:pPr>
              <w:spacing w:after="40" w:before="0" w:line="259" w:lineRule="auto"/>
            </w:pPr>
            <w:r>
              <w:rPr>
                <w:rFonts w:ascii="Calibri" w:hAnsi="Calibri"/>
                <w:b w:val="0"/>
                <w:i w:val="0"/>
                <w:color w:val="212121"/>
                <w:sz w:val="19"/>
              </w:rPr>
              <w:t>AUDIT ≥ 8; &gt; 14 drinks/week</w:t>
            </w:r>
          </w:p>
        </w:tc>
        <w:tc>
          <w:tcPr>
            <w:tcW w:type="dxa" w:w="1468"/>
            <w:vAlign w:val="top"/>
          </w:tcPr>
          <w:p>
            <w:pPr>
              <w:spacing w:after="60" w:line="259" w:lineRule="auto"/>
            </w:pPr>
            <w:r>
              <w:rPr>
                <w:rFonts w:ascii="Calibri" w:hAnsi="Calibri"/>
                <w:b w:val="0"/>
                <w:i w:val="0"/>
                <w:color w:val="212121"/>
                <w:sz w:val="19"/>
              </w:rPr>
              <w:t>Self-medication drives substance use disorder</w:t>
            </w:r>
          </w:p>
          <w:p>
            <w:pPr>
              <w:spacing w:after="40" w:line="252" w:lineRule="auto"/>
            </w:pPr>
            <w:hyperlink r:id="rId14">
              <w:r>
                <w:rPr>
                  <w:rFonts w:ascii="Calibri" w:hAnsi="Calibri" w:cs="Calibri"/>
                  <w:sz w:val="18"/>
                  <w:color w:val="1155CC"/>
                  <w:u w:val="single"/>
                </w:rPr>
                <w:t xml:space="preserve">https://www.msdmanuals.com/professional/psychiatric-disorders/anxiety-and-stressor-related-disorders/posttraumatic-stress-disorder-ptsd</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400 mg/day</w:t>
            </w:r>
          </w:p>
        </w:tc>
        <w:tc>
          <w:tcPr>
            <w:tcW w:type="dxa" w:w="1512"/>
            <w:vAlign w:val="top"/>
          </w:tcPr>
          <w:p>
            <w:pPr>
              <w:spacing w:after="40" w:before="0" w:line="259" w:lineRule="auto"/>
            </w:pPr>
            <w:r>
              <w:rPr>
                <w:rFonts w:ascii="Calibri" w:hAnsi="Calibri"/>
                <w:b w:val="0"/>
                <w:i w:val="0"/>
                <w:color w:val="212121"/>
                <w:sz w:val="19"/>
              </w:rPr>
              <w:t>&gt; 400 mg/day</w:t>
            </w:r>
          </w:p>
        </w:tc>
        <w:tc>
          <w:tcPr>
            <w:tcW w:type="dxa" w:w="1468"/>
            <w:vAlign w:val="top"/>
          </w:tcPr>
          <w:p>
            <w:pPr>
              <w:spacing w:after="40" w:before="0" w:line="259" w:lineRule="auto"/>
            </w:pPr>
            <w:r>
              <w:rPr>
                <w:rFonts w:ascii="Calibri" w:hAnsi="Calibri"/>
                <w:b w:val="0"/>
                <w:i w:val="0"/>
                <w:color w:val="212121"/>
                <w:sz w:val="19"/>
              </w:rPr>
              <w:t>Worsens hyperarousal, anxiety and insomnia</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Psychometric</w:t>
            </w:r>
          </w:p>
        </w:tc>
        <w:tc>
          <w:tcPr>
            <w:tcW w:type="dxa" w:w="1036"/>
            <w:vAlign w:val="top"/>
          </w:tcPr>
          <w:p>
            <w:pPr>
              <w:spacing w:after="40" w:before="0" w:line="259" w:lineRule="auto"/>
            </w:pPr>
            <w:r>
              <w:rPr>
                <w:rFonts w:ascii="Calibri" w:hAnsi="Calibri"/>
                <w:b w:val="0"/>
                <w:i w:val="0"/>
                <w:color w:val="212121"/>
                <w:sz w:val="16"/>
              </w:rPr>
              <w:t>PTSD Checklist (PCL-5)</w:t>
            </w:r>
          </w:p>
        </w:tc>
        <w:tc>
          <w:tcPr>
            <w:tcW w:type="dxa" w:w="892"/>
            <w:vAlign w:val="top"/>
          </w:tcPr>
          <w:p>
            <w:pPr>
              <w:spacing w:after="40" w:before="0" w:line="259" w:lineRule="auto"/>
            </w:pPr>
            <w:r>
              <w:rPr>
                <w:rFonts w:ascii="Calibri" w:hAnsi="Calibri"/>
                <w:b w:val="0"/>
                <w:i w:val="0"/>
                <w:color w:val="212121"/>
                <w:sz w:val="16"/>
              </w:rPr>
              <w:t>Self-report scale</w:t>
            </w:r>
          </w:p>
        </w:tc>
        <w:tc>
          <w:tcPr>
            <w:tcW w:type="dxa" w:w="950"/>
            <w:vAlign w:val="top"/>
          </w:tcPr>
          <w:p>
            <w:pPr>
              <w:spacing w:after="40" w:before="0" w:line="259" w:lineRule="auto"/>
            </w:pPr>
            <w:r>
              <w:rPr>
                <w:rFonts w:ascii="Calibri" w:hAnsi="Calibri"/>
                <w:b w:val="0"/>
                <w:i w:val="0"/>
                <w:color w:val="212121"/>
                <w:sz w:val="16"/>
              </w:rPr>
              <w:t>&lt; 31</w:t>
            </w:r>
          </w:p>
        </w:tc>
        <w:tc>
          <w:tcPr>
            <w:tcW w:type="dxa" w:w="950"/>
            <w:vAlign w:val="top"/>
          </w:tcPr>
          <w:p>
            <w:pPr>
              <w:spacing w:after="40" w:before="0" w:line="259" w:lineRule="auto"/>
            </w:pPr>
            <w:r>
              <w:rPr>
                <w:rFonts w:ascii="Calibri" w:hAnsi="Calibri"/>
                <w:b w:val="0"/>
                <w:i w:val="0"/>
                <w:color w:val="212121"/>
                <w:sz w:val="16"/>
              </w:rPr>
              <w:t>≥ 31–33</w:t>
            </w:r>
          </w:p>
        </w:tc>
        <w:tc>
          <w:tcPr>
            <w:tcW w:type="dxa" w:w="1036"/>
            <w:vAlign w:val="top"/>
          </w:tcPr>
          <w:p>
            <w:pPr>
              <w:spacing w:after="40" w:before="0" w:line="259" w:lineRule="auto"/>
            </w:pPr>
            <w:r>
              <w:rPr>
                <w:rFonts w:ascii="Calibri" w:hAnsi="Calibri"/>
                <w:b w:val="0"/>
                <w:i w:val="0"/>
                <w:color w:val="212121"/>
                <w:sz w:val="16"/>
              </w:rPr>
              <w:t>Provisional/probable PTSD; tracks severity and treatment response</w:t>
            </w:r>
          </w:p>
        </w:tc>
        <w:tc>
          <w:tcPr>
            <w:tcW w:type="dxa" w:w="1036"/>
            <w:vAlign w:val="top"/>
          </w:tcPr>
          <w:p>
            <w:pPr>
              <w:spacing w:after="40" w:before="0" w:line="259" w:lineRule="auto"/>
            </w:pPr>
            <w:r>
              <w:rPr>
                <w:rFonts w:ascii="Calibri" w:hAnsi="Calibri"/>
                <w:b w:val="0"/>
                <w:i w:val="0"/>
                <w:color w:val="212121"/>
                <w:sz w:val="16"/>
              </w:rPr>
              <w:t>Trauma-exposed adults, screening clinics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 &amp; monitoring</w:t>
            </w:r>
          </w:p>
        </w:tc>
        <w:tc>
          <w:tcPr>
            <w:tcW w:type="dxa" w:w="720"/>
            <w:vAlign w:val="top"/>
          </w:tcPr>
          <w:p>
            <w:pPr>
              <w:spacing w:after="40" w:before="0" w:line="259" w:lineRule="auto"/>
            </w:pPr>
            <w:r>
              <w:rPr>
                <w:rFonts w:ascii="Calibri" w:hAnsi="Calibri"/>
                <w:b w:val="0"/>
                <w:i w:val="0"/>
                <w:color w:val="212121"/>
                <w:sz w:val="16"/>
              </w:rPr>
              <w:t>Score range 0–80; 20-item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Psychometric</w:t>
            </w:r>
          </w:p>
        </w:tc>
        <w:tc>
          <w:tcPr>
            <w:tcW w:type="dxa" w:w="1036"/>
            <w:vAlign w:val="top"/>
          </w:tcPr>
          <w:p>
            <w:pPr>
              <w:spacing w:after="40" w:before="0" w:line="259" w:lineRule="auto"/>
            </w:pPr>
            <w:r>
              <w:rPr>
                <w:rFonts w:ascii="Calibri" w:hAnsi="Calibri"/>
                <w:b w:val="0"/>
                <w:i w:val="0"/>
                <w:color w:val="212121"/>
                <w:sz w:val="16"/>
              </w:rPr>
              <w:t>CAPS-5</w:t>
            </w:r>
          </w:p>
        </w:tc>
        <w:tc>
          <w:tcPr>
            <w:tcW w:type="dxa" w:w="892"/>
            <w:vAlign w:val="top"/>
          </w:tcPr>
          <w:p>
            <w:pPr>
              <w:spacing w:after="40" w:before="0" w:line="259" w:lineRule="auto"/>
            </w:pPr>
            <w:r>
              <w:rPr>
                <w:rFonts w:ascii="Calibri" w:hAnsi="Calibri"/>
                <w:b w:val="0"/>
                <w:i w:val="0"/>
                <w:color w:val="212121"/>
                <w:sz w:val="16"/>
              </w:rPr>
              <w:t>Clinician-administered interview</w:t>
            </w:r>
          </w:p>
        </w:tc>
        <w:tc>
          <w:tcPr>
            <w:tcW w:type="dxa" w:w="950"/>
            <w:vAlign w:val="top"/>
          </w:tcPr>
          <w:p>
            <w:pPr>
              <w:spacing w:after="40" w:before="0" w:line="259" w:lineRule="auto"/>
            </w:pPr>
            <w:r>
              <w:rPr>
                <w:rFonts w:ascii="Calibri" w:hAnsi="Calibri"/>
                <w:b w:val="0"/>
                <w:i w:val="0"/>
                <w:color w:val="212121"/>
                <w:sz w:val="16"/>
              </w:rPr>
              <w:t>Criteria not met</w:t>
            </w:r>
          </w:p>
        </w:tc>
        <w:tc>
          <w:tcPr>
            <w:tcW w:type="dxa" w:w="950"/>
            <w:vAlign w:val="top"/>
          </w:tcPr>
          <w:p>
            <w:pPr>
              <w:spacing w:after="40" w:before="0" w:line="259" w:lineRule="auto"/>
            </w:pPr>
            <w:r>
              <w:rPr>
                <w:rFonts w:ascii="Calibri" w:hAnsi="Calibri"/>
                <w:b w:val="0"/>
                <w:i w:val="0"/>
                <w:color w:val="212121"/>
                <w:sz w:val="16"/>
              </w:rPr>
              <w:t>Meets DSM-5 criteria</w:t>
            </w:r>
          </w:p>
        </w:tc>
        <w:tc>
          <w:tcPr>
            <w:tcW w:type="dxa" w:w="1036"/>
            <w:vAlign w:val="top"/>
          </w:tcPr>
          <w:p>
            <w:pPr>
              <w:spacing w:after="40" w:before="0" w:line="259" w:lineRule="auto"/>
            </w:pPr>
            <w:r>
              <w:rPr>
                <w:rFonts w:ascii="Calibri" w:hAnsi="Calibri"/>
                <w:b w:val="0"/>
                <w:i w:val="0"/>
                <w:color w:val="212121"/>
                <w:sz w:val="16"/>
              </w:rPr>
              <w:t>Diagnostic gold standard with dimensional severity</w:t>
            </w:r>
          </w:p>
        </w:tc>
        <w:tc>
          <w:tcPr>
            <w:tcW w:type="dxa" w:w="1036"/>
            <w:vAlign w:val="top"/>
          </w:tcPr>
          <w:p>
            <w:pPr>
              <w:spacing w:after="40" w:before="0" w:line="259" w:lineRule="auto"/>
            </w:pPr>
            <w:r>
              <w:rPr>
                <w:rFonts w:ascii="Calibri" w:hAnsi="Calibri"/>
                <w:b w:val="0"/>
                <w:i w:val="0"/>
                <w:color w:val="212121"/>
                <w:sz w:val="16"/>
              </w:rPr>
              <w:t>Complex cases, veterans, research</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Structured diagnostic interview</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Psychometric</w:t>
            </w:r>
          </w:p>
        </w:tc>
        <w:tc>
          <w:tcPr>
            <w:tcW w:type="dxa" w:w="1036"/>
            <w:vAlign w:val="top"/>
          </w:tcPr>
          <w:p>
            <w:pPr>
              <w:spacing w:after="40" w:before="0" w:line="259" w:lineRule="auto"/>
            </w:pPr>
            <w:r>
              <w:rPr>
                <w:rFonts w:ascii="Calibri" w:hAnsi="Calibri"/>
                <w:b w:val="0"/>
                <w:i w:val="0"/>
                <w:color w:val="212121"/>
                <w:sz w:val="16"/>
              </w:rPr>
              <w:t>PC-PTSD-5</w:t>
            </w:r>
          </w:p>
        </w:tc>
        <w:tc>
          <w:tcPr>
            <w:tcW w:type="dxa" w:w="892"/>
            <w:vAlign w:val="top"/>
          </w:tcPr>
          <w:p>
            <w:pPr>
              <w:spacing w:after="40" w:before="0" w:line="259" w:lineRule="auto"/>
            </w:pPr>
            <w:r>
              <w:rPr>
                <w:rFonts w:ascii="Calibri" w:hAnsi="Calibri"/>
                <w:b w:val="0"/>
                <w:i w:val="0"/>
                <w:color w:val="212121"/>
                <w:sz w:val="16"/>
              </w:rPr>
              <w:t>Primary-care screen</w:t>
            </w:r>
          </w:p>
        </w:tc>
        <w:tc>
          <w:tcPr>
            <w:tcW w:type="dxa" w:w="950"/>
            <w:vAlign w:val="top"/>
          </w:tcPr>
          <w:p>
            <w:pPr>
              <w:spacing w:after="40" w:before="0" w:line="259" w:lineRule="auto"/>
            </w:pPr>
            <w:r>
              <w:rPr>
                <w:rFonts w:ascii="Calibri" w:hAnsi="Calibri"/>
                <w:b w:val="0"/>
                <w:i w:val="0"/>
                <w:color w:val="212121"/>
                <w:sz w:val="16"/>
              </w:rPr>
              <w:t>0–2</w:t>
            </w:r>
          </w:p>
        </w:tc>
        <w:tc>
          <w:tcPr>
            <w:tcW w:type="dxa" w:w="950"/>
            <w:vAlign w:val="top"/>
          </w:tcPr>
          <w:p>
            <w:pPr>
              <w:spacing w:after="40" w:before="0" w:line="259" w:lineRule="auto"/>
            </w:pPr>
            <w:r>
              <w:rPr>
                <w:rFonts w:ascii="Calibri" w:hAnsi="Calibri"/>
                <w:b w:val="0"/>
                <w:i w:val="0"/>
                <w:color w:val="212121"/>
                <w:sz w:val="16"/>
              </w:rPr>
              <w:t>≥ 3</w:t>
            </w:r>
          </w:p>
        </w:tc>
        <w:tc>
          <w:tcPr>
            <w:tcW w:type="dxa" w:w="1036"/>
            <w:vAlign w:val="top"/>
          </w:tcPr>
          <w:p>
            <w:pPr>
              <w:spacing w:after="40" w:before="0" w:line="259" w:lineRule="auto"/>
            </w:pPr>
            <w:r>
              <w:rPr>
                <w:rFonts w:ascii="Calibri" w:hAnsi="Calibri"/>
                <w:b w:val="0"/>
                <w:i w:val="0"/>
                <w:color w:val="212121"/>
                <w:sz w:val="16"/>
              </w:rPr>
              <w:t>Positive screen warrants full diagnostic assessment</w:t>
            </w:r>
          </w:p>
        </w:tc>
        <w:tc>
          <w:tcPr>
            <w:tcW w:type="dxa" w:w="1036"/>
            <w:vAlign w:val="top"/>
          </w:tcPr>
          <w:p>
            <w:pPr>
              <w:spacing w:after="40" w:before="0" w:line="259" w:lineRule="auto"/>
            </w:pPr>
            <w:r>
              <w:rPr>
                <w:rFonts w:ascii="Calibri" w:hAnsi="Calibri"/>
                <w:b w:val="0"/>
                <w:i w:val="0"/>
                <w:color w:val="212121"/>
                <w:sz w:val="16"/>
              </w:rPr>
              <w:t>Primary care, high-risk/trauma-exposed groups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Brief 5-item screen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(TSH)</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Outside range</w:t>
            </w:r>
          </w:p>
        </w:tc>
        <w:tc>
          <w:tcPr>
            <w:tcW w:type="dxa" w:w="1036"/>
            <w:vAlign w:val="top"/>
          </w:tcPr>
          <w:p>
            <w:pPr>
              <w:spacing w:after="40" w:before="0" w:line="259" w:lineRule="auto"/>
            </w:pPr>
            <w:r>
              <w:rPr>
                <w:rFonts w:ascii="Calibri" w:hAnsi="Calibri"/>
                <w:b w:val="0"/>
                <w:i w:val="0"/>
                <w:color w:val="212121"/>
                <w:sz w:val="16"/>
              </w:rPr>
              <w:t>Excludes thyroid dysfunction mimicking anxiety/arousal</w:t>
            </w:r>
          </w:p>
        </w:tc>
        <w:tc>
          <w:tcPr>
            <w:tcW w:type="dxa" w:w="1036"/>
            <w:vAlign w:val="top"/>
          </w:tcPr>
          <w:p>
            <w:pPr>
              <w:spacing w:after="40" w:before="0" w:line="259" w:lineRule="auto"/>
            </w:pPr>
            <w:r>
              <w:rPr>
                <w:rFonts w:ascii="Calibri" w:hAnsi="Calibri"/>
                <w:b w:val="0"/>
                <w:i w:val="0"/>
                <w:color w:val="212121"/>
                <w:sz w:val="16"/>
              </w:rPr>
              <w:t>New presentations, atypical features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Rule out organic mimics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w:t>
            </w:r>
          </w:p>
        </w:tc>
        <w:tc>
          <w:tcPr>
            <w:tcW w:type="dxa" w:w="1036"/>
            <w:vAlign w:val="top"/>
          </w:tcPr>
          <w:p>
            <w:pPr>
              <w:spacing w:after="40" w:before="0" w:line="259" w:lineRule="auto"/>
            </w:pPr>
            <w:r>
              <w:rPr>
                <w:rFonts w:ascii="Calibri" w:hAnsi="Calibri"/>
                <w:b w:val="0"/>
                <w:i w:val="0"/>
                <w:color w:val="212121"/>
                <w:sz w:val="16"/>
              </w:rPr>
              <w:t>Urine drug screen / blood alcohol</w:t>
            </w:r>
          </w:p>
        </w:tc>
        <w:tc>
          <w:tcPr>
            <w:tcW w:type="dxa" w:w="892"/>
            <w:vAlign w:val="top"/>
          </w:tcPr>
          <w:p>
            <w:pPr>
              <w:spacing w:after="40" w:before="0" w:line="259" w:lineRule="auto"/>
            </w:pPr>
            <w:r>
              <w:rPr>
                <w:rFonts w:ascii="Calibri" w:hAnsi="Calibri"/>
                <w:b w:val="0"/>
                <w:i w:val="0"/>
                <w:color w:val="212121"/>
                <w:sz w:val="16"/>
              </w:rPr>
              <w:t>Toxicology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Identifies comorbid substance use affecting diagnosis and treatment</w:t>
            </w:r>
          </w:p>
        </w:tc>
        <w:tc>
          <w:tcPr>
            <w:tcW w:type="dxa" w:w="1036"/>
            <w:vAlign w:val="top"/>
          </w:tcPr>
          <w:p>
            <w:pPr>
              <w:spacing w:after="40" w:before="0" w:line="259" w:lineRule="auto"/>
            </w:pPr>
            <w:r>
              <w:rPr>
                <w:rFonts w:ascii="Calibri" w:hAnsi="Calibri"/>
                <w:b w:val="0"/>
                <w:i w:val="0"/>
                <w:color w:val="212121"/>
                <w:sz w:val="16"/>
              </w:rPr>
              <w:t>Suspected substance use disorder</w:t>
            </w:r>
          </w:p>
        </w:tc>
        <w:tc>
          <w:tcPr>
            <w:tcW w:type="dxa" w:w="720"/>
            <w:vAlign w:val="top"/>
          </w:tcPr>
          <w:p>
            <w:pPr>
              <w:spacing w:after="40" w:before="0" w:line="259" w:lineRule="auto"/>
            </w:pPr>
            <w:r>
              <w:rPr>
                <w:rFonts w:ascii="Calibri" w:hAnsi="Calibri"/>
                <w:b w:val="0"/>
                <w:i w:val="0"/>
                <w:color w:val="212121"/>
                <w:sz w:val="16"/>
              </w:rPr>
              <w:t>Alcohol; Smoking</w:t>
            </w:r>
          </w:p>
        </w:tc>
        <w:tc>
          <w:tcPr>
            <w:tcW w:type="dxa" w:w="720"/>
            <w:vAlign w:val="top"/>
          </w:tcPr>
          <w:p>
            <w:pPr>
              <w:spacing w:after="40" w:before="0" w:line="259" w:lineRule="auto"/>
            </w:pPr>
            <w:r>
              <w:rPr>
                <w:rFonts w:ascii="Calibri" w:hAnsi="Calibri"/>
                <w:b w:val="0"/>
                <w:i w:val="0"/>
                <w:color w:val="212121"/>
                <w:sz w:val="16"/>
              </w:rPr>
              <w:t>Comorbidity workup</w:t>
            </w:r>
          </w:p>
        </w:tc>
        <w:tc>
          <w:tcPr>
            <w:tcW w:type="dxa" w:w="720"/>
            <w:vAlign w:val="top"/>
          </w:tcPr>
          <w:p>
            <w:pPr>
              <w:spacing w:after="40" w:before="0" w:line="259" w:lineRule="auto"/>
            </w:pPr>
            <w:r>
              <w:rPr>
                <w:rFonts w:ascii="Calibri" w:hAnsi="Calibri"/>
                <w:b w:val="0"/>
                <w:i w:val="0"/>
                <w:color w:val="212121"/>
                <w:sz w:val="16"/>
              </w:rPr>
              <w:t>Up to 60% have comorbid SUD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Cardiometabolic</w:t>
            </w:r>
          </w:p>
        </w:tc>
        <w:tc>
          <w:tcPr>
            <w:tcW w:type="dxa" w:w="1036"/>
            <w:vAlign w:val="top"/>
          </w:tcPr>
          <w:p>
            <w:pPr>
              <w:spacing w:after="40" w:before="0" w:line="259" w:lineRule="auto"/>
            </w:pPr>
            <w:r>
              <w:rPr>
                <w:rFonts w:ascii="Calibri" w:hAnsi="Calibri"/>
                <w:b w:val="0"/>
                <w:i w:val="0"/>
                <w:color w:val="212121"/>
                <w:sz w:val="16"/>
              </w:rPr>
              <w:t>BP, fasting glucose/HbA1c, lipids</w:t>
            </w:r>
          </w:p>
        </w:tc>
        <w:tc>
          <w:tcPr>
            <w:tcW w:type="dxa" w:w="892"/>
            <w:vAlign w:val="top"/>
          </w:tcPr>
          <w:p>
            <w:pPr>
              <w:spacing w:after="40" w:before="0" w:line="259" w:lineRule="auto"/>
            </w:pPr>
            <w:r>
              <w:rPr>
                <w:rFonts w:ascii="Calibri" w:hAnsi="Calibri"/>
                <w:b w:val="0"/>
                <w:i w:val="0"/>
                <w:color w:val="212121"/>
                <w:sz w:val="16"/>
              </w:rPr>
              <w:t>Cardiometabolic screen</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Monitors the raised cardiovascular/cardiometabolic risk of chronic PTSD</w:t>
            </w:r>
          </w:p>
        </w:tc>
        <w:tc>
          <w:tcPr>
            <w:tcW w:type="dxa" w:w="1036"/>
            <w:vAlign w:val="top"/>
          </w:tcPr>
          <w:p>
            <w:pPr>
              <w:spacing w:after="40" w:before="0" w:line="259" w:lineRule="auto"/>
            </w:pPr>
            <w:r>
              <w:rPr>
                <w:rFonts w:ascii="Calibri" w:hAnsi="Calibri"/>
                <w:b w:val="0"/>
                <w:i w:val="0"/>
                <w:color w:val="212121"/>
                <w:sz w:val="16"/>
              </w:rPr>
              <w:t>Chronic PTSD, older adults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Risk monitoring</w:t>
            </w:r>
          </w:p>
        </w:tc>
        <w:tc>
          <w:tcPr>
            <w:tcW w:type="dxa" w:w="720"/>
            <w:vAlign w:val="top"/>
          </w:tcPr>
          <w:p>
            <w:pPr>
              <w:spacing w:after="40" w:before="0" w:line="259" w:lineRule="auto"/>
            </w:pPr>
            <w:r>
              <w:rPr>
                <w:rFonts w:ascii="Calibri" w:hAnsi="Calibri"/>
                <w:b w:val="0"/>
                <w:i w:val="0"/>
                <w:color w:val="212121"/>
                <w:sz w:val="16"/>
              </w:rPr>
              <w:t>PTSD linked to incident CVD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Trauma history</w:t>
            </w:r>
          </w:p>
        </w:tc>
        <w:tc>
          <w:tcPr>
            <w:tcW w:type="dxa" w:w="979"/>
            <w:vAlign w:val="top"/>
          </w:tcPr>
          <w:p>
            <w:pPr>
              <w:spacing w:after="40" w:before="0" w:line="259" w:lineRule="auto"/>
            </w:pPr>
            <w:r>
              <w:rPr>
                <w:rFonts w:ascii="Calibri" w:hAnsi="Calibri"/>
                <w:b w:val="0"/>
                <w:i w:val="0"/>
                <w:color w:val="212121"/>
                <w:sz w:val="16"/>
              </w:rPr>
              <w:t>Index traumatic event(s): type, timing, recurrence</w:t>
            </w:r>
          </w:p>
        </w:tc>
        <w:tc>
          <w:tcPr>
            <w:tcW w:type="dxa" w:w="950"/>
            <w:vAlign w:val="top"/>
          </w:tcPr>
          <w:p>
            <w:pPr>
              <w:spacing w:after="40" w:before="0" w:line="259" w:lineRule="auto"/>
            </w:pPr>
            <w:r>
              <w:rPr>
                <w:rFonts w:ascii="Calibri" w:hAnsi="Calibri"/>
                <w:b w:val="0"/>
                <w:i w:val="0"/>
                <w:color w:val="212121"/>
                <w:sz w:val="16"/>
              </w:rPr>
              <w:t>No qualifying event</w:t>
            </w:r>
          </w:p>
        </w:tc>
        <w:tc>
          <w:tcPr>
            <w:tcW w:type="dxa" w:w="950"/>
            <w:vAlign w:val="top"/>
          </w:tcPr>
          <w:p>
            <w:pPr>
              <w:spacing w:after="40" w:before="0" w:line="259" w:lineRule="auto"/>
            </w:pPr>
            <w:r>
              <w:rPr>
                <w:rFonts w:ascii="Calibri" w:hAnsi="Calibri"/>
                <w:b w:val="0"/>
                <w:i w:val="0"/>
                <w:color w:val="212121"/>
                <w:sz w:val="16"/>
              </w:rPr>
              <w:t>Criterion A event present</w:t>
            </w:r>
          </w:p>
        </w:tc>
        <w:tc>
          <w:tcPr>
            <w:tcW w:type="dxa" w:w="1036"/>
            <w:vAlign w:val="top"/>
          </w:tcPr>
          <w:p>
            <w:pPr>
              <w:spacing w:after="40" w:before="0" w:line="259" w:lineRule="auto"/>
            </w:pPr>
            <w:r>
              <w:rPr>
                <w:rFonts w:ascii="Calibri" w:hAnsi="Calibri"/>
                <w:b w:val="0"/>
                <w:i w:val="0"/>
                <w:color w:val="212121"/>
                <w:sz w:val="16"/>
              </w:rPr>
              <w:t>Establishes the qualifying trauma exposure</w:t>
            </w:r>
          </w:p>
        </w:tc>
        <w:tc>
          <w:tcPr>
            <w:tcW w:type="dxa" w:w="1036"/>
            <w:vAlign w:val="top"/>
          </w:tcPr>
          <w:p>
            <w:pPr>
              <w:spacing w:after="40" w:before="0" w:line="259" w:lineRule="auto"/>
            </w:pPr>
            <w:r>
              <w:rPr>
                <w:rFonts w:ascii="Calibri" w:hAnsi="Calibri"/>
                <w:b w:val="0"/>
                <w:i w:val="0"/>
                <w:color w:val="212121"/>
                <w:sz w:val="16"/>
              </w:rPr>
              <w:t>All suspected PTSD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May involve multiple or chronic traumas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Symptom-cluster review</w:t>
            </w:r>
          </w:p>
        </w:tc>
        <w:tc>
          <w:tcPr>
            <w:tcW w:type="dxa" w:w="979"/>
            <w:vAlign w:val="top"/>
          </w:tcPr>
          <w:p>
            <w:pPr>
              <w:spacing w:after="40" w:before="0" w:line="259" w:lineRule="auto"/>
            </w:pPr>
            <w:r>
              <w:rPr>
                <w:rFonts w:ascii="Calibri" w:hAnsi="Calibri"/>
                <w:b w:val="0"/>
                <w:i w:val="0"/>
                <w:color w:val="212121"/>
                <w:sz w:val="16"/>
              </w:rPr>
              <w:t>Intrusion, avoidance, negative cognition/mood, arousal</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Clusters B–E present &gt; 1 month</w:t>
            </w:r>
          </w:p>
        </w:tc>
        <w:tc>
          <w:tcPr>
            <w:tcW w:type="dxa" w:w="1036"/>
            <w:vAlign w:val="top"/>
          </w:tcPr>
          <w:p>
            <w:pPr>
              <w:spacing w:after="40" w:before="0" w:line="259" w:lineRule="auto"/>
            </w:pPr>
            <w:r>
              <w:rPr>
                <w:rFonts w:ascii="Calibri" w:hAnsi="Calibri"/>
                <w:b w:val="0"/>
                <w:i w:val="0"/>
                <w:color w:val="212121"/>
                <w:sz w:val="16"/>
              </w:rPr>
              <w:t>Confirms the DSM-5 symptom pattern and functional impact</w:t>
            </w:r>
          </w:p>
        </w:tc>
        <w:tc>
          <w:tcPr>
            <w:tcW w:type="dxa" w:w="1036"/>
            <w:vAlign w:val="top"/>
          </w:tcPr>
          <w:p>
            <w:pPr>
              <w:spacing w:after="40" w:before="0" w:line="259" w:lineRule="auto"/>
            </w:pPr>
            <w:r>
              <w:rPr>
                <w:rFonts w:ascii="Calibri" w:hAnsi="Calibri"/>
                <w:b w:val="0"/>
                <w:i w:val="0"/>
                <w:color w:val="212121"/>
                <w:sz w:val="16"/>
              </w:rPr>
              <w:t>All</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Assess distress and impairment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Duration &amp; impairment</w:t>
            </w:r>
          </w:p>
        </w:tc>
        <w:tc>
          <w:tcPr>
            <w:tcW w:type="dxa" w:w="979"/>
            <w:vAlign w:val="top"/>
          </w:tcPr>
          <w:p>
            <w:pPr>
              <w:spacing w:after="40" w:before="0" w:line="259" w:lineRule="auto"/>
            </w:pPr>
            <w:r>
              <w:rPr>
                <w:rFonts w:ascii="Calibri" w:hAnsi="Calibri"/>
                <w:b w:val="0"/>
                <w:i w:val="0"/>
                <w:color w:val="212121"/>
                <w:sz w:val="16"/>
              </w:rPr>
              <w:t>Symptom duration; social/occupational functioning</w:t>
            </w:r>
          </w:p>
        </w:tc>
        <w:tc>
          <w:tcPr>
            <w:tcW w:type="dxa" w:w="950"/>
            <w:vAlign w:val="top"/>
          </w:tcPr>
          <w:p>
            <w:pPr>
              <w:spacing w:after="40" w:before="0" w:line="259" w:lineRule="auto"/>
            </w:pPr>
            <w:r>
              <w:rPr>
                <w:rFonts w:ascii="Calibri" w:hAnsi="Calibri"/>
                <w:b w:val="0"/>
                <w:i w:val="0"/>
                <w:color w:val="212121"/>
                <w:sz w:val="16"/>
              </w:rPr>
              <w:t>&lt; 1 month or no impairment</w:t>
            </w:r>
          </w:p>
        </w:tc>
        <w:tc>
          <w:tcPr>
            <w:tcW w:type="dxa" w:w="950"/>
            <w:vAlign w:val="top"/>
          </w:tcPr>
          <w:p>
            <w:pPr>
              <w:spacing w:after="40" w:before="0" w:line="259" w:lineRule="auto"/>
            </w:pPr>
            <w:r>
              <w:rPr>
                <w:rFonts w:ascii="Calibri" w:hAnsi="Calibri"/>
                <w:b w:val="0"/>
                <w:i w:val="0"/>
                <w:color w:val="212121"/>
                <w:sz w:val="16"/>
              </w:rPr>
              <w:t>&gt; 1 month with impairment</w:t>
            </w:r>
          </w:p>
        </w:tc>
        <w:tc>
          <w:tcPr>
            <w:tcW w:type="dxa" w:w="1036"/>
            <w:vAlign w:val="top"/>
          </w:tcPr>
          <w:p>
            <w:pPr>
              <w:spacing w:after="40" w:before="0" w:line="259" w:lineRule="auto"/>
            </w:pPr>
            <w:r>
              <w:rPr>
                <w:rFonts w:ascii="Calibri" w:hAnsi="Calibri"/>
                <w:b w:val="0"/>
                <w:i w:val="0"/>
                <w:color w:val="212121"/>
                <w:sz w:val="16"/>
              </w:rPr>
              <w:t>Distinguishes PTSD from acute stress disorder</w:t>
            </w:r>
          </w:p>
        </w:tc>
        <w:tc>
          <w:tcPr>
            <w:tcW w:type="dxa" w:w="1036"/>
            <w:vAlign w:val="top"/>
          </w:tcPr>
          <w:p>
            <w:pPr>
              <w:spacing w:after="40" w:before="0" w:line="259" w:lineRule="auto"/>
            </w:pPr>
            <w:r>
              <w:rPr>
                <w:rFonts w:ascii="Calibri" w:hAnsi="Calibri"/>
                <w:b w:val="0"/>
                <w:i w:val="0"/>
                <w:color w:val="212121"/>
                <w:sz w:val="16"/>
              </w:rPr>
              <w:t>All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3 days–1 month = acute stress disorder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Suicide &amp; self-harm risk</w:t>
            </w:r>
          </w:p>
        </w:tc>
        <w:tc>
          <w:tcPr>
            <w:tcW w:type="dxa" w:w="979"/>
            <w:vAlign w:val="top"/>
          </w:tcPr>
          <w:p>
            <w:pPr>
              <w:spacing w:after="40" w:before="0" w:line="259" w:lineRule="auto"/>
            </w:pPr>
            <w:r>
              <w:rPr>
                <w:rFonts w:ascii="Calibri" w:hAnsi="Calibri"/>
                <w:b w:val="0"/>
                <w:i w:val="0"/>
                <w:color w:val="212121"/>
                <w:sz w:val="16"/>
              </w:rPr>
              <w:t>Ideation, plan, intent, past attempts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active ideation/plan</w:t>
            </w:r>
          </w:p>
        </w:tc>
        <w:tc>
          <w:tcPr>
            <w:tcW w:type="dxa" w:w="1036"/>
            <w:vAlign w:val="top"/>
          </w:tcPr>
          <w:p>
            <w:pPr>
              <w:spacing w:after="40" w:before="0" w:line="259" w:lineRule="auto"/>
            </w:pPr>
            <w:r>
              <w:rPr>
                <w:rFonts w:ascii="Calibri" w:hAnsi="Calibri"/>
                <w:b w:val="0"/>
                <w:i w:val="0"/>
                <w:color w:val="212121"/>
                <w:sz w:val="16"/>
              </w:rPr>
              <w:t>Guides safety planning and level of care</w:t>
            </w:r>
          </w:p>
        </w:tc>
        <w:tc>
          <w:tcPr>
            <w:tcW w:type="dxa" w:w="1036"/>
            <w:vAlign w:val="top"/>
          </w:tcPr>
          <w:p>
            <w:pPr>
              <w:spacing w:after="40" w:before="0" w:line="259" w:lineRule="auto"/>
            </w:pPr>
            <w:r>
              <w:rPr>
                <w:rFonts w:ascii="Calibri" w:hAnsi="Calibri"/>
                <w:b w:val="0"/>
                <w:i w:val="0"/>
                <w:color w:val="212121"/>
                <w:sz w:val="16"/>
              </w:rPr>
              <w:t>All; comorbid depression/SUD</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Suicide risk markedly elevated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Substance use history</w:t>
            </w:r>
          </w:p>
        </w:tc>
        <w:tc>
          <w:tcPr>
            <w:tcW w:type="dxa" w:w="979"/>
            <w:vAlign w:val="top"/>
          </w:tcPr>
          <w:p>
            <w:pPr>
              <w:spacing w:after="40" w:before="0" w:line="259" w:lineRule="auto"/>
            </w:pPr>
            <w:r>
              <w:rPr>
                <w:rFonts w:ascii="Calibri" w:hAnsi="Calibri"/>
                <w:b w:val="0"/>
                <w:i w:val="0"/>
                <w:color w:val="212121"/>
                <w:sz w:val="16"/>
              </w:rPr>
              <w:t>Alcohol, tobacco and drug use; AUDIT</w:t>
            </w:r>
          </w:p>
        </w:tc>
        <w:tc>
          <w:tcPr>
            <w:tcW w:type="dxa" w:w="950"/>
            <w:vAlign w:val="top"/>
          </w:tcPr>
          <w:p>
            <w:pPr>
              <w:spacing w:after="40" w:before="0" w:line="259" w:lineRule="auto"/>
            </w:pPr>
            <w:r>
              <w:rPr>
                <w:rFonts w:ascii="Calibri" w:hAnsi="Calibri"/>
                <w:b w:val="0"/>
                <w:i w:val="0"/>
                <w:color w:val="212121"/>
                <w:sz w:val="16"/>
              </w:rPr>
              <w:t>None/low-risk</w:t>
            </w:r>
          </w:p>
        </w:tc>
        <w:tc>
          <w:tcPr>
            <w:tcW w:type="dxa" w:w="950"/>
            <w:vAlign w:val="top"/>
          </w:tcPr>
          <w:p>
            <w:pPr>
              <w:spacing w:after="40" w:before="0" w:line="259" w:lineRule="auto"/>
            </w:pPr>
            <w:r>
              <w:rPr>
                <w:rFonts w:ascii="Calibri" w:hAnsi="Calibri"/>
                <w:b w:val="0"/>
                <w:i w:val="0"/>
                <w:color w:val="212121"/>
                <w:sz w:val="16"/>
              </w:rPr>
              <w:t>Hazardous use</w:t>
            </w:r>
          </w:p>
        </w:tc>
        <w:tc>
          <w:tcPr>
            <w:tcW w:type="dxa" w:w="1036"/>
            <w:vAlign w:val="top"/>
          </w:tcPr>
          <w:p>
            <w:pPr>
              <w:spacing w:after="40" w:before="0" w:line="259" w:lineRule="auto"/>
            </w:pPr>
            <w:r>
              <w:rPr>
                <w:rFonts w:ascii="Calibri" w:hAnsi="Calibri"/>
                <w:b w:val="0"/>
                <w:i w:val="0"/>
                <w:color w:val="212121"/>
                <w:sz w:val="16"/>
              </w:rPr>
              <w:t>Detects self-medication and comorbid substance use disorder</w:t>
            </w:r>
          </w:p>
        </w:tc>
        <w:tc>
          <w:tcPr>
            <w:tcW w:type="dxa" w:w="1036"/>
            <w:vAlign w:val="top"/>
          </w:tcPr>
          <w:p>
            <w:pPr>
              <w:spacing w:after="40" w:before="0" w:line="259" w:lineRule="auto"/>
            </w:pPr>
            <w:r>
              <w:rPr>
                <w:rFonts w:ascii="Calibri" w:hAnsi="Calibri"/>
                <w:b w:val="0"/>
                <w:i w:val="0"/>
                <w:color w:val="212121"/>
                <w:sz w:val="16"/>
              </w:rPr>
              <w:t>Suspected SUD</w:t>
            </w:r>
          </w:p>
        </w:tc>
        <w:tc>
          <w:tcPr>
            <w:tcW w:type="dxa" w:w="720"/>
            <w:vAlign w:val="top"/>
          </w:tcPr>
          <w:p>
            <w:pPr>
              <w:spacing w:after="40" w:before="0" w:line="259" w:lineRule="auto"/>
            </w:pPr>
            <w:r>
              <w:rPr>
                <w:rFonts w:ascii="Calibri" w:hAnsi="Calibri"/>
                <w:b w:val="0"/>
                <w:i w:val="0"/>
                <w:color w:val="212121"/>
                <w:sz w:val="16"/>
              </w:rPr>
              <w:t>Alcohol; Smoking</w:t>
            </w:r>
          </w:p>
        </w:tc>
        <w:tc>
          <w:tcPr>
            <w:tcW w:type="dxa" w:w="720"/>
            <w:vAlign w:val="top"/>
          </w:tcPr>
          <w:p>
            <w:pPr>
              <w:spacing w:after="40" w:before="0" w:line="259" w:lineRule="auto"/>
            </w:pPr>
            <w:r>
              <w:rPr>
                <w:rFonts w:ascii="Calibri" w:hAnsi="Calibri"/>
                <w:b w:val="0"/>
                <w:i w:val="0"/>
                <w:color w:val="212121"/>
                <w:sz w:val="16"/>
              </w:rPr>
              <w:t>Comorbidity</w:t>
            </w:r>
          </w:p>
        </w:tc>
        <w:tc>
          <w:tcPr>
            <w:tcW w:type="dxa" w:w="720"/>
            <w:vAlign w:val="top"/>
          </w:tcPr>
          <w:p>
            <w:pPr>
              <w:spacing w:after="40" w:before="0" w:line="259" w:lineRule="auto"/>
            </w:pPr>
            <w:r>
              <w:rPr>
                <w:rFonts w:ascii="Calibri" w:hAnsi="Calibri"/>
                <w:b w:val="0"/>
                <w:i w:val="0"/>
                <w:color w:val="212121"/>
                <w:sz w:val="16"/>
              </w:rPr>
              <w:t>Integrated dual-diagnosis care needed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status exam</w:t>
            </w:r>
          </w:p>
        </w:tc>
        <w:tc>
          <w:tcPr>
            <w:tcW w:type="dxa" w:w="950"/>
            <w:vAlign w:val="top"/>
          </w:tcPr>
          <w:p>
            <w:pPr>
              <w:spacing w:after="40" w:before="0" w:line="259" w:lineRule="auto"/>
            </w:pPr>
            <w:r>
              <w:rPr>
                <w:rFonts w:ascii="Calibri" w:hAnsi="Calibri"/>
                <w:b w:val="0"/>
                <w:i w:val="0"/>
                <w:color w:val="212121"/>
                <w:sz w:val="16"/>
              </w:rPr>
              <w:t>Mental status examination</w:t>
            </w:r>
          </w:p>
        </w:tc>
        <w:tc>
          <w:tcPr>
            <w:tcW w:type="dxa" w:w="979"/>
            <w:vAlign w:val="top"/>
          </w:tcPr>
          <w:p>
            <w:pPr>
              <w:spacing w:after="40" w:before="0" w:line="259" w:lineRule="auto"/>
            </w:pPr>
            <w:r>
              <w:rPr>
                <w:rFonts w:ascii="Calibri" w:hAnsi="Calibri"/>
                <w:b w:val="0"/>
                <w:i w:val="0"/>
                <w:color w:val="212121"/>
                <w:sz w:val="16"/>
              </w:rPr>
              <w:t>Hypervigilance, startle, affect, dissociation</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Hyperarousal, restricted/dysphoric affect, dissociation</w:t>
            </w:r>
          </w:p>
        </w:tc>
        <w:tc>
          <w:tcPr>
            <w:tcW w:type="dxa" w:w="1036"/>
            <w:vAlign w:val="top"/>
          </w:tcPr>
          <w:p>
            <w:pPr>
              <w:spacing w:after="40" w:before="0" w:line="259" w:lineRule="auto"/>
            </w:pPr>
            <w:r>
              <w:rPr>
                <w:rFonts w:ascii="Calibri" w:hAnsi="Calibri"/>
                <w:b w:val="0"/>
                <w:i w:val="0"/>
                <w:color w:val="212121"/>
                <w:sz w:val="16"/>
              </w:rPr>
              <w:t>Objective signs; identifies the dissociative subtype</w:t>
            </w:r>
          </w:p>
        </w:tc>
        <w:tc>
          <w:tcPr>
            <w:tcW w:type="dxa" w:w="1036"/>
            <w:vAlign w:val="top"/>
          </w:tcPr>
          <w:p>
            <w:pPr>
              <w:spacing w:after="40" w:before="0" w:line="259" w:lineRule="auto"/>
            </w:pPr>
            <w:r>
              <w:rPr>
                <w:rFonts w:ascii="Calibri" w:hAnsi="Calibri"/>
                <w:b w:val="0"/>
                <w:i w:val="0"/>
                <w:color w:val="212121"/>
                <w:sz w:val="16"/>
              </w:rPr>
              <w:t>All</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Observe response to trauma cues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Sleep &amp; nightmare assessment</w:t>
            </w:r>
          </w:p>
        </w:tc>
        <w:tc>
          <w:tcPr>
            <w:tcW w:type="dxa" w:w="979"/>
            <w:vAlign w:val="top"/>
          </w:tcPr>
          <w:p>
            <w:pPr>
              <w:spacing w:after="40" w:before="0" w:line="259" w:lineRule="auto"/>
            </w:pPr>
            <w:r>
              <w:rPr>
                <w:rFonts w:ascii="Calibri" w:hAnsi="Calibri"/>
                <w:b w:val="0"/>
                <w:i w:val="0"/>
                <w:color w:val="212121"/>
                <w:sz w:val="16"/>
              </w:rPr>
              <w:t>Insomnia, recurrent trauma nightmares</w:t>
            </w:r>
          </w:p>
        </w:tc>
        <w:tc>
          <w:tcPr>
            <w:tcW w:type="dxa" w:w="950"/>
            <w:vAlign w:val="top"/>
          </w:tcPr>
          <w:p>
            <w:pPr>
              <w:spacing w:after="40" w:before="0" w:line="259" w:lineRule="auto"/>
            </w:pPr>
            <w:r>
              <w:rPr>
                <w:rFonts w:ascii="Calibri" w:hAnsi="Calibri"/>
                <w:b w:val="0"/>
                <w:i w:val="0"/>
                <w:color w:val="212121"/>
                <w:sz w:val="16"/>
              </w:rPr>
              <w:t>Restorative sleep</w:t>
            </w:r>
          </w:p>
        </w:tc>
        <w:tc>
          <w:tcPr>
            <w:tcW w:type="dxa" w:w="950"/>
            <w:vAlign w:val="top"/>
          </w:tcPr>
          <w:p>
            <w:pPr>
              <w:spacing w:after="40" w:before="0" w:line="259" w:lineRule="auto"/>
            </w:pPr>
            <w:r>
              <w:rPr>
                <w:rFonts w:ascii="Calibri" w:hAnsi="Calibri"/>
                <w:b w:val="0"/>
                <w:i w:val="0"/>
                <w:color w:val="212121"/>
                <w:sz w:val="16"/>
              </w:rPr>
              <w:t>Insomnia and/or recurrent nightmares</w:t>
            </w:r>
          </w:p>
        </w:tc>
        <w:tc>
          <w:tcPr>
            <w:tcW w:type="dxa" w:w="1036"/>
            <w:vAlign w:val="top"/>
          </w:tcPr>
          <w:p>
            <w:pPr>
              <w:spacing w:after="40" w:before="0" w:line="259" w:lineRule="auto"/>
            </w:pPr>
            <w:r>
              <w:rPr>
                <w:rFonts w:ascii="Calibri" w:hAnsi="Calibri"/>
                <w:b w:val="0"/>
                <w:i w:val="0"/>
                <w:color w:val="212121"/>
                <w:sz w:val="16"/>
              </w:rPr>
              <w:t>Common target symptom guiding CBT-I and prazosin</w:t>
            </w:r>
          </w:p>
        </w:tc>
        <w:tc>
          <w:tcPr>
            <w:tcW w:type="dxa" w:w="1036"/>
            <w:vAlign w:val="top"/>
          </w:tcPr>
          <w:p>
            <w:pPr>
              <w:spacing w:after="40" w:before="0" w:line="259" w:lineRule="auto"/>
            </w:pPr>
            <w:r>
              <w:rPr>
                <w:rFonts w:ascii="Calibri" w:hAnsi="Calibri"/>
                <w:b w:val="0"/>
                <w:i w:val="0"/>
                <w:color w:val="212121"/>
                <w:sz w:val="16"/>
              </w:rPr>
              <w:t>All</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Management</w:t>
            </w:r>
          </w:p>
        </w:tc>
        <w:tc>
          <w:tcPr>
            <w:tcW w:type="dxa" w:w="720"/>
            <w:vAlign w:val="top"/>
          </w:tcPr>
          <w:p>
            <w:pPr>
              <w:spacing w:after="40" w:before="0" w:line="259" w:lineRule="auto"/>
            </w:pPr>
            <w:r>
              <w:rPr>
                <w:rFonts w:ascii="Calibri" w:hAnsi="Calibri"/>
                <w:b w:val="0"/>
                <w:i w:val="0"/>
                <w:color w:val="212121"/>
                <w:sz w:val="16"/>
              </w:rPr>
              <w:t>Near-universal in PTSD</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Intrusive memories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Recurrent, involuntary and distressing memories of the traumatic event.</w:t>
            </w:r>
          </w:p>
        </w:tc>
      </w:tr>
      <w:tr>
        <w:trPr>
          <w:cantSplit/>
        </w:trPr>
        <w:tc>
          <w:tcPr>
            <w:tcW w:type="dxa" w:w="2304"/>
            <w:vAlign w:val="top"/>
          </w:tcPr>
          <w:p>
            <w:pPr>
              <w:spacing w:after="40" w:before="0" w:line="259" w:lineRule="auto"/>
            </w:pPr>
            <w:r>
              <w:rPr>
                <w:rFonts w:ascii="Calibri" w:hAnsi="Calibri"/>
                <w:b/>
                <w:i w:val="0"/>
                <w:color w:val="212121"/>
                <w:sz w:val="19"/>
              </w:rPr>
              <w:t>Flashbacks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Dissociative reliving in which the trauma feels as though it is recurring in the present.</w:t>
            </w:r>
          </w:p>
        </w:tc>
      </w:tr>
      <w:tr>
        <w:trPr>
          <w:cantSplit/>
        </w:trPr>
        <w:tc>
          <w:tcPr>
            <w:tcW w:type="dxa" w:w="2304"/>
            <w:vAlign w:val="top"/>
          </w:tcPr>
          <w:p>
            <w:pPr>
              <w:spacing w:after="40" w:before="0" w:line="259" w:lineRule="auto"/>
            </w:pPr>
            <w:r>
              <w:rPr>
                <w:rFonts w:ascii="Calibri" w:hAnsi="Calibri"/>
                <w:b/>
                <w:i w:val="0"/>
                <w:color w:val="212121"/>
                <w:sz w:val="19"/>
              </w:rPr>
              <w:t>Nightmares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Recurrent distressing dreams related to the trauma that disrupt sleep.</w:t>
            </w:r>
          </w:p>
        </w:tc>
      </w:tr>
      <w:tr>
        <w:trPr>
          <w:cantSplit/>
        </w:trPr>
        <w:tc>
          <w:tcPr>
            <w:tcW w:type="dxa" w:w="2304"/>
            <w:vAlign w:val="top"/>
          </w:tcPr>
          <w:p>
            <w:pPr>
              <w:spacing w:after="40" w:before="0" w:line="259" w:lineRule="auto"/>
            </w:pPr>
            <w:r>
              <w:rPr>
                <w:rFonts w:ascii="Calibri" w:hAnsi="Calibri"/>
                <w:b/>
                <w:i w:val="0"/>
                <w:color w:val="212121"/>
                <w:sz w:val="19"/>
              </w:rPr>
              <w:t>Avoidance of reminders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Effortful avoidance of thoughts, feelings, people, places or activities that recall the trauma.</w:t>
            </w:r>
          </w:p>
        </w:tc>
      </w:tr>
      <w:tr>
        <w:trPr>
          <w:cantSplit/>
        </w:trPr>
        <w:tc>
          <w:tcPr>
            <w:tcW w:type="dxa" w:w="2304"/>
            <w:vAlign w:val="top"/>
          </w:tcPr>
          <w:p>
            <w:pPr>
              <w:spacing w:after="40" w:before="0" w:line="259" w:lineRule="auto"/>
            </w:pPr>
            <w:r>
              <w:rPr>
                <w:rFonts w:ascii="Calibri" w:hAnsi="Calibri"/>
                <w:b/>
                <w:i w:val="0"/>
                <w:color w:val="212121"/>
                <w:sz w:val="19"/>
              </w:rPr>
              <w:t>Hypervigilance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scanning for danger and feeling constantly 'on guard'.</w:t>
            </w:r>
          </w:p>
        </w:tc>
      </w:tr>
      <w:tr>
        <w:trPr>
          <w:cantSplit/>
        </w:trPr>
        <w:tc>
          <w:tcPr>
            <w:tcW w:type="dxa" w:w="2304"/>
            <w:vAlign w:val="top"/>
          </w:tcPr>
          <w:p>
            <w:pPr>
              <w:spacing w:after="40" w:before="0" w:line="259" w:lineRule="auto"/>
            </w:pPr>
            <w:r>
              <w:rPr>
                <w:rFonts w:ascii="Calibri" w:hAnsi="Calibri"/>
                <w:b/>
                <w:i w:val="0"/>
                <w:color w:val="212121"/>
                <w:sz w:val="19"/>
              </w:rPr>
              <w:t>Exaggerated startle response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Excessive jumpiness to noises or unexpected stimuli.</w:t>
            </w:r>
          </w:p>
        </w:tc>
      </w:tr>
      <w:tr>
        <w:trPr>
          <w:cantSplit/>
        </w:trPr>
        <w:tc>
          <w:tcPr>
            <w:tcW w:type="dxa" w:w="2304"/>
            <w:vAlign w:val="top"/>
          </w:tcPr>
          <w:p>
            <w:pPr>
              <w:spacing w:after="40" w:before="0" w:line="259" w:lineRule="auto"/>
            </w:pPr>
            <w:r>
              <w:rPr>
                <w:rFonts w:ascii="Calibri" w:hAnsi="Calibri"/>
                <w:b/>
                <w:i w:val="0"/>
                <w:color w:val="212121"/>
                <w:sz w:val="19"/>
              </w:rPr>
              <w:t>Insomnia / disturbed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falling or staying asleep from arousal and nightmares.</w:t>
            </w:r>
          </w:p>
        </w:tc>
      </w:tr>
      <w:tr>
        <w:trPr>
          <w:cantSplit/>
        </w:trPr>
        <w:tc>
          <w:tcPr>
            <w:tcW w:type="dxa" w:w="2304"/>
            <w:vAlign w:val="top"/>
          </w:tcPr>
          <w:p>
            <w:pPr>
              <w:spacing w:after="40" w:before="0" w:line="259" w:lineRule="auto"/>
            </w:pPr>
            <w:r>
              <w:rPr>
                <w:rFonts w:ascii="Calibri" w:hAnsi="Calibri"/>
                <w:b/>
                <w:i w:val="0"/>
                <w:color w:val="212121"/>
                <w:sz w:val="19"/>
              </w:rPr>
              <w:t>Irritability &amp; anger outbursts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frustration tolerance, sometimes with verbal or physical aggression.</w:t>
            </w:r>
          </w:p>
        </w:tc>
      </w:tr>
      <w:tr>
        <w:trPr>
          <w:cantSplit/>
        </w:trPr>
        <w:tc>
          <w:tcPr>
            <w:tcW w:type="dxa" w:w="2304"/>
            <w:vAlign w:val="top"/>
          </w:tcPr>
          <w:p>
            <w:pPr>
              <w:spacing w:after="40" w:before="0" w:line="259" w:lineRule="auto"/>
            </w:pPr>
            <w:r>
              <w:rPr>
                <w:rFonts w:ascii="Calibri" w:hAnsi="Calibri"/>
                <w:b/>
                <w:i w:val="0"/>
                <w:color w:val="212121"/>
                <w:sz w:val="19"/>
              </w:rPr>
              <w:t>Emotional numbing &amp; detachment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Feeling cut off from others and unable to experience positive emotions.</w:t>
            </w:r>
          </w:p>
        </w:tc>
      </w:tr>
      <w:tr>
        <w:trPr>
          <w:cantSplit/>
        </w:trPr>
        <w:tc>
          <w:tcPr>
            <w:tcW w:type="dxa" w:w="2304"/>
            <w:vAlign w:val="top"/>
          </w:tcPr>
          <w:p>
            <w:pPr>
              <w:spacing w:after="40" w:before="0" w:line="259" w:lineRule="auto"/>
            </w:pPr>
            <w:r>
              <w:rPr>
                <w:rFonts w:ascii="Calibri" w:hAnsi="Calibri"/>
                <w:b/>
                <w:i w:val="0"/>
                <w:color w:val="212121"/>
                <w:sz w:val="19"/>
              </w:rPr>
              <w:t>Negative mood, guilt &amp; shame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fear, horror, guilt, shame or distorted self-blame.</w:t>
            </w:r>
          </w:p>
        </w:tc>
      </w:tr>
      <w:tr>
        <w:trPr>
          <w:cantSplit/>
        </w:trPr>
        <w:tc>
          <w:tcPr>
            <w:tcW w:type="dxa" w:w="2304"/>
            <w:vAlign w:val="top"/>
          </w:tcPr>
          <w:p>
            <w:pPr>
              <w:spacing w:after="40" w:before="0" w:line="259" w:lineRule="auto"/>
            </w:pPr>
            <w:r>
              <w:rPr>
                <w:rFonts w:ascii="Calibri" w:hAnsi="Calibri"/>
                <w:b/>
                <w:i w:val="0"/>
                <w:color w:val="212121"/>
                <w:sz w:val="19"/>
              </w:rPr>
              <w:t>Concentration difficulty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Trouble focusing, remembering and completing tasks.</w:t>
            </w:r>
          </w:p>
        </w:tc>
      </w:tr>
      <w:tr>
        <w:trPr>
          <w:cantSplit/>
        </w:trPr>
        <w:tc>
          <w:tcPr>
            <w:tcW w:type="dxa" w:w="2304"/>
            <w:vAlign w:val="top"/>
          </w:tcPr>
          <w:p>
            <w:pPr>
              <w:spacing w:after="40" w:before="0" w:line="259" w:lineRule="auto"/>
            </w:pPr>
            <w:r>
              <w:rPr>
                <w:rFonts w:ascii="Calibri" w:hAnsi="Calibri"/>
                <w:b/>
                <w:i w:val="0"/>
                <w:color w:val="212121"/>
                <w:sz w:val="19"/>
              </w:rPr>
              <w:t>Dissociation / derealisation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Feeling detached from oneself or that surroundings are unreal (dissociative subtype).</w:t>
            </w:r>
          </w:p>
        </w:tc>
      </w:tr>
      <w:tr>
        <w:trPr>
          <w:cantSplit/>
        </w:trPr>
        <w:tc>
          <w:tcPr>
            <w:tcW w:type="dxa" w:w="2304"/>
            <w:vAlign w:val="top"/>
          </w:tcPr>
          <w:p>
            <w:pPr>
              <w:spacing w:after="40" w:before="0" w:line="259" w:lineRule="auto"/>
            </w:pPr>
            <w:r>
              <w:rPr>
                <w:rFonts w:ascii="Calibri" w:hAnsi="Calibri"/>
                <w:b/>
                <w:i w:val="0"/>
                <w:color w:val="212121"/>
                <w:sz w:val="19"/>
              </w:rPr>
              <w:t>Panic attacks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Surges of intense fear with autonomic symptoms triggered by trauma cues.</w:t>
            </w:r>
          </w:p>
        </w:tc>
      </w:tr>
      <w:tr>
        <w:trPr>
          <w:cantSplit/>
        </w:trPr>
        <w:tc>
          <w:tcPr>
            <w:tcW w:type="dxa" w:w="2304"/>
            <w:vAlign w:val="top"/>
          </w:tcPr>
          <w:p>
            <w:pPr>
              <w:spacing w:after="40" w:before="0" w:line="259" w:lineRule="auto"/>
            </w:pPr>
            <w:r>
              <w:rPr>
                <w:rFonts w:ascii="Calibri" w:hAnsi="Calibri"/>
                <w:b/>
                <w:i w:val="0"/>
                <w:color w:val="212121"/>
                <w:sz w:val="19"/>
              </w:rPr>
              <w:t>Psychotic-like phenomena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Trauma-related hallucinatory reliving or transient perceptual disturbances in severe cases.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Exaggerated startle (observed)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Marked flinch or startle to sudden noise during examination.</w:t>
            </w:r>
          </w:p>
        </w:tc>
      </w:tr>
      <w:tr>
        <w:trPr>
          <w:cantSplit/>
        </w:trPr>
        <w:tc>
          <w:tcPr>
            <w:tcW w:type="dxa" w:w="3456"/>
            <w:vAlign w:val="top"/>
          </w:tcPr>
          <w:p>
            <w:pPr>
              <w:spacing w:after="40" w:before="0" w:line="259" w:lineRule="auto"/>
            </w:pPr>
            <w:r>
              <w:rPr>
                <w:rFonts w:ascii="Calibri" w:hAnsi="Calibri"/>
                <w:b/>
                <w:i w:val="0"/>
                <w:color w:val="212121"/>
                <w:sz w:val="19"/>
              </w:rPr>
              <w:t>Hypervigilance / scanning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Restless scanning of the room, sitting facing the door, guardedness.</w:t>
            </w:r>
          </w:p>
        </w:tc>
      </w:tr>
      <w:tr>
        <w:trPr>
          <w:cantSplit/>
        </w:trPr>
        <w:tc>
          <w:tcPr>
            <w:tcW w:type="dxa" w:w="3456"/>
            <w:vAlign w:val="top"/>
          </w:tcPr>
          <w:p>
            <w:pPr>
              <w:spacing w:after="40" w:before="0" w:line="259" w:lineRule="auto"/>
            </w:pPr>
            <w:r>
              <w:rPr>
                <w:rFonts w:ascii="Calibri" w:hAnsi="Calibri"/>
                <w:b/>
                <w:i w:val="0"/>
                <w:color w:val="212121"/>
                <w:sz w:val="19"/>
              </w:rPr>
              <w:t>Autonomic arousal to cues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Tachycardia, sweating or tremor when the trauma is discussed.</w:t>
            </w:r>
          </w:p>
        </w:tc>
      </w:tr>
      <w:tr>
        <w:trPr>
          <w:cantSplit/>
        </w:trPr>
        <w:tc>
          <w:tcPr>
            <w:tcW w:type="dxa" w:w="3456"/>
            <w:vAlign w:val="top"/>
          </w:tcPr>
          <w:p>
            <w:pPr>
              <w:spacing w:after="40" w:before="0" w:line="259" w:lineRule="auto"/>
            </w:pPr>
            <w:r>
              <w:rPr>
                <w:rFonts w:ascii="Calibri" w:hAnsi="Calibri"/>
                <w:b/>
                <w:i w:val="0"/>
                <w:color w:val="212121"/>
                <w:sz w:val="19"/>
              </w:rPr>
              <w:t>Restricted / dysphoric affect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Emotionally flat, tearful or anxious affect on mental-status examination.</w:t>
            </w:r>
          </w:p>
        </w:tc>
      </w:tr>
      <w:tr>
        <w:trPr>
          <w:cantSplit/>
        </w:trPr>
        <w:tc>
          <w:tcPr>
            <w:tcW w:type="dxa" w:w="3456"/>
            <w:vAlign w:val="top"/>
          </w:tcPr>
          <w:p>
            <w:pPr>
              <w:spacing w:after="40" w:before="0" w:line="259" w:lineRule="auto"/>
            </w:pPr>
            <w:r>
              <w:rPr>
                <w:rFonts w:ascii="Calibri" w:hAnsi="Calibri"/>
                <w:b/>
                <w:i w:val="0"/>
                <w:color w:val="212121"/>
                <w:sz w:val="19"/>
              </w:rPr>
              <w:t>Avoidance behaviour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Reluctance, distress or shutting down when asked about the traumatic event.</w:t>
            </w:r>
          </w:p>
        </w:tc>
      </w:tr>
      <w:tr>
        <w:trPr>
          <w:cantSplit/>
        </w:trPr>
        <w:tc>
          <w:tcPr>
            <w:tcW w:type="dxa" w:w="3456"/>
            <w:vAlign w:val="top"/>
          </w:tcPr>
          <w:p>
            <w:pPr>
              <w:spacing w:after="40" w:before="0" w:line="259" w:lineRule="auto"/>
            </w:pPr>
            <w:r>
              <w:rPr>
                <w:rFonts w:ascii="Calibri" w:hAnsi="Calibri"/>
                <w:b/>
                <w:i w:val="0"/>
                <w:color w:val="212121"/>
                <w:sz w:val="19"/>
              </w:rPr>
              <w:t>Signs of sleep deprivation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Fatigue, poor concentration and irritability from chronic insomnia.</w:t>
            </w:r>
          </w:p>
        </w:tc>
      </w:tr>
      <w:tr>
        <w:trPr>
          <w:cantSplit/>
        </w:trPr>
        <w:tc>
          <w:tcPr>
            <w:tcW w:type="dxa" w:w="3456"/>
            <w:vAlign w:val="top"/>
          </w:tcPr>
          <w:p>
            <w:pPr>
              <w:spacing w:after="40" w:before="0" w:line="259" w:lineRule="auto"/>
            </w:pPr>
            <w:r>
              <w:rPr>
                <w:rFonts w:ascii="Calibri" w:hAnsi="Calibri"/>
                <w:b/>
                <w:i w:val="0"/>
                <w:color w:val="212121"/>
                <w:sz w:val="19"/>
              </w:rPr>
              <w:t>Dissociative episodes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Transient staring, unresponsiveness or derealisation during triggers.</w:t>
            </w:r>
          </w:p>
        </w:tc>
      </w:tr>
      <w:tr>
        <w:trPr>
          <w:cantSplit/>
        </w:trPr>
        <w:tc>
          <w:tcPr>
            <w:tcW w:type="dxa" w:w="3456"/>
            <w:vAlign w:val="top"/>
          </w:tcPr>
          <w:p>
            <w:pPr>
              <w:spacing w:after="40" w:before="0" w:line="259" w:lineRule="auto"/>
            </w:pPr>
            <w:r>
              <w:rPr>
                <w:rFonts w:ascii="Calibri" w:hAnsi="Calibri"/>
                <w:b/>
                <w:i w:val="0"/>
                <w:color w:val="212121"/>
                <w:sz w:val="19"/>
              </w:rPr>
              <w:t>Self-harm marks / injuries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Scars or injuries reflecting self-harm or comorbid distress.</w:t>
            </w:r>
          </w:p>
        </w:tc>
      </w:tr>
      <w:tr>
        <w:trPr>
          <w:cantSplit/>
        </w:trPr>
        <w:tc>
          <w:tcPr>
            <w:tcW w:type="dxa" w:w="3456"/>
            <w:vAlign w:val="top"/>
          </w:tcPr>
          <w:p>
            <w:pPr>
              <w:spacing w:after="40" w:before="0" w:line="259" w:lineRule="auto"/>
            </w:pPr>
            <w:r>
              <w:rPr>
                <w:rFonts w:ascii="Calibri" w:hAnsi="Calibri"/>
                <w:b/>
                <w:i w:val="0"/>
                <w:color w:val="212121"/>
                <w:sz w:val="19"/>
              </w:rPr>
              <w:t>Signs of comorbid substance use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Alcohol on breath, tremor, or signs of intoxication/withdrawal.</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treatment-resistant PTSD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sleep disruption (insomnia, recurrent trauma nightmares)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Dissociative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social and occupational impairment</w:t>
            </w:r>
          </w:p>
        </w:tc>
        <w:tc>
          <w:tcPr>
            <w:tcW w:type="dxa" w:w="2980"/>
            <w:vAlign w:val="top"/>
          </w:tcPr>
          <w:p>
            <w:pPr>
              <w:spacing w:after="40" w:before="0" w:line="259" w:lineRule="auto"/>
            </w:pPr>
            <w:r>
              <w:rPr>
                <w:rFonts w:ascii="Calibri" w:hAnsi="Calibri"/>
                <w:b w:val="0"/>
                <w:i w:val="0"/>
                <w:color w:val="212121"/>
                <w:sz w:val="19"/>
              </w:rPr>
              <w:t>Direct persistence and disability arising from unremitting core trauma symptoms.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major depression and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and substance use disorders (self-medication)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ideation, self-harm and suicide attempts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and unexplained somatic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Relationship breakdown, family dysfunction and unemployment</w:t>
            </w:r>
          </w:p>
        </w:tc>
        <w:tc>
          <w:tcPr>
            <w:tcW w:type="dxa" w:w="2980"/>
            <w:vAlign w:val="top"/>
          </w:tcPr>
          <w:p>
            <w:pPr>
              <w:spacing w:after="40" w:before="0" w:line="259" w:lineRule="auto"/>
            </w:pPr>
            <w:r>
              <w:rPr>
                <w:rFonts w:ascii="Calibri" w:hAnsi="Calibri"/>
                <w:b w:val="0"/>
                <w:i w:val="0"/>
                <w:color w:val="212121"/>
                <w:sz w:val="19"/>
              </w:rPr>
              <w:t>Downstream psychiatric, behavioural and psychosocial consequences of untreated PTSD.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by suicide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and cardiometabolic disease (hypertension, coronary heart disease, type 2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poverty and social exclusion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Intergenerational transmission of trauma</w:t>
            </w:r>
          </w:p>
        </w:tc>
        <w:tc>
          <w:tcPr>
            <w:tcW w:type="dxa" w:w="2980"/>
            <w:vAlign w:val="top"/>
          </w:tcPr>
          <w:p>
            <w:pPr>
              <w:spacing w:after="40" w:before="0" w:line="259" w:lineRule="auto"/>
            </w:pPr>
            <w:r>
              <w:rPr>
                <w:rFonts w:ascii="Calibri" w:hAnsi="Calibri"/>
                <w:b w:val="0"/>
                <w:i w:val="0"/>
                <w:color w:val="212121"/>
                <w:sz w:val="19"/>
              </w:rPr>
              <w:t>Irreversible, life-limiting outcomes of longstanding, undertreated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Major depressive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stress-related neurobiology with PTSD and frequently co-occurs, greatly increasing disability and suicide risk.</w:t>
            </w:r>
          </w:p>
        </w:tc>
      </w:tr>
      <w:tr>
        <w:trPr>
          <w:cantSplit/>
        </w:trPr>
        <w:tc>
          <w:tcPr>
            <w:tcW w:type="dxa" w:w="2232"/>
            <w:vAlign w:val="top"/>
          </w:tcPr>
          <w:p>
            <w:pPr>
              <w:spacing w:after="40" w:before="0" w:line="259" w:lineRule="auto"/>
            </w:pPr>
            <w:r>
              <w:rPr>
                <w:rFonts w:ascii="Calibri" w:hAnsi="Calibri"/>
                <w:b/>
                <w:i w:val="0"/>
                <w:color w:val="212121"/>
                <w:sz w:val="19"/>
              </w:rPr>
              <w:t>Alcohol &amp; substance 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Self-medication of intrusion and arousal symptoms; impairs treatment engagement and worsens prognosis.</w:t>
            </w:r>
          </w:p>
          <w:p>
            <w:pPr>
              <w:spacing w:after="40" w:before="0" w:line="259" w:lineRule="auto"/>
            </w:pPr>
            <w:r>
              <w:rPr>
                <w:rFonts w:ascii="Calibri" w:hAnsi="Calibri"/>
                <w:b/>
                <w:i w:val="0"/>
                <w:color w:val="212121"/>
                <w:sz w:val="19"/>
              </w:rPr>
              <w:t>Up to 60%</w:t>
            </w:r>
          </w:p>
        </w:tc>
      </w:tr>
      <w:tr>
        <w:trPr>
          <w:cantSplit/>
        </w:trPr>
        <w:tc>
          <w:tcPr>
            <w:tcW w:type="dxa" w:w="2232"/>
            <w:vAlign w:val="top"/>
          </w:tcPr>
          <w:p>
            <w:pPr>
              <w:spacing w:after="40" w:before="0" w:line="259" w:lineRule="auto"/>
            </w:pPr>
            <w:r>
              <w:rPr>
                <w:rFonts w:ascii="Calibri" w:hAnsi="Calibri"/>
                <w:b/>
                <w:i w:val="0"/>
                <w:color w:val="212121"/>
                <w:sz w:val="19"/>
              </w:rPr>
              <w:t>Generalised anxiety &amp; panic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Overlapping fear circuitry; commonly comorbid and intensifies hyperarousal.</w:t>
            </w:r>
          </w:p>
        </w:tc>
      </w:tr>
      <w:tr>
        <w:trPr>
          <w:cantSplit/>
        </w:trPr>
        <w:tc>
          <w:tcPr>
            <w:tcW w:type="dxa" w:w="2232"/>
            <w:vAlign w:val="top"/>
          </w:tcPr>
          <w:p>
            <w:pPr>
              <w:spacing w:after="40" w:before="0" w:line="259" w:lineRule="auto"/>
            </w:pPr>
            <w:r>
              <w:rPr>
                <w:rFonts w:ascii="Calibri" w:hAnsi="Calibri"/>
                <w:b/>
                <w:i w:val="0"/>
                <w:color w:val="212121"/>
                <w:sz w:val="19"/>
              </w:rPr>
              <w:t>Suicidality &amp; self-harm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Markedly elevated suicidal ideation and attempts, especially with comorbid depression or substance use.</w:t>
            </w:r>
          </w:p>
        </w:tc>
      </w:tr>
      <w:tr>
        <w:trPr>
          <w:cantSplit/>
        </w:trPr>
        <w:tc>
          <w:tcPr>
            <w:tcW w:type="dxa" w:w="2232"/>
            <w:vAlign w:val="top"/>
          </w:tcPr>
          <w:p>
            <w:pPr>
              <w:spacing w:after="40" w:before="0" w:line="259" w:lineRule="auto"/>
            </w:pPr>
            <w:r>
              <w:rPr>
                <w:rFonts w:ascii="Calibri" w:hAnsi="Calibri"/>
                <w:b/>
                <w:i w:val="0"/>
                <w:color w:val="212121"/>
                <w:sz w:val="19"/>
              </w:rPr>
              <w:t>Sleep disorders (insomnia, nightmares)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Sleep disturbance is core to PTSD and bidirectionally maintains the disorder.</w:t>
            </w:r>
          </w:p>
        </w:tc>
      </w:tr>
      <w:tr>
        <w:trPr>
          <w:cantSplit/>
        </w:trPr>
        <w:tc>
          <w:tcPr>
            <w:tcW w:type="dxa" w:w="2232"/>
            <w:vAlign w:val="top"/>
          </w:tcPr>
          <w:p>
            <w:pPr>
              <w:spacing w:after="40" w:before="0" w:line="259" w:lineRule="auto"/>
            </w:pPr>
            <w:r>
              <w:rPr>
                <w:rFonts w:ascii="Calibri" w:hAnsi="Calibri"/>
                <w:b/>
                <w:i w:val="0"/>
                <w:color w:val="212121"/>
                <w:sz w:val="19"/>
              </w:rPr>
              <w:t>Cardiovascular &amp; cardiometabolic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hyperarousal and HPA-axis dysregulation raise incident hypertension, coronary heart disease and diabetes.</w:t>
            </w:r>
          </w:p>
        </w:tc>
      </w:tr>
      <w:tr>
        <w:trPr>
          <w:cantSplit/>
        </w:trPr>
        <w:tc>
          <w:tcPr>
            <w:tcW w:type="dxa" w:w="2232"/>
            <w:vAlign w:val="top"/>
          </w:tcPr>
          <w:p>
            <w:pPr>
              <w:spacing w:after="40" w:before="0" w:line="259" w:lineRule="auto"/>
            </w:pPr>
            <w:r>
              <w:rPr>
                <w:rFonts w:ascii="Calibri" w:hAnsi="Calibri"/>
                <w:b/>
                <w:i w:val="0"/>
                <w:color w:val="212121"/>
                <w:sz w:val="19"/>
              </w:rPr>
              <w:t>Chronic pain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Mutually reinforcing with PTSD via central sensitisation and hyperarousal.</w:t>
            </w:r>
          </w:p>
        </w:tc>
      </w:tr>
      <w:tr>
        <w:trPr>
          <w:cantSplit/>
        </w:trPr>
        <w:tc>
          <w:tcPr>
            <w:tcW w:type="dxa" w:w="2232"/>
            <w:vAlign w:val="top"/>
          </w:tcPr>
          <w:p>
            <w:pPr>
              <w:spacing w:after="40" w:before="0" w:line="259" w:lineRule="auto"/>
            </w:pPr>
            <w:r>
              <w:rPr>
                <w:rFonts w:ascii="Calibri" w:hAnsi="Calibri"/>
                <w:b/>
                <w:i w:val="0"/>
                <w:color w:val="212121"/>
                <w:sz w:val="19"/>
              </w:rPr>
              <w:t>Traumatic brain injury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co-occurrence after blast, combat or road-traffic trauma; overlapping symptoms complicate diagnosis and treatment.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most people recover from trauma, but seek help if intrusive memories, nightmares, avoidance or hyperarousal persist beyond one month.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trauma-focused psychological therapies (trauma-focused CBT, prolonged exposure, cognitive processing therapy, EMDR) are first-line, evidence-based treatments.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alcohol, tobacco and drugs used to cope worsen sleep and prolong PTSD.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and maintain social support; isolation impedes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high-risk groups (disaster survivors, conflict-affected communities, uniformed services, survivors of violence), access early psychological first aid and screening.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Trauma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Disaster- and conflict-affected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Uniformed services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Survivors of gender-based violence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and caregivers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 150 minutes/week of moderate aerobic activity (brisk walking, cycling, swimming) to reduce PTSD and depressive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2–3 sessions/week of resistance training to improve mood, sleep and physical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mind-body practices (yoga, pranayama, tai-chi) that lower hyperarousal and are widely accessible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Structure daytime activity and outdoor exposure to regularise circadian rhythm and reduce insomnia.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PTSD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PTSD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whole-food diet (whole grains and millets, pulses, vegetables, fruit, nuts) supporting brain and cardiometabolic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(tea, coffee, energy drinks), which aggravates hyperarousal, anxiety and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as a sleep aid; it fragments sleep and worsens nightmares.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meals and good hydration, and monitor weight given the raised cardiometabolic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PTSD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caffeine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cardiometabolic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sleep–wake timing and good sleep hygiene (dark, quiet room; no screens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cognitive behavioural therapy for insomnia (CBT-I) and Imagery Rehearsal Therapy for recurrent nightmares.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prazosin with a clinician for distressing trauma-related nightmares.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caffeine after midday and alcohol near bedtime.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insomnia/nightmares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PTSD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Veterans and first responders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nicotine offers only transient relief while adding cardiovascular and 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cessation support (counselling, nicotine-replacement therapy) integrated with PTSD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smoking as self-medication of arousal and treat the underlying symptoms instead.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PTSD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occupational groups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address hazardous drinking (AUDIT) as part of PTSD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as self-medication; it worsens sleep, mood and impulsivity and raises suicide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integrated treatment for co-occurring PTSD and substance use disorder.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Hazardous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substance use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Veterans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first-line trauma-focused psychotherapy (trauma-focused CBT, prolonged exposure, cognitive processing therapy, EMDR).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SSRIs/SNRIs (e.g., sertraline, paroxetine, venlafaxine) where indicated or when psychotherapy is unavailable.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and treat comorbid depression, anxiety and substance use; assess suicide risk and create a safety plan.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group and community-based support, particularly after mass trauma and disasters.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PTSD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depression/SUD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Disaster and conflict survivors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early psychological first aid and screening for trauma-exposed individuals and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Strengthen social support networks and community cohesion after traumatic events.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Train primary-care and frontline workers to recognise and refer PTSD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single-session psychological debriefing, which is not effective for preventing PTSD.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Trauma-exposed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 responders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settings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mh.nih.gov/health/statistics/post-traumatic-stress-disorder-ptsd" TargetMode="External"/><Relationship Id="rId10" Type="http://schemas.openxmlformats.org/officeDocument/2006/relationships/hyperlink" Target="https://pubmed.ncbi.nlm.nih.gov/17306747/" TargetMode="External"/><Relationship Id="rId11" Type="http://schemas.openxmlformats.org/officeDocument/2006/relationships/hyperlink" Target="https://www.ptsd.va.gov/understand/common/common_adults.asp" TargetMode="External"/><Relationship Id="rId12" Type="http://schemas.openxmlformats.org/officeDocument/2006/relationships/hyperlink" Target="https://pubmed.ncbi.nlm.nih.gov/29082026/" TargetMode="External"/><Relationship Id="rId13" Type="http://schemas.openxmlformats.org/officeDocument/2006/relationships/hyperlink" Target="https://pubmed.ncbi.nlm.nih.gov/26500072/" TargetMode="External"/><Relationship Id="rId14" Type="http://schemas.openxmlformats.org/officeDocument/2006/relationships/hyperlink" Target="https://www.msdmanuals.com/professional/psychiatric-disorders/anxiety-and-stressor-related-disorders/posttraumatic-stress-disorder-ptsd" TargetMode="External"/><Relationship Id="rId15" Type="http://schemas.openxmlformats.org/officeDocument/2006/relationships/hyperlink" Target="https://pubmed.ncbi.nlm.nih.gov/17503104/" TargetMode="External"/><Relationship Id="rId16" Type="http://schemas.openxmlformats.org/officeDocument/2006/relationships/hyperlink" Target="https://pubmed.ncbi.nlm.nih.gov/309713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