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Tobacco Use / Dependence</w:t>
      </w:r>
    </w:p>
    <w:p>
      <w:pPr>
        <w:spacing w:before="0" w:after="160"/>
      </w:pPr>
      <w:r>
        <w:rPr>
          <w:rFonts w:ascii="Calibri" w:hAnsi="Calibri"/>
          <w:b/>
          <w:i w:val="0"/>
          <w:color w:val="212121"/>
          <w:sz w:val="22"/>
        </w:rPr>
        <w:t xml:space="preserve">AKA </w:t>
      </w:r>
      <w:r>
        <w:rPr>
          <w:rFonts w:ascii="Calibri" w:hAnsi="Calibri"/>
          <w:b w:val="0"/>
          <w:i w:val="0"/>
          <w:color w:val="212121"/>
          <w:sz w:val="22"/>
        </w:rPr>
        <w:t>i.e., Nicotine dependence, Tobacco use disorder, Nicotine addiction, Tobacco dependence syndrome (ICD-10 F17.2), Smoking addiction, Tambaku ki lat; includes bidi/cigarette/hookah smoking and khaini/gutka/zarda/paan (smokeless) habits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Tobacco use disorder is a chronic, relapsing condition of compulsive tobacco use driven by dependence on nicotine, the principal psychoactive and addictive constituent of tobacco. Inhaled or absorbed nicotine reaches the brain within seconds, stimulating nicotinic acetylcholine receptors and releasing dopamine in the mesolimbic reward pathway; repeated exposure produces receptor up-regulation, tolerance, craving and a characteristic withdrawal syndrome on stopping. It encompasses both smoked forms (cigarettes, bidis, hookah) and the smokeless forms that dominate in India (khaini, gutka, zarda, mishri and betel-quid with tobacco). DSM-5 defines a single tobacco use disorder graded by the number of criteria met, while ICD-10/ICD-11 distinguish a nicotine (tobacco) dependence syndrome from a pattern of harmful use.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carries one of the world's largest tobacco burdens. The Global Adult Tobacco Survey (GATS-2, 2016-17) found that 28.6% of adults aged 15 and above - nearly 267 million people, about 29% of all adults - currently use tobacco, down from 34.6% in GATS-1 (2009-10). Smokeless tobacco (21.4%) is far more common than smoking (10.7%), and use is heavily gendered (men 42.4% vs women 14.2%). Prevalence rises steeply with age - 12.4% at 15-24 years, 30.1% at 25-44, 39.9% at 45-64 and 41.4% at 65+. Bidis (7.7%) outnumber cigarettes (4.0%) as the commonest smoked form. Use is highest in the North-East: NFHS-5 recorded tobacco use in 72.9% of men and 61.6% of women in Mizoram, with Manipur, Meghalaya and Tripura also very high, against lows in Kerala and Goa. Tobacco accounts for around 1.35 million deaths in India every year, and its diseases cost the economy about INR 177,341 crore (USD 27.5 billion, roughly 1% of GDP) in 2017-18.</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Tobacco use disorder is a clinical diagnosis supported by structured screening and objective biomarkers. DSM-5 requires a problematic pattern of tobacco use causing clinically significant impairment or distress, with at least 2 of the following 11 criteria within a 12-month period; the Fagerstrom Test for Nicotine Dependence (FTND) grades severity and biomarkers confirm 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Impaired control - (1) tobacco used in larger amounts or over a longer period than intended; (2) a persistent desire or unsuccessful efforts to cut down or quit; (3) a great deal of time spent obtaining or using tobacco; (4) craving or a strong urge to use tobacco;</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Social impairment - (5) recurrent use causing failure to meet major role obligations; (6) continued use despite persistent social or interpersonal problems; (7) important social, occupational or recreational activities given up or reduced because of tobacco;</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Risky use - (8) recurrent use in physically hazardous situations (e.g. smoking in bed); (9) continued use despite knowledge of a persistent physical or psychological problem caused or worsened by tobacco;</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Pharmacological criteria - (10) tolerance (needing more for the same effect); (11) withdrawal (the characteristic nicotine withdrawal syndrome, or using tobacco to relieve it);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grading - mild (2-3 criteria), moderate (4-5 criteria) or severe (6 or more criteria) over the preceding 12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Dependence rating - the 6-item Fagerstrom Test for Nicotine Dependence (FTND, 0-10): 0-2 very low, 3-4 low, 5 moderate, 6-7 high and 8-10 very high dependence; a first cigarette within 5-30 minutes of waking indicates strong physiological dependence (Heaviness of Smoking Index);</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biomarkers - exhaled carbon monoxide (&gt;= 6-10 ppm suggests recent smoking) and cotinine (a nicotine metabolite in blood, urine or saliva) objectively confirm current use, quantify exposure and monitor abstinence.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Tobacco use disorder is classified by the product used, by diagnostic framework and severity, and by the level of physiological dependence:</w:t>
      </w:r>
    </w:p>
    <w:p>
      <w:pPr>
        <w:spacing w:before="0" w:after="80"/>
      </w:pPr>
      <w:r>
        <w:rPr>
          <w:rFonts w:ascii="Calibri" w:hAnsi="Calibri"/>
          <w:b w:val="0"/>
          <w:i w:val="0"/>
          <w:color w:val="212121"/>
          <w:sz w:val="21"/>
        </w:rPr>
        <w:t>(1) By product / route: smoked tobacco (cigarettes, bidis, hookah/water-pipe, cigars, chillum), smokeless tobacco (khaini, gutka, zarda, mishri, snuff, and betel-quid/paan with tobacco - the predominant Indian pattern), dual (mixed) use, and electronic nicotine delivery systems (e-cigarettes/ENDS, banned in India under the PECA Act 2019);</w:t>
      </w:r>
    </w:p>
    <w:p>
      <w:pPr>
        <w:spacing w:before="0" w:after="80"/>
      </w:pPr>
      <w:r>
        <w:rPr>
          <w:rFonts w:ascii="Calibri" w:hAnsi="Calibri"/>
          <w:b w:val="0"/>
          <w:i w:val="0"/>
          <w:color w:val="212121"/>
          <w:sz w:val="21"/>
        </w:rPr>
        <w:t>(2) By DSM-5 severity: a single diagnosis of tobacco use disorder specified as mild (2-3 criteria), moderate (4-5) or severe (6 or more), replacing the older abuse/dependence split;</w:t>
      </w:r>
    </w:p>
    <w:p>
      <w:pPr>
        <w:spacing w:before="0" w:after="80"/>
      </w:pPr>
      <w:r>
        <w:rPr>
          <w:rFonts w:ascii="Calibri" w:hAnsi="Calibri"/>
          <w:b w:val="0"/>
          <w:i w:val="0"/>
          <w:color w:val="212121"/>
          <w:sz w:val="21"/>
        </w:rPr>
        <w:t>(3) By ICD-10 / ICD-11: a nicotine (tobacco) dependence syndrome (craving, impaired control, tolerance and withdrawal; ICD-10 F17.2) distinguished from harmful (hazardous) use that damages health without meeting full dependence criteria;</w:t>
      </w:r>
    </w:p>
    <w:p>
      <w:pPr>
        <w:spacing w:before="0" w:after="80"/>
      </w:pPr>
      <w:r>
        <w:rPr>
          <w:rFonts w:ascii="Calibri" w:hAnsi="Calibri"/>
          <w:b w:val="0"/>
          <w:i w:val="0"/>
          <w:color w:val="212121"/>
          <w:sz w:val="21"/>
        </w:rPr>
        <w:t>(4) By dependence level (FTND / Heaviness of Smoking Index): low, moderate or high nicotine dependence, defined largely by cigarettes/bidis per day and how soon after waking the first is used - the strongest single predictor of difficulty quitting.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Nicotine pharmacology and neuroadaptation: Nicotine stimulates alpha-4-beta-2 nicotinic acetylcholine receptors and releases dopamine in the brain's reward circuit; rapid arterial delivery from smoking, receptor up-regulation, tolerance and an aversive withdrawal state drive compulsive, repeated use.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Heritability of nicotine dependence is high (roughly 50-75%); variants in the CHRNA5-A3-B4 nicotinic-receptor gene cluster and in the CYP2A6 nicotine-metabolising enzyme modulate consumption, dependence and cessation success.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Early age of initiation: Most tobacco use begins in adolescence, when the maturing reward and control circuits are highly vulnerable; early initiation strongly predicts lifelong dependence.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Psychiatric comorbidity and stress: Depression, anxiety, severe mental illness and chronic stress promote 'self-medication' with tobacco, and the relationship is bidirectional, each worsening the other.</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Social and environmental factors: Peer and family use, cultural acceptance of bidi and smokeless tobacco, aggressive marketing, low price and easy availability of gutka/khaini sachets, and permissive norms sustain uptake and maintenance.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Sociocultural and gender roles: Male sex, manual and migrant labour, and gendered norms concentrate smoking in men, while cheap smokeless products drive substantial use in both sexes, including women, in many regions.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Areca-nut and poly-substance co-use: Frequent pairing of tobacco with areca nut (in paan/gutka) and with alcohol reinforces the habit and multiplies oral and systemic harm.</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Middle-aged adults (45-64 years)</w:t>
            </w:r>
          </w:p>
        </w:tc>
        <w:tc>
          <w:tcPr>
            <w:tcW w:type="dxa" w:w="4276"/>
            <w:vAlign w:val="top"/>
          </w:tcPr>
          <w:p>
            <w:pPr>
              <w:spacing w:after="60" w:line="259" w:lineRule="auto"/>
            </w:pPr>
            <w:r>
              <w:rPr>
                <w:rFonts w:ascii="Calibri" w:hAnsi="Calibri"/>
                <w:b w:val="0"/>
                <w:i w:val="0"/>
                <w:color w:val="212121"/>
                <w:sz w:val="19"/>
              </w:rPr>
              <w:t>Cumulative years of exposure, entrenched dependence and disposable income make the middle-aged the highest-prevalence working group, by which stage tobacco-related organ damage is already accruing.</w:t>
            </w:r>
          </w:p>
          <w:p>
            <w:pPr>
              <w:spacing w:after="40" w:before="60" w:line="259" w:lineRule="auto"/>
            </w:pPr>
            <w:r>
              <w:rPr>
                <w:rFonts w:ascii="Calibri" w:hAnsi="Calibri"/>
                <w:b w:val="0"/>
                <w:i w:val="0"/>
                <w:color w:val="212121"/>
                <w:sz w:val="19"/>
              </w:rPr>
              <w:t>GATS-2 found tobacco use peaks at 39.9% in those aged 45-64 years, rising further to 41.4% at 65+.</w:t>
            </w:r>
          </w:p>
          <w:p>
            <w:pPr>
              <w:spacing w:after="40" w:line="252" w:lineRule="auto"/>
            </w:pPr>
            <w:hyperlink r:id="rId9">
              <w:r>
                <w:rPr>
                  <w:rFonts w:ascii="Calibri" w:hAnsi="Calibri" w:cs="Calibri"/>
                  <w:sz w:val="18"/>
                  <w:color w:val="1155CC"/>
                  <w:u w:val="single"/>
                </w:rPr>
                <w:t xml:space="preserve">ntcp.mohfw.gov.in - GATS-2 India fact sheet (age pattern)</w:t>
              </w:r>
            </w:hyperlink>
          </w:p>
          <w:p>
            <w:pPr>
              <w:spacing w:before="60" w:after="40"/>
            </w:pPr>
            <w:r>
              <w:rPr>
                <w:rFonts w:ascii="Calibri" w:hAnsi="Calibri"/>
                <w:b w:val="0"/>
                <w:i w:val="0"/>
                <w:color w:val="5A5A5A"/>
                <w:sz w:val="18"/>
              </w:rPr>
              <w:t>#tobacco  #nicotine  #middleage  #dependence  #GATS2</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(65+ years)</w:t>
            </w:r>
          </w:p>
        </w:tc>
        <w:tc>
          <w:tcPr>
            <w:tcW w:type="dxa" w:w="4276"/>
            <w:vAlign w:val="top"/>
          </w:tcPr>
          <w:p>
            <w:pPr>
              <w:spacing w:after="60" w:line="259" w:lineRule="auto"/>
            </w:pPr>
            <w:r>
              <w:rPr>
                <w:rFonts w:ascii="Calibri" w:hAnsi="Calibri"/>
                <w:b w:val="0"/>
                <w:i w:val="0"/>
                <w:color w:val="212121"/>
                <w:sz w:val="19"/>
              </w:rPr>
              <w:t>Older users carry the longest cumulative exposure and the greatest burden of smoking-related COPD, cardiovascular disease and cancer; quitting still yields benefit but dependence is often deeply established.</w:t>
            </w:r>
          </w:p>
          <w:p>
            <w:pPr>
              <w:spacing w:after="40" w:before="60" w:line="259" w:lineRule="auto"/>
            </w:pPr>
            <w:r>
              <w:rPr>
                <w:rFonts w:ascii="Calibri" w:hAnsi="Calibri"/>
                <w:b w:val="0"/>
                <w:i w:val="0"/>
                <w:color w:val="212121"/>
                <w:sz w:val="19"/>
              </w:rPr>
              <w:t>Tobacco use is highest in the elderly, reaching 41.4% among Indians aged 65 and above (GATS-2).</w:t>
            </w:r>
          </w:p>
          <w:p>
            <w:pPr>
              <w:spacing w:after="40" w:line="252" w:lineRule="auto"/>
            </w:pPr>
            <w:hyperlink r:id="rId9">
              <w:r>
                <w:rPr>
                  <w:rFonts w:ascii="Calibri" w:hAnsi="Calibri" w:cs="Calibri"/>
                  <w:sz w:val="18"/>
                  <w:color w:val="1155CC"/>
                  <w:u w:val="single"/>
                </w:rPr>
                <w:t xml:space="preserve">ntcp.mohfw.gov.in - GATS-2 India fact sheet</w:t>
              </w:r>
            </w:hyperlink>
          </w:p>
          <w:p>
            <w:pPr>
              <w:spacing w:before="60" w:after="40"/>
            </w:pPr>
            <w:r>
              <w:rPr>
                <w:rFonts w:ascii="Calibri" w:hAnsi="Calibri"/>
                <w:b w:val="0"/>
                <w:i w:val="0"/>
                <w:color w:val="5A5A5A"/>
                <w:sz w:val="18"/>
              </w:rPr>
              <w:t>#elderly  #COPD  #cumulativeexposure  #cancer  #latequit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Tobacco use usually starts in the teens, when the developing brain is most vulnerable to nicotine; early initiation, peer influence and cheap sachets predict lifelong dependence and greater eventual harm.</w:t>
            </w:r>
          </w:p>
          <w:p>
            <w:pPr>
              <w:spacing w:after="40" w:before="60" w:line="259" w:lineRule="auto"/>
            </w:pPr>
            <w:r>
              <w:rPr>
                <w:rFonts w:ascii="Calibri" w:hAnsi="Calibri"/>
                <w:b w:val="0"/>
                <w:i w:val="0"/>
                <w:color w:val="212121"/>
                <w:sz w:val="19"/>
              </w:rPr>
              <w:t>Even among 15-24 year-olds, 12.4% already use tobacco (GATS-2), and most adult users began before age 18.</w:t>
            </w:r>
          </w:p>
          <w:p>
            <w:pPr>
              <w:spacing w:after="40" w:line="252" w:lineRule="auto"/>
            </w:pPr>
            <w:hyperlink r:id="rId10">
              <w:r>
                <w:rPr>
                  <w:rFonts w:ascii="Calibri" w:hAnsi="Calibri" w:cs="Calibri"/>
                  <w:sz w:val="18"/>
                  <w:color w:val="1155CC"/>
                  <w:u w:val="single"/>
                </w:rPr>
                <w:t xml:space="preserve">journals.sagepub.com - youth tobacco use, GATS-2 (Grover et al.)</w:t>
              </w:r>
            </w:hyperlink>
          </w:p>
          <w:p>
            <w:pPr>
              <w:spacing w:before="60" w:after="40"/>
            </w:pPr>
            <w:r>
              <w:rPr>
                <w:rFonts w:ascii="Calibri" w:hAnsi="Calibri"/>
                <w:b w:val="0"/>
                <w:i w:val="0"/>
                <w:color w:val="5A5A5A"/>
                <w:sz w:val="18"/>
              </w:rPr>
              <w:t>#adolescents  #earlyinitiation  #youth  #brainmaturation  #gateway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Gendered social norms, occupational and peer cultures and greater disposable income make smoking overwhelmingly male, though smokeless tobacco is used substantially by both sexes across much of India.</w:t>
            </w:r>
          </w:p>
          <w:p>
            <w:pPr>
              <w:spacing w:after="40" w:before="60" w:line="259" w:lineRule="auto"/>
            </w:pPr>
            <w:r>
              <w:rPr>
                <w:rFonts w:ascii="Calibri" w:hAnsi="Calibri"/>
                <w:b w:val="0"/>
                <w:i w:val="0"/>
                <w:color w:val="212121"/>
                <w:sz w:val="19"/>
              </w:rPr>
              <w:t>Current tobacco use is far higher in men (42.4%) than women (14.2%); for smoking the gap is widest (men 19.0% vs women 2.0%) (GATS-2).</w:t>
            </w:r>
          </w:p>
          <w:p>
            <w:pPr>
              <w:spacing w:after="40" w:line="252" w:lineRule="auto"/>
            </w:pPr>
            <w:hyperlink r:id="rId9">
              <w:r>
                <w:rPr>
                  <w:rFonts w:ascii="Calibri" w:hAnsi="Calibri" w:cs="Calibri"/>
                  <w:sz w:val="18"/>
                  <w:color w:val="1155CC"/>
                  <w:u w:val="single"/>
                </w:rPr>
                <w:t xml:space="preserve">ntcp.mohfw.gov.in - GATS-2 India fact sheet (sex differences)</w:t>
              </w:r>
            </w:hyperlink>
          </w:p>
          <w:p>
            <w:pPr>
              <w:spacing w:before="60" w:after="40"/>
            </w:pPr>
            <w:r>
              <w:rPr>
                <w:rFonts w:ascii="Calibri" w:hAnsi="Calibri"/>
                <w:b w:val="0"/>
                <w:i w:val="0"/>
                <w:color w:val="5A5A5A"/>
                <w:sz w:val="18"/>
              </w:rPr>
              <w:t>#male  #gendergap  #smoking  #occupational  #norms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less-educated groups</w:t>
            </w:r>
          </w:p>
        </w:tc>
        <w:tc>
          <w:tcPr>
            <w:tcW w:type="dxa" w:w="4276"/>
            <w:vAlign w:val="top"/>
          </w:tcPr>
          <w:p>
            <w:pPr>
              <w:spacing w:after="60" w:line="259" w:lineRule="auto"/>
            </w:pPr>
            <w:r>
              <w:rPr>
                <w:rFonts w:ascii="Calibri" w:hAnsi="Calibri"/>
                <w:b w:val="0"/>
                <w:i w:val="0"/>
                <w:color w:val="212121"/>
                <w:sz w:val="19"/>
              </w:rPr>
              <w:t>Cheap bidis and smokeless sachets, targeted marketing, lower awareness and limited access to cessation services concentrate tobacco use and its harms in poorer, less educated populations, deepening health and financial inequity.</w:t>
            </w:r>
          </w:p>
          <w:p>
            <w:pPr>
              <w:spacing w:after="40" w:before="60" w:line="259" w:lineRule="auto"/>
            </w:pPr>
            <w:r>
              <w:rPr>
                <w:rFonts w:ascii="Calibri" w:hAnsi="Calibri"/>
                <w:b w:val="0"/>
                <w:i w:val="0"/>
                <w:color w:val="212121"/>
                <w:sz w:val="19"/>
              </w:rPr>
              <w:t>Tobacco use is markedly higher in rural areas (smokeless use 24.6% rural vs 15.2% urban) and among lower-education groups (GATS-2).</w:t>
            </w:r>
          </w:p>
          <w:p>
            <w:pPr>
              <w:spacing w:after="40" w:line="252" w:lineRule="auto"/>
            </w:pPr>
            <w:hyperlink r:id="rId9">
              <w:r>
                <w:rPr>
                  <w:rFonts w:ascii="Calibri" w:hAnsi="Calibri" w:cs="Calibri"/>
                  <w:sz w:val="18"/>
                  <w:color w:val="1155CC"/>
                  <w:u w:val="single"/>
                </w:rPr>
                <w:t xml:space="preserve">ntcp.mohfw.gov.in - GATS-2 rural/urban pattern</w:t>
              </w:r>
            </w:hyperlink>
          </w:p>
          <w:p>
            <w:pPr>
              <w:spacing w:before="60" w:after="40"/>
            </w:pPr>
            <w:r>
              <w:rPr>
                <w:rFonts w:ascii="Calibri" w:hAnsi="Calibri"/>
                <w:b w:val="0"/>
                <w:i w:val="0"/>
                <w:color w:val="5A5A5A"/>
                <w:sz w:val="18"/>
              </w:rPr>
              <w:t>#poverty  #bidi  #lowliteracy  #ruralurban  #healthequity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residence</w:t>
            </w:r>
          </w:p>
        </w:tc>
        <w:tc>
          <w:tcPr>
            <w:tcW w:type="dxa" w:w="2160"/>
            <w:vAlign w:val="top"/>
          </w:tcPr>
          <w:p>
            <w:pPr>
              <w:spacing w:after="40" w:before="0" w:line="259" w:lineRule="auto"/>
            </w:pPr>
            <w:r>
              <w:rPr>
                <w:rFonts w:ascii="Calibri" w:hAnsi="Calibri"/>
                <w:b w:val="0"/>
                <w:i w:val="0"/>
                <w:color w:val="212121"/>
                <w:sz w:val="19"/>
              </w:rPr>
              <w:t>North-East India (Mizoram, Manipur, Meghalaya, Tripura)</w:t>
            </w:r>
          </w:p>
        </w:tc>
        <w:tc>
          <w:tcPr>
            <w:tcW w:type="dxa" w:w="4276"/>
            <w:vAlign w:val="top"/>
          </w:tcPr>
          <w:p>
            <w:pPr>
              <w:spacing w:after="60" w:line="259" w:lineRule="auto"/>
            </w:pPr>
            <w:r>
              <w:rPr>
                <w:rFonts w:ascii="Calibri" w:hAnsi="Calibri"/>
                <w:b w:val="0"/>
                <w:i w:val="0"/>
                <w:color w:val="212121"/>
                <w:sz w:val="19"/>
              </w:rPr>
              <w:t>Deep cultural embedding of both smoking and local smokeless products, high community prevalence and substantial female use make the North-East India's highest-burden region for tobacco.</w:t>
            </w:r>
          </w:p>
          <w:p>
            <w:pPr>
              <w:spacing w:after="40" w:before="60" w:line="259" w:lineRule="auto"/>
            </w:pPr>
            <w:r>
              <w:rPr>
                <w:rFonts w:ascii="Calibri" w:hAnsi="Calibri"/>
                <w:b w:val="0"/>
                <w:i w:val="0"/>
                <w:color w:val="212121"/>
                <w:sz w:val="19"/>
              </w:rPr>
              <w:t>NFHS-5 recorded tobacco use in 72.9% of men and 61.6% of women in Mizoram - the highest in India - with Manipur, Meghalaya and Tripura also far above the national average.</w:t>
            </w:r>
          </w:p>
          <w:p>
            <w:pPr>
              <w:spacing w:after="40" w:line="252" w:lineRule="auto"/>
            </w:pPr>
            <w:hyperlink r:id="rId11">
              <w:r>
                <w:rPr>
                  <w:rFonts w:ascii="Calibri" w:hAnsi="Calibri" w:cs="Calibri"/>
                  <w:sz w:val="18"/>
                  <w:color w:val="1155CC"/>
                  <w:u w:val="single"/>
                </w:rPr>
                <w:t xml:space="preserve">tobaccopreventioncessation.com - NFHS-5 state-wise tobacco use</w:t>
              </w:r>
            </w:hyperlink>
          </w:p>
          <w:p>
            <w:pPr>
              <w:spacing w:before="60" w:after="40"/>
            </w:pPr>
            <w:r>
              <w:rPr>
                <w:rFonts w:ascii="Calibri" w:hAnsi="Calibri"/>
                <w:b w:val="0"/>
                <w:i w:val="0"/>
                <w:color w:val="5A5A5A"/>
                <w:sz w:val="18"/>
              </w:rPr>
              <w:t>#northeast  #mizoram  #highprevalence  #femaleuse  #statevariation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Smokeless-tobacco belt</w:t>
            </w:r>
          </w:p>
        </w:tc>
        <w:tc>
          <w:tcPr>
            <w:tcW w:type="dxa" w:w="2160"/>
            <w:vAlign w:val="top"/>
          </w:tcPr>
          <w:p>
            <w:pPr>
              <w:spacing w:after="40" w:before="0" w:line="259" w:lineRule="auto"/>
            </w:pPr>
            <w:r>
              <w:rPr>
                <w:rFonts w:ascii="Calibri" w:hAnsi="Calibri"/>
                <w:b w:val="0"/>
                <w:i w:val="0"/>
                <w:color w:val="212121"/>
                <w:sz w:val="19"/>
              </w:rPr>
              <w:t>Rural North &amp; East India (UP, Bihar, Odisha, West Bengal)</w:t>
            </w:r>
          </w:p>
        </w:tc>
        <w:tc>
          <w:tcPr>
            <w:tcW w:type="dxa" w:w="4276"/>
            <w:vAlign w:val="top"/>
          </w:tcPr>
          <w:p>
            <w:pPr>
              <w:spacing w:after="60" w:line="259" w:lineRule="auto"/>
            </w:pPr>
            <w:r>
              <w:rPr>
                <w:rFonts w:ascii="Calibri" w:hAnsi="Calibri"/>
                <w:b w:val="0"/>
                <w:i w:val="0"/>
                <w:color w:val="212121"/>
                <w:sz w:val="19"/>
              </w:rPr>
              <w:t>Khaini, gutka, zarda and betel-quid with tobacco are woven into daily and social life across the northern and eastern plains, giving India the world's largest smokeless-tobacco-using population and a heavy oral-cancer burden.</w:t>
            </w:r>
          </w:p>
          <w:p>
            <w:pPr>
              <w:spacing w:after="40" w:before="60" w:line="259" w:lineRule="auto"/>
            </w:pPr>
            <w:r>
              <w:rPr>
                <w:rFonts w:ascii="Calibri" w:hAnsi="Calibri"/>
                <w:b w:val="0"/>
                <w:i w:val="0"/>
                <w:color w:val="212121"/>
                <w:sz w:val="19"/>
              </w:rPr>
              <w:t>Nearly 80% of the world's smokeless-tobacco users live in the WHO South-East Asia Region, with India the single largest contributor.</w:t>
            </w:r>
          </w:p>
          <w:p>
            <w:pPr>
              <w:spacing w:after="40" w:line="252" w:lineRule="auto"/>
            </w:pPr>
            <w:hyperlink r:id="rId12">
              <w:r>
                <w:rPr>
                  <w:rFonts w:ascii="Calibri" w:hAnsi="Calibri" w:cs="Calibri"/>
                  <w:sz w:val="18"/>
                  <w:color w:val="1155CC"/>
                  <w:u w:val="single"/>
                </w:rPr>
                <w:t xml:space="preserve">who.int - Smokeless Tobacco and Public Health in India</w:t>
              </w:r>
            </w:hyperlink>
          </w:p>
          <w:p>
            <w:pPr>
              <w:spacing w:before="60" w:after="40"/>
            </w:pPr>
            <w:r>
              <w:rPr>
                <w:rFonts w:ascii="Calibri" w:hAnsi="Calibri"/>
                <w:b w:val="0"/>
                <w:i w:val="0"/>
                <w:color w:val="5A5A5A"/>
                <w:sz w:val="18"/>
              </w:rPr>
              <w:t>#smokeless  #khaini  #gutka  #SLTbelt  #oralcancer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 form</w:t>
            </w:r>
          </w:p>
        </w:tc>
        <w:tc>
          <w:tcPr>
            <w:tcW w:type="dxa" w:w="2160"/>
            <w:vAlign w:val="top"/>
          </w:tcPr>
          <w:p>
            <w:pPr>
              <w:spacing w:after="40" w:before="0" w:line="259" w:lineRule="auto"/>
            </w:pPr>
            <w:r>
              <w:rPr>
                <w:rFonts w:ascii="Calibri" w:hAnsi="Calibri"/>
                <w:b w:val="0"/>
                <w:i w:val="0"/>
                <w:color w:val="212121"/>
                <w:sz w:val="19"/>
              </w:rPr>
              <w:t>Bidi smokers</w:t>
            </w:r>
          </w:p>
        </w:tc>
        <w:tc>
          <w:tcPr>
            <w:tcW w:type="dxa" w:w="4276"/>
            <w:vAlign w:val="top"/>
          </w:tcPr>
          <w:p>
            <w:pPr>
              <w:spacing w:after="60" w:line="259" w:lineRule="auto"/>
            </w:pPr>
            <w:r>
              <w:rPr>
                <w:rFonts w:ascii="Calibri" w:hAnsi="Calibri"/>
                <w:b w:val="0"/>
                <w:i w:val="0"/>
                <w:color w:val="212121"/>
                <w:sz w:val="19"/>
              </w:rPr>
              <w:t>Hand-rolled bidis, cheaper and unfiltered, deliver high tar and carbon monoxide and require deeper puffing; they are the dominant smoked form in India and carry high respiratory and cancer risk.</w:t>
            </w:r>
          </w:p>
          <w:p>
            <w:pPr>
              <w:spacing w:after="40" w:before="60" w:line="259" w:lineRule="auto"/>
            </w:pPr>
            <w:r>
              <w:rPr>
                <w:rFonts w:ascii="Calibri" w:hAnsi="Calibri"/>
                <w:b w:val="0"/>
                <w:i w:val="0"/>
                <w:color w:val="212121"/>
                <w:sz w:val="19"/>
              </w:rPr>
              <w:t>Bidi smoking (7.7%) is nearly twice as common as cigarette smoking (4.0%) among Indian adults (GATS-2), and bidi use showed a TB odds ratio of 4.49 in an Indian study.</w:t>
            </w:r>
          </w:p>
          <w:p>
            <w:pPr>
              <w:spacing w:after="40" w:line="252" w:lineRule="auto"/>
            </w:pPr>
            <w:hyperlink r:id="rId13">
              <w:r>
                <w:rPr>
                  <w:rFonts w:ascii="Calibri" w:hAnsi="Calibri" w:cs="Calibri"/>
                  <w:sz w:val="18"/>
                  <w:color w:val="1155CC"/>
                  <w:u w:val="single"/>
                </w:rPr>
                <w:t xml:space="preserve">academic.oup.com - tobacco smoking and TB risk, India</w:t>
              </w:r>
            </w:hyperlink>
          </w:p>
          <w:p>
            <w:pPr>
              <w:spacing w:before="60" w:after="40"/>
            </w:pPr>
            <w:r>
              <w:rPr>
                <w:rFonts w:ascii="Calibri" w:hAnsi="Calibri"/>
                <w:b w:val="0"/>
                <w:i w:val="0"/>
                <w:color w:val="5A5A5A"/>
                <w:sz w:val="18"/>
              </w:rPr>
              <w:t>#bidi  #tar  #carbonmonoxide  #respiratory  #TBrisk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Smokeless form</w:t>
            </w:r>
          </w:p>
        </w:tc>
        <w:tc>
          <w:tcPr>
            <w:tcW w:type="dxa" w:w="2160"/>
            <w:vAlign w:val="top"/>
          </w:tcPr>
          <w:p>
            <w:pPr>
              <w:spacing w:after="40" w:before="0" w:line="259" w:lineRule="auto"/>
            </w:pPr>
            <w:r>
              <w:rPr>
                <w:rFonts w:ascii="Calibri" w:hAnsi="Calibri"/>
                <w:b w:val="0"/>
                <w:i w:val="0"/>
                <w:color w:val="212121"/>
                <w:sz w:val="19"/>
              </w:rPr>
              <w:t>Gutka / khaini / zarda users</w:t>
            </w:r>
          </w:p>
        </w:tc>
        <w:tc>
          <w:tcPr>
            <w:tcW w:type="dxa" w:w="4276"/>
            <w:vAlign w:val="top"/>
          </w:tcPr>
          <w:p>
            <w:pPr>
              <w:spacing w:after="60" w:line="259" w:lineRule="auto"/>
            </w:pPr>
            <w:r>
              <w:rPr>
                <w:rFonts w:ascii="Calibri" w:hAnsi="Calibri"/>
                <w:b w:val="0"/>
                <w:i w:val="0"/>
                <w:color w:val="212121"/>
                <w:sz w:val="19"/>
              </w:rPr>
              <w:t>Smokeless products held in the mouth give prolonged mucosal nicotine and carcinogen contact; combined with areca nut they cause oral submucous fibrosis, leukoplakia and oral cancer while sustaining strong dependence.</w:t>
            </w:r>
          </w:p>
          <w:p>
            <w:pPr>
              <w:spacing w:after="40" w:before="60" w:line="259" w:lineRule="auto"/>
            </w:pPr>
            <w:r>
              <w:rPr>
                <w:rFonts w:ascii="Calibri" w:hAnsi="Calibri"/>
                <w:b w:val="0"/>
                <w:i w:val="0"/>
                <w:color w:val="212121"/>
                <w:sz w:val="19"/>
              </w:rPr>
              <w:t>Smokeless tobacco is used by 21.4% of Indian adults (men 29.6%, women 12.8%) - more than double the rate of smoking (GATS-2).</w:t>
            </w:r>
          </w:p>
          <w:p>
            <w:pPr>
              <w:spacing w:after="40" w:line="252" w:lineRule="auto"/>
            </w:pPr>
            <w:hyperlink r:id="rId9">
              <w:r>
                <w:rPr>
                  <w:rFonts w:ascii="Calibri" w:hAnsi="Calibri" w:cs="Calibri"/>
                  <w:sz w:val="18"/>
                  <w:color w:val="1155CC"/>
                  <w:u w:val="single"/>
                </w:rPr>
                <w:t xml:space="preserve">ntcp.mohfw.gov.in - GATS-2 smokeless-tobacco prevalence</w:t>
              </w:r>
            </w:hyperlink>
          </w:p>
          <w:p>
            <w:pPr>
              <w:spacing w:before="60" w:after="40"/>
            </w:pPr>
            <w:r>
              <w:rPr>
                <w:rFonts w:ascii="Calibri" w:hAnsi="Calibri"/>
                <w:b w:val="0"/>
                <w:i w:val="0"/>
                <w:color w:val="5A5A5A"/>
                <w:sz w:val="18"/>
              </w:rPr>
              <w:t>#gutka  #khaini  #smokeless  #OSMF  #oralcancer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co-use</w:t>
            </w:r>
          </w:p>
        </w:tc>
        <w:tc>
          <w:tcPr>
            <w:tcW w:type="dxa" w:w="2160"/>
            <w:vAlign w:val="top"/>
          </w:tcPr>
          <w:p>
            <w:pPr>
              <w:spacing w:after="40" w:before="0" w:line="259" w:lineRule="auto"/>
            </w:pPr>
            <w:r>
              <w:rPr>
                <w:rFonts w:ascii="Calibri" w:hAnsi="Calibri"/>
                <w:b w:val="0"/>
                <w:i w:val="0"/>
                <w:color w:val="212121"/>
                <w:sz w:val="19"/>
              </w:rPr>
              <w:t>Dual tobacco-alcohol users</w:t>
            </w:r>
          </w:p>
        </w:tc>
        <w:tc>
          <w:tcPr>
            <w:tcW w:type="dxa" w:w="4276"/>
            <w:vAlign w:val="top"/>
          </w:tcPr>
          <w:p>
            <w:pPr>
              <w:spacing w:after="60" w:line="259" w:lineRule="auto"/>
            </w:pPr>
            <w:r>
              <w:rPr>
                <w:rFonts w:ascii="Calibri" w:hAnsi="Calibri"/>
                <w:b w:val="0"/>
                <w:i w:val="0"/>
                <w:color w:val="212121"/>
                <w:sz w:val="19"/>
              </w:rPr>
              <w:t>Tobacco and alcohol are strongly co-used, sharing reward pathways and social settings; each reinforces the other, complicates cessation and multiplies cancer, cardiovascular and tuberculosis risk.</w:t>
            </w:r>
          </w:p>
          <w:p>
            <w:pPr>
              <w:spacing w:after="40" w:before="60" w:line="259" w:lineRule="auto"/>
            </w:pPr>
            <w:r>
              <w:rPr>
                <w:rFonts w:ascii="Calibri" w:hAnsi="Calibri"/>
                <w:b w:val="0"/>
                <w:i w:val="0"/>
                <w:color w:val="212121"/>
                <w:sz w:val="19"/>
              </w:rPr>
              <w:t>Tobacco and harmful alcohol use cluster strongly, and combined use greatly worsens cancer, cardiovascular and TB-treatment outcomes.</w:t>
            </w:r>
          </w:p>
          <w:p>
            <w:pPr>
              <w:spacing w:after="40" w:line="252" w:lineRule="auto"/>
            </w:pPr>
            <w:hyperlink r:id="rId14">
              <w:r>
                <w:rPr>
                  <w:rFonts w:ascii="Calibri" w:hAnsi="Calibri" w:cs="Calibri"/>
                  <w:sz w:val="18"/>
                  <w:color w:val="1155CC"/>
                  <w:u w:val="single"/>
                </w:rPr>
                <w:t xml:space="preserve">plos.one - smoking, alcohol &amp; TB outcomes (India)</w:t>
              </w:r>
            </w:hyperlink>
          </w:p>
          <w:p>
            <w:pPr>
              <w:spacing w:before="60" w:after="40"/>
            </w:pPr>
            <w:r>
              <w:rPr>
                <w:rFonts w:ascii="Calibri" w:hAnsi="Calibri"/>
                <w:b w:val="0"/>
                <w:i w:val="0"/>
                <w:color w:val="5A5A5A"/>
                <w:sz w:val="18"/>
              </w:rPr>
              <w:t>#alcohol  #dualuse  #reward  #synergy  #cancerrisk</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Areca-nut / betel-quid co-use</w:t>
            </w:r>
          </w:p>
        </w:tc>
        <w:tc>
          <w:tcPr>
            <w:tcW w:type="dxa" w:w="2160"/>
            <w:vAlign w:val="top"/>
          </w:tcPr>
          <w:p>
            <w:pPr>
              <w:spacing w:after="40" w:before="0" w:line="259" w:lineRule="auto"/>
            </w:pPr>
            <w:r>
              <w:rPr>
                <w:rFonts w:ascii="Calibri" w:hAnsi="Calibri"/>
                <w:b w:val="0"/>
                <w:i w:val="0"/>
                <w:color w:val="212121"/>
                <w:sz w:val="19"/>
              </w:rPr>
              <w:t>Paan / gutka chewers (tobacco + areca nut)</w:t>
            </w:r>
          </w:p>
        </w:tc>
        <w:tc>
          <w:tcPr>
            <w:tcW w:type="dxa" w:w="4276"/>
            <w:vAlign w:val="top"/>
          </w:tcPr>
          <w:p>
            <w:pPr>
              <w:spacing w:after="60" w:line="259" w:lineRule="auto"/>
            </w:pPr>
            <w:r>
              <w:rPr>
                <w:rFonts w:ascii="Calibri" w:hAnsi="Calibri"/>
                <w:b w:val="0"/>
                <w:i w:val="0"/>
                <w:color w:val="212121"/>
                <w:sz w:val="19"/>
              </w:rPr>
              <w:t>Areca nut is itself a carcinogen and is habitually combined with tobacco in paan and gutka; the pairing intensifies dependence and is the principal cause of oral submucous fibrosis, a pre-malignant condition largely specific to South Asia.</w:t>
            </w:r>
          </w:p>
          <w:p>
            <w:pPr>
              <w:spacing w:after="40" w:before="60" w:line="259" w:lineRule="auto"/>
            </w:pPr>
            <w:r>
              <w:rPr>
                <w:rFonts w:ascii="Calibri" w:hAnsi="Calibri"/>
                <w:b w:val="0"/>
                <w:i w:val="0"/>
                <w:color w:val="212121"/>
                <w:sz w:val="19"/>
              </w:rPr>
              <w:t>At least 90% of oral cancers in India are attributable to tobacco in some form, and more than half to smokeless tobacco - about 85,000 new male and 34,000 new female cases a year.</w:t>
            </w:r>
          </w:p>
          <w:p>
            <w:pPr>
              <w:spacing w:after="40" w:line="252" w:lineRule="auto"/>
            </w:pPr>
            <w:hyperlink r:id="rId12">
              <w:r>
                <w:rPr>
                  <w:rFonts w:ascii="Calibri" w:hAnsi="Calibri" w:cs="Calibri"/>
                  <w:sz w:val="18"/>
                  <w:color w:val="1155CC"/>
                  <w:u w:val="single"/>
                </w:rPr>
                <w:t xml:space="preserve">who.int - smokeless tobacco &amp; oral cancer, India</w:t>
              </w:r>
            </w:hyperlink>
          </w:p>
          <w:p>
            <w:pPr>
              <w:spacing w:before="60" w:after="40"/>
            </w:pPr>
            <w:r>
              <w:rPr>
                <w:rFonts w:ascii="Calibri" w:hAnsi="Calibri"/>
                <w:b w:val="0"/>
                <w:i w:val="0"/>
                <w:color w:val="5A5A5A"/>
                <w:sz w:val="18"/>
              </w:rPr>
              <w:t>#arecanut  #betelquid  #paan  #OSMF  #oralcancer</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Children of tobacco users</w:t>
            </w:r>
          </w:p>
        </w:tc>
        <w:tc>
          <w:tcPr>
            <w:tcW w:type="dxa" w:w="4276"/>
            <w:vAlign w:val="top"/>
          </w:tcPr>
          <w:p>
            <w:pPr>
              <w:spacing w:after="60" w:line="259" w:lineRule="auto"/>
            </w:pPr>
            <w:r>
              <w:rPr>
                <w:rFonts w:ascii="Calibri" w:hAnsi="Calibri"/>
                <w:b w:val="0"/>
                <w:i w:val="0"/>
                <w:color w:val="212121"/>
                <w:sz w:val="19"/>
              </w:rPr>
              <w:t>Nicotine dependence clusters in families through both inherited reward and metabolism differences and strong modelling of the habit; children of users are far more likely to start and to become dependent.</w:t>
            </w:r>
          </w:p>
          <w:p>
            <w:pPr>
              <w:spacing w:after="40" w:before="60" w:line="259" w:lineRule="auto"/>
            </w:pPr>
            <w:r>
              <w:rPr>
                <w:rFonts w:ascii="Calibri" w:hAnsi="Calibri"/>
                <w:b w:val="0"/>
                <w:i w:val="0"/>
                <w:color w:val="212121"/>
                <w:sz w:val="19"/>
              </w:rPr>
              <w:t>Twin studies estimate the heritability of nicotine dependence at roughly 50-75%, among the highest of any substance-use disorder.</w:t>
            </w:r>
          </w:p>
          <w:p>
            <w:pPr>
              <w:spacing w:before="60" w:after="40"/>
            </w:pPr>
            <w:r>
              <w:rPr>
                <w:rFonts w:ascii="Calibri" w:hAnsi="Calibri"/>
                <w:b w:val="0"/>
                <w:i w:val="0"/>
                <w:color w:val="5A5A5A"/>
                <w:sz w:val="18"/>
              </w:rPr>
              <w:t>#familyhistory  #heritability  #modelling  #reward  #initiation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gene variants</w:t>
            </w:r>
          </w:p>
        </w:tc>
        <w:tc>
          <w:tcPr>
            <w:tcW w:type="dxa" w:w="2160"/>
            <w:vAlign w:val="top"/>
          </w:tcPr>
          <w:p>
            <w:pPr>
              <w:spacing w:after="40" w:before="0" w:line="259" w:lineRule="auto"/>
            </w:pPr>
            <w:r>
              <w:rPr>
                <w:rFonts w:ascii="Calibri" w:hAnsi="Calibri"/>
                <w:b w:val="0"/>
                <w:i w:val="0"/>
                <w:color w:val="212121"/>
                <w:sz w:val="19"/>
              </w:rPr>
              <w:t>CHRNA5-A3-B4 / CYP2A6 variant carriers</w:t>
            </w:r>
          </w:p>
        </w:tc>
        <w:tc>
          <w:tcPr>
            <w:tcW w:type="dxa" w:w="4276"/>
            <w:vAlign w:val="top"/>
          </w:tcPr>
          <w:p>
            <w:pPr>
              <w:spacing w:after="60" w:line="259" w:lineRule="auto"/>
            </w:pPr>
            <w:r>
              <w:rPr>
                <w:rFonts w:ascii="Calibri" w:hAnsi="Calibri"/>
                <w:b w:val="0"/>
                <w:i w:val="0"/>
                <w:color w:val="212121"/>
                <w:sz w:val="19"/>
              </w:rPr>
              <w:t>Variants in the nicotinic-receptor gene cluster (CHRNA5-A3-B4) raise consumption and dependence, while CYP2A6 nicotine-metabolism variants alter how much and how often a person smokes and the likelihood of successful quitting.</w:t>
            </w:r>
          </w:p>
          <w:p>
            <w:pPr>
              <w:spacing w:after="40" w:before="60" w:line="259" w:lineRule="auto"/>
            </w:pPr>
            <w:r>
              <w:rPr>
                <w:rFonts w:ascii="Calibri" w:hAnsi="Calibri"/>
                <w:b w:val="0"/>
                <w:i w:val="0"/>
                <w:color w:val="212121"/>
                <w:sz w:val="19"/>
              </w:rPr>
              <w:t>CHRNA5-A3-B4 and CYP2A6 are the best-established genetic modifiers of nicotine dependence, cigarette consumption and cessation outcome.</w:t>
            </w:r>
          </w:p>
          <w:p>
            <w:pPr>
              <w:spacing w:before="60" w:after="40"/>
            </w:pPr>
            <w:r>
              <w:rPr>
                <w:rFonts w:ascii="Calibri" w:hAnsi="Calibri"/>
                <w:b w:val="0"/>
                <w:i w:val="0"/>
                <w:color w:val="5A5A5A"/>
                <w:sz w:val="18"/>
              </w:rPr>
              <w:t>#CHRNA5  #CYP2A6  #pharmacogenetics  #nicotinemetabolism  #dependence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Severe mental illness</w:t>
            </w:r>
          </w:p>
        </w:tc>
        <w:tc>
          <w:tcPr>
            <w:tcW w:type="dxa" w:w="2160"/>
            <w:vAlign w:val="top"/>
          </w:tcPr>
          <w:p>
            <w:pPr>
              <w:spacing w:after="40" w:before="0" w:line="259" w:lineRule="auto"/>
            </w:pPr>
            <w:r>
              <w:rPr>
                <w:rFonts w:ascii="Calibri" w:hAnsi="Calibri"/>
                <w:b w:val="0"/>
                <w:i w:val="0"/>
                <w:color w:val="212121"/>
                <w:sz w:val="19"/>
              </w:rPr>
              <w:t>Patients with schizophrenia, depression or bipolar disorder</w:t>
            </w:r>
          </w:p>
        </w:tc>
        <w:tc>
          <w:tcPr>
            <w:tcW w:type="dxa" w:w="4276"/>
            <w:vAlign w:val="top"/>
          </w:tcPr>
          <w:p>
            <w:pPr>
              <w:spacing w:after="60" w:line="259" w:lineRule="auto"/>
            </w:pPr>
            <w:r>
              <w:rPr>
                <w:rFonts w:ascii="Calibri" w:hAnsi="Calibri"/>
                <w:b w:val="0"/>
                <w:i w:val="0"/>
                <w:color w:val="212121"/>
                <w:sz w:val="19"/>
              </w:rPr>
              <w:t>Tobacco use is far commoner in serious mental illness through self-medication, shared neurobiology and institutional culture; it worsens physical health and is a leading cause of the early mortality seen in these patients.</w:t>
            </w:r>
          </w:p>
          <w:p>
            <w:pPr>
              <w:spacing w:after="40" w:before="60" w:line="259" w:lineRule="auto"/>
            </w:pPr>
            <w:r>
              <w:rPr>
                <w:rFonts w:ascii="Calibri" w:hAnsi="Calibri"/>
                <w:b w:val="0"/>
                <w:i w:val="0"/>
                <w:color w:val="212121"/>
                <w:sz w:val="19"/>
              </w:rPr>
              <w:t>Among South-Asian people with severe mental illness, current tobacco use reached 35.3% in Indian men and 10.7% in Indian women, and Indian tobacco users had far higher depression scores (moderate/severe PHQ-9 38.2% vs 19.9%).</w:t>
            </w:r>
          </w:p>
          <w:p>
            <w:pPr>
              <w:spacing w:after="40" w:line="252" w:lineRule="auto"/>
            </w:pPr>
            <w:hyperlink r:id="rId15">
              <w:r>
                <w:rPr>
                  <w:rFonts w:ascii="Calibri" w:hAnsi="Calibri" w:cs="Calibri"/>
                  <w:sz w:val="18"/>
                  <w:color w:val="1155CC"/>
                  <w:u w:val="single"/>
                </w:rPr>
                <w:t xml:space="preserve">tobaccoinduceddiseases.org - tobacco use in severe mental illness, South Asia</w:t>
              </w:r>
            </w:hyperlink>
          </w:p>
          <w:p>
            <w:pPr>
              <w:spacing w:before="60" w:after="40"/>
            </w:pPr>
            <w:r>
              <w:rPr>
                <w:rFonts w:ascii="Calibri" w:hAnsi="Calibri"/>
                <w:b w:val="0"/>
                <w:i w:val="0"/>
                <w:color w:val="5A5A5A"/>
                <w:sz w:val="18"/>
              </w:rPr>
              <w:t>#mentalillness  #schizophrenia  #depression  #selfmedication  #earlymortality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respiratory disease</w:t>
            </w:r>
          </w:p>
        </w:tc>
        <w:tc>
          <w:tcPr>
            <w:tcW w:type="dxa" w:w="2160"/>
            <w:vAlign w:val="top"/>
          </w:tcPr>
          <w:p>
            <w:pPr>
              <w:spacing w:after="40" w:before="0" w:line="259" w:lineRule="auto"/>
            </w:pPr>
            <w:r>
              <w:rPr>
                <w:rFonts w:ascii="Calibri" w:hAnsi="Calibri"/>
                <w:b w:val="0"/>
                <w:i w:val="0"/>
                <w:color w:val="212121"/>
                <w:sz w:val="19"/>
              </w:rPr>
              <w:t>Patients with COPD / chronic bronchitis</w:t>
            </w:r>
          </w:p>
        </w:tc>
        <w:tc>
          <w:tcPr>
            <w:tcW w:type="dxa" w:w="4276"/>
            <w:vAlign w:val="top"/>
          </w:tcPr>
          <w:p>
            <w:pPr>
              <w:spacing w:after="60" w:line="259" w:lineRule="auto"/>
            </w:pPr>
            <w:r>
              <w:rPr>
                <w:rFonts w:ascii="Calibri" w:hAnsi="Calibri"/>
                <w:b w:val="0"/>
                <w:i w:val="0"/>
                <w:color w:val="212121"/>
                <w:sz w:val="19"/>
              </w:rPr>
              <w:t>Smoking, especially bidi smoking, is the leading cause of chronic obstructive pulmonary disease; continued use accelerates lung-function decline, exacerbations and respiratory failure, and quitting is the single most effective intervention.</w:t>
            </w:r>
          </w:p>
          <w:p>
            <w:pPr>
              <w:spacing w:after="40" w:before="60" w:line="259" w:lineRule="auto"/>
            </w:pPr>
            <w:r>
              <w:rPr>
                <w:rFonts w:ascii="Calibri" w:hAnsi="Calibri"/>
                <w:b w:val="0"/>
                <w:i w:val="0"/>
                <w:color w:val="212121"/>
                <w:sz w:val="19"/>
              </w:rPr>
              <w:t>Tobacco smoking is the dominant cause of COPD, and India carries a very large share of the global COPD burden and its deaths.</w:t>
            </w:r>
          </w:p>
          <w:p>
            <w:pPr>
              <w:spacing w:before="60" w:after="40"/>
            </w:pPr>
            <w:r>
              <w:rPr>
                <w:rFonts w:ascii="Calibri" w:hAnsi="Calibri"/>
                <w:b w:val="0"/>
                <w:i w:val="0"/>
                <w:color w:val="5A5A5A"/>
                <w:sz w:val="18"/>
              </w:rPr>
              <w:t>#COPD  #chronicbronchitis  #emphysema  #lungfunction  #bidi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Tuberculosis</w:t>
            </w:r>
          </w:p>
        </w:tc>
        <w:tc>
          <w:tcPr>
            <w:tcW w:type="dxa" w:w="2160"/>
            <w:vAlign w:val="top"/>
          </w:tcPr>
          <w:p>
            <w:pPr>
              <w:spacing w:after="40" w:before="0" w:line="259" w:lineRule="auto"/>
            </w:pPr>
            <w:r>
              <w:rPr>
                <w:rFonts w:ascii="Calibri" w:hAnsi="Calibri"/>
                <w:b w:val="0"/>
                <w:i w:val="0"/>
                <w:color w:val="212121"/>
                <w:sz w:val="19"/>
              </w:rPr>
              <w:t>Patients with pulmonary TB</w:t>
            </w:r>
          </w:p>
        </w:tc>
        <w:tc>
          <w:tcPr>
            <w:tcW w:type="dxa" w:w="4276"/>
            <w:vAlign w:val="top"/>
          </w:tcPr>
          <w:p>
            <w:pPr>
              <w:spacing w:after="60" w:line="259" w:lineRule="auto"/>
            </w:pPr>
            <w:r>
              <w:rPr>
                <w:rFonts w:ascii="Calibri" w:hAnsi="Calibri"/>
                <w:b w:val="0"/>
                <w:i w:val="0"/>
                <w:color w:val="212121"/>
                <w:sz w:val="19"/>
              </w:rPr>
              <w:t>Tobacco smoke impairs mucociliary clearance and alveolar-macrophage immunity, raising the risk of TB infection, active disease and death; the association is strong and dose-dependent in India, where both diseases are common.</w:t>
            </w:r>
          </w:p>
          <w:p>
            <w:pPr>
              <w:spacing w:after="40" w:before="60" w:line="259" w:lineRule="auto"/>
            </w:pPr>
            <w:r>
              <w:rPr>
                <w:rFonts w:ascii="Calibri" w:hAnsi="Calibri"/>
                <w:b w:val="0"/>
                <w:i w:val="0"/>
                <w:color w:val="212121"/>
                <w:sz w:val="19"/>
              </w:rPr>
              <w:t>An Indian case-control study found smoking was associated with about 3.53 times higher odds of tuberculosis (bidi smoking 4.49), with clear dose-response by amount and duration.</w:t>
            </w:r>
          </w:p>
          <w:p>
            <w:pPr>
              <w:spacing w:after="40" w:line="252" w:lineRule="auto"/>
            </w:pPr>
            <w:hyperlink r:id="rId13">
              <w:r>
                <w:rPr>
                  <w:rFonts w:ascii="Calibri" w:hAnsi="Calibri" w:cs="Calibri"/>
                  <w:sz w:val="18"/>
                  <w:color w:val="1155CC"/>
                  <w:u w:val="single"/>
                </w:rPr>
                <w:t xml:space="preserve">academic.oup.com - smoking and tuberculosis, India (case-control)</w:t>
              </w:r>
            </w:hyperlink>
          </w:p>
          <w:p>
            <w:pPr>
              <w:spacing w:before="60" w:after="40"/>
            </w:pPr>
            <w:r>
              <w:rPr>
                <w:rFonts w:ascii="Calibri" w:hAnsi="Calibri"/>
                <w:b w:val="0"/>
                <w:i w:val="0"/>
                <w:color w:val="5A5A5A"/>
                <w:sz w:val="18"/>
              </w:rPr>
              <w:t>#tuberculosis  #immunity  #doseresponse  #bidi  #syndemic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Cardiovascular disease</w:t>
            </w:r>
          </w:p>
        </w:tc>
        <w:tc>
          <w:tcPr>
            <w:tcW w:type="dxa" w:w="2160"/>
            <w:vAlign w:val="top"/>
          </w:tcPr>
          <w:p>
            <w:pPr>
              <w:spacing w:after="40" w:before="0" w:line="259" w:lineRule="auto"/>
            </w:pPr>
            <w:r>
              <w:rPr>
                <w:rFonts w:ascii="Calibri" w:hAnsi="Calibri"/>
                <w:b w:val="0"/>
                <w:i w:val="0"/>
                <w:color w:val="212121"/>
                <w:sz w:val="19"/>
              </w:rPr>
              <w:t>Patients with coronary artery disease / stroke risk</w:t>
            </w:r>
          </w:p>
        </w:tc>
        <w:tc>
          <w:tcPr>
            <w:tcW w:type="dxa" w:w="4276"/>
            <w:vAlign w:val="top"/>
          </w:tcPr>
          <w:p>
            <w:pPr>
              <w:spacing w:after="60" w:line="259" w:lineRule="auto"/>
            </w:pPr>
            <w:r>
              <w:rPr>
                <w:rFonts w:ascii="Calibri" w:hAnsi="Calibri"/>
                <w:b w:val="0"/>
                <w:i w:val="0"/>
                <w:color w:val="212121"/>
                <w:sz w:val="19"/>
              </w:rPr>
              <w:t>Nicotine and combustion products accelerate atherosclerosis, raise blood pressure and heart rate, promote thrombosis and reduce oxygen delivery, driving premature heart attack, stroke and peripheral vascular disease even at low exposure.</w:t>
            </w:r>
          </w:p>
          <w:p>
            <w:pPr>
              <w:spacing w:after="40" w:before="60" w:line="259" w:lineRule="auto"/>
            </w:pPr>
            <w:r>
              <w:rPr>
                <w:rFonts w:ascii="Calibri" w:hAnsi="Calibri"/>
                <w:b w:val="0"/>
                <w:i w:val="0"/>
                <w:color w:val="212121"/>
                <w:sz w:val="19"/>
              </w:rPr>
              <w:t>Tobacco is a major, independent and dose-related risk factor for cardiovascular disease and stroke; even smokeless tobacco raises myocardial-infarction and stroke risk.</w:t>
            </w:r>
          </w:p>
          <w:p>
            <w:pPr>
              <w:spacing w:after="40" w:line="252" w:lineRule="auto"/>
            </w:pPr>
            <w:hyperlink r:id="rId12">
              <w:r>
                <w:rPr>
                  <w:rFonts w:ascii="Calibri" w:hAnsi="Calibri" w:cs="Calibri"/>
                  <w:sz w:val="18"/>
                  <w:color w:val="1155CC"/>
                  <w:u w:val="single"/>
                </w:rPr>
                <w:t xml:space="preserve">who.int - cardiovascular effects of (smokeless) tobacco</w:t>
              </w:r>
            </w:hyperlink>
          </w:p>
          <w:p>
            <w:pPr>
              <w:spacing w:before="60" w:after="40"/>
            </w:pPr>
            <w:r>
              <w:rPr>
                <w:rFonts w:ascii="Calibri" w:hAnsi="Calibri"/>
                <w:b w:val="0"/>
                <w:i w:val="0"/>
                <w:color w:val="5A5A5A"/>
                <w:sz w:val="18"/>
              </w:rPr>
              <w:t>#cardiovascular  #atherosclerosis  #stroke  #MI  #thrombosis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clusters with tobacco use, and structured exercise reduces craving, withdrawal severity, negative mood and post-cessation weight gain, making it a useful adjunct in quitting though not a treatment by itself.</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Nicotine suppresses appetite and raises metabolic rate, so cessation commonly brings modest weight gain; smokeless tobacco and areca-nut betel-quid are taken with or after meals, and a fruit- and vegetable-rich diet supports quitting.</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Nicotine is a stimulant that lengthens sleep latency and lightens sleep, while night-time withdrawal fragments it; insomnia and vivid dreams are prominent withdrawal symptoms and a common relapse trigger during early abstinence.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is the causal exposure itself - the form (bidi, cigarette, smokeless), amount per day, age at initiation and cumulative pack-years determine the onset, severity and complications of dependence; there is no safe level of use.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and tobacco dependence strongly co-occur through shared reward pathways and social settings; drinking is a powerful cue to smoke, co-use multiplies cancer and cardiovascular risk, and each makes quitting the other harder.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anxiety and severe mental illness are bidirectionally linked with tobacco use; users self-medicate distress, withdrawal transiently worsens mood, and people with serious mental illness use tobacco at far higher rates and account for much of its harm.</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Sipping water and oral substitutes help manage cravings and the dry mouth of withdrawal and cessation aids, but hydration has no direct role in causing or preventing dependence.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induces the CYP1A2 enzyme and speeds caffeine metabolism, so heavy users often drink more coffee/tea; on quitting, caffeine levels can rise and heighten jitteriness, and coffee is a common smoking cue, so intake may need trimming during cessation.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causes tooth staining, halitosis, gum disease and pre-malignant oral lesions; good oral hygiene and regular dental/oral screening are important, especially for smokeless users, both to reduce harm and to detect early cancer.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Stress, negative emotions, alcohol, after-meal and after-tea routines, peer and social cues, festivals and easy availability are classic triggers of tobacco use and of relapse after quitting; identifying and managing cues is central to cessation.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All smokers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&gt;= 1 per day (&gt;= 20/day = heavy)</w:t>
            </w:r>
          </w:p>
        </w:tc>
        <w:tc>
          <w:tcPr>
            <w:tcW w:type="dxa" w:w="1468"/>
            <w:vAlign w:val="top"/>
          </w:tcPr>
          <w:p>
            <w:pPr>
              <w:spacing w:after="40" w:before="0" w:line="259" w:lineRule="auto"/>
            </w:pPr>
            <w:r>
              <w:rPr>
                <w:rFonts w:ascii="Calibri" w:hAnsi="Calibri"/>
                <w:b w:val="0"/>
                <w:i w:val="0"/>
                <w:color w:val="212121"/>
                <w:sz w:val="19"/>
              </w:rPr>
              <w:t>Daily amount drives dependence and dose-related harm</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Cumulative pack-years</w:t>
            </w:r>
          </w:p>
        </w:tc>
        <w:tc>
          <w:tcPr>
            <w:tcW w:type="dxa" w:w="1655"/>
            <w:vAlign w:val="top"/>
          </w:tcPr>
          <w:p>
            <w:pPr>
              <w:spacing w:after="40" w:before="0" w:line="259" w:lineRule="auto"/>
            </w:pPr>
            <w:r>
              <w:rPr>
                <w:rFonts w:ascii="Calibri" w:hAnsi="Calibri"/>
                <w:b w:val="0"/>
                <w:i w:val="0"/>
                <w:color w:val="212121"/>
                <w:sz w:val="19"/>
              </w:rPr>
              <w:t>Current &amp; ex-smokers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&gt;= 20 pack-years (high cancer/COPD risk)</w:t>
            </w:r>
          </w:p>
        </w:tc>
        <w:tc>
          <w:tcPr>
            <w:tcW w:type="dxa" w:w="1468"/>
            <w:vAlign w:val="top"/>
          </w:tcPr>
          <w:p>
            <w:pPr>
              <w:spacing w:after="40" w:before="0" w:line="259" w:lineRule="auto"/>
            </w:pPr>
            <w:r>
              <w:rPr>
                <w:rFonts w:ascii="Calibri" w:hAnsi="Calibri"/>
                <w:b w:val="0"/>
                <w:i w:val="0"/>
                <w:color w:val="212121"/>
                <w:sz w:val="19"/>
              </w:rPr>
              <w:t>(cigarettes per day / 20) x years smoked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Fagerstrom score (FTND)</w:t>
            </w:r>
          </w:p>
        </w:tc>
        <w:tc>
          <w:tcPr>
            <w:tcW w:type="dxa" w:w="1655"/>
            <w:vAlign w:val="top"/>
          </w:tcPr>
          <w:p>
            <w:pPr>
              <w:spacing w:after="40" w:before="0" w:line="259" w:lineRule="auto"/>
            </w:pPr>
            <w:r>
              <w:rPr>
                <w:rFonts w:ascii="Calibri" w:hAnsi="Calibri"/>
                <w:b w:val="0"/>
                <w:i w:val="0"/>
                <w:color w:val="212121"/>
                <w:sz w:val="19"/>
              </w:rPr>
              <w:t>Tobacco users</w:t>
            </w:r>
          </w:p>
        </w:tc>
        <w:tc>
          <w:tcPr>
            <w:tcW w:type="dxa" w:w="1512"/>
            <w:vAlign w:val="top"/>
          </w:tcPr>
          <w:p>
            <w:pPr>
              <w:spacing w:after="40" w:before="0" w:line="259" w:lineRule="auto"/>
            </w:pPr>
            <w:r>
              <w:rPr>
                <w:rFonts w:ascii="Calibri" w:hAnsi="Calibri"/>
                <w:b w:val="0"/>
                <w:i w:val="0"/>
                <w:color w:val="212121"/>
                <w:sz w:val="19"/>
              </w:rPr>
              <w:t>0-2 (very low)</w:t>
            </w:r>
          </w:p>
        </w:tc>
        <w:tc>
          <w:tcPr>
            <w:tcW w:type="dxa" w:w="1512"/>
            <w:vAlign w:val="top"/>
          </w:tcPr>
          <w:p>
            <w:pPr>
              <w:spacing w:after="40" w:before="0" w:line="259" w:lineRule="auto"/>
            </w:pPr>
            <w:r>
              <w:rPr>
                <w:rFonts w:ascii="Calibri" w:hAnsi="Calibri"/>
                <w:b w:val="0"/>
                <w:i w:val="0"/>
                <w:color w:val="212121"/>
                <w:sz w:val="19"/>
              </w:rPr>
              <w:t>&gt;= 6 (high dependence)</w:t>
            </w:r>
          </w:p>
        </w:tc>
        <w:tc>
          <w:tcPr>
            <w:tcW w:type="dxa" w:w="1468"/>
            <w:vAlign w:val="top"/>
          </w:tcPr>
          <w:p>
            <w:pPr>
              <w:spacing w:after="40" w:before="0" w:line="259" w:lineRule="auto"/>
            </w:pPr>
            <w:r>
              <w:rPr>
                <w:rFonts w:ascii="Calibri" w:hAnsi="Calibri"/>
                <w:b w:val="0"/>
                <w:i w:val="0"/>
                <w:color w:val="212121"/>
                <w:sz w:val="19"/>
              </w:rPr>
              <w:t>Grades physiological nicotine dependence (0-10)</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Time to first cigarette after waking</w:t>
            </w:r>
          </w:p>
        </w:tc>
        <w:tc>
          <w:tcPr>
            <w:tcW w:type="dxa" w:w="1655"/>
            <w:vAlign w:val="top"/>
          </w:tcPr>
          <w:p>
            <w:pPr>
              <w:spacing w:after="40" w:before="0" w:line="259" w:lineRule="auto"/>
            </w:pPr>
            <w:r>
              <w:rPr>
                <w:rFonts w:ascii="Calibri" w:hAnsi="Calibri"/>
                <w:b w:val="0"/>
                <w:i w:val="0"/>
                <w:color w:val="212121"/>
                <w:sz w:val="19"/>
              </w:rPr>
              <w:t>Daily smokers</w:t>
            </w:r>
          </w:p>
        </w:tc>
        <w:tc>
          <w:tcPr>
            <w:tcW w:type="dxa" w:w="1512"/>
            <w:vAlign w:val="top"/>
          </w:tcPr>
          <w:p>
            <w:pPr>
              <w:spacing w:after="40" w:before="0" w:line="259" w:lineRule="auto"/>
            </w:pPr>
            <w:r>
              <w:rPr>
                <w:rFonts w:ascii="Calibri" w:hAnsi="Calibri"/>
                <w:b w:val="0"/>
                <w:i w:val="0"/>
                <w:color w:val="212121"/>
                <w:sz w:val="19"/>
              </w:rPr>
              <w:t>&gt; 60 minutes</w:t>
            </w:r>
          </w:p>
        </w:tc>
        <w:tc>
          <w:tcPr>
            <w:tcW w:type="dxa" w:w="1512"/>
            <w:vAlign w:val="top"/>
          </w:tcPr>
          <w:p>
            <w:pPr>
              <w:spacing w:after="40" w:before="0" w:line="259" w:lineRule="auto"/>
            </w:pPr>
            <w:r>
              <w:rPr>
                <w:rFonts w:ascii="Calibri" w:hAnsi="Calibri"/>
                <w:b w:val="0"/>
                <w:i w:val="0"/>
                <w:color w:val="212121"/>
                <w:sz w:val="19"/>
              </w:rPr>
              <w:t>&lt;= 5-30 minutes (strong dependence)</w:t>
            </w:r>
          </w:p>
        </w:tc>
        <w:tc>
          <w:tcPr>
            <w:tcW w:type="dxa" w:w="1468"/>
            <w:vAlign w:val="top"/>
          </w:tcPr>
          <w:p>
            <w:pPr>
              <w:spacing w:after="40" w:before="0" w:line="259" w:lineRule="auto"/>
            </w:pPr>
            <w:r>
              <w:rPr>
                <w:rFonts w:ascii="Calibri" w:hAnsi="Calibri"/>
                <w:b w:val="0"/>
                <w:i w:val="0"/>
                <w:color w:val="212121"/>
                <w:sz w:val="19"/>
              </w:rPr>
              <w:t>Core of the Heaviness of Smoking Index</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Exhaled carbon monoxide (CO)</w:t>
            </w:r>
          </w:p>
        </w:tc>
        <w:tc>
          <w:tcPr>
            <w:tcW w:type="dxa" w:w="1655"/>
            <w:vAlign w:val="top"/>
          </w:tcPr>
          <w:p>
            <w:pPr>
              <w:spacing w:after="40" w:before="0" w:line="259" w:lineRule="auto"/>
            </w:pPr>
            <w:r>
              <w:rPr>
                <w:rFonts w:ascii="Calibri" w:hAnsi="Calibri"/>
                <w:b w:val="0"/>
                <w:i w:val="0"/>
                <w:color w:val="212121"/>
                <w:sz w:val="19"/>
              </w:rPr>
              <w:t>Smokers, abstinence monitoring</w:t>
            </w:r>
          </w:p>
        </w:tc>
        <w:tc>
          <w:tcPr>
            <w:tcW w:type="dxa" w:w="1512"/>
            <w:vAlign w:val="top"/>
          </w:tcPr>
          <w:p>
            <w:pPr>
              <w:spacing w:after="40" w:before="0" w:line="259" w:lineRule="auto"/>
            </w:pPr>
            <w:r>
              <w:rPr>
                <w:rFonts w:ascii="Calibri" w:hAnsi="Calibri"/>
                <w:b w:val="0"/>
                <w:i w:val="0"/>
                <w:color w:val="212121"/>
                <w:sz w:val="19"/>
              </w:rPr>
              <w:t>&lt; 6 ppm (non-smoker)</w:t>
            </w:r>
          </w:p>
        </w:tc>
        <w:tc>
          <w:tcPr>
            <w:tcW w:type="dxa" w:w="1512"/>
            <w:vAlign w:val="top"/>
          </w:tcPr>
          <w:p>
            <w:pPr>
              <w:spacing w:after="40" w:before="0" w:line="259" w:lineRule="auto"/>
            </w:pPr>
            <w:r>
              <w:rPr>
                <w:rFonts w:ascii="Calibri" w:hAnsi="Calibri"/>
                <w:b w:val="0"/>
                <w:i w:val="0"/>
                <w:color w:val="212121"/>
                <w:sz w:val="19"/>
              </w:rPr>
              <w:t>&gt;= 6-10 ppm (recent smoking)</w:t>
            </w:r>
          </w:p>
        </w:tc>
        <w:tc>
          <w:tcPr>
            <w:tcW w:type="dxa" w:w="1468"/>
            <w:vAlign w:val="top"/>
          </w:tcPr>
          <w:p>
            <w:pPr>
              <w:spacing w:after="40" w:before="0" w:line="259" w:lineRule="auto"/>
            </w:pPr>
            <w:r>
              <w:rPr>
                <w:rFonts w:ascii="Calibri" w:hAnsi="Calibri"/>
                <w:b w:val="0"/>
                <w:i w:val="0"/>
                <w:color w:val="212121"/>
                <w:sz w:val="19"/>
              </w:rPr>
              <w:t>Simple breath test to confirm smoking/abstinence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Cotinine (blood / urine / saliva)</w:t>
            </w:r>
          </w:p>
        </w:tc>
        <w:tc>
          <w:tcPr>
            <w:tcW w:type="dxa" w:w="1655"/>
            <w:vAlign w:val="top"/>
          </w:tcPr>
          <w:p>
            <w:pPr>
              <w:spacing w:after="40" w:before="0" w:line="259" w:lineRule="auto"/>
            </w:pPr>
            <w:r>
              <w:rPr>
                <w:rFonts w:ascii="Calibri" w:hAnsi="Calibri"/>
                <w:b w:val="0"/>
                <w:i w:val="0"/>
                <w:color w:val="212121"/>
                <w:sz w:val="19"/>
              </w:rPr>
              <w:t>All tobacco users</w:t>
            </w:r>
          </w:p>
        </w:tc>
        <w:tc>
          <w:tcPr>
            <w:tcW w:type="dxa" w:w="1512"/>
            <w:vAlign w:val="top"/>
          </w:tcPr>
          <w:p>
            <w:pPr>
              <w:spacing w:after="40" w:before="0" w:line="259" w:lineRule="auto"/>
            </w:pPr>
            <w:r>
              <w:rPr>
                <w:rFonts w:ascii="Calibri" w:hAnsi="Calibri"/>
                <w:b w:val="0"/>
                <w:i w:val="0"/>
                <w:color w:val="212121"/>
                <w:sz w:val="19"/>
              </w:rPr>
              <w:t>Low / undetectable</w:t>
            </w:r>
          </w:p>
        </w:tc>
        <w:tc>
          <w:tcPr>
            <w:tcW w:type="dxa" w:w="1512"/>
            <w:vAlign w:val="top"/>
          </w:tcPr>
          <w:p>
            <w:pPr>
              <w:spacing w:after="40" w:before="0" w:line="259" w:lineRule="auto"/>
            </w:pPr>
            <w:r>
              <w:rPr>
                <w:rFonts w:ascii="Calibri" w:hAnsi="Calibri"/>
                <w:b w:val="0"/>
                <w:i w:val="0"/>
                <w:color w:val="212121"/>
                <w:sz w:val="19"/>
              </w:rPr>
              <w:t>Elevated (active nicotine exposure)</w:t>
            </w:r>
          </w:p>
        </w:tc>
        <w:tc>
          <w:tcPr>
            <w:tcW w:type="dxa" w:w="1468"/>
            <w:vAlign w:val="top"/>
          </w:tcPr>
          <w:p>
            <w:pPr>
              <w:spacing w:after="40" w:before="0" w:line="259" w:lineRule="auto"/>
            </w:pPr>
            <w:r>
              <w:rPr>
                <w:rFonts w:ascii="Calibri" w:hAnsi="Calibri"/>
                <w:b w:val="0"/>
                <w:i w:val="0"/>
                <w:color w:val="212121"/>
                <w:sz w:val="19"/>
              </w:rPr>
              <w:t>Nicotine metabolite; also detects smokeless use and second-hand smoke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Smokeless episodes / sachets per day</w:t>
            </w:r>
          </w:p>
        </w:tc>
        <w:tc>
          <w:tcPr>
            <w:tcW w:type="dxa" w:w="1655"/>
            <w:vAlign w:val="top"/>
          </w:tcPr>
          <w:p>
            <w:pPr>
              <w:spacing w:after="40" w:before="0" w:line="259" w:lineRule="auto"/>
            </w:pPr>
            <w:r>
              <w:rPr>
                <w:rFonts w:ascii="Calibri" w:hAnsi="Calibri"/>
                <w:b w:val="0"/>
                <w:i w:val="0"/>
                <w:color w:val="212121"/>
                <w:sz w:val="19"/>
              </w:rPr>
              <w:t>Smokeless-tobacco users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40" w:before="0" w:line="259" w:lineRule="auto"/>
            </w:pPr>
            <w:r>
              <w:rPr>
                <w:rFonts w:ascii="Calibri" w:hAnsi="Calibri"/>
                <w:b w:val="0"/>
                <w:i w:val="0"/>
                <w:color w:val="212121"/>
                <w:sz w:val="19"/>
              </w:rPr>
              <w:t>Prolonged oral contact drives oral pre-malignant change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 GAD-7 screen</w:t>
            </w:r>
          </w:p>
        </w:tc>
        <w:tc>
          <w:tcPr>
            <w:tcW w:type="dxa" w:w="1655"/>
            <w:vAlign w:val="top"/>
          </w:tcPr>
          <w:p>
            <w:pPr>
              <w:spacing w:after="40" w:before="0" w:line="259" w:lineRule="auto"/>
            </w:pPr>
            <w:r>
              <w:rPr>
                <w:rFonts w:ascii="Calibri" w:hAnsi="Calibri"/>
                <w:b w:val="0"/>
                <w:i w:val="0"/>
                <w:color w:val="212121"/>
                <w:sz w:val="19"/>
              </w:rPr>
              <w:t>Tobacco users with mood symptoms</w:t>
            </w:r>
          </w:p>
        </w:tc>
        <w:tc>
          <w:tcPr>
            <w:tcW w:type="dxa" w:w="1512"/>
            <w:vAlign w:val="top"/>
          </w:tcPr>
          <w:p>
            <w:pPr>
              <w:spacing w:after="40" w:before="0" w:line="259" w:lineRule="auto"/>
            </w:pPr>
            <w:r>
              <w:rPr>
                <w:rFonts w:ascii="Calibri" w:hAnsi="Calibri"/>
                <w:b w:val="0"/>
                <w:i w:val="0"/>
                <w:color w:val="212121"/>
                <w:sz w:val="19"/>
              </w:rPr>
              <w:t>Below clinical cut-off</w:t>
            </w:r>
          </w:p>
        </w:tc>
        <w:tc>
          <w:tcPr>
            <w:tcW w:type="dxa" w:w="1512"/>
            <w:vAlign w:val="top"/>
          </w:tcPr>
          <w:p>
            <w:pPr>
              <w:spacing w:after="40" w:before="0" w:line="259" w:lineRule="auto"/>
            </w:pPr>
            <w:r>
              <w:rPr>
                <w:rFonts w:ascii="Calibri" w:hAnsi="Calibri"/>
                <w:b w:val="0"/>
                <w:i w:val="0"/>
                <w:color w:val="212121"/>
                <w:sz w:val="19"/>
              </w:rPr>
              <w:t>Positive depression/anxiety screen</w:t>
            </w:r>
          </w:p>
        </w:tc>
        <w:tc>
          <w:tcPr>
            <w:tcW w:type="dxa" w:w="1468"/>
            <w:vAlign w:val="top"/>
          </w:tcPr>
          <w:p>
            <w:pPr>
              <w:spacing w:after="60" w:line="259" w:lineRule="auto"/>
            </w:pPr>
            <w:r>
              <w:rPr>
                <w:rFonts w:ascii="Calibri" w:hAnsi="Calibri"/>
                <w:b w:val="0"/>
                <w:i w:val="0"/>
                <w:color w:val="212121"/>
                <w:sz w:val="19"/>
              </w:rPr>
              <w:t>Comorbidity worsens dependence and cessation odds</w:t>
            </w:r>
          </w:p>
          <w:p>
            <w:pPr>
              <w:spacing w:after="40" w:line="252" w:lineRule="auto"/>
            </w:pPr>
            <w:hyperlink r:id="rId15">
              <w:r>
                <w:rPr>
                  <w:rFonts w:ascii="Calibri" w:hAnsi="Calibri" w:cs="Calibri"/>
                  <w:sz w:val="18"/>
                  <w:color w:val="1155CC"/>
                  <w:u w:val="single"/>
                </w:rPr>
                <w:t xml:space="preserve">https://www.tobaccoinduceddiseases.org/Tobacco-use-in-people-with-severe-mental-illness-Findings-nfrom-a-multi-country-survey,174361,0,2.html</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Dual users</w:t>
            </w:r>
          </w:p>
        </w:tc>
        <w:tc>
          <w:tcPr>
            <w:tcW w:type="dxa" w:w="1512"/>
            <w:vAlign w:val="top"/>
          </w:tcPr>
          <w:p>
            <w:pPr>
              <w:spacing w:after="40" w:before="0" w:line="259" w:lineRule="auto"/>
            </w:pPr>
            <w:r>
              <w:rPr>
                <w:rFonts w:ascii="Calibri" w:hAnsi="Calibri"/>
                <w:b w:val="0"/>
                <w:i w:val="0"/>
                <w:color w:val="212121"/>
                <w:sz w:val="19"/>
              </w:rPr>
              <w:t>None / low-risk</w:t>
            </w:r>
          </w:p>
        </w:tc>
        <w:tc>
          <w:tcPr>
            <w:tcW w:type="dxa" w:w="1512"/>
            <w:vAlign w:val="top"/>
          </w:tcPr>
          <w:p>
            <w:pPr>
              <w:spacing w:after="40" w:before="0" w:line="259" w:lineRule="auto"/>
            </w:pPr>
            <w:r>
              <w:rPr>
                <w:rFonts w:ascii="Calibri" w:hAnsi="Calibri"/>
                <w:b w:val="0"/>
                <w:i w:val="0"/>
                <w:color w:val="212121"/>
                <w:sz w:val="19"/>
              </w:rPr>
              <w:t>Regular / heavy drinking</w:t>
            </w:r>
          </w:p>
        </w:tc>
        <w:tc>
          <w:tcPr>
            <w:tcW w:type="dxa" w:w="1468"/>
            <w:vAlign w:val="top"/>
          </w:tcPr>
          <w:p>
            <w:pPr>
              <w:spacing w:after="40" w:before="0" w:line="259" w:lineRule="auto"/>
            </w:pPr>
            <w:r>
              <w:rPr>
                <w:rFonts w:ascii="Calibri" w:hAnsi="Calibri"/>
                <w:b w:val="0"/>
                <w:i w:val="0"/>
                <w:color w:val="212121"/>
                <w:sz w:val="19"/>
              </w:rPr>
              <w:t>Alcohol is a strong cue and worsens co-use outcomes</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Users in cessation</w:t>
            </w:r>
          </w:p>
        </w:tc>
        <w:tc>
          <w:tcPr>
            <w:tcW w:type="dxa" w:w="1512"/>
            <w:vAlign w:val="top"/>
          </w:tcPr>
          <w:p>
            <w:pPr>
              <w:spacing w:after="40" w:before="0" w:line="259" w:lineRule="auto"/>
            </w:pPr>
            <w:r>
              <w:rPr>
                <w:rFonts w:ascii="Calibri" w:hAnsi="Calibri"/>
                <w:b w:val="0"/>
                <w:i w:val="0"/>
                <w:color w:val="212121"/>
                <w:sz w:val="19"/>
              </w:rPr>
              <w:t>&gt;= 150 minutes/week</w:t>
            </w:r>
          </w:p>
        </w:tc>
        <w:tc>
          <w:tcPr>
            <w:tcW w:type="dxa" w:w="1512"/>
            <w:vAlign w:val="top"/>
          </w:tcPr>
          <w:p>
            <w:pPr>
              <w:spacing w:after="40" w:before="0" w:line="259" w:lineRule="auto"/>
            </w:pPr>
            <w:r>
              <w:rPr>
                <w:rFonts w:ascii="Calibri" w:hAnsi="Calibri"/>
                <w:b w:val="0"/>
                <w:i w:val="0"/>
                <w:color w:val="212121"/>
                <w:sz w:val="19"/>
              </w:rPr>
              <w:t>&lt; 150 minutes/week</w:t>
            </w:r>
          </w:p>
        </w:tc>
        <w:tc>
          <w:tcPr>
            <w:tcW w:type="dxa" w:w="1468"/>
            <w:vAlign w:val="top"/>
          </w:tcPr>
          <w:p>
            <w:pPr>
              <w:spacing w:after="40" w:before="0" w:line="259" w:lineRule="auto"/>
            </w:pPr>
            <w:r>
              <w:rPr>
                <w:rFonts w:ascii="Calibri" w:hAnsi="Calibri"/>
                <w:b w:val="0"/>
                <w:i w:val="0"/>
                <w:color w:val="212121"/>
                <w:sz w:val="19"/>
              </w:rPr>
              <w:t>Exercise reduces craving and post-quit weight gain</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Oral mucosal / dental examination</w:t>
            </w:r>
          </w:p>
        </w:tc>
        <w:tc>
          <w:tcPr>
            <w:tcW w:type="dxa" w:w="1655"/>
            <w:vAlign w:val="top"/>
          </w:tcPr>
          <w:p>
            <w:pPr>
              <w:spacing w:after="40" w:before="0" w:line="259" w:lineRule="auto"/>
            </w:pPr>
            <w:r>
              <w:rPr>
                <w:rFonts w:ascii="Calibri" w:hAnsi="Calibri"/>
                <w:b w:val="0"/>
                <w:i w:val="0"/>
                <w:color w:val="212121"/>
                <w:sz w:val="19"/>
              </w:rPr>
              <w:t>Smokeless &amp; smoked users</w:t>
            </w:r>
          </w:p>
        </w:tc>
        <w:tc>
          <w:tcPr>
            <w:tcW w:type="dxa" w:w="1512"/>
            <w:vAlign w:val="top"/>
          </w:tcPr>
          <w:p>
            <w:pPr>
              <w:spacing w:after="40" w:before="0" w:line="259" w:lineRule="auto"/>
            </w:pPr>
            <w:r>
              <w:rPr>
                <w:rFonts w:ascii="Calibri" w:hAnsi="Calibri"/>
                <w:b w:val="0"/>
                <w:i w:val="0"/>
                <w:color w:val="212121"/>
                <w:sz w:val="19"/>
              </w:rPr>
              <w:t>Healthy mucosa, no restricted mouth opening</w:t>
            </w:r>
          </w:p>
        </w:tc>
        <w:tc>
          <w:tcPr>
            <w:tcW w:type="dxa" w:w="1512"/>
            <w:vAlign w:val="top"/>
          </w:tcPr>
          <w:p>
            <w:pPr>
              <w:spacing w:after="40" w:before="0" w:line="259" w:lineRule="auto"/>
            </w:pPr>
            <w:r>
              <w:rPr>
                <w:rFonts w:ascii="Calibri" w:hAnsi="Calibri"/>
                <w:b w:val="0"/>
                <w:i w:val="0"/>
                <w:color w:val="212121"/>
                <w:sz w:val="19"/>
              </w:rPr>
              <w:t>Leukoplakia, erythroplakia or oral submucous fibrosis</w:t>
            </w:r>
          </w:p>
        </w:tc>
        <w:tc>
          <w:tcPr>
            <w:tcW w:type="dxa" w:w="1468"/>
            <w:vAlign w:val="top"/>
          </w:tcPr>
          <w:p>
            <w:pPr>
              <w:spacing w:after="40" w:before="0" w:line="259" w:lineRule="auto"/>
            </w:pPr>
            <w:r>
              <w:rPr>
                <w:rFonts w:ascii="Calibri" w:hAnsi="Calibri"/>
                <w:b w:val="0"/>
                <w:i w:val="0"/>
                <w:color w:val="212121"/>
                <w:sz w:val="19"/>
              </w:rPr>
              <w:t>Screens for pre-malignant and malignant oral lesions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Rating scale</w:t>
            </w:r>
          </w:p>
        </w:tc>
        <w:tc>
          <w:tcPr>
            <w:tcW w:type="dxa" w:w="1036"/>
            <w:vAlign w:val="top"/>
          </w:tcPr>
          <w:p>
            <w:pPr>
              <w:spacing w:after="40" w:before="0" w:line="259" w:lineRule="auto"/>
            </w:pPr>
            <w:r>
              <w:rPr>
                <w:rFonts w:ascii="Calibri" w:hAnsi="Calibri"/>
                <w:b w:val="0"/>
                <w:i w:val="0"/>
                <w:color w:val="212121"/>
                <w:sz w:val="16"/>
              </w:rPr>
              <w:t>Fagerstrom Test for Nicotine Dependence (FTND)</w:t>
            </w:r>
          </w:p>
        </w:tc>
        <w:tc>
          <w:tcPr>
            <w:tcW w:type="dxa" w:w="892"/>
            <w:vAlign w:val="top"/>
          </w:tcPr>
          <w:p>
            <w:pPr>
              <w:spacing w:after="40" w:before="0" w:line="259" w:lineRule="auto"/>
            </w:pPr>
            <w:r>
              <w:rPr>
                <w:rFonts w:ascii="Calibri" w:hAnsi="Calibri"/>
                <w:b w:val="0"/>
                <w:i w:val="0"/>
                <w:color w:val="212121"/>
                <w:sz w:val="16"/>
              </w:rPr>
              <w:t>Validated questionnaire</w:t>
            </w:r>
          </w:p>
        </w:tc>
        <w:tc>
          <w:tcPr>
            <w:tcW w:type="dxa" w:w="950"/>
            <w:vAlign w:val="top"/>
          </w:tcPr>
          <w:p>
            <w:pPr>
              <w:spacing w:after="40" w:before="0" w:line="259" w:lineRule="auto"/>
            </w:pPr>
            <w:r>
              <w:rPr>
                <w:rFonts w:ascii="Calibri" w:hAnsi="Calibri"/>
                <w:b w:val="0"/>
                <w:i w:val="0"/>
                <w:color w:val="212121"/>
                <w:sz w:val="16"/>
              </w:rPr>
              <w:t>0-2 (very low dependence)</w:t>
            </w:r>
          </w:p>
        </w:tc>
        <w:tc>
          <w:tcPr>
            <w:tcW w:type="dxa" w:w="950"/>
            <w:vAlign w:val="top"/>
          </w:tcPr>
          <w:p>
            <w:pPr>
              <w:spacing w:after="40" w:before="0" w:line="259" w:lineRule="auto"/>
            </w:pPr>
            <w:r>
              <w:rPr>
                <w:rFonts w:ascii="Calibri" w:hAnsi="Calibri"/>
                <w:b w:val="0"/>
                <w:i w:val="0"/>
                <w:color w:val="212121"/>
                <w:sz w:val="16"/>
              </w:rPr>
              <w:t>&gt;= 6 (high dependence)</w:t>
            </w:r>
          </w:p>
        </w:tc>
        <w:tc>
          <w:tcPr>
            <w:tcW w:type="dxa" w:w="1036"/>
            <w:vAlign w:val="top"/>
          </w:tcPr>
          <w:p>
            <w:pPr>
              <w:spacing w:after="40" w:before="0" w:line="259" w:lineRule="auto"/>
            </w:pPr>
            <w:r>
              <w:rPr>
                <w:rFonts w:ascii="Calibri" w:hAnsi="Calibri"/>
                <w:b w:val="0"/>
                <w:i w:val="0"/>
                <w:color w:val="212121"/>
                <w:sz w:val="16"/>
              </w:rPr>
              <w:t>Quantifies physiological nicotine dependence and predicts difficulty quitting</w:t>
            </w:r>
          </w:p>
        </w:tc>
        <w:tc>
          <w:tcPr>
            <w:tcW w:type="dxa" w:w="1036"/>
            <w:vAlign w:val="top"/>
          </w:tcPr>
          <w:p>
            <w:pPr>
              <w:spacing w:after="40" w:before="0" w:line="259" w:lineRule="auto"/>
            </w:pPr>
            <w:r>
              <w:rPr>
                <w:rFonts w:ascii="Calibri" w:hAnsi="Calibri"/>
                <w:b w:val="0"/>
                <w:i w:val="0"/>
                <w:color w:val="212121"/>
                <w:sz w:val="16"/>
              </w:rPr>
              <w:t>All tobacco users, cessation candidates</w:t>
            </w:r>
          </w:p>
        </w:tc>
        <w:tc>
          <w:tcPr>
            <w:tcW w:type="dxa" w:w="720"/>
            <w:vAlign w:val="top"/>
          </w:tcPr>
          <w:p>
            <w:pPr>
              <w:spacing w:after="40" w:before="0" w:line="259" w:lineRule="auto"/>
            </w:pPr>
            <w:r>
              <w:rPr>
                <w:rFonts w:ascii="Calibri" w:hAnsi="Calibri"/>
                <w:b w:val="0"/>
                <w:i w:val="0"/>
                <w:color w:val="212121"/>
                <w:sz w:val="16"/>
              </w:rPr>
              <w:t>Smoking;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Time-to-first-use and daily amount weigh most heavily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Breath test</w:t>
            </w:r>
          </w:p>
        </w:tc>
        <w:tc>
          <w:tcPr>
            <w:tcW w:type="dxa" w:w="1036"/>
            <w:vAlign w:val="top"/>
          </w:tcPr>
          <w:p>
            <w:pPr>
              <w:spacing w:after="40" w:before="0" w:line="259" w:lineRule="auto"/>
            </w:pPr>
            <w:r>
              <w:rPr>
                <w:rFonts w:ascii="Calibri" w:hAnsi="Calibri"/>
                <w:b w:val="0"/>
                <w:i w:val="0"/>
                <w:color w:val="212121"/>
                <w:sz w:val="16"/>
              </w:rPr>
              <w:t>Exhaled carbon monoxide (CO)</w:t>
            </w:r>
          </w:p>
        </w:tc>
        <w:tc>
          <w:tcPr>
            <w:tcW w:type="dxa" w:w="892"/>
            <w:vAlign w:val="top"/>
          </w:tcPr>
          <w:p>
            <w:pPr>
              <w:spacing w:after="40" w:before="0" w:line="259" w:lineRule="auto"/>
            </w:pPr>
            <w:r>
              <w:rPr>
                <w:rFonts w:ascii="Calibri" w:hAnsi="Calibri"/>
                <w:b w:val="0"/>
                <w:i w:val="0"/>
                <w:color w:val="212121"/>
                <w:sz w:val="16"/>
              </w:rPr>
              <w:t>CO monitor (ppm)</w:t>
            </w:r>
          </w:p>
        </w:tc>
        <w:tc>
          <w:tcPr>
            <w:tcW w:type="dxa" w:w="950"/>
            <w:vAlign w:val="top"/>
          </w:tcPr>
          <w:p>
            <w:pPr>
              <w:spacing w:after="40" w:before="0" w:line="259" w:lineRule="auto"/>
            </w:pPr>
            <w:r>
              <w:rPr>
                <w:rFonts w:ascii="Calibri" w:hAnsi="Calibri"/>
                <w:b w:val="0"/>
                <w:i w:val="0"/>
                <w:color w:val="212121"/>
                <w:sz w:val="16"/>
              </w:rPr>
              <w:t>&lt; 6 ppm</w:t>
            </w:r>
          </w:p>
        </w:tc>
        <w:tc>
          <w:tcPr>
            <w:tcW w:type="dxa" w:w="950"/>
            <w:vAlign w:val="top"/>
          </w:tcPr>
          <w:p>
            <w:pPr>
              <w:spacing w:after="40" w:before="0" w:line="259" w:lineRule="auto"/>
            </w:pPr>
            <w:r>
              <w:rPr>
                <w:rFonts w:ascii="Calibri" w:hAnsi="Calibri"/>
                <w:b w:val="0"/>
                <w:i w:val="0"/>
                <w:color w:val="212121"/>
                <w:sz w:val="16"/>
              </w:rPr>
              <w:t>&gt;= 6-10 ppm</w:t>
            </w:r>
          </w:p>
        </w:tc>
        <w:tc>
          <w:tcPr>
            <w:tcW w:type="dxa" w:w="1036"/>
            <w:vAlign w:val="top"/>
          </w:tcPr>
          <w:p>
            <w:pPr>
              <w:spacing w:after="40" w:before="0" w:line="259" w:lineRule="auto"/>
            </w:pPr>
            <w:r>
              <w:rPr>
                <w:rFonts w:ascii="Calibri" w:hAnsi="Calibri"/>
                <w:b w:val="0"/>
                <w:i w:val="0"/>
                <w:color w:val="212121"/>
                <w:sz w:val="16"/>
              </w:rPr>
              <w:t>Confirms recent smoking and objectively verifies abstinence</w:t>
            </w:r>
          </w:p>
        </w:tc>
        <w:tc>
          <w:tcPr>
            <w:tcW w:type="dxa" w:w="1036"/>
            <w:vAlign w:val="top"/>
          </w:tcPr>
          <w:p>
            <w:pPr>
              <w:spacing w:after="40" w:before="0" w:line="259" w:lineRule="auto"/>
            </w:pPr>
            <w:r>
              <w:rPr>
                <w:rFonts w:ascii="Calibri" w:hAnsi="Calibri"/>
                <w:b w:val="0"/>
                <w:i w:val="0"/>
                <w:color w:val="212121"/>
                <w:sz w:val="16"/>
              </w:rPr>
              <w:t>Smokers, quit-programme monitoring</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Non-invasive, immediate, motivating feedback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Cotinine (serum / urine / saliva)</w:t>
            </w:r>
          </w:p>
        </w:tc>
        <w:tc>
          <w:tcPr>
            <w:tcW w:type="dxa" w:w="892"/>
            <w:vAlign w:val="top"/>
          </w:tcPr>
          <w:p>
            <w:pPr>
              <w:spacing w:after="40" w:before="0" w:line="259" w:lineRule="auto"/>
            </w:pPr>
            <w:r>
              <w:rPr>
                <w:rFonts w:ascii="Calibri" w:hAnsi="Calibri"/>
                <w:b w:val="0"/>
                <w:i w:val="0"/>
                <w:color w:val="212121"/>
                <w:sz w:val="16"/>
              </w:rPr>
              <w:t>Nicotine-metabolite assay</w:t>
            </w:r>
          </w:p>
        </w:tc>
        <w:tc>
          <w:tcPr>
            <w:tcW w:type="dxa" w:w="950"/>
            <w:vAlign w:val="top"/>
          </w:tcPr>
          <w:p>
            <w:pPr>
              <w:spacing w:after="40" w:before="0" w:line="259" w:lineRule="auto"/>
            </w:pPr>
            <w:r>
              <w:rPr>
                <w:rFonts w:ascii="Calibri" w:hAnsi="Calibri"/>
                <w:b w:val="0"/>
                <w:i w:val="0"/>
                <w:color w:val="212121"/>
                <w:sz w:val="16"/>
              </w:rPr>
              <w:t>Low / undetectable in non-users</w:t>
            </w:r>
          </w:p>
        </w:tc>
        <w:tc>
          <w:tcPr>
            <w:tcW w:type="dxa" w:w="950"/>
            <w:vAlign w:val="top"/>
          </w:tcPr>
          <w:p>
            <w:pPr>
              <w:spacing w:after="40" w:before="0" w:line="259" w:lineRule="auto"/>
            </w:pPr>
            <w:r>
              <w:rPr>
                <w:rFonts w:ascii="Calibri" w:hAnsi="Calibri"/>
                <w:b w:val="0"/>
                <w:i w:val="0"/>
                <w:color w:val="212121"/>
                <w:sz w:val="16"/>
              </w:rPr>
              <w:t>Elevated (active exposure)</w:t>
            </w:r>
          </w:p>
        </w:tc>
        <w:tc>
          <w:tcPr>
            <w:tcW w:type="dxa" w:w="1036"/>
            <w:vAlign w:val="top"/>
          </w:tcPr>
          <w:p>
            <w:pPr>
              <w:spacing w:after="40" w:before="0" w:line="259" w:lineRule="auto"/>
            </w:pPr>
            <w:r>
              <w:rPr>
                <w:rFonts w:ascii="Calibri" w:hAnsi="Calibri"/>
                <w:b w:val="0"/>
                <w:i w:val="0"/>
                <w:color w:val="212121"/>
                <w:sz w:val="16"/>
              </w:rPr>
              <w:t>Highly specific marker of nicotine intake, including smokeless and passive</w:t>
            </w:r>
          </w:p>
        </w:tc>
        <w:tc>
          <w:tcPr>
            <w:tcW w:type="dxa" w:w="1036"/>
            <w:vAlign w:val="top"/>
          </w:tcPr>
          <w:p>
            <w:pPr>
              <w:spacing w:after="40" w:before="0" w:line="259" w:lineRule="auto"/>
            </w:pPr>
            <w:r>
              <w:rPr>
                <w:rFonts w:ascii="Calibri" w:hAnsi="Calibri"/>
                <w:b w:val="0"/>
                <w:i w:val="0"/>
                <w:color w:val="212121"/>
                <w:sz w:val="16"/>
              </w:rPr>
              <w:t>All tobacco users, second-hand-smoke assessment</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Half-life ~16 h; reflects use over the last 1-3 days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Spirometry (FEV1/FVC)</w:t>
            </w:r>
          </w:p>
        </w:tc>
        <w:tc>
          <w:tcPr>
            <w:tcW w:type="dxa" w:w="892"/>
            <w:vAlign w:val="top"/>
          </w:tcPr>
          <w:p>
            <w:pPr>
              <w:spacing w:after="40" w:before="0" w:line="259" w:lineRule="auto"/>
            </w:pPr>
            <w:r>
              <w:rPr>
                <w:rFonts w:ascii="Calibri" w:hAnsi="Calibri"/>
                <w:b w:val="0"/>
                <w:i w:val="0"/>
                <w:color w:val="212121"/>
                <w:sz w:val="16"/>
              </w:rPr>
              <w:t>Lung-function test</w:t>
            </w:r>
          </w:p>
        </w:tc>
        <w:tc>
          <w:tcPr>
            <w:tcW w:type="dxa" w:w="950"/>
            <w:vAlign w:val="top"/>
          </w:tcPr>
          <w:p>
            <w:pPr>
              <w:spacing w:after="40" w:before="0" w:line="259" w:lineRule="auto"/>
            </w:pPr>
            <w:r>
              <w:rPr>
                <w:rFonts w:ascii="Calibri" w:hAnsi="Calibri"/>
                <w:b w:val="0"/>
                <w:i w:val="0"/>
                <w:color w:val="212121"/>
                <w:sz w:val="16"/>
              </w:rPr>
              <w:t>FEV1/FVC &gt;= 0.70 (post-bronchodilator)</w:t>
            </w:r>
          </w:p>
        </w:tc>
        <w:tc>
          <w:tcPr>
            <w:tcW w:type="dxa" w:w="950"/>
            <w:vAlign w:val="top"/>
          </w:tcPr>
          <w:p>
            <w:pPr>
              <w:spacing w:after="40" w:before="0" w:line="259" w:lineRule="auto"/>
            </w:pPr>
            <w:r>
              <w:rPr>
                <w:rFonts w:ascii="Calibri" w:hAnsi="Calibri"/>
                <w:b w:val="0"/>
                <w:i w:val="0"/>
                <w:color w:val="212121"/>
                <w:sz w:val="16"/>
              </w:rPr>
              <w:t>FEV1/FVC &lt; 0.70 (airflow obstruction)</w:t>
            </w:r>
          </w:p>
        </w:tc>
        <w:tc>
          <w:tcPr>
            <w:tcW w:type="dxa" w:w="1036"/>
            <w:vAlign w:val="top"/>
          </w:tcPr>
          <w:p>
            <w:pPr>
              <w:spacing w:after="40" w:before="0" w:line="259" w:lineRule="auto"/>
            </w:pPr>
            <w:r>
              <w:rPr>
                <w:rFonts w:ascii="Calibri" w:hAnsi="Calibri"/>
                <w:b w:val="0"/>
                <w:i w:val="0"/>
                <w:color w:val="212121"/>
                <w:sz w:val="16"/>
              </w:rPr>
              <w:t>Detects and stages smoking-related COPD</w:t>
            </w:r>
          </w:p>
        </w:tc>
        <w:tc>
          <w:tcPr>
            <w:tcW w:type="dxa" w:w="1036"/>
            <w:vAlign w:val="top"/>
          </w:tcPr>
          <w:p>
            <w:pPr>
              <w:spacing w:after="40" w:before="0" w:line="259" w:lineRule="auto"/>
            </w:pPr>
            <w:r>
              <w:rPr>
                <w:rFonts w:ascii="Calibri" w:hAnsi="Calibri"/>
                <w:b w:val="0"/>
                <w:i w:val="0"/>
                <w:color w:val="212121"/>
                <w:sz w:val="16"/>
              </w:rPr>
              <w:t>Long-term smokers, chronic cough/breathlessness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Repeat to track decline and quitting benefit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X-ray / low-dose CT</w:t>
            </w:r>
          </w:p>
        </w:tc>
        <w:tc>
          <w:tcPr>
            <w:tcW w:type="dxa" w:w="892"/>
            <w:vAlign w:val="top"/>
          </w:tcPr>
          <w:p>
            <w:pPr>
              <w:spacing w:after="40" w:before="0" w:line="259" w:lineRule="auto"/>
            </w:pPr>
            <w:r>
              <w:rPr>
                <w:rFonts w:ascii="Calibri" w:hAnsi="Calibri"/>
                <w:b w:val="0"/>
                <w:i w:val="0"/>
                <w:color w:val="212121"/>
                <w:sz w:val="16"/>
              </w:rPr>
              <w:t>Thoracic imaging</w:t>
            </w:r>
          </w:p>
        </w:tc>
        <w:tc>
          <w:tcPr>
            <w:tcW w:type="dxa" w:w="950"/>
            <w:vAlign w:val="top"/>
          </w:tcPr>
          <w:p>
            <w:pPr>
              <w:spacing w:after="40" w:before="0" w:line="259" w:lineRule="auto"/>
            </w:pPr>
            <w:r>
              <w:rPr>
                <w:rFonts w:ascii="Calibri" w:hAnsi="Calibri"/>
                <w:b w:val="0"/>
                <w:i w:val="0"/>
                <w:color w:val="212121"/>
                <w:sz w:val="16"/>
              </w:rPr>
              <w:t>No focal lesion</w:t>
            </w:r>
          </w:p>
        </w:tc>
        <w:tc>
          <w:tcPr>
            <w:tcW w:type="dxa" w:w="950"/>
            <w:vAlign w:val="top"/>
          </w:tcPr>
          <w:p>
            <w:pPr>
              <w:spacing w:after="40" w:before="0" w:line="259" w:lineRule="auto"/>
            </w:pPr>
            <w:r>
              <w:rPr>
                <w:rFonts w:ascii="Calibri" w:hAnsi="Calibri"/>
                <w:b w:val="0"/>
                <w:i w:val="0"/>
                <w:color w:val="212121"/>
                <w:sz w:val="16"/>
              </w:rPr>
              <w:t>Mass, nodule, consolidation or fibrosis</w:t>
            </w:r>
          </w:p>
        </w:tc>
        <w:tc>
          <w:tcPr>
            <w:tcW w:type="dxa" w:w="1036"/>
            <w:vAlign w:val="top"/>
          </w:tcPr>
          <w:p>
            <w:pPr>
              <w:spacing w:after="40" w:before="0" w:line="259" w:lineRule="auto"/>
            </w:pPr>
            <w:r>
              <w:rPr>
                <w:rFonts w:ascii="Calibri" w:hAnsi="Calibri"/>
                <w:b w:val="0"/>
                <w:i w:val="0"/>
                <w:color w:val="212121"/>
                <w:sz w:val="16"/>
              </w:rPr>
              <w:t>Screens for lung cancer, COPD complications and TB in heavy smokers</w:t>
            </w:r>
          </w:p>
        </w:tc>
        <w:tc>
          <w:tcPr>
            <w:tcW w:type="dxa" w:w="1036"/>
            <w:vAlign w:val="top"/>
          </w:tcPr>
          <w:p>
            <w:pPr>
              <w:spacing w:after="40" w:before="0" w:line="259" w:lineRule="auto"/>
            </w:pPr>
            <w:r>
              <w:rPr>
                <w:rFonts w:ascii="Calibri" w:hAnsi="Calibri"/>
                <w:b w:val="0"/>
                <w:i w:val="0"/>
                <w:color w:val="212121"/>
                <w:sz w:val="16"/>
              </w:rPr>
              <w:t>Heavy/long-term smokers, symptomatic users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Low-dose CT is used for lung-cancer screening in high-risk smokers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Oral lesion biopsy / toluidine-blue exam</w:t>
            </w:r>
          </w:p>
        </w:tc>
        <w:tc>
          <w:tcPr>
            <w:tcW w:type="dxa" w:w="892"/>
            <w:vAlign w:val="top"/>
          </w:tcPr>
          <w:p>
            <w:pPr>
              <w:spacing w:after="40" w:before="0" w:line="259" w:lineRule="auto"/>
            </w:pPr>
            <w:r>
              <w:rPr>
                <w:rFonts w:ascii="Calibri" w:hAnsi="Calibri"/>
                <w:b w:val="0"/>
                <w:i w:val="0"/>
                <w:color w:val="212121"/>
                <w:sz w:val="16"/>
              </w:rPr>
              <w:t>Oral tissue sampling</w:t>
            </w:r>
          </w:p>
        </w:tc>
        <w:tc>
          <w:tcPr>
            <w:tcW w:type="dxa" w:w="950"/>
            <w:vAlign w:val="top"/>
          </w:tcPr>
          <w:p>
            <w:pPr>
              <w:spacing w:after="40" w:before="0" w:line="259" w:lineRule="auto"/>
            </w:pPr>
            <w:r>
              <w:rPr>
                <w:rFonts w:ascii="Calibri" w:hAnsi="Calibri"/>
                <w:b w:val="0"/>
                <w:i w:val="0"/>
                <w:color w:val="212121"/>
                <w:sz w:val="16"/>
              </w:rPr>
              <w:t>No dysplasia</w:t>
            </w:r>
          </w:p>
        </w:tc>
        <w:tc>
          <w:tcPr>
            <w:tcW w:type="dxa" w:w="950"/>
            <w:vAlign w:val="top"/>
          </w:tcPr>
          <w:p>
            <w:pPr>
              <w:spacing w:after="40" w:before="0" w:line="259" w:lineRule="auto"/>
            </w:pPr>
            <w:r>
              <w:rPr>
                <w:rFonts w:ascii="Calibri" w:hAnsi="Calibri"/>
                <w:b w:val="0"/>
                <w:i w:val="0"/>
                <w:color w:val="212121"/>
                <w:sz w:val="16"/>
              </w:rPr>
              <w:t>Dysplasia or carcinoma</w:t>
            </w:r>
          </w:p>
        </w:tc>
        <w:tc>
          <w:tcPr>
            <w:tcW w:type="dxa" w:w="1036"/>
            <w:vAlign w:val="top"/>
          </w:tcPr>
          <w:p>
            <w:pPr>
              <w:spacing w:after="40" w:before="0" w:line="259" w:lineRule="auto"/>
            </w:pPr>
            <w:r>
              <w:rPr>
                <w:rFonts w:ascii="Calibri" w:hAnsi="Calibri"/>
                <w:b w:val="0"/>
                <w:i w:val="0"/>
                <w:color w:val="212121"/>
                <w:sz w:val="16"/>
              </w:rPr>
              <w:t>Confirms pre-malignant/malignant change in smokeless-tobacco users</w:t>
            </w:r>
          </w:p>
        </w:tc>
        <w:tc>
          <w:tcPr>
            <w:tcW w:type="dxa" w:w="1036"/>
            <w:vAlign w:val="top"/>
          </w:tcPr>
          <w:p>
            <w:pPr>
              <w:spacing w:after="40" w:before="0" w:line="259" w:lineRule="auto"/>
            </w:pPr>
            <w:r>
              <w:rPr>
                <w:rFonts w:ascii="Calibri" w:hAnsi="Calibri"/>
                <w:b w:val="0"/>
                <w:i w:val="0"/>
                <w:color w:val="212121"/>
                <w:sz w:val="16"/>
              </w:rPr>
              <w:t>Smokeless users, leukoplakia/OSMF, non-healing oral lesions</w:t>
            </w:r>
          </w:p>
        </w:tc>
        <w:tc>
          <w:tcPr>
            <w:tcW w:type="dxa" w:w="720"/>
            <w:vAlign w:val="top"/>
          </w:tcPr>
          <w:p>
            <w:pPr>
              <w:spacing w:after="40" w:before="0" w:line="259" w:lineRule="auto"/>
            </w:pPr>
            <w:r>
              <w:rPr>
                <w:rFonts w:ascii="Calibri" w:hAnsi="Calibri"/>
                <w:b w:val="0"/>
                <w:i w:val="0"/>
                <w:color w:val="212121"/>
                <w:sz w:val="16"/>
              </w:rPr>
              <w:t>Smoking; 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Any lesion persisting &gt; 2-3 weeks needs biopsy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Cardiometabolic</w:t>
            </w:r>
          </w:p>
        </w:tc>
        <w:tc>
          <w:tcPr>
            <w:tcW w:type="dxa" w:w="1036"/>
            <w:vAlign w:val="top"/>
          </w:tcPr>
          <w:p>
            <w:pPr>
              <w:spacing w:after="40" w:before="0" w:line="259" w:lineRule="auto"/>
            </w:pPr>
            <w:r>
              <w:rPr>
                <w:rFonts w:ascii="Calibri" w:hAnsi="Calibri"/>
                <w:b w:val="0"/>
                <w:i w:val="0"/>
                <w:color w:val="212121"/>
                <w:sz w:val="16"/>
              </w:rPr>
              <w:t>Blood pressure, ECG, fasting lipids</w:t>
            </w:r>
          </w:p>
        </w:tc>
        <w:tc>
          <w:tcPr>
            <w:tcW w:type="dxa" w:w="892"/>
            <w:vAlign w:val="top"/>
          </w:tcPr>
          <w:p>
            <w:pPr>
              <w:spacing w:after="40" w:before="0" w:line="259" w:lineRule="auto"/>
            </w:pPr>
            <w:r>
              <w:rPr>
                <w:rFonts w:ascii="Calibri" w:hAnsi="Calibri"/>
                <w:b w:val="0"/>
                <w:i w:val="0"/>
                <w:color w:val="212121"/>
                <w:sz w:val="16"/>
              </w:rPr>
              <w:t>Cardiovascular risk panel</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Hypertension, ischaemic ECG, dyslipidaemia</w:t>
            </w:r>
          </w:p>
        </w:tc>
        <w:tc>
          <w:tcPr>
            <w:tcW w:type="dxa" w:w="1036"/>
            <w:vAlign w:val="top"/>
          </w:tcPr>
          <w:p>
            <w:pPr>
              <w:spacing w:after="40" w:before="0" w:line="259" w:lineRule="auto"/>
            </w:pPr>
            <w:r>
              <w:rPr>
                <w:rFonts w:ascii="Calibri" w:hAnsi="Calibri"/>
                <w:b w:val="0"/>
                <w:i w:val="0"/>
                <w:color w:val="212121"/>
                <w:sz w:val="16"/>
              </w:rPr>
              <w:t>Assesses tobacco-driven cardiovascular risk</w:t>
            </w:r>
          </w:p>
        </w:tc>
        <w:tc>
          <w:tcPr>
            <w:tcW w:type="dxa" w:w="1036"/>
            <w:vAlign w:val="top"/>
          </w:tcPr>
          <w:p>
            <w:pPr>
              <w:spacing w:after="40" w:before="0" w:line="259" w:lineRule="auto"/>
            </w:pPr>
            <w:r>
              <w:rPr>
                <w:rFonts w:ascii="Calibri" w:hAnsi="Calibri"/>
                <w:b w:val="0"/>
                <w:i w:val="0"/>
                <w:color w:val="212121"/>
                <w:sz w:val="16"/>
              </w:rPr>
              <w:t>All users, especially middle-aged and elderly</w:t>
            </w:r>
          </w:p>
        </w:tc>
        <w:tc>
          <w:tcPr>
            <w:tcW w:type="dxa" w:w="720"/>
            <w:vAlign w:val="top"/>
          </w:tcPr>
          <w:p>
            <w:pPr>
              <w:spacing w:after="40" w:before="0" w:line="259" w:lineRule="auto"/>
            </w:pPr>
            <w:r>
              <w:rPr>
                <w:rFonts w:ascii="Calibri" w:hAnsi="Calibri"/>
                <w:b w:val="0"/>
                <w:i w:val="0"/>
                <w:color w:val="212121"/>
                <w:sz w:val="16"/>
              </w:rPr>
              <w:t>Smoking; 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Quantify overall CVD risk and target it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Tobacco-use history &amp; quantification</w:t>
            </w:r>
          </w:p>
        </w:tc>
        <w:tc>
          <w:tcPr>
            <w:tcW w:type="dxa" w:w="979"/>
            <w:vAlign w:val="top"/>
          </w:tcPr>
          <w:p>
            <w:pPr>
              <w:spacing w:after="40" w:before="0" w:line="259" w:lineRule="auto"/>
            </w:pPr>
            <w:r>
              <w:rPr>
                <w:rFonts w:ascii="Calibri" w:hAnsi="Calibri"/>
                <w:b w:val="0"/>
                <w:i w:val="0"/>
                <w:color w:val="212121"/>
                <w:sz w:val="16"/>
              </w:rPr>
              <w:t>Product(s), amount/day, age at start, duration, pack-years, time to first use</w:t>
            </w:r>
          </w:p>
        </w:tc>
        <w:tc>
          <w:tcPr>
            <w:tcW w:type="dxa" w:w="950"/>
            <w:vAlign w:val="top"/>
          </w:tcPr>
          <w:p>
            <w:pPr>
              <w:spacing w:after="40" w:before="0" w:line="259" w:lineRule="auto"/>
            </w:pPr>
            <w:r>
              <w:rPr>
                <w:rFonts w:ascii="Calibri" w:hAnsi="Calibri"/>
                <w:b w:val="0"/>
                <w:i w:val="0"/>
                <w:color w:val="212121"/>
                <w:sz w:val="16"/>
              </w:rPr>
              <w:t>No use</w:t>
            </w:r>
          </w:p>
        </w:tc>
        <w:tc>
          <w:tcPr>
            <w:tcW w:type="dxa" w:w="950"/>
            <w:vAlign w:val="top"/>
          </w:tcPr>
          <w:p>
            <w:pPr>
              <w:spacing w:after="40" w:before="0" w:line="259" w:lineRule="auto"/>
            </w:pPr>
            <w:r>
              <w:rPr>
                <w:rFonts w:ascii="Calibri" w:hAnsi="Calibri"/>
                <w:b w:val="0"/>
                <w:i w:val="0"/>
                <w:color w:val="212121"/>
                <w:sz w:val="16"/>
              </w:rPr>
              <w:t>Regular smoked/smokeless use, short time-to-first-use</w:t>
            </w:r>
          </w:p>
        </w:tc>
        <w:tc>
          <w:tcPr>
            <w:tcW w:type="dxa" w:w="1036"/>
            <w:vAlign w:val="top"/>
          </w:tcPr>
          <w:p>
            <w:pPr>
              <w:spacing w:after="40" w:before="0" w:line="259" w:lineRule="auto"/>
            </w:pPr>
            <w:r>
              <w:rPr>
                <w:rFonts w:ascii="Calibri" w:hAnsi="Calibri"/>
                <w:b w:val="0"/>
                <w:i w:val="0"/>
                <w:color w:val="212121"/>
                <w:sz w:val="16"/>
              </w:rPr>
              <w:t>Establishes pattern, dose and dependence and maps DSM-5 criteria</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Ask specifically about bidi, gutka, khaini and paan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Dependence &amp; withdrawal features</w:t>
            </w:r>
          </w:p>
        </w:tc>
        <w:tc>
          <w:tcPr>
            <w:tcW w:type="dxa" w:w="979"/>
            <w:vAlign w:val="top"/>
          </w:tcPr>
          <w:p>
            <w:pPr>
              <w:spacing w:after="40" w:before="0" w:line="259" w:lineRule="auto"/>
            </w:pPr>
            <w:r>
              <w:rPr>
                <w:rFonts w:ascii="Calibri" w:hAnsi="Calibri"/>
                <w:b w:val="0"/>
                <w:i w:val="0"/>
                <w:color w:val="212121"/>
                <w:sz w:val="16"/>
              </w:rPr>
              <w:t>Craving, tolerance, morning use, prior quit attempts, withdrawal on stopping, FTND</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Craving, withdrawal, failed quit attempts</w:t>
            </w:r>
          </w:p>
        </w:tc>
        <w:tc>
          <w:tcPr>
            <w:tcW w:type="dxa" w:w="1036"/>
            <w:vAlign w:val="top"/>
          </w:tcPr>
          <w:p>
            <w:pPr>
              <w:spacing w:after="40" w:before="0" w:line="259" w:lineRule="auto"/>
            </w:pPr>
            <w:r>
              <w:rPr>
                <w:rFonts w:ascii="Calibri" w:hAnsi="Calibri"/>
                <w:b w:val="0"/>
                <w:i w:val="0"/>
                <w:color w:val="212121"/>
                <w:sz w:val="16"/>
              </w:rPr>
              <w:t>Confirms physiological dependence and gauges cessation difficulty</w:t>
            </w:r>
          </w:p>
        </w:tc>
        <w:tc>
          <w:tcPr>
            <w:tcW w:type="dxa" w:w="1036"/>
            <w:vAlign w:val="top"/>
          </w:tcPr>
          <w:p>
            <w:pPr>
              <w:spacing w:after="40" w:before="0" w:line="259" w:lineRule="auto"/>
            </w:pPr>
            <w:r>
              <w:rPr>
                <w:rFonts w:ascii="Calibri" w:hAnsi="Calibri"/>
                <w:b w:val="0"/>
                <w:i w:val="0"/>
                <w:color w:val="212121"/>
                <w:sz w:val="16"/>
              </w:rPr>
              <w:t>Dependent users, cessation candidates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Number and outcome of past attempts guide the plan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Readiness to quit (5 A's / stage of change)</w:t>
            </w:r>
          </w:p>
        </w:tc>
        <w:tc>
          <w:tcPr>
            <w:tcW w:type="dxa" w:w="979"/>
            <w:vAlign w:val="top"/>
          </w:tcPr>
          <w:p>
            <w:pPr>
              <w:spacing w:after="40" w:before="0" w:line="259" w:lineRule="auto"/>
            </w:pPr>
            <w:r>
              <w:rPr>
                <w:rFonts w:ascii="Calibri" w:hAnsi="Calibri"/>
                <w:b w:val="0"/>
                <w:i w:val="0"/>
                <w:color w:val="212121"/>
                <w:sz w:val="16"/>
              </w:rPr>
              <w:t>Motivation, confidence, quit date, triggers and support</w:t>
            </w:r>
          </w:p>
        </w:tc>
        <w:tc>
          <w:tcPr>
            <w:tcW w:type="dxa" w:w="950"/>
            <w:vAlign w:val="top"/>
          </w:tcPr>
          <w:p>
            <w:pPr>
              <w:spacing w:after="40" w:before="0" w:line="259" w:lineRule="auto"/>
            </w:pPr>
            <w:r>
              <w:rPr>
                <w:rFonts w:ascii="Calibri" w:hAnsi="Calibri"/>
                <w:b w:val="0"/>
                <w:i w:val="0"/>
                <w:color w:val="212121"/>
                <w:sz w:val="16"/>
              </w:rPr>
              <w:t>Ready / already abstinent</w:t>
            </w:r>
          </w:p>
        </w:tc>
        <w:tc>
          <w:tcPr>
            <w:tcW w:type="dxa" w:w="950"/>
            <w:vAlign w:val="top"/>
          </w:tcPr>
          <w:p>
            <w:pPr>
              <w:spacing w:after="40" w:before="0" w:line="259" w:lineRule="auto"/>
            </w:pPr>
            <w:r>
              <w:rPr>
                <w:rFonts w:ascii="Calibri" w:hAnsi="Calibri"/>
                <w:b w:val="0"/>
                <w:i w:val="0"/>
                <w:color w:val="212121"/>
                <w:sz w:val="16"/>
              </w:rPr>
              <w:t>Pre-contemplation or ambivalence</w:t>
            </w:r>
          </w:p>
        </w:tc>
        <w:tc>
          <w:tcPr>
            <w:tcW w:type="dxa" w:w="1036"/>
            <w:vAlign w:val="top"/>
          </w:tcPr>
          <w:p>
            <w:pPr>
              <w:spacing w:after="40" w:before="0" w:line="259" w:lineRule="auto"/>
            </w:pPr>
            <w:r>
              <w:rPr>
                <w:rFonts w:ascii="Calibri" w:hAnsi="Calibri"/>
                <w:b w:val="0"/>
                <w:i w:val="0"/>
                <w:color w:val="212121"/>
                <w:sz w:val="16"/>
              </w:rPr>
              <w:t>Tailors brief advice and matches the intervention to readiness</w:t>
            </w:r>
          </w:p>
        </w:tc>
        <w:tc>
          <w:tcPr>
            <w:tcW w:type="dxa" w:w="1036"/>
            <w:vAlign w:val="top"/>
          </w:tcPr>
          <w:p>
            <w:pPr>
              <w:spacing w:after="40" w:before="0" w:line="259" w:lineRule="auto"/>
            </w:pPr>
            <w:r>
              <w:rPr>
                <w:rFonts w:ascii="Calibri" w:hAnsi="Calibri"/>
                <w:b w:val="0"/>
                <w:i w:val="0"/>
                <w:color w:val="212121"/>
                <w:sz w:val="16"/>
              </w:rPr>
              <w:t>All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Advise, Assess, Assist, Arrange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Psychiatric &amp; substance co-use assessment</w:t>
            </w:r>
          </w:p>
        </w:tc>
        <w:tc>
          <w:tcPr>
            <w:tcW w:type="dxa" w:w="979"/>
            <w:vAlign w:val="top"/>
          </w:tcPr>
          <w:p>
            <w:pPr>
              <w:spacing w:after="40" w:before="0" w:line="259" w:lineRule="auto"/>
            </w:pPr>
            <w:r>
              <w:rPr>
                <w:rFonts w:ascii="Calibri" w:hAnsi="Calibri"/>
                <w:b w:val="0"/>
                <w:i w:val="0"/>
                <w:color w:val="212121"/>
                <w:sz w:val="16"/>
              </w:rPr>
              <w:t>PHQ-9/GAD-7, severe mental illness, alcohol and other substance use</w:t>
            </w:r>
          </w:p>
        </w:tc>
        <w:tc>
          <w:tcPr>
            <w:tcW w:type="dxa" w:w="950"/>
            <w:vAlign w:val="top"/>
          </w:tcPr>
          <w:p>
            <w:pPr>
              <w:spacing w:after="40" w:before="0" w:line="259" w:lineRule="auto"/>
            </w:pPr>
            <w:r>
              <w:rPr>
                <w:rFonts w:ascii="Calibri" w:hAnsi="Calibri"/>
                <w:b w:val="0"/>
                <w:i w:val="0"/>
                <w:color w:val="212121"/>
                <w:sz w:val="16"/>
              </w:rPr>
              <w:t>Negative screens, no co-use</w:t>
            </w:r>
          </w:p>
        </w:tc>
        <w:tc>
          <w:tcPr>
            <w:tcW w:type="dxa" w:w="950"/>
            <w:vAlign w:val="top"/>
          </w:tcPr>
          <w:p>
            <w:pPr>
              <w:spacing w:after="40" w:before="0" w:line="259" w:lineRule="auto"/>
            </w:pPr>
            <w:r>
              <w:rPr>
                <w:rFonts w:ascii="Calibri" w:hAnsi="Calibri"/>
                <w:b w:val="0"/>
                <w:i w:val="0"/>
                <w:color w:val="212121"/>
                <w:sz w:val="16"/>
              </w:rPr>
              <w:t>Comorbid depression/anxiety/SMI, alcohol co-use</w:t>
            </w:r>
          </w:p>
        </w:tc>
        <w:tc>
          <w:tcPr>
            <w:tcW w:type="dxa" w:w="1036"/>
            <w:vAlign w:val="top"/>
          </w:tcPr>
          <w:p>
            <w:pPr>
              <w:spacing w:after="40" w:before="0" w:line="259" w:lineRule="auto"/>
            </w:pPr>
            <w:r>
              <w:rPr>
                <w:rFonts w:ascii="Calibri" w:hAnsi="Calibri"/>
                <w:b w:val="0"/>
                <w:i w:val="0"/>
                <w:color w:val="212121"/>
                <w:sz w:val="16"/>
              </w:rPr>
              <w:t>Detects comorbidity that lowers quit rates and needs concurrent care</w:t>
            </w:r>
          </w:p>
        </w:tc>
        <w:tc>
          <w:tcPr>
            <w:tcW w:type="dxa" w:w="1036"/>
            <w:vAlign w:val="top"/>
          </w:tcPr>
          <w:p>
            <w:pPr>
              <w:spacing w:after="40" w:before="0" w:line="259" w:lineRule="auto"/>
            </w:pPr>
            <w:r>
              <w:rPr>
                <w:rFonts w:ascii="Calibri" w:hAnsi="Calibri"/>
                <w:b w:val="0"/>
                <w:i w:val="0"/>
                <w:color w:val="212121"/>
                <w:sz w:val="16"/>
              </w:rPr>
              <w:t>Users with mood symptoms or serious mental illness</w:t>
            </w:r>
          </w:p>
        </w:tc>
        <w:tc>
          <w:tcPr>
            <w:tcW w:type="dxa" w:w="720"/>
            <w:vAlign w:val="top"/>
          </w:tcPr>
          <w:p>
            <w:pPr>
              <w:spacing w:after="40" w:before="0" w:line="259" w:lineRule="auto"/>
            </w:pPr>
            <w:r>
              <w:rPr>
                <w:rFonts w:ascii="Calibri" w:hAnsi="Calibri"/>
                <w:b w:val="0"/>
                <w:i w:val="0"/>
                <w:color w:val="212121"/>
                <w:sz w:val="16"/>
              </w:rPr>
              <w:t>Mental health; 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Cessation is safe and beneficial in stable mental illness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Oral cavity examination</w:t>
            </w:r>
          </w:p>
        </w:tc>
        <w:tc>
          <w:tcPr>
            <w:tcW w:type="dxa" w:w="979"/>
            <w:vAlign w:val="top"/>
          </w:tcPr>
          <w:p>
            <w:pPr>
              <w:spacing w:after="40" w:before="0" w:line="259" w:lineRule="auto"/>
            </w:pPr>
            <w:r>
              <w:rPr>
                <w:rFonts w:ascii="Calibri" w:hAnsi="Calibri"/>
                <w:b w:val="0"/>
                <w:i w:val="0"/>
                <w:color w:val="212121"/>
                <w:sz w:val="16"/>
              </w:rPr>
              <w:t>Dental staining, leukoplakia, erythroplakia, mouth opening (OSMF), ulcers/masses</w:t>
            </w:r>
          </w:p>
        </w:tc>
        <w:tc>
          <w:tcPr>
            <w:tcW w:type="dxa" w:w="950"/>
            <w:vAlign w:val="top"/>
          </w:tcPr>
          <w:p>
            <w:pPr>
              <w:spacing w:after="40" w:before="0" w:line="259" w:lineRule="auto"/>
            </w:pPr>
            <w:r>
              <w:rPr>
                <w:rFonts w:ascii="Calibri" w:hAnsi="Calibri"/>
                <w:b w:val="0"/>
                <w:i w:val="0"/>
                <w:color w:val="212121"/>
                <w:sz w:val="16"/>
              </w:rPr>
              <w:t>Healthy mucosa, normal opening</w:t>
            </w:r>
          </w:p>
        </w:tc>
        <w:tc>
          <w:tcPr>
            <w:tcW w:type="dxa" w:w="950"/>
            <w:vAlign w:val="top"/>
          </w:tcPr>
          <w:p>
            <w:pPr>
              <w:spacing w:after="40" w:before="0" w:line="259" w:lineRule="auto"/>
            </w:pPr>
            <w:r>
              <w:rPr>
                <w:rFonts w:ascii="Calibri" w:hAnsi="Calibri"/>
                <w:b w:val="0"/>
                <w:i w:val="0"/>
                <w:color w:val="212121"/>
                <w:sz w:val="16"/>
              </w:rPr>
              <w:t>Pre-malignant lesion, restricted opening, suspicious ulcer/mass</w:t>
            </w:r>
          </w:p>
        </w:tc>
        <w:tc>
          <w:tcPr>
            <w:tcW w:type="dxa" w:w="1036"/>
            <w:vAlign w:val="top"/>
          </w:tcPr>
          <w:p>
            <w:pPr>
              <w:spacing w:after="40" w:before="0" w:line="259" w:lineRule="auto"/>
            </w:pPr>
            <w:r>
              <w:rPr>
                <w:rFonts w:ascii="Calibri" w:hAnsi="Calibri"/>
                <w:b w:val="0"/>
                <w:i w:val="0"/>
                <w:color w:val="212121"/>
                <w:sz w:val="16"/>
              </w:rPr>
              <w:t>Screens for smokeless-tobacco-related oral disease and early cancer</w:t>
            </w:r>
          </w:p>
        </w:tc>
        <w:tc>
          <w:tcPr>
            <w:tcW w:type="dxa" w:w="1036"/>
            <w:vAlign w:val="top"/>
          </w:tcPr>
          <w:p>
            <w:pPr>
              <w:spacing w:after="40" w:before="0" w:line="259" w:lineRule="auto"/>
            </w:pPr>
            <w:r>
              <w:rPr>
                <w:rFonts w:ascii="Calibri" w:hAnsi="Calibri"/>
                <w:b w:val="0"/>
                <w:i w:val="0"/>
                <w:color w:val="212121"/>
                <w:sz w:val="16"/>
              </w:rPr>
              <w:t>Smokeless &amp; smoked users, paan/gutka chewers</w:t>
            </w:r>
          </w:p>
        </w:tc>
        <w:tc>
          <w:tcPr>
            <w:tcW w:type="dxa" w:w="720"/>
            <w:vAlign w:val="top"/>
          </w:tcPr>
          <w:p>
            <w:pPr>
              <w:spacing w:after="40" w:before="0" w:line="259" w:lineRule="auto"/>
            </w:pPr>
            <w:r>
              <w:rPr>
                <w:rFonts w:ascii="Calibri" w:hAnsi="Calibri"/>
                <w:b w:val="0"/>
                <w:i w:val="0"/>
                <w:color w:val="212121"/>
                <w:sz w:val="16"/>
              </w:rPr>
              <w:t>Hygiene; Smoking</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Refer any non-healing or indurated lesion urgently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Respiratory &amp; cardiovascular examination</w:t>
            </w:r>
          </w:p>
        </w:tc>
        <w:tc>
          <w:tcPr>
            <w:tcW w:type="dxa" w:w="979"/>
            <w:vAlign w:val="top"/>
          </w:tcPr>
          <w:p>
            <w:pPr>
              <w:spacing w:after="40" w:before="0" w:line="259" w:lineRule="auto"/>
            </w:pPr>
            <w:r>
              <w:rPr>
                <w:rFonts w:ascii="Calibri" w:hAnsi="Calibri"/>
                <w:b w:val="0"/>
                <w:i w:val="0"/>
                <w:color w:val="212121"/>
                <w:sz w:val="16"/>
              </w:rPr>
              <w:t>Cough, sputum, wheeze/prolonged expiration, BP, pulses, tar staining of fingers</w:t>
            </w:r>
          </w:p>
        </w:tc>
        <w:tc>
          <w:tcPr>
            <w:tcW w:type="dxa" w:w="950"/>
            <w:vAlign w:val="top"/>
          </w:tcPr>
          <w:p>
            <w:pPr>
              <w:spacing w:after="40" w:before="0" w:line="259" w:lineRule="auto"/>
            </w:pPr>
            <w:r>
              <w:rPr>
                <w:rFonts w:ascii="Calibri" w:hAnsi="Calibri"/>
                <w:b w:val="0"/>
                <w:i w:val="0"/>
                <w:color w:val="212121"/>
                <w:sz w:val="16"/>
              </w:rPr>
              <w:t>No abnormal findings</w:t>
            </w:r>
          </w:p>
        </w:tc>
        <w:tc>
          <w:tcPr>
            <w:tcW w:type="dxa" w:w="950"/>
            <w:vAlign w:val="top"/>
          </w:tcPr>
          <w:p>
            <w:pPr>
              <w:spacing w:after="40" w:before="0" w:line="259" w:lineRule="auto"/>
            </w:pPr>
            <w:r>
              <w:rPr>
                <w:rFonts w:ascii="Calibri" w:hAnsi="Calibri"/>
                <w:b w:val="0"/>
                <w:i w:val="0"/>
                <w:color w:val="212121"/>
                <w:sz w:val="16"/>
              </w:rPr>
              <w:t>Airflow signs, hypertension, vascular disease</w:t>
            </w:r>
          </w:p>
        </w:tc>
        <w:tc>
          <w:tcPr>
            <w:tcW w:type="dxa" w:w="1036"/>
            <w:vAlign w:val="top"/>
          </w:tcPr>
          <w:p>
            <w:pPr>
              <w:spacing w:after="40" w:before="0" w:line="259" w:lineRule="auto"/>
            </w:pPr>
            <w:r>
              <w:rPr>
                <w:rFonts w:ascii="Calibri" w:hAnsi="Calibri"/>
                <w:b w:val="0"/>
                <w:i w:val="0"/>
                <w:color w:val="212121"/>
                <w:sz w:val="16"/>
              </w:rPr>
              <w:t>Identifies smoking-related organ damage</w:t>
            </w:r>
          </w:p>
        </w:tc>
        <w:tc>
          <w:tcPr>
            <w:tcW w:type="dxa" w:w="1036"/>
            <w:vAlign w:val="top"/>
          </w:tcPr>
          <w:p>
            <w:pPr>
              <w:spacing w:after="40" w:before="0" w:line="259" w:lineRule="auto"/>
            </w:pPr>
            <w:r>
              <w:rPr>
                <w:rFonts w:ascii="Calibri" w:hAnsi="Calibri"/>
                <w:b w:val="0"/>
                <w:i w:val="0"/>
                <w:color w:val="212121"/>
                <w:sz w:val="16"/>
              </w:rPr>
              <w:t>Long-term smokers, symptomatic users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Correlate with spirometry and CVD risk panel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Craving / strong urge to use tobacco</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persistent, often cue-triggered compulsion to smoke or chew, central to dependence.</w:t>
            </w:r>
          </w:p>
        </w:tc>
      </w:tr>
      <w:tr>
        <w:trPr>
          <w:cantSplit/>
        </w:trPr>
        <w:tc>
          <w:tcPr>
            <w:tcW w:type="dxa" w:w="2304"/>
            <w:vAlign w:val="top"/>
          </w:tcPr>
          <w:p>
            <w:pPr>
              <w:spacing w:after="40" w:before="0" w:line="259" w:lineRule="auto"/>
            </w:pPr>
            <w:r>
              <w:rPr>
                <w:rFonts w:ascii="Calibri" w:hAnsi="Calibri"/>
                <w:b/>
                <w:i w:val="0"/>
                <w:color w:val="212121"/>
                <w:sz w:val="19"/>
              </w:rPr>
              <w:t>Unsuccessful attempts to cut down or quit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Repeated failed efforts to stop despite a genuine wish to, a core DSM-5 criterion.</w:t>
            </w:r>
          </w:p>
        </w:tc>
      </w:tr>
      <w:tr>
        <w:trPr>
          <w:cantSplit/>
        </w:trPr>
        <w:tc>
          <w:tcPr>
            <w:tcW w:type="dxa" w:w="2304"/>
            <w:vAlign w:val="top"/>
          </w:tcPr>
          <w:p>
            <w:pPr>
              <w:spacing w:after="40" w:before="0" w:line="259" w:lineRule="auto"/>
            </w:pPr>
            <w:r>
              <w:rPr>
                <w:rFonts w:ascii="Calibri" w:hAnsi="Calibri"/>
                <w:b/>
                <w:i w:val="0"/>
                <w:color w:val="212121"/>
                <w:sz w:val="19"/>
              </w:rPr>
              <w:t>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Needing more tobacco for the same effect, or reduced effect from the usual amount.</w:t>
            </w:r>
          </w:p>
        </w:tc>
      </w:tr>
      <w:tr>
        <w:trPr>
          <w:cantSplit/>
        </w:trPr>
        <w:tc>
          <w:tcPr>
            <w:tcW w:type="dxa" w:w="2304"/>
            <w:vAlign w:val="top"/>
          </w:tcPr>
          <w:p>
            <w:pPr>
              <w:spacing w:after="40" w:before="0" w:line="259" w:lineRule="auto"/>
            </w:pPr>
            <w:r>
              <w:rPr>
                <w:rFonts w:ascii="Calibri" w:hAnsi="Calibri"/>
                <w:b/>
                <w:i w:val="0"/>
                <w:color w:val="212121"/>
                <w:sz w:val="19"/>
              </w:rPr>
              <w:t>Withdrawal - irritability, anxiety, restlessness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Nicotine withdrawal within hours of the last use, peaking at 2-3 days and easing over 2-4 weeks.</w:t>
            </w:r>
          </w:p>
        </w:tc>
      </w:tr>
      <w:tr>
        <w:trPr>
          <w:cantSplit/>
        </w:trPr>
        <w:tc>
          <w:tcPr>
            <w:tcW w:type="dxa" w:w="2304"/>
            <w:vAlign w:val="top"/>
          </w:tcPr>
          <w:p>
            <w:pPr>
              <w:spacing w:after="40" w:before="0" w:line="259" w:lineRule="auto"/>
            </w:pPr>
            <w:r>
              <w:rPr>
                <w:rFonts w:ascii="Calibri" w:hAnsi="Calibri"/>
                <w:b/>
                <w:i w:val="0"/>
                <w:color w:val="212121"/>
                <w:sz w:val="19"/>
              </w:rPr>
              <w:t>Early-morning use ('need it on waking')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Using tobacco soon after waking to relieve overnight withdrawal - a marker of strong dependence.</w:t>
            </w:r>
          </w:p>
        </w:tc>
      </w:tr>
      <w:tr>
        <w:trPr>
          <w:cantSplit/>
        </w:trPr>
        <w:tc>
          <w:tcPr>
            <w:tcW w:type="dxa" w:w="2304"/>
            <w:vAlign w:val="top"/>
          </w:tcPr>
          <w:p>
            <w:pPr>
              <w:spacing w:after="40" w:before="0" w:line="259" w:lineRule="auto"/>
            </w:pPr>
            <w:r>
              <w:rPr>
                <w:rFonts w:ascii="Calibri" w:hAnsi="Calibri"/>
                <w:b/>
                <w:i w:val="0"/>
                <w:color w:val="212121"/>
                <w:sz w:val="19"/>
              </w:rPr>
              <w:t>Difficulty concentrating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focus and 'foggy' feeling during abstinence, part of the withdrawal syndrome.</w:t>
            </w:r>
          </w:p>
        </w:tc>
      </w:tr>
      <w:tr>
        <w:trPr>
          <w:cantSplit/>
        </w:trPr>
        <w:tc>
          <w:tcPr>
            <w:tcW w:type="dxa" w:w="2304"/>
            <w:vAlign w:val="top"/>
          </w:tcPr>
          <w:p>
            <w:pPr>
              <w:spacing w:after="40" w:before="0" w:line="259" w:lineRule="auto"/>
            </w:pPr>
            <w:r>
              <w:rPr>
                <w:rFonts w:ascii="Calibri" w:hAnsi="Calibri"/>
                <w:b/>
                <w:i w:val="0"/>
                <w:color w:val="212121"/>
                <w:sz w:val="19"/>
              </w:rPr>
              <w:t>Increased appetite / weight gain on stopping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nicotine's appetite suppression causes hunger and modest weight gain during quitting.</w:t>
            </w:r>
          </w:p>
        </w:tc>
      </w:tr>
      <w:tr>
        <w:trPr>
          <w:cantSplit/>
        </w:trPr>
        <w:tc>
          <w:tcPr>
            <w:tcW w:type="dxa" w:w="2304"/>
            <w:vAlign w:val="top"/>
          </w:tcPr>
          <w:p>
            <w:pPr>
              <w:spacing w:after="40" w:before="0" w:line="259" w:lineRule="auto"/>
            </w:pPr>
            <w:r>
              <w:rPr>
                <w:rFonts w:ascii="Calibri" w:hAnsi="Calibri"/>
                <w:b/>
                <w:i w:val="0"/>
                <w:color w:val="212121"/>
                <w:sz w:val="19"/>
              </w:rPr>
              <w:t>Continued use despite known harm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Persisting despite clear physical, financial or social damage from tobacco.</w:t>
            </w:r>
          </w:p>
        </w:tc>
      </w:tr>
      <w:tr>
        <w:trPr>
          <w:cantSplit/>
        </w:trPr>
        <w:tc>
          <w:tcPr>
            <w:tcW w:type="dxa" w:w="2304"/>
            <w:vAlign w:val="top"/>
          </w:tcPr>
          <w:p>
            <w:pPr>
              <w:spacing w:after="40" w:before="0" w:line="259" w:lineRule="auto"/>
            </w:pPr>
            <w:r>
              <w:rPr>
                <w:rFonts w:ascii="Calibri" w:hAnsi="Calibri"/>
                <w:b/>
                <w:i w:val="0"/>
                <w:color w:val="212121"/>
                <w:sz w:val="19"/>
              </w:rPr>
              <w:t>Chronic cough and sputum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'Smoker's cough' from airway irritation and chronic bronchitis in long-term smokers.</w:t>
            </w:r>
          </w:p>
        </w:tc>
      </w:tr>
      <w:tr>
        <w:trPr>
          <w:cantSplit/>
        </w:trPr>
        <w:tc>
          <w:tcPr>
            <w:tcW w:type="dxa" w:w="2304"/>
            <w:vAlign w:val="top"/>
          </w:tcPr>
          <w:p>
            <w:pPr>
              <w:spacing w:after="40" w:before="0" w:line="259" w:lineRule="auto"/>
            </w:pPr>
            <w:r>
              <w:rPr>
                <w:rFonts w:ascii="Calibri" w:hAnsi="Calibri"/>
                <w:b/>
                <w:i w:val="0"/>
                <w:color w:val="212121"/>
                <w:sz w:val="19"/>
              </w:rPr>
              <w:t>Breathlessness on exertion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Reduced exercise tolerance signalling developing COPD or cardiovascular disease.</w:t>
            </w:r>
          </w:p>
        </w:tc>
      </w:tr>
      <w:tr>
        <w:trPr>
          <w:cantSplit/>
        </w:trPr>
        <w:tc>
          <w:tcPr>
            <w:tcW w:type="dxa" w:w="2304"/>
            <w:vAlign w:val="top"/>
          </w:tcPr>
          <w:p>
            <w:pPr>
              <w:spacing w:after="40" w:before="0" w:line="259" w:lineRule="auto"/>
            </w:pPr>
            <w:r>
              <w:rPr>
                <w:rFonts w:ascii="Calibri" w:hAnsi="Calibri"/>
                <w:b/>
                <w:i w:val="0"/>
                <w:color w:val="212121"/>
                <w:sz w:val="19"/>
              </w:rPr>
              <w:t>Burning mouth / restricted mouth opening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Oral submucous fibrosis from smokeless tobacco and areca nut, a pre-malignant condition.</w:t>
            </w:r>
          </w:p>
        </w:tc>
      </w:tr>
      <w:tr>
        <w:trPr>
          <w:cantSplit/>
        </w:trPr>
        <w:tc>
          <w:tcPr>
            <w:tcW w:type="dxa" w:w="2304"/>
            <w:vAlign w:val="top"/>
          </w:tcPr>
          <w:p>
            <w:pPr>
              <w:spacing w:after="40" w:before="0" w:line="259" w:lineRule="auto"/>
            </w:pPr>
            <w:r>
              <w:rPr>
                <w:rFonts w:ascii="Calibri" w:hAnsi="Calibri"/>
                <w:b/>
                <w:i w:val="0"/>
                <w:color w:val="212121"/>
                <w:sz w:val="19"/>
              </w:rPr>
              <w:t>Depressed mood during abstinence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Low mood on quitting, more pronounced in those with underlying depression.</w:t>
            </w:r>
          </w:p>
        </w:tc>
      </w:tr>
      <w:tr>
        <w:trPr>
          <w:cantSplit/>
        </w:trPr>
        <w:tc>
          <w:tcPr>
            <w:tcW w:type="dxa" w:w="2304"/>
            <w:vAlign w:val="top"/>
          </w:tcPr>
          <w:p>
            <w:pPr>
              <w:spacing w:after="40" w:before="0" w:line="259" w:lineRule="auto"/>
            </w:pPr>
            <w:r>
              <w:rPr>
                <w:rFonts w:ascii="Calibri" w:hAnsi="Calibri"/>
                <w:b/>
                <w:i w:val="0"/>
                <w:color w:val="212121"/>
                <w:sz w:val="19"/>
              </w:rPr>
              <w:t>Haemoptysis or persistent hoarseness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Warning symptoms that may indicate lung, laryngeal or head-and-neck malignancy.</w:t>
            </w:r>
          </w:p>
        </w:tc>
      </w:tr>
      <w:tr>
        <w:trPr>
          <w:cantSplit/>
        </w:trPr>
        <w:tc>
          <w:tcPr>
            <w:tcW w:type="dxa" w:w="2304"/>
            <w:vAlign w:val="top"/>
          </w:tcPr>
          <w:p>
            <w:pPr>
              <w:spacing w:after="40" w:before="0" w:line="259" w:lineRule="auto"/>
            </w:pPr>
            <w:r>
              <w:rPr>
                <w:rFonts w:ascii="Calibri" w:hAnsi="Calibri"/>
                <w:b/>
                <w:i w:val="0"/>
                <w:color w:val="212121"/>
                <w:sz w:val="19"/>
              </w:rPr>
              <w:t>Non-healing oral ulcer or lump</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persistent oral lesion suspicious for cancer, especially in smokeless-tobacco users.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Tobacco / tar staining of teeth and fingers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Yellow-brown discolouration of teeth, nails and finger-web from tar deposition.</w:t>
            </w:r>
          </w:p>
        </w:tc>
      </w:tr>
      <w:tr>
        <w:trPr>
          <w:cantSplit/>
        </w:trPr>
        <w:tc>
          <w:tcPr>
            <w:tcW w:type="dxa" w:w="3456"/>
            <w:vAlign w:val="top"/>
          </w:tcPr>
          <w:p>
            <w:pPr>
              <w:spacing w:after="40" w:before="0" w:line="259" w:lineRule="auto"/>
            </w:pPr>
            <w:r>
              <w:rPr>
                <w:rFonts w:ascii="Calibri" w:hAnsi="Calibri"/>
                <w:b/>
                <w:i w:val="0"/>
                <w:color w:val="212121"/>
                <w:sz w:val="19"/>
              </w:rPr>
              <w:t>Halitosis and smell of smoke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tobacco odour on breath, clothing and hair.</w:t>
            </w:r>
          </w:p>
        </w:tc>
      </w:tr>
      <w:tr>
        <w:trPr>
          <w:cantSplit/>
        </w:trPr>
        <w:tc>
          <w:tcPr>
            <w:tcW w:type="dxa" w:w="3456"/>
            <w:vAlign w:val="top"/>
          </w:tcPr>
          <w:p>
            <w:pPr>
              <w:spacing w:after="40" w:before="0" w:line="259" w:lineRule="auto"/>
            </w:pPr>
            <w:r>
              <w:rPr>
                <w:rFonts w:ascii="Calibri" w:hAnsi="Calibri"/>
                <w:b/>
                <w:i w:val="0"/>
                <w:color w:val="212121"/>
                <w:sz w:val="19"/>
              </w:rPr>
              <w:t>Oral leukoplakia / erythroplakia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White or red mucosal patches at the site of tobacco placement - pre-malignant lesions.</w:t>
            </w:r>
          </w:p>
        </w:tc>
      </w:tr>
      <w:tr>
        <w:trPr>
          <w:cantSplit/>
        </w:trPr>
        <w:tc>
          <w:tcPr>
            <w:tcW w:type="dxa" w:w="3456"/>
            <w:vAlign w:val="top"/>
          </w:tcPr>
          <w:p>
            <w:pPr>
              <w:spacing w:after="40" w:before="0" w:line="259" w:lineRule="auto"/>
            </w:pPr>
            <w:r>
              <w:rPr>
                <w:rFonts w:ascii="Calibri" w:hAnsi="Calibri"/>
                <w:b/>
                <w:i w:val="0"/>
                <w:color w:val="212121"/>
                <w:sz w:val="19"/>
              </w:rPr>
              <w:t>Gingival recession and periodontitis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Gum disease, tooth mobility and loss accelerated by tobacco use.</w:t>
            </w:r>
          </w:p>
        </w:tc>
      </w:tr>
      <w:tr>
        <w:trPr>
          <w:cantSplit/>
        </w:trPr>
        <w:tc>
          <w:tcPr>
            <w:tcW w:type="dxa" w:w="3456"/>
            <w:vAlign w:val="top"/>
          </w:tcPr>
          <w:p>
            <w:pPr>
              <w:spacing w:after="40" w:before="0" w:line="259" w:lineRule="auto"/>
            </w:pPr>
            <w:r>
              <w:rPr>
                <w:rFonts w:ascii="Calibri" w:hAnsi="Calibri"/>
                <w:b/>
                <w:i w:val="0"/>
                <w:color w:val="212121"/>
                <w:sz w:val="19"/>
              </w:rPr>
              <w:t>Prolonged expiration / wheeze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Airflow obstruction of smoking-related COPD on chest auscultation.</w:t>
            </w:r>
          </w:p>
        </w:tc>
      </w:tr>
      <w:tr>
        <w:trPr>
          <w:cantSplit/>
        </w:trPr>
        <w:tc>
          <w:tcPr>
            <w:tcW w:type="dxa" w:w="3456"/>
            <w:vAlign w:val="top"/>
          </w:tcPr>
          <w:p>
            <w:pPr>
              <w:spacing w:after="40" w:before="0" w:line="259" w:lineRule="auto"/>
            </w:pPr>
            <w:r>
              <w:rPr>
                <w:rFonts w:ascii="Calibri" w:hAnsi="Calibri"/>
                <w:b/>
                <w:i w:val="0"/>
                <w:color w:val="212121"/>
                <w:sz w:val="19"/>
              </w:rPr>
              <w:t>Oral submucous fibrosis (restricted mouth opening)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Palpable fibrous bands and limited mouth opening from areca-nut and smokeless tobacco.</w:t>
            </w:r>
          </w:p>
        </w:tc>
      </w:tr>
      <w:tr>
        <w:trPr>
          <w:cantSplit/>
        </w:trPr>
        <w:tc>
          <w:tcPr>
            <w:tcW w:type="dxa" w:w="3456"/>
            <w:vAlign w:val="top"/>
          </w:tcPr>
          <w:p>
            <w:pPr>
              <w:spacing w:after="40" w:before="0" w:line="259" w:lineRule="auto"/>
            </w:pPr>
            <w:r>
              <w:rPr>
                <w:rFonts w:ascii="Calibri" w:hAnsi="Calibri"/>
                <w:b/>
                <w:i w:val="0"/>
                <w:color w:val="212121"/>
                <w:sz w:val="19"/>
              </w:rPr>
              <w:t>Tachycardia and raised blood pressure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Acute sympathomimetic effects of nicotine on the cardiovascular system.</w:t>
            </w:r>
          </w:p>
        </w:tc>
      </w:tr>
      <w:tr>
        <w:trPr>
          <w:cantSplit/>
        </w:trPr>
        <w:tc>
          <w:tcPr>
            <w:tcW w:type="dxa" w:w="3456"/>
            <w:vAlign w:val="top"/>
          </w:tcPr>
          <w:p>
            <w:pPr>
              <w:spacing w:after="40" w:before="0" w:line="259" w:lineRule="auto"/>
            </w:pPr>
            <w:r>
              <w:rPr>
                <w:rFonts w:ascii="Calibri" w:hAnsi="Calibri"/>
                <w:b/>
                <w:i w:val="0"/>
                <w:color w:val="212121"/>
                <w:sz w:val="19"/>
              </w:rPr>
              <w:t>Signs of peripheral vascular disease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Diminished pulses, cool extremities or claudication from tobacco-driven atherosclerosis.</w:t>
            </w:r>
          </w:p>
        </w:tc>
      </w:tr>
      <w:tr>
        <w:trPr>
          <w:cantSplit/>
        </w:trPr>
        <w:tc>
          <w:tcPr>
            <w:tcW w:type="dxa" w:w="3456"/>
            <w:vAlign w:val="top"/>
          </w:tcPr>
          <w:p>
            <w:pPr>
              <w:spacing w:after="40" w:before="0" w:line="259" w:lineRule="auto"/>
            </w:pPr>
            <w:r>
              <w:rPr>
                <w:rFonts w:ascii="Calibri" w:hAnsi="Calibri"/>
                <w:b/>
                <w:i w:val="0"/>
                <w:color w:val="212121"/>
                <w:sz w:val="19"/>
              </w:rPr>
              <w:t>Finger clubbing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May accompany lung cancer or chronic suppurative lung disease in long-term smokers.</w:t>
            </w:r>
          </w:p>
        </w:tc>
      </w:tr>
      <w:tr>
        <w:trPr>
          <w:cantSplit/>
        </w:trPr>
        <w:tc>
          <w:tcPr>
            <w:tcW w:type="dxa" w:w="3456"/>
            <w:vAlign w:val="top"/>
          </w:tcPr>
          <w:p>
            <w:pPr>
              <w:spacing w:after="40" w:before="0" w:line="259" w:lineRule="auto"/>
            </w:pPr>
            <w:r>
              <w:rPr>
                <w:rFonts w:ascii="Calibri" w:hAnsi="Calibri"/>
                <w:b/>
                <w:i w:val="0"/>
                <w:color w:val="212121"/>
                <w:sz w:val="19"/>
              </w:rPr>
              <w:t>Indurated oral ulcer or neck lymphadenopathy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Physical signs suspicious for oral or head-and-neck malignancy requiring urgent referral.</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Nicotine dependence with craving and loss of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Nicotine withdrawal syndrome (irritability, anxiety, insomnia, poor concentration)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cardiovascular effects (tachycardia, raised blood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Post-cessation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nicotine poisoning (e.g. accidental ingestion of products by children - rare)</w:t>
            </w:r>
          </w:p>
        </w:tc>
        <w:tc>
          <w:tcPr>
            <w:tcW w:type="dxa" w:w="2980"/>
            <w:vAlign w:val="top"/>
          </w:tcPr>
          <w:p>
            <w:pPr>
              <w:spacing w:after="40" w:before="0" w:line="259" w:lineRule="auto"/>
            </w:pPr>
            <w:r>
              <w:rPr>
                <w:rFonts w:ascii="Calibri" w:hAnsi="Calibri"/>
                <w:b w:val="0"/>
                <w:i w:val="0"/>
                <w:color w:val="212121"/>
                <w:sz w:val="19"/>
              </w:rPr>
              <w:t>Direct pharmacological effects of nicotine and of abrupt cessation in a dependent user</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chronic bronchitis and emphysema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Coronary artery disease, hypertension and peripheral 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risk and worse outcomes of tuberculosis and respiratory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 submucous fibrosis, leukoplakia and periodontal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Peptic ulcer disease and gastro-oesophageal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fertility and adverse pregnancy outcomes (low birth weight, stillbirth)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Cataract, delayed wound healing and osteoporosis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2 diabetes and worsened glycaemic control</w:t>
            </w:r>
          </w:p>
        </w:tc>
        <w:tc>
          <w:tcPr>
            <w:tcW w:type="dxa" w:w="2980"/>
            <w:vAlign w:val="top"/>
          </w:tcPr>
          <w:p>
            <w:pPr>
              <w:spacing w:after="40" w:before="0" w:line="259" w:lineRule="auto"/>
            </w:pPr>
            <w:r>
              <w:rPr>
                <w:rFonts w:ascii="Calibri" w:hAnsi="Calibri"/>
                <w:b w:val="0"/>
                <w:i w:val="0"/>
                <w:color w:val="212121"/>
                <w:sz w:val="19"/>
              </w:rPr>
              <w:t>Chronic multi-organ toxicity from sustained exposure to nicotine and combustion/smokeless carcinogens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Lung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 head-and-neck, oesophageal, laryngeal and other tobacco-related cancers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COPD and respiratory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Fatal myocardial infarction and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Disabling peripheral vascular disease and amputation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 and years of life lost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impoverishment from illness and treatment costs</w:t>
            </w:r>
          </w:p>
        </w:tc>
        <w:tc>
          <w:tcPr>
            <w:tcW w:type="dxa" w:w="2980"/>
            <w:vAlign w:val="top"/>
          </w:tcPr>
          <w:p>
            <w:pPr>
              <w:spacing w:after="40" w:before="0" w:line="259" w:lineRule="auto"/>
            </w:pPr>
            <w:r>
              <w:rPr>
                <w:rFonts w:ascii="Calibri" w:hAnsi="Calibri"/>
                <w:b w:val="0"/>
                <w:i w:val="0"/>
                <w:color w:val="212121"/>
                <w:sz w:val="19"/>
              </w:rPr>
              <w:t>Irreversible, disabling and fatal outcomes of long-standing tobacco use and its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COPD / chronic respiratory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Smoking, especially bidi smoking, is the leading cause of COPD; continued use accelerates decline and exacerbations.</w:t>
            </w:r>
          </w:p>
        </w:tc>
      </w:tr>
      <w:tr>
        <w:trPr>
          <w:cantSplit/>
        </w:trPr>
        <w:tc>
          <w:tcPr>
            <w:tcW w:type="dxa" w:w="2232"/>
            <w:vAlign w:val="top"/>
          </w:tcPr>
          <w:p>
            <w:pPr>
              <w:spacing w:after="40" w:before="0" w:line="259" w:lineRule="auto"/>
            </w:pPr>
            <w:r>
              <w:rPr>
                <w:rFonts w:ascii="Calibri" w:hAnsi="Calibri"/>
                <w:b/>
                <w:i w:val="0"/>
                <w:color w:val="212121"/>
                <w:sz w:val="19"/>
              </w:rPr>
              <w:t>Cardiovascular disease &amp; stroke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Major dose-related cause of coronary artery disease, hypertension, stroke and peripheral vascular disease; even smokeless tobacco raises risk.</w:t>
            </w:r>
          </w:p>
        </w:tc>
      </w:tr>
      <w:tr>
        <w:trPr>
          <w:cantSplit/>
        </w:trPr>
        <w:tc>
          <w:tcPr>
            <w:tcW w:type="dxa" w:w="2232"/>
            <w:vAlign w:val="top"/>
          </w:tcPr>
          <w:p>
            <w:pPr>
              <w:spacing w:after="40" w:before="0" w:line="259" w:lineRule="auto"/>
            </w:pPr>
            <w:r>
              <w:rPr>
                <w:rFonts w:ascii="Calibri" w:hAnsi="Calibri"/>
                <w:b/>
                <w:i w:val="0"/>
                <w:color w:val="212121"/>
                <w:sz w:val="19"/>
              </w:rPr>
              <w:t>Oral &amp; head-and-neck cancer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At least 90% of India's oral cancers are tobacco-attributable and more than half are due to smokeless tobacco.</w:t>
            </w:r>
          </w:p>
          <w:p>
            <w:pPr>
              <w:spacing w:after="40" w:before="0" w:line="259" w:lineRule="auto"/>
            </w:pPr>
            <w:r>
              <w:rPr>
                <w:rFonts w:ascii="Calibri" w:hAnsi="Calibri"/>
                <w:b/>
                <w:i w:val="0"/>
                <w:color w:val="212121"/>
                <w:sz w:val="19"/>
              </w:rPr>
              <w:t>&gt;= 90% of oral cancers tobacco-related</w:t>
            </w:r>
          </w:p>
        </w:tc>
      </w:tr>
      <w:tr>
        <w:trPr>
          <w:cantSplit/>
        </w:trPr>
        <w:tc>
          <w:tcPr>
            <w:tcW w:type="dxa" w:w="2232"/>
            <w:vAlign w:val="top"/>
          </w:tcPr>
          <w:p>
            <w:pPr>
              <w:spacing w:after="40" w:before="0" w:line="259" w:lineRule="auto"/>
            </w:pPr>
            <w:r>
              <w:rPr>
                <w:rFonts w:ascii="Calibri" w:hAnsi="Calibri"/>
                <w:b/>
                <w:i w:val="0"/>
                <w:color w:val="212121"/>
                <w:sz w:val="19"/>
              </w:rPr>
              <w:t>Oral submucous fibrosis / leukoplakia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Pre-malignant lesions from smokeless tobacco and areca nut, largely specific to South Asia.</w:t>
            </w:r>
          </w:p>
        </w:tc>
      </w:tr>
      <w:tr>
        <w:trPr>
          <w:cantSplit/>
        </w:trPr>
        <w:tc>
          <w:tcPr>
            <w:tcW w:type="dxa" w:w="2232"/>
            <w:vAlign w:val="top"/>
          </w:tcPr>
          <w:p>
            <w:pPr>
              <w:spacing w:after="40" w:before="0" w:line="259" w:lineRule="auto"/>
            </w:pPr>
            <w:r>
              <w:rPr>
                <w:rFonts w:ascii="Calibri" w:hAnsi="Calibri"/>
                <w:b/>
                <w:i w:val="0"/>
                <w:color w:val="212121"/>
                <w:sz w:val="19"/>
              </w:rPr>
              <w:t>Tuberculosis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Smoking impairs pulmonary immunity and raised TB odds about 3.53-fold (bidi 4.49) in an Indian study.</w:t>
            </w:r>
          </w:p>
          <w:p>
            <w:pPr>
              <w:spacing w:after="40" w:before="0" w:line="259" w:lineRule="auto"/>
            </w:pPr>
            <w:r>
              <w:rPr>
                <w:rFonts w:ascii="Calibri" w:hAnsi="Calibri"/>
                <w:b/>
                <w:i w:val="0"/>
                <w:color w:val="212121"/>
                <w:sz w:val="19"/>
              </w:rPr>
              <w:t>OR ~3.53 for smokers</w:t>
            </w:r>
          </w:p>
        </w:tc>
      </w:tr>
      <w:tr>
        <w:trPr>
          <w:cantSplit/>
        </w:trPr>
        <w:tc>
          <w:tcPr>
            <w:tcW w:type="dxa" w:w="2232"/>
            <w:vAlign w:val="top"/>
          </w:tcPr>
          <w:p>
            <w:pPr>
              <w:spacing w:after="40" w:before="0" w:line="259" w:lineRule="auto"/>
            </w:pPr>
            <w:r>
              <w:rPr>
                <w:rFonts w:ascii="Calibri" w:hAnsi="Calibri"/>
                <w:b/>
                <w:i w:val="0"/>
                <w:color w:val="212121"/>
                <w:sz w:val="19"/>
              </w:rPr>
              <w:t>Lung cancer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strongest single cause of lung cancer; risk rises with amount and duration of smoking.</w:t>
            </w:r>
          </w:p>
        </w:tc>
      </w:tr>
      <w:tr>
        <w:trPr>
          <w:cantSplit/>
        </w:trPr>
        <w:tc>
          <w:tcPr>
            <w:tcW w:type="dxa" w:w="2232"/>
            <w:vAlign w:val="top"/>
          </w:tcPr>
          <w:p>
            <w:pPr>
              <w:spacing w:after="40" w:before="0" w:line="259" w:lineRule="auto"/>
            </w:pPr>
            <w:r>
              <w:rPr>
                <w:rFonts w:ascii="Calibri" w:hAnsi="Calibri"/>
                <w:b/>
                <w:i w:val="0"/>
                <w:color w:val="212121"/>
                <w:sz w:val="19"/>
              </w:rPr>
              <w:t>Severe mental illness / depression</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Tobacco use reached 35.3% in Indian men with severe mental illness; bidirectional link with depression and anxiety.</w:t>
            </w:r>
          </w:p>
          <w:p>
            <w:pPr>
              <w:spacing w:after="40" w:before="0" w:line="259" w:lineRule="auto"/>
            </w:pPr>
            <w:r>
              <w:rPr>
                <w:rFonts w:ascii="Calibri" w:hAnsi="Calibri"/>
                <w:b/>
                <w:i w:val="0"/>
                <w:color w:val="212121"/>
                <w:sz w:val="19"/>
              </w:rPr>
              <w:t>~35% (men with SMI)</w:t>
            </w:r>
          </w:p>
        </w:tc>
      </w:tr>
      <w:tr>
        <w:trPr>
          <w:cantSplit/>
        </w:trPr>
        <w:tc>
          <w:tcPr>
            <w:tcW w:type="dxa" w:w="2232"/>
            <w:vAlign w:val="top"/>
          </w:tcPr>
          <w:p>
            <w:pPr>
              <w:spacing w:after="40" w:before="0" w:line="259" w:lineRule="auto"/>
            </w:pPr>
            <w:r>
              <w:rPr>
                <w:rFonts w:ascii="Calibri" w:hAnsi="Calibri"/>
                <w:b/>
                <w:i w:val="0"/>
                <w:color w:val="212121"/>
                <w:sz w:val="19"/>
              </w:rPr>
              <w:t>Alcohol use disorder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Very common co-addiction sharing reward pathways; co-use multiplies cancer and cardiovascular harm.</w:t>
            </w:r>
          </w:p>
        </w:tc>
      </w:tr>
      <w:tr>
        <w:trPr>
          <w:cantSplit/>
        </w:trPr>
        <w:tc>
          <w:tcPr>
            <w:tcW w:type="dxa" w:w="2232"/>
            <w:vAlign w:val="top"/>
          </w:tcPr>
          <w:p>
            <w:pPr>
              <w:spacing w:after="40" w:before="0" w:line="259" w:lineRule="auto"/>
            </w:pPr>
            <w:r>
              <w:rPr>
                <w:rFonts w:ascii="Calibri" w:hAnsi="Calibri"/>
                <w:b/>
                <w:i w:val="0"/>
                <w:color w:val="212121"/>
                <w:sz w:val="19"/>
              </w:rPr>
              <w:t>Periodontal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Tobacco accelerates gum disease, tooth loss and impairs oral wound healing.</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Smoking increases the risk of type 2 diabetes and worsens glycaemic control and complications.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all forms of tobacco - cigarettes, bidis, hookah and smokeless products (gutka, khaini, zarda, paan with tobacco) - are harmful and addictive, with no safe level of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nicotine is the addictive driver and that dependence is a treatable medical condition, not a lack of willpower.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quitting at any age brings rapid and long-term benefits to the heart, lungs and 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spot early warning signs of tobacco-related disease - chronic cough, breathlessness, a mouth patch or ulcer that will not heal, or restricted mouth opening - and seek prompt screening.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of second-hand smoke harm to family members and of India's free national tobacco quitline and cessation services.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low-income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users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the 5 A's at every contact - Ask about tobacco, Advise quitting clearly, Assess readiness, Assist with a plan, and Arrange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a quit date and combine behavioural support with pharmacotherapy for the best results.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first-line medicines - nicotine replacement therapy (patch, gum, lozenge), varenicline or bupropion - matched to dependence level and comorbidity.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the FTND and time-to-first-use to gauge dependence and titrate therapy; verify abstinence with exhaled CO.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users to the national toll-free quitline and mCessation text-support services and to tobacco-cessation clinics.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smokeless tobacco and areca-nut use directly, with oral screening and referral of any suspicious lesion.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Users with tobacco-related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every user for depression, anxiety and severe mental illness, which lower quit rates and need concurrent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that quitting is safe in stable mental illness and, over time, improves mood and reduces medication needs.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cognitive-behavioural therapy, motivational interviewing and coping-skills training to manage craving and triggers.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stress-management and relaxation techniques to replace tobacco as a coping tool.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cessation with psychiatric teams for patients with serious mental illness, who carry the highest burden.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Users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severe mental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High-dependence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Relapsing quitters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regular aerobic activity (aim for about 150 minutes/week of brisk walking, cycling or swimming) to reduce craving and withdrawal severity.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Employ short bouts of exercise to ride out acute urges during the first weeks of quitting.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physical activity to limit post-cessation weight gain and improve mood and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activity gradually in those deconditioned by COPD or cardiovascular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Users in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anxious about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COPD/CVD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and plan for increased appetite on quitting; choose fruit, vegetables and water rather than high-calorie snacks.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sugar-free gum, seeds, saunf or other healthy oral substitutes to replace the hand-to-mouth habit.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meals regular and balanced to steady mood and energy during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habitual food/drink cues (heavy after-meal or after-tea routines) that trigger tobacco 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Users in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worried about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Anticipate withdrawal-related insomnia and vivid dreams in the first weeks and know they settle.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sleep-wake timing and good sleep hygiene to support quitting.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and heavy caffeine in the evening, as both disturb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persistent insomnia with behavioural methods rather than a return to tobacco.</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Users in early abstinence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Insomniac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Recovery phase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alcohol is a powerful cue to smoke and that co-use multiplies cancer and heart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down or avoid alcohol, especially in the early weeks of quitting tobacco.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harmful drinking alongside tobacco, as tackling both improves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drinking settings and company that strongly trigger tobacco 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 tobacco-alcohol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Relapsing quitters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sport, exercise and structured leisure in young people as protective alternatives to tobacco.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tobacco-free school, workplace and community activity programmes.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physical activity to build routine, confidence and stress resilience that reduce uptake.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Workplace programmes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tcp.mohfw.gov.in/assets/document/surveys-reports-publications/GATS-2-FactSheet.pdf" TargetMode="External"/><Relationship Id="rId10" Type="http://schemas.openxmlformats.org/officeDocument/2006/relationships/hyperlink" Target="https://journals.sagepub.com/doi/full/10.1177/1179173X20927397" TargetMode="External"/><Relationship Id="rId11" Type="http://schemas.openxmlformats.org/officeDocument/2006/relationships/hyperlink" Target="https://www.tobaccopreventioncessation.com/Tobacco-use-among-Indian-states-Key-findings-from-the-latest-demographic-health-survey,132466,0,2.html" TargetMode="External"/><Relationship Id="rId12" Type="http://schemas.openxmlformats.org/officeDocument/2006/relationships/hyperlink" Target="https://cdn.who.int/media/docs/default-source/searo/india/health-topic-pdf/smokeless-tobacco-and-public-health-in-india.pdf" TargetMode="External"/><Relationship Id="rId13" Type="http://schemas.openxmlformats.org/officeDocument/2006/relationships/hyperlink" Target="https://academic.oup.com/inthealth/article/2/3/216/859257" TargetMode="External"/><Relationship Id="rId14" Type="http://schemas.openxmlformats.org/officeDocument/2006/relationships/hyperlink" Target="https://journals.plos.org/plosone/article?id=10.1371%2Fjournal.pone.0220507" TargetMode="External"/><Relationship Id="rId15" Type="http://schemas.openxmlformats.org/officeDocument/2006/relationships/hyperlink" Target="https://www.tobaccoinduceddiseases.org/Tobacco-use-in-people-with-severe-mental-illness-Findings-nfrom-a-multi-country-survey,174361,0,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