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Intellectual Disability</w:t>
      </w:r>
    </w:p>
    <w:p>
      <w:pPr>
        <w:spacing w:before="0" w:after="160"/>
      </w:pPr>
      <w:r>
        <w:rPr>
          <w:rFonts w:ascii="Calibri" w:hAnsi="Calibri"/>
          <w:b/>
          <w:i w:val="0"/>
          <w:color w:val="212121"/>
          <w:sz w:val="22"/>
        </w:rPr>
        <w:t xml:space="preserve">AKA </w:t>
      </w:r>
      <w:r>
        <w:rPr>
          <w:rFonts w:ascii="Calibri" w:hAnsi="Calibri"/>
          <w:b w:val="0"/>
          <w:i w:val="0"/>
          <w:color w:val="212121"/>
          <w:sz w:val="22"/>
        </w:rPr>
        <w:t>i.e., Intellectual Developmental Disorder, Disorder of Intellectual Development (ICD-11), Global Learning Disability; formerly “Mental Retardation”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Intellectual disability (ID) is a neurodevelopmental disorder characterised by significant limitations in both intellectual functioning (reasoning, problem-solving, planning, abstract thinking, judgement, academic learning) and adaptive functioning across the conceptual, social and practical domains, with onset during the developmental period. Intellectual deficits are confirmed by clinical assessment and standardised intelligence testing (IQ roughly ≥ 2 standard deviations below the mean, about ≤ 70–75), while adaptive deficits limit independence in one or more activities of daily living. Severity is graded — in DSM-5 chiefly by adaptive functioning — as mild, moderate, severe or profound. It is a lifelong condition, though early intervention and support markedly improve functional outcomes.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Intellectual disability affects an estimated 1–2% of the Indian population, broadly in line with global pooled estimates of roughly 1% (about 10–15 per 1,000 in developing countries). In the landmark five-region INCLEN study, 3.6% of Indian children aged 2–9 years had intellectual disability and 12% had at least one neurodevelopmental disorder. India's Census 2011 recorded 26.8 million persons with disability, of whom 5.6% had a ‘mental’ (intellectual) disability, and burden analyses rank ID third after depressive and anxiety disorders among India's mental-health conditions. Boys are affected about 1.5 times more often than girls, and prevalence is higher in low-income, rural and historically iodine-deficient regions.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Intellectual disability is a clinical diagnosis (DSM-5 / ICD-11) requiring all three core criteria below, supported by standardised testing and an aetiological work-up; ‘global developmental delay’ is used provisionally for children under 5 years who cannot yet be reliably tested: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Deficits in intellectual functions (reasoning, problem-solving, planning, abstract thinking, judgement, academic and experiential learning) confirmed by clinical assessment and individualised, standardised, culturally appropriate IQ testing (typically IQ ≤ 70, i.e. ≈ 2 SD below the population mean, allowing for test error);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Deficits in adaptive functioning across conceptual, social and practical domains — assessed with instruments such as the Vineland Adaptive Behaviour Scales — that limit independence in one or more activities of daily living without ongoing support;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Onset of the intellectual and adaptive deficits during the developmental period (before adulthood, operationally before age 22);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graded (mild / moderate / severe / profound) primarily by adaptive functioning rather than IQ score alone, since IQ tests lose validity at the lower ranges;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Sensory (hearing, vision), motor and language impairments, mental illness and cultural or educational deprivation must be identified and excluded as sole explanations before the diagnosis is made;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aetiological evaluation — dysmorphology exam, chromosomal microarray / karyotype, Fragile-X (FMR1) testing, thyroid and metabolic screening, and neuroimaging — is recommended to identify a treatable or genetic cause.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Intellectual disability is classified by severity, traditionally by IQ range and now (DSM-5) chiefly by the level of adaptive support required. ICD-11 relabels the group ‘Disorders of Intellectual Development’ (codes 6A00–6A04):</w:t>
      </w:r>
    </w:p>
    <w:p>
      <w:pPr>
        <w:spacing w:before="0" w:after="80"/>
      </w:pPr>
      <w:r>
        <w:rPr>
          <w:rFonts w:ascii="Calibri" w:hAnsi="Calibri"/>
          <w:b w:val="0"/>
          <w:i w:val="0"/>
          <w:color w:val="212121"/>
          <w:sz w:val="21"/>
        </w:rPr>
        <w:t>(1) Mild ID (IQ ≈ 50–70; about 85% of cases) — the largest group; often unrecognised until school age, individuals attain academic skills to roughly a 9–12-year level, achieve functional literacy, and with support can live and work largely independently as adults;</w:t>
      </w:r>
    </w:p>
    <w:p>
      <w:pPr>
        <w:spacing w:before="0" w:after="80"/>
      </w:pPr>
      <w:r>
        <w:rPr>
          <w:rFonts w:ascii="Calibri" w:hAnsi="Calibri"/>
          <w:b w:val="0"/>
          <w:i w:val="0"/>
          <w:color w:val="212121"/>
          <w:sz w:val="21"/>
        </w:rPr>
        <w:t>(2) Moderate ID (IQ ≈ 35–50; about 10% of cases) — apparent in early childhood with marked speech and developmental delay; individuals manage basic self-care and simple supervised work and benefit from sheltered or supported employment;</w:t>
      </w:r>
    </w:p>
    <w:p>
      <w:pPr>
        <w:spacing w:before="0" w:after="80"/>
      </w:pPr>
      <w:r>
        <w:rPr>
          <w:rFonts w:ascii="Calibri" w:hAnsi="Calibri"/>
          <w:b w:val="0"/>
          <w:i w:val="0"/>
          <w:color w:val="212121"/>
          <w:sz w:val="21"/>
        </w:rPr>
        <w:t>(3) Severe ID (IQ ≈ 20–35; about 3–4% of cases) — limited communication and academic skills, recognised in infancy or toddlerhood, requiring daily support and close supervision for most activities of daily living;</w:t>
      </w:r>
    </w:p>
    <w:p>
      <w:pPr>
        <w:spacing w:before="0" w:after="80"/>
      </w:pPr>
      <w:r>
        <w:rPr>
          <w:rFonts w:ascii="Calibri" w:hAnsi="Calibri"/>
          <w:b w:val="0"/>
          <w:i w:val="0"/>
          <w:color w:val="212121"/>
          <w:sz w:val="21"/>
        </w:rPr>
        <w:t>(4) Profound ID (IQ &lt; 20–25; about 1–2% of cases) — pervasive dependence on caregivers for all self-care, communication and mobility, usually with an identifiable neurological or genetic cause and frequent co-occurring motor and sensory impairments;</w:t>
      </w:r>
    </w:p>
    <w:p>
      <w:pPr>
        <w:spacing w:before="0" w:after="80"/>
      </w:pPr>
      <w:r>
        <w:rPr>
          <w:rFonts w:ascii="Calibri" w:hAnsi="Calibri"/>
          <w:b w:val="0"/>
          <w:i w:val="0"/>
          <w:color w:val="212121"/>
          <w:sz w:val="21"/>
        </w:rPr>
        <w:t>Provisional / related categories include Global Developmental Delay (children &lt; 5 years, not yet reliably testable) and Unspecified Intellectual Disability (assessment precluded by sensory, motor or behavioural factors).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and chromosomal: Down syndrome (trisomy 21) is the commonest chromosomal cause and Fragile-X syndrome the commonest inherited cause; microdeletions/duplications and single-gene (de novo) variants account for a large share of syndromic ID.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Prenatal insults: maternal iodine deficiency (the leading preventable cause worldwide), congenital hypothyroidism, fetal alcohol exposure, and intrauterine (TORCH) infections such as rubella and cytomegalovirus impair fetal brain development.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Perinatal insults: birth asphyxia (hypoxic-ischaemic encephalopathy), prematurity, low birth weight, severe neonatal jaundice with kernicterus, and neonatal sepsis — major and often preventable contributors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Postnatal insults: CNS infections (bacterial meningitis, encephalitis, neurocysticercosis, cerebral malaria), traumatic brain injury, lead poisoning, and severe protein-energy malnutrition/stunting in early childhood.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Inborn errors of metabolism: phenylketonuria, untreated congenital hypothyroidism, galactosaemia and other treatable metabolic disorders detectable by newborn screening.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Consanguinity and family history: unions between close relatives — common in parts of South India and some communities — raise the risk of autosomal-recessive metabolic and syndromic ID.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Idiopathic: no cause is identified in 30–50% of cases despite thorough evaluation, a fraction that falls as genetic and metabolic testing expands.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(2–9 years, school-entry age)</w:t>
            </w:r>
          </w:p>
        </w:tc>
        <w:tc>
          <w:tcPr>
            <w:tcW w:type="dxa" w:w="4276"/>
            <w:vAlign w:val="top"/>
          </w:tcPr>
          <w:p>
            <w:pPr>
              <w:spacing w:after="60" w:line="259" w:lineRule="auto"/>
            </w:pPr>
            <w:r>
              <w:rPr>
                <w:rFonts w:ascii="Calibri" w:hAnsi="Calibri"/>
                <w:b w:val="0"/>
                <w:i w:val="0"/>
                <w:color w:val="212121"/>
                <w:sz w:val="19"/>
              </w:rPr>
              <w:t>Intellectual and adaptive deficits emerge as developmental and academic demands rise; most diagnoses are made in early-to-mid childhood when milestones and school performance lag, and this is when intervention is most effective.</w:t>
            </w:r>
          </w:p>
          <w:p>
            <w:pPr>
              <w:spacing w:after="40" w:before="60" w:line="259" w:lineRule="auto"/>
            </w:pPr>
            <w:r>
              <w:rPr>
                <w:rFonts w:ascii="Calibri" w:hAnsi="Calibri"/>
                <w:b w:val="0"/>
                <w:i w:val="0"/>
                <w:color w:val="212121"/>
                <w:sz w:val="19"/>
              </w:rPr>
              <w:t>In the five-region INCLEN study, 3.6% of Indian children aged 2–9 years had intellectual disability and 12% had at least one neurodevelopmental disorder.</w:t>
            </w:r>
          </w:p>
          <w:p>
            <w:pPr>
              <w:spacing w:after="40" w:line="252" w:lineRule="auto"/>
            </w:pPr>
            <w:hyperlink r:id="rId9">
              <w:r>
                <w:rPr>
                  <w:rFonts w:ascii="Calibri" w:hAnsi="Calibri" w:cs="Calibri"/>
                  <w:sz w:val="18"/>
                  <w:color w:val="1155CC"/>
                  <w:u w:val="single"/>
                </w:rPr>
                <w:t xml:space="preserve">journals.plos.org — NDD burden across five regions in India (2018)</w:t>
              </w:r>
            </w:hyperlink>
          </w:p>
          <w:p>
            <w:pPr>
              <w:spacing w:before="60" w:after="40"/>
            </w:pPr>
            <w:r>
              <w:rPr>
                <w:rFonts w:ascii="Calibri" w:hAnsi="Calibri"/>
                <w:b w:val="0"/>
                <w:i w:val="0"/>
                <w:color w:val="5A5A5A"/>
                <w:sz w:val="18"/>
              </w:rPr>
              <w:t>#developmentaldelay  #schoolage  #earlyintervention  #milestones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&amp; the ageing (lifelong ID)</w:t>
            </w:r>
          </w:p>
        </w:tc>
        <w:tc>
          <w:tcPr>
            <w:tcW w:type="dxa" w:w="4276"/>
            <w:vAlign w:val="top"/>
          </w:tcPr>
          <w:p>
            <w:pPr>
              <w:spacing w:after="60" w:line="259" w:lineRule="auto"/>
            </w:pPr>
            <w:r>
              <w:rPr>
                <w:rFonts w:ascii="Calibri" w:hAnsi="Calibri"/>
                <w:b w:val="0"/>
                <w:i w:val="0"/>
                <w:color w:val="212121"/>
                <w:sz w:val="19"/>
              </w:rPr>
              <w:t>ID is lifelong; adults face premature ageing, higher rates of epilepsy, obesity, psychiatric illness and dementia (especially in Down syndrome), plus barriers to healthcare, employment and independent living.</w:t>
            </w:r>
          </w:p>
          <w:p>
            <w:pPr>
              <w:spacing w:after="40" w:before="60" w:line="259" w:lineRule="auto"/>
            </w:pPr>
            <w:r>
              <w:rPr>
                <w:rFonts w:ascii="Calibri" w:hAnsi="Calibri"/>
                <w:b w:val="0"/>
                <w:i w:val="0"/>
                <w:color w:val="212121"/>
                <w:sz w:val="19"/>
              </w:rPr>
              <w:t>People with intellectual disability die on average many years earlier than the general population and have higher rates of avoidable, treatable illness.</w:t>
            </w:r>
          </w:p>
          <w:p>
            <w:pPr>
              <w:spacing w:after="40" w:line="252" w:lineRule="auto"/>
            </w:pPr>
            <w:hyperlink r:id="rId10">
              <w:r>
                <w:rPr>
                  <w:rFonts w:ascii="Calibri" w:hAnsi="Calibri" w:cs="Calibri"/>
                  <w:sz w:val="18"/>
                  <w:color w:val="1155CC"/>
                  <w:u w:val="single"/>
                </w:rPr>
                <w:t xml:space="preserve">ncbi.nlm.nih.gov — StatPearls: Intellectual Disability</w:t>
              </w:r>
            </w:hyperlink>
          </w:p>
          <w:p>
            <w:pPr>
              <w:spacing w:before="60" w:after="40"/>
            </w:pPr>
            <w:r>
              <w:rPr>
                <w:rFonts w:ascii="Calibri" w:hAnsi="Calibri"/>
                <w:b w:val="0"/>
                <w:i w:val="0"/>
                <w:color w:val="5A5A5A"/>
                <w:sz w:val="18"/>
              </w:rPr>
              <w:t>#lifelong  #ageingwithID  #healthinequity  #premortality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Males are affected more often, partly because of X-linked genetic causes (e.g. Fragile-X syndrome) and greater vulnerability of the male fetal/neonatal brain.</w:t>
            </w:r>
          </w:p>
          <w:p>
            <w:pPr>
              <w:spacing w:after="40" w:before="60" w:line="259" w:lineRule="auto"/>
            </w:pPr>
            <w:r>
              <w:rPr>
                <w:rFonts w:ascii="Calibri" w:hAnsi="Calibri"/>
                <w:b w:val="0"/>
                <w:i w:val="0"/>
                <w:color w:val="212121"/>
                <w:sz w:val="19"/>
              </w:rPr>
              <w:t>Intellectual disability is about 1.5 times more common in males than in females.</w:t>
            </w:r>
          </w:p>
          <w:p>
            <w:pPr>
              <w:spacing w:after="40" w:line="252" w:lineRule="auto"/>
            </w:pPr>
            <w:hyperlink r:id="rId10">
              <w:r>
                <w:rPr>
                  <w:rFonts w:ascii="Calibri" w:hAnsi="Calibri" w:cs="Calibri"/>
                  <w:sz w:val="18"/>
                  <w:color w:val="1155CC"/>
                  <w:u w:val="single"/>
                </w:rPr>
                <w:t xml:space="preserve">ncbi.nlm.nih.gov — StatPearls: Intellectual Disability</w:t>
              </w:r>
            </w:hyperlink>
          </w:p>
          <w:p>
            <w:pPr>
              <w:spacing w:before="60" w:after="40"/>
            </w:pPr>
            <w:r>
              <w:rPr>
                <w:rFonts w:ascii="Calibri" w:hAnsi="Calibri"/>
                <w:b w:val="0"/>
                <w:i w:val="0"/>
                <w:color w:val="5A5A5A"/>
                <w:sz w:val="18"/>
              </w:rPr>
              <w:t>#Xlinked  #fragileX  #malepredominance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socially deprived families</w:t>
            </w:r>
          </w:p>
        </w:tc>
        <w:tc>
          <w:tcPr>
            <w:tcW w:type="dxa" w:w="4276"/>
            <w:vAlign w:val="top"/>
          </w:tcPr>
          <w:p>
            <w:pPr>
              <w:spacing w:after="60" w:line="259" w:lineRule="auto"/>
            </w:pPr>
            <w:r>
              <w:rPr>
                <w:rFonts w:ascii="Calibri" w:hAnsi="Calibri"/>
                <w:b w:val="0"/>
                <w:i w:val="0"/>
                <w:color w:val="212121"/>
                <w:sz w:val="19"/>
              </w:rPr>
              <w:t>Poverty clusters risk factors — poor antenatal and delivery care, maternal undernutrition, childhood malnutrition, unsafe deliveries and understimulating environments — that raise the incidence of, and worsen outcomes from, intellectual disability.</w:t>
            </w:r>
          </w:p>
          <w:p>
            <w:pPr>
              <w:spacing w:after="40" w:before="60" w:line="259" w:lineRule="auto"/>
            </w:pPr>
            <w:r>
              <w:rPr>
                <w:rFonts w:ascii="Calibri" w:hAnsi="Calibri"/>
                <w:b w:val="0"/>
                <w:i w:val="0"/>
                <w:color w:val="212121"/>
                <w:sz w:val="19"/>
              </w:rPr>
              <w:t>INCLEN found non-institutional delivery, perinatal asphyxia, low birth weight, stunting and postnatal neurological infection significantly associated with neurodevelopmental disorders.</w:t>
            </w:r>
          </w:p>
          <w:p>
            <w:pPr>
              <w:spacing w:after="40" w:line="252" w:lineRule="auto"/>
            </w:pPr>
            <w:hyperlink r:id="rId9">
              <w:r>
                <w:rPr>
                  <w:rFonts w:ascii="Calibri" w:hAnsi="Calibri" w:cs="Calibri"/>
                  <w:sz w:val="18"/>
                  <w:color w:val="1155CC"/>
                  <w:u w:val="single"/>
                </w:rPr>
                <w:t xml:space="preserve">journals.plos.org — NDD risk factors, India (2018)</w:t>
              </w:r>
            </w:hyperlink>
          </w:p>
          <w:p>
            <w:pPr>
              <w:spacing w:before="60" w:after="40"/>
            </w:pPr>
            <w:r>
              <w:rPr>
                <w:rFonts w:ascii="Calibri" w:hAnsi="Calibri"/>
                <w:b w:val="0"/>
                <w:i w:val="0"/>
                <w:color w:val="5A5A5A"/>
                <w:sz w:val="18"/>
              </w:rPr>
              <w:t>#poverty  #malnutrition  #birthcare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Iodine-deficient sub-Himalayan &amp; hill belts</w:t>
            </w:r>
          </w:p>
        </w:tc>
        <w:tc>
          <w:tcPr>
            <w:tcW w:type="dxa" w:w="4276"/>
            <w:vAlign w:val="top"/>
          </w:tcPr>
          <w:p>
            <w:pPr>
              <w:spacing w:after="60" w:line="259" w:lineRule="auto"/>
            </w:pPr>
            <w:r>
              <w:rPr>
                <w:rFonts w:ascii="Calibri" w:hAnsi="Calibri"/>
                <w:b w:val="0"/>
                <w:i w:val="0"/>
                <w:color w:val="212121"/>
                <w:sz w:val="19"/>
              </w:rPr>
              <w:t>Historically endemic iodine-deficiency belts (sub-Himalayan and hilly interior districts) produce maternal and neonatal hypothyroidism, cretinism and lowered IQ unless corrected by universal salt iodisation.</w:t>
            </w:r>
          </w:p>
          <w:p>
            <w:pPr>
              <w:spacing w:after="40" w:before="60" w:line="259" w:lineRule="auto"/>
            </w:pPr>
            <w:r>
              <w:rPr>
                <w:rFonts w:ascii="Calibri" w:hAnsi="Calibri"/>
                <w:b w:val="0"/>
                <w:i w:val="0"/>
                <w:color w:val="212121"/>
                <w:sz w:val="19"/>
              </w:rPr>
              <w:t>Iodine deficiency is the world's leading preventable cause of intellectual disability; nearly 2 billion people had insufficient iodine intake, and deficiency lowers IQ by roughly 12 points on average.</w:t>
            </w:r>
          </w:p>
          <w:p>
            <w:pPr>
              <w:spacing w:after="40" w:line="252" w:lineRule="auto"/>
            </w:pPr>
            <w:hyperlink r:id="rId11">
              <w:r>
                <w:rPr>
                  <w:rFonts w:ascii="Calibri" w:hAnsi="Calibri" w:cs="Calibri"/>
                  <w:sz w:val="18"/>
                  <w:color w:val="1155CC"/>
                  <w:u w:val="single"/>
                </w:rPr>
                <w:t xml:space="preserve">en.wikipedia.org — Iodine deficiency (leading preventable cause of ID)</w:t>
              </w:r>
            </w:hyperlink>
          </w:p>
          <w:p>
            <w:pPr>
              <w:spacing w:before="60" w:after="40"/>
            </w:pPr>
            <w:r>
              <w:rPr>
                <w:rFonts w:ascii="Calibri" w:hAnsi="Calibri"/>
                <w:b w:val="0"/>
                <w:i w:val="0"/>
                <w:color w:val="5A5A5A"/>
                <w:sz w:val="18"/>
              </w:rPr>
              <w:t>#iodine  #cretinism  #saltiodisation  #goitrebelt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Consanguinity</w:t>
            </w:r>
          </w:p>
        </w:tc>
        <w:tc>
          <w:tcPr>
            <w:tcW w:type="dxa" w:w="2160"/>
            <w:vAlign w:val="top"/>
          </w:tcPr>
          <w:p>
            <w:pPr>
              <w:spacing w:after="40" w:before="0" w:line="259" w:lineRule="auto"/>
            </w:pPr>
            <w:r>
              <w:rPr>
                <w:rFonts w:ascii="Calibri" w:hAnsi="Calibri"/>
                <w:b w:val="0"/>
                <w:i w:val="0"/>
                <w:color w:val="212121"/>
                <w:sz w:val="19"/>
              </w:rPr>
              <w:t>Communities with high consanguineous marriage (parts of South India)</w:t>
            </w:r>
          </w:p>
        </w:tc>
        <w:tc>
          <w:tcPr>
            <w:tcW w:type="dxa" w:w="4276"/>
            <w:vAlign w:val="top"/>
          </w:tcPr>
          <w:p>
            <w:pPr>
              <w:spacing w:after="60" w:line="259" w:lineRule="auto"/>
            </w:pPr>
            <w:r>
              <w:rPr>
                <w:rFonts w:ascii="Calibri" w:hAnsi="Calibri"/>
                <w:b w:val="0"/>
                <w:i w:val="0"/>
                <w:color w:val="212121"/>
                <w:sz w:val="19"/>
              </w:rPr>
              <w:t>Marriage between close relatives increases homozygosity for autosomal-recessive metabolic and syndromic disorders, raising the risk of intellectual disability in the offspring.</w:t>
            </w:r>
          </w:p>
          <w:p>
            <w:pPr>
              <w:spacing w:after="40" w:before="60" w:line="259" w:lineRule="auto"/>
            </w:pPr>
            <w:r>
              <w:rPr>
                <w:rFonts w:ascii="Calibri" w:hAnsi="Calibri"/>
                <w:b w:val="0"/>
                <w:i w:val="0"/>
                <w:color w:val="212121"/>
                <w:sz w:val="19"/>
              </w:rPr>
              <w:t>De novo and monogenic variants underlie a substantial share of syndromic ID in Indian neurodevelopmental cohorts, supporting genetic evaluation and counselling.</w:t>
            </w:r>
          </w:p>
          <w:p>
            <w:pPr>
              <w:spacing w:after="40" w:line="252" w:lineRule="auto"/>
            </w:pPr>
            <w:hyperlink r:id="rId12">
              <w:r>
                <w:rPr>
                  <w:rFonts w:ascii="Calibri" w:hAnsi="Calibri" w:cs="Calibri"/>
                  <w:sz w:val="18"/>
                  <w:color w:val="1155CC"/>
                  <w:u w:val="single"/>
                </w:rPr>
                <w:t xml:space="preserve">pubmed.ncbi.nlm.nih.gov/38114583 — monogenic ID, Indian cohort (2024)</w:t>
              </w:r>
            </w:hyperlink>
          </w:p>
          <w:p>
            <w:pPr>
              <w:spacing w:before="60" w:after="40"/>
            </w:pPr>
            <w:r>
              <w:rPr>
                <w:rFonts w:ascii="Calibri" w:hAnsi="Calibri"/>
                <w:b w:val="0"/>
                <w:i w:val="0"/>
                <w:color w:val="5A5A5A"/>
                <w:sz w:val="18"/>
              </w:rPr>
              <w:t>#consanguinity  #autosomalrecessive  #geneticcounselling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residence</w:t>
            </w:r>
          </w:p>
        </w:tc>
        <w:tc>
          <w:tcPr>
            <w:tcW w:type="dxa" w:w="2160"/>
            <w:vAlign w:val="top"/>
          </w:tcPr>
          <w:p>
            <w:pPr>
              <w:spacing w:after="40" w:before="0" w:line="259" w:lineRule="auto"/>
            </w:pPr>
            <w:r>
              <w:rPr>
                <w:rFonts w:ascii="Calibri" w:hAnsi="Calibri"/>
                <w:b w:val="0"/>
                <w:i w:val="0"/>
                <w:color w:val="212121"/>
                <w:sz w:val="19"/>
              </w:rPr>
              <w:t>Rural &amp; remote populations</w:t>
            </w:r>
          </w:p>
        </w:tc>
        <w:tc>
          <w:tcPr>
            <w:tcW w:type="dxa" w:w="4276"/>
            <w:vAlign w:val="top"/>
          </w:tcPr>
          <w:p>
            <w:pPr>
              <w:spacing w:after="60" w:line="259" w:lineRule="auto"/>
            </w:pPr>
            <w:r>
              <w:rPr>
                <w:rFonts w:ascii="Calibri" w:hAnsi="Calibri"/>
                <w:b w:val="0"/>
                <w:i w:val="0"/>
                <w:color w:val="212121"/>
                <w:sz w:val="19"/>
              </w:rPr>
              <w:t>Limited access to institutional delivery, newborn screening, early-intervention and special-education services increases both the incidence and the under-diagnosis of ID in rural India.</w:t>
            </w:r>
          </w:p>
          <w:p>
            <w:pPr>
              <w:spacing w:after="40" w:before="60" w:line="259" w:lineRule="auto"/>
            </w:pPr>
            <w:r>
              <w:rPr>
                <w:rFonts w:ascii="Calibri" w:hAnsi="Calibri"/>
                <w:b w:val="0"/>
                <w:i w:val="0"/>
                <w:color w:val="212121"/>
                <w:sz w:val="19"/>
              </w:rPr>
              <w:t>A rural Karnataka study estimated ‘mental’ disability prevalence at about 2.3%, above urban estimates; NFHS-5 put overall disability prevalence at 4.52%.</w:t>
            </w:r>
          </w:p>
          <w:p>
            <w:pPr>
              <w:spacing w:after="40" w:line="252" w:lineRule="auto"/>
            </w:pPr>
            <w:hyperlink r:id="rId13">
              <w:r>
                <w:rPr>
                  <w:rFonts w:ascii="Calibri" w:hAnsi="Calibri" w:cs="Calibri"/>
                  <w:sz w:val="18"/>
                  <w:color w:val="1155CC"/>
                  <w:u w:val="single"/>
                </w:rPr>
                <w:t xml:space="preserve">en.wikipedia.org — Disability in India (rural prevalence, NFHS-5)</w:t>
              </w:r>
            </w:hyperlink>
          </w:p>
          <w:p>
            <w:pPr>
              <w:spacing w:before="60" w:after="40"/>
            </w:pPr>
            <w:r>
              <w:rPr>
                <w:rFonts w:ascii="Calibri" w:hAnsi="Calibri"/>
                <w:b w:val="0"/>
                <w:i w:val="0"/>
                <w:color w:val="5A5A5A"/>
                <w:sz w:val="18"/>
              </w:rPr>
              <w:t>#rural  #accessgap  #underdiagnosis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Maternal alcohol use</w:t>
            </w:r>
          </w:p>
        </w:tc>
        <w:tc>
          <w:tcPr>
            <w:tcW w:type="dxa" w:w="2160"/>
            <w:vAlign w:val="top"/>
          </w:tcPr>
          <w:p>
            <w:pPr>
              <w:spacing w:after="40" w:before="0" w:line="259" w:lineRule="auto"/>
            </w:pPr>
            <w:r>
              <w:rPr>
                <w:rFonts w:ascii="Calibri" w:hAnsi="Calibri"/>
                <w:b w:val="0"/>
                <w:i w:val="0"/>
                <w:color w:val="212121"/>
                <w:sz w:val="19"/>
              </w:rPr>
              <w:t>Infants of mothers who drank in pregnancy</w:t>
            </w:r>
          </w:p>
        </w:tc>
        <w:tc>
          <w:tcPr>
            <w:tcW w:type="dxa" w:w="4276"/>
            <w:vAlign w:val="top"/>
          </w:tcPr>
          <w:p>
            <w:pPr>
              <w:spacing w:after="60" w:line="259" w:lineRule="auto"/>
            </w:pPr>
            <w:r>
              <w:rPr>
                <w:rFonts w:ascii="Calibri" w:hAnsi="Calibri"/>
                <w:b w:val="0"/>
                <w:i w:val="0"/>
                <w:color w:val="212121"/>
                <w:sz w:val="19"/>
              </w:rPr>
              <w:t>Prenatal alcohol crosses the placenta and disrupts fetal neurodevelopment, producing fetal alcohol spectrum disorders — among the most common preventable causes of intellectual disability.</w:t>
            </w:r>
          </w:p>
          <w:p>
            <w:pPr>
              <w:spacing w:after="40" w:before="60" w:line="259" w:lineRule="auto"/>
            </w:pPr>
            <w:r>
              <w:rPr>
                <w:rFonts w:ascii="Calibri" w:hAnsi="Calibri"/>
                <w:b w:val="0"/>
                <w:i w:val="0"/>
                <w:color w:val="212121"/>
                <w:sz w:val="19"/>
              </w:rPr>
              <w:t>Fetal alcohol syndrome is cited as the most common preventable cause of intellectual disability; there is no known safe amount of alcohol in pregnancy.</w:t>
            </w:r>
          </w:p>
          <w:p>
            <w:pPr>
              <w:spacing w:after="40" w:line="252" w:lineRule="auto"/>
            </w:pPr>
            <w:hyperlink r:id="rId10">
              <w:r>
                <w:rPr>
                  <w:rFonts w:ascii="Calibri" w:hAnsi="Calibri" w:cs="Calibri"/>
                  <w:sz w:val="18"/>
                  <w:color w:val="1155CC"/>
                  <w:u w:val="single"/>
                </w:rPr>
                <w:t xml:space="preserve">ncbi.nlm.nih.gov — StatPearls (FASD as preventable cause)</w:t>
              </w:r>
            </w:hyperlink>
          </w:p>
          <w:p>
            <w:pPr>
              <w:spacing w:before="60" w:after="40"/>
            </w:pPr>
            <w:r>
              <w:rPr>
                <w:rFonts w:ascii="Calibri" w:hAnsi="Calibri"/>
                <w:b w:val="0"/>
                <w:i w:val="0"/>
                <w:color w:val="5A5A5A"/>
                <w:sz w:val="18"/>
              </w:rPr>
              <w:t>#FASD  #alcoholinpregnancy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Understimulation / neglect</w:t>
            </w:r>
          </w:p>
        </w:tc>
        <w:tc>
          <w:tcPr>
            <w:tcW w:type="dxa" w:w="2160"/>
            <w:vAlign w:val="top"/>
          </w:tcPr>
          <w:p>
            <w:pPr>
              <w:spacing w:after="40" w:before="0" w:line="259" w:lineRule="auto"/>
            </w:pPr>
            <w:r>
              <w:rPr>
                <w:rFonts w:ascii="Calibri" w:hAnsi="Calibri"/>
                <w:b w:val="0"/>
                <w:i w:val="0"/>
                <w:color w:val="212121"/>
                <w:sz w:val="19"/>
              </w:rPr>
              <w:t>Children in deprived, low-stimulation environments</w:t>
            </w:r>
          </w:p>
        </w:tc>
        <w:tc>
          <w:tcPr>
            <w:tcW w:type="dxa" w:w="4276"/>
            <w:vAlign w:val="top"/>
          </w:tcPr>
          <w:p>
            <w:pPr>
              <w:spacing w:after="60" w:line="259" w:lineRule="auto"/>
            </w:pPr>
            <w:r>
              <w:rPr>
                <w:rFonts w:ascii="Calibri" w:hAnsi="Calibri"/>
                <w:b w:val="0"/>
                <w:i w:val="0"/>
                <w:color w:val="212121"/>
                <w:sz w:val="19"/>
              </w:rPr>
              <w:t>Lack of early cognitive, linguistic and sensory stimulation, neglect and institutional deprivation impair brain development and can depress measured intellectual and adaptive functioning.</w:t>
            </w:r>
          </w:p>
          <w:p>
            <w:pPr>
              <w:spacing w:after="40" w:before="60" w:line="259" w:lineRule="auto"/>
            </w:pPr>
            <w:r>
              <w:rPr>
                <w:rFonts w:ascii="Calibri" w:hAnsi="Calibri"/>
                <w:b w:val="0"/>
                <w:i w:val="0"/>
                <w:color w:val="212121"/>
                <w:sz w:val="19"/>
              </w:rPr>
              <w:t>Early sensory and cognitive deprivation is a recognised contributor to developmental delay; early stimulation programmes improve outcomes.</w:t>
            </w:r>
          </w:p>
          <w:p>
            <w:pPr>
              <w:spacing w:before="60" w:after="40"/>
            </w:pPr>
            <w:r>
              <w:rPr>
                <w:rFonts w:ascii="Calibri" w:hAnsi="Calibri"/>
                <w:b w:val="0"/>
                <w:i w:val="0"/>
                <w:color w:val="5A5A5A"/>
                <w:sz w:val="18"/>
              </w:rPr>
              <w:t>#stimulation  #neglect  #earlychildhooddevelopment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Maternal micronutrient deficiency</w:t>
            </w:r>
          </w:p>
        </w:tc>
        <w:tc>
          <w:tcPr>
            <w:tcW w:type="dxa" w:w="2160"/>
            <w:vAlign w:val="top"/>
          </w:tcPr>
          <w:p>
            <w:pPr>
              <w:spacing w:after="40" w:before="0" w:line="259" w:lineRule="auto"/>
            </w:pPr>
            <w:r>
              <w:rPr>
                <w:rFonts w:ascii="Calibri" w:hAnsi="Calibri"/>
                <w:b w:val="0"/>
                <w:i w:val="0"/>
                <w:color w:val="212121"/>
                <w:sz w:val="19"/>
              </w:rPr>
              <w:t>Mothers with iodine/folate/iron deficiency</w:t>
            </w:r>
          </w:p>
        </w:tc>
        <w:tc>
          <w:tcPr>
            <w:tcW w:type="dxa" w:w="4276"/>
            <w:vAlign w:val="top"/>
          </w:tcPr>
          <w:p>
            <w:pPr>
              <w:spacing w:after="60" w:line="259" w:lineRule="auto"/>
            </w:pPr>
            <w:r>
              <w:rPr>
                <w:rFonts w:ascii="Calibri" w:hAnsi="Calibri"/>
                <w:b w:val="0"/>
                <w:i w:val="0"/>
                <w:color w:val="212121"/>
                <w:sz w:val="19"/>
              </w:rPr>
              <w:t>Deficiencies of iodine (thyroid hormone), folate (neural-tube closure) and iron in pregnancy compromise fetal brain growth and are highly prevalent among Indian women of reproductive age.</w:t>
            </w:r>
          </w:p>
          <w:p>
            <w:pPr>
              <w:spacing w:after="40" w:before="60" w:line="259" w:lineRule="auto"/>
            </w:pPr>
            <w:r>
              <w:rPr>
                <w:rFonts w:ascii="Calibri" w:hAnsi="Calibri"/>
                <w:b w:val="0"/>
                <w:i w:val="0"/>
                <w:color w:val="212121"/>
                <w:sz w:val="19"/>
              </w:rPr>
              <w:t>Correcting periconceptional iodine and folate deficiency prevents a substantial fraction of intellectual disability and neural-tube-related disability.</w:t>
            </w:r>
          </w:p>
          <w:p>
            <w:pPr>
              <w:spacing w:after="40" w:line="252" w:lineRule="auto"/>
            </w:pPr>
            <w:hyperlink r:id="rId11">
              <w:r>
                <w:rPr>
                  <w:rFonts w:ascii="Calibri" w:hAnsi="Calibri" w:cs="Calibri"/>
                  <w:sz w:val="18"/>
                  <w:color w:val="1155CC"/>
                  <w:u w:val="single"/>
                </w:rPr>
                <w:t xml:space="preserve">en.wikipedia.org — Iodine deficiency &amp; brain development</w:t>
              </w:r>
            </w:hyperlink>
          </w:p>
          <w:p>
            <w:pPr>
              <w:spacing w:before="60" w:after="40"/>
            </w:pPr>
            <w:r>
              <w:rPr>
                <w:rFonts w:ascii="Calibri" w:hAnsi="Calibri"/>
                <w:b w:val="0"/>
                <w:i w:val="0"/>
                <w:color w:val="5A5A5A"/>
                <w:sz w:val="18"/>
              </w:rPr>
              <w:t>#iodine  #folate  #maternalnutrition  #preconception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Childhood malnutrition</w:t>
            </w:r>
          </w:p>
        </w:tc>
        <w:tc>
          <w:tcPr>
            <w:tcW w:type="dxa" w:w="2160"/>
            <w:vAlign w:val="top"/>
          </w:tcPr>
          <w:p>
            <w:pPr>
              <w:spacing w:after="40" w:before="0" w:line="259" w:lineRule="auto"/>
            </w:pPr>
            <w:r>
              <w:rPr>
                <w:rFonts w:ascii="Calibri" w:hAnsi="Calibri"/>
                <w:b w:val="0"/>
                <w:i w:val="0"/>
                <w:color w:val="212121"/>
                <w:sz w:val="19"/>
              </w:rPr>
              <w:t>Stunted / severely undernourished young children</w:t>
            </w:r>
          </w:p>
        </w:tc>
        <w:tc>
          <w:tcPr>
            <w:tcW w:type="dxa" w:w="4276"/>
            <w:vAlign w:val="top"/>
          </w:tcPr>
          <w:p>
            <w:pPr>
              <w:spacing w:after="60" w:line="259" w:lineRule="auto"/>
            </w:pPr>
            <w:r>
              <w:rPr>
                <w:rFonts w:ascii="Calibri" w:hAnsi="Calibri"/>
                <w:b w:val="0"/>
                <w:i w:val="0"/>
                <w:color w:val="212121"/>
                <w:sz w:val="19"/>
              </w:rPr>
              <w:t>Chronic protein-energy malnutrition and stunting in the first 1,000 days impair myelination and synaptogenesis, lowering cognitive attainment — a major issue given India's stunting burden.</w:t>
            </w:r>
          </w:p>
          <w:p>
            <w:pPr>
              <w:spacing w:after="40" w:before="60" w:line="259" w:lineRule="auto"/>
            </w:pPr>
            <w:r>
              <w:rPr>
                <w:rFonts w:ascii="Calibri" w:hAnsi="Calibri"/>
                <w:b w:val="0"/>
                <w:i w:val="0"/>
                <w:color w:val="212121"/>
                <w:sz w:val="19"/>
              </w:rPr>
              <w:t>Stunting was among the factors significantly associated with neurodevelopmental disorders in the Indian INCLEN study.</w:t>
            </w:r>
          </w:p>
          <w:p>
            <w:pPr>
              <w:spacing w:after="40" w:line="252" w:lineRule="auto"/>
            </w:pPr>
            <w:hyperlink r:id="rId9">
              <w:r>
                <w:rPr>
                  <w:rFonts w:ascii="Calibri" w:hAnsi="Calibri" w:cs="Calibri"/>
                  <w:sz w:val="18"/>
                  <w:color w:val="1155CC"/>
                  <w:u w:val="single"/>
                </w:rPr>
                <w:t xml:space="preserve">journals.plos.org — stunting &amp; NDD, India (2018)</w:t>
              </w:r>
            </w:hyperlink>
          </w:p>
          <w:p>
            <w:pPr>
              <w:spacing w:before="60" w:after="40"/>
            </w:pPr>
            <w:r>
              <w:rPr>
                <w:rFonts w:ascii="Calibri" w:hAnsi="Calibri"/>
                <w:b w:val="0"/>
                <w:i w:val="0"/>
                <w:color w:val="5A5A5A"/>
                <w:sz w:val="18"/>
              </w:rPr>
              <w:t>#stunting  #malnutrition  #first1000days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Down syndrome</w:t>
            </w:r>
          </w:p>
        </w:tc>
        <w:tc>
          <w:tcPr>
            <w:tcW w:type="dxa" w:w="2160"/>
            <w:vAlign w:val="top"/>
          </w:tcPr>
          <w:p>
            <w:pPr>
              <w:spacing w:after="40" w:before="0" w:line="259" w:lineRule="auto"/>
            </w:pPr>
            <w:r>
              <w:rPr>
                <w:rFonts w:ascii="Calibri" w:hAnsi="Calibri"/>
                <w:b w:val="0"/>
                <w:i w:val="0"/>
                <w:color w:val="212121"/>
                <w:sz w:val="19"/>
              </w:rPr>
              <w:t>Advanced maternal age &amp; prior affected child</w:t>
            </w:r>
          </w:p>
        </w:tc>
        <w:tc>
          <w:tcPr>
            <w:tcW w:type="dxa" w:w="4276"/>
            <w:vAlign w:val="top"/>
          </w:tcPr>
          <w:p>
            <w:pPr>
              <w:spacing w:after="60" w:line="259" w:lineRule="auto"/>
            </w:pPr>
            <w:r>
              <w:rPr>
                <w:rFonts w:ascii="Calibri" w:hAnsi="Calibri"/>
                <w:b w:val="0"/>
                <w:i w:val="0"/>
                <w:color w:val="212121"/>
                <w:sz w:val="19"/>
              </w:rPr>
              <w:t>Trisomy 21 risk rises steeply with maternal age, and a previous child with a genetic ID syndrome increases recurrence risk — both indications for antenatal screening and genetic counselling.</w:t>
            </w:r>
          </w:p>
          <w:p>
            <w:pPr>
              <w:spacing w:after="40" w:before="60" w:line="259" w:lineRule="auto"/>
            </w:pPr>
            <w:r>
              <w:rPr>
                <w:rFonts w:ascii="Calibri" w:hAnsi="Calibri"/>
                <w:b w:val="0"/>
                <w:i w:val="0"/>
                <w:color w:val="212121"/>
                <w:sz w:val="19"/>
              </w:rPr>
              <w:t>Down syndrome is the commonest chromosomal cause of mild-to-moderate intellectual disability.</w:t>
            </w:r>
          </w:p>
          <w:p>
            <w:pPr>
              <w:spacing w:after="40" w:line="252" w:lineRule="auto"/>
            </w:pPr>
            <w:hyperlink r:id="rId14">
              <w:r>
                <w:rPr>
                  <w:rFonts w:ascii="Calibri" w:hAnsi="Calibri" w:cs="Calibri"/>
                  <w:sz w:val="18"/>
                  <w:color w:val="1155CC"/>
                  <w:u w:val="single"/>
                </w:rPr>
                <w:t xml:space="preserve">pubmed.ncbi.nlm.nih.gov/24127006 — Down syndrome, Indian J Pediatr</w:t>
              </w:r>
            </w:hyperlink>
          </w:p>
          <w:p>
            <w:pPr>
              <w:spacing w:before="60" w:after="40"/>
            </w:pPr>
            <w:r>
              <w:rPr>
                <w:rFonts w:ascii="Calibri" w:hAnsi="Calibri"/>
                <w:b w:val="0"/>
                <w:i w:val="0"/>
                <w:color w:val="5A5A5A"/>
                <w:sz w:val="18"/>
              </w:rPr>
              <w:t>#Down  #trisomy21  #maternalage  #recurrencerisk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Fragile-X / X-linked</w:t>
            </w:r>
          </w:p>
        </w:tc>
        <w:tc>
          <w:tcPr>
            <w:tcW w:type="dxa" w:w="2160"/>
            <w:vAlign w:val="top"/>
          </w:tcPr>
          <w:p>
            <w:pPr>
              <w:spacing w:after="40" w:before="0" w:line="259" w:lineRule="auto"/>
            </w:pPr>
            <w:r>
              <w:rPr>
                <w:rFonts w:ascii="Calibri" w:hAnsi="Calibri"/>
                <w:b w:val="0"/>
                <w:i w:val="0"/>
                <w:color w:val="212121"/>
                <w:sz w:val="19"/>
              </w:rPr>
              <w:t>Boys with X-linked ID; carrier mothers</w:t>
            </w:r>
          </w:p>
        </w:tc>
        <w:tc>
          <w:tcPr>
            <w:tcW w:type="dxa" w:w="4276"/>
            <w:vAlign w:val="top"/>
          </w:tcPr>
          <w:p>
            <w:pPr>
              <w:spacing w:after="60" w:line="259" w:lineRule="auto"/>
            </w:pPr>
            <w:r>
              <w:rPr>
                <w:rFonts w:ascii="Calibri" w:hAnsi="Calibri"/>
                <w:b w:val="0"/>
                <w:i w:val="0"/>
                <w:color w:val="212121"/>
                <w:sz w:val="19"/>
              </w:rPr>
              <w:t>Fragile-X syndrome (FMR1 CGG expansion) is the commonest inherited cause of ID, transmitted on the X chromosome and therefore expressed more severely in males.</w:t>
            </w:r>
          </w:p>
          <w:p>
            <w:pPr>
              <w:spacing w:after="40" w:before="60" w:line="259" w:lineRule="auto"/>
            </w:pPr>
            <w:r>
              <w:rPr>
                <w:rFonts w:ascii="Calibri" w:hAnsi="Calibri"/>
                <w:b w:val="0"/>
                <w:i w:val="0"/>
                <w:color w:val="212121"/>
                <w:sz w:val="19"/>
              </w:rPr>
              <w:t>Fragile-X syndrome is the most common inherited/genetic cause of intellectual disability.</w:t>
            </w:r>
          </w:p>
          <w:p>
            <w:pPr>
              <w:spacing w:after="40" w:line="252" w:lineRule="auto"/>
            </w:pPr>
            <w:hyperlink r:id="rId10">
              <w:r>
                <w:rPr>
                  <w:rFonts w:ascii="Calibri" w:hAnsi="Calibri" w:cs="Calibri"/>
                  <w:sz w:val="18"/>
                  <w:color w:val="1155CC"/>
                  <w:u w:val="single"/>
                </w:rPr>
                <w:t xml:space="preserve">ncbi.nlm.nih.gov — StatPearls (Fragile-X as commonest genetic cause)</w:t>
              </w:r>
            </w:hyperlink>
          </w:p>
          <w:p>
            <w:pPr>
              <w:spacing w:before="60" w:after="40"/>
            </w:pPr>
            <w:r>
              <w:rPr>
                <w:rFonts w:ascii="Calibri" w:hAnsi="Calibri"/>
                <w:b w:val="0"/>
                <w:i w:val="0"/>
                <w:color w:val="5A5A5A"/>
                <w:sz w:val="18"/>
              </w:rPr>
              <w:t>#fragileX  #FMR1  #Xlinked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Perinatal asphyxia / prematurity</w:t>
            </w:r>
          </w:p>
        </w:tc>
        <w:tc>
          <w:tcPr>
            <w:tcW w:type="dxa" w:w="2160"/>
            <w:vAlign w:val="top"/>
          </w:tcPr>
          <w:p>
            <w:pPr>
              <w:spacing w:after="40" w:before="0" w:line="259" w:lineRule="auto"/>
            </w:pPr>
            <w:r>
              <w:rPr>
                <w:rFonts w:ascii="Calibri" w:hAnsi="Calibri"/>
                <w:b w:val="0"/>
                <w:i w:val="0"/>
                <w:color w:val="212121"/>
                <w:sz w:val="19"/>
              </w:rPr>
              <w:t>Preterm, low-birth-weight &amp; asphyxiated neonates</w:t>
            </w:r>
          </w:p>
        </w:tc>
        <w:tc>
          <w:tcPr>
            <w:tcW w:type="dxa" w:w="4276"/>
            <w:vAlign w:val="top"/>
          </w:tcPr>
          <w:p>
            <w:pPr>
              <w:spacing w:after="60" w:line="259" w:lineRule="auto"/>
            </w:pPr>
            <w:r>
              <w:rPr>
                <w:rFonts w:ascii="Calibri" w:hAnsi="Calibri"/>
                <w:b w:val="0"/>
                <w:i w:val="0"/>
                <w:color w:val="212121"/>
                <w:sz w:val="19"/>
              </w:rPr>
              <w:t>Hypoxic-ischaemic injury, prematurity and low birth weight damage the developing brain; these are leading and largely preventable perinatal contributors to ID in India.</w:t>
            </w:r>
          </w:p>
          <w:p>
            <w:pPr>
              <w:spacing w:after="40" w:before="60" w:line="259" w:lineRule="auto"/>
            </w:pPr>
            <w:r>
              <w:rPr>
                <w:rFonts w:ascii="Calibri" w:hAnsi="Calibri"/>
                <w:b w:val="0"/>
                <w:i w:val="0"/>
                <w:color w:val="212121"/>
                <w:sz w:val="19"/>
              </w:rPr>
              <w:t>Perinatal asphyxia, low birth weight and prematurity were significantly associated with neurodevelopmental disorders in the INCLEN study.</w:t>
            </w:r>
          </w:p>
          <w:p>
            <w:pPr>
              <w:spacing w:after="40" w:line="252" w:lineRule="auto"/>
            </w:pPr>
            <w:hyperlink r:id="rId9">
              <w:r>
                <w:rPr>
                  <w:rFonts w:ascii="Calibri" w:hAnsi="Calibri" w:cs="Calibri"/>
                  <w:sz w:val="18"/>
                  <w:color w:val="1155CC"/>
                  <w:u w:val="single"/>
                </w:rPr>
                <w:t xml:space="preserve">journals.plos.org — perinatal risk factors, India (2018)</w:t>
              </w:r>
            </w:hyperlink>
          </w:p>
          <w:p>
            <w:pPr>
              <w:spacing w:before="60" w:after="40"/>
            </w:pPr>
            <w:r>
              <w:rPr>
                <w:rFonts w:ascii="Calibri" w:hAnsi="Calibri"/>
                <w:b w:val="0"/>
                <w:i w:val="0"/>
                <w:color w:val="5A5A5A"/>
                <w:sz w:val="18"/>
              </w:rPr>
              <w:t>#birthasphyxia  #prematurity  #lowbirthweight  #HIE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Epilepsy</w:t>
            </w:r>
          </w:p>
        </w:tc>
        <w:tc>
          <w:tcPr>
            <w:tcW w:type="dxa" w:w="2160"/>
            <w:vAlign w:val="top"/>
          </w:tcPr>
          <w:p>
            <w:pPr>
              <w:spacing w:after="40" w:before="0" w:line="259" w:lineRule="auto"/>
            </w:pPr>
            <w:r>
              <w:rPr>
                <w:rFonts w:ascii="Calibri" w:hAnsi="Calibri"/>
                <w:b w:val="0"/>
                <w:i w:val="0"/>
                <w:color w:val="212121"/>
                <w:sz w:val="19"/>
              </w:rPr>
              <w:t>Children &amp; adults with seizure disorders</w:t>
            </w:r>
          </w:p>
        </w:tc>
        <w:tc>
          <w:tcPr>
            <w:tcW w:type="dxa" w:w="4276"/>
            <w:vAlign w:val="top"/>
          </w:tcPr>
          <w:p>
            <w:pPr>
              <w:spacing w:after="60" w:line="259" w:lineRule="auto"/>
            </w:pPr>
            <w:r>
              <w:rPr>
                <w:rFonts w:ascii="Calibri" w:hAnsi="Calibri"/>
                <w:b w:val="0"/>
                <w:i w:val="0"/>
                <w:color w:val="212121"/>
                <w:sz w:val="19"/>
              </w:rPr>
              <w:t>Epilepsy and ID share underlying brain pathology and interact bidirectionally; frequent or early-onset seizures can further impair cognition and complicate management.</w:t>
            </w:r>
          </w:p>
          <w:p>
            <w:pPr>
              <w:spacing w:after="40" w:before="60" w:line="259" w:lineRule="auto"/>
            </w:pPr>
            <w:r>
              <w:rPr>
                <w:rFonts w:ascii="Calibri" w:hAnsi="Calibri"/>
                <w:b w:val="0"/>
                <w:i w:val="0"/>
                <w:color w:val="212121"/>
                <w:sz w:val="19"/>
              </w:rPr>
              <w:t>Epilepsy affects about 22% of people with intellectual disability overall and around 50% of those with profound ID.</w:t>
            </w:r>
          </w:p>
          <w:p>
            <w:pPr>
              <w:spacing w:after="40" w:line="252" w:lineRule="auto"/>
            </w:pPr>
            <w:hyperlink r:id="rId15">
              <w:r>
                <w:rPr>
                  <w:rFonts w:ascii="Calibri" w:hAnsi="Calibri" w:cs="Calibri"/>
                  <w:sz w:val="18"/>
                  <w:color w:val="1155CC"/>
                  <w:u w:val="single"/>
                </w:rPr>
                <w:t xml:space="preserve">en.wikipedia.org — Intellectual disability (epilepsy comorbidity)</w:t>
              </w:r>
            </w:hyperlink>
          </w:p>
          <w:p>
            <w:pPr>
              <w:spacing w:before="60" w:after="40"/>
            </w:pPr>
            <w:r>
              <w:rPr>
                <w:rFonts w:ascii="Calibri" w:hAnsi="Calibri"/>
                <w:b w:val="0"/>
                <w:i w:val="0"/>
                <w:color w:val="5A5A5A"/>
                <w:sz w:val="18"/>
              </w:rPr>
              <w:t>#epilepsy  #seizures  #dualdiagnosis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hypothyroidism</w:t>
            </w:r>
          </w:p>
        </w:tc>
        <w:tc>
          <w:tcPr>
            <w:tcW w:type="dxa" w:w="2160"/>
            <w:vAlign w:val="top"/>
          </w:tcPr>
          <w:p>
            <w:pPr>
              <w:spacing w:after="40" w:before="0" w:line="259" w:lineRule="auto"/>
            </w:pPr>
            <w:r>
              <w:rPr>
                <w:rFonts w:ascii="Calibri" w:hAnsi="Calibri"/>
                <w:b w:val="0"/>
                <w:i w:val="0"/>
                <w:color w:val="212121"/>
                <w:sz w:val="19"/>
              </w:rPr>
              <w:t>Newborns with untreated hypothyroidism</w:t>
            </w:r>
          </w:p>
        </w:tc>
        <w:tc>
          <w:tcPr>
            <w:tcW w:type="dxa" w:w="4276"/>
            <w:vAlign w:val="top"/>
          </w:tcPr>
          <w:p>
            <w:pPr>
              <w:spacing w:after="60" w:line="259" w:lineRule="auto"/>
            </w:pPr>
            <w:r>
              <w:rPr>
                <w:rFonts w:ascii="Calibri" w:hAnsi="Calibri"/>
                <w:b w:val="0"/>
                <w:i w:val="0"/>
                <w:color w:val="212121"/>
                <w:sz w:val="19"/>
              </w:rPr>
              <w:t>Thyroid hormone is essential for brain maturation; untreated congenital or iodine-deficiency hypothyroidism causes preventable intellectual disability, avertable by newborn screening and early thyroxine.</w:t>
            </w:r>
          </w:p>
          <w:p>
            <w:pPr>
              <w:spacing w:after="40" w:before="60" w:line="259" w:lineRule="auto"/>
            </w:pPr>
            <w:r>
              <w:rPr>
                <w:rFonts w:ascii="Calibri" w:hAnsi="Calibri"/>
                <w:b w:val="0"/>
                <w:i w:val="0"/>
                <w:color w:val="212121"/>
                <w:sz w:val="19"/>
              </w:rPr>
              <w:t>Congenital hypothyroidism is a leading treatable cause of ID and is targeted by newborn screening programmes.</w:t>
            </w:r>
          </w:p>
          <w:p>
            <w:pPr>
              <w:spacing w:after="40" w:line="252" w:lineRule="auto"/>
            </w:pPr>
            <w:hyperlink r:id="rId11">
              <w:r>
                <w:rPr>
                  <w:rFonts w:ascii="Calibri" w:hAnsi="Calibri" w:cs="Calibri"/>
                  <w:sz w:val="18"/>
                  <w:color w:val="1155CC"/>
                  <w:u w:val="single"/>
                </w:rPr>
                <w:t xml:space="preserve">en.wikipedia.org — Iodine deficiency &amp; hypothyroidism</w:t>
              </w:r>
            </w:hyperlink>
          </w:p>
          <w:p>
            <w:pPr>
              <w:spacing w:before="60" w:after="40"/>
            </w:pPr>
            <w:r>
              <w:rPr>
                <w:rFonts w:ascii="Calibri" w:hAnsi="Calibri"/>
                <w:b w:val="0"/>
                <w:i w:val="0"/>
                <w:color w:val="5A5A5A"/>
                <w:sz w:val="18"/>
              </w:rPr>
              <w:t>#hypothyroid  #newbornscreening  #treatable  #thyroxine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Autism spectrum disorder</w:t>
            </w:r>
          </w:p>
        </w:tc>
        <w:tc>
          <w:tcPr>
            <w:tcW w:type="dxa" w:w="2160"/>
            <w:vAlign w:val="top"/>
          </w:tcPr>
          <w:p>
            <w:pPr>
              <w:spacing w:after="40" w:before="0" w:line="259" w:lineRule="auto"/>
            </w:pPr>
            <w:r>
              <w:rPr>
                <w:rFonts w:ascii="Calibri" w:hAnsi="Calibri"/>
                <w:b w:val="0"/>
                <w:i w:val="0"/>
                <w:color w:val="212121"/>
                <w:sz w:val="19"/>
              </w:rPr>
              <w:t>Children with co-occurring ASD</w:t>
            </w:r>
          </w:p>
        </w:tc>
        <w:tc>
          <w:tcPr>
            <w:tcW w:type="dxa" w:w="4276"/>
            <w:vAlign w:val="top"/>
          </w:tcPr>
          <w:p>
            <w:pPr>
              <w:spacing w:after="60" w:line="259" w:lineRule="auto"/>
            </w:pPr>
            <w:r>
              <w:rPr>
                <w:rFonts w:ascii="Calibri" w:hAnsi="Calibri"/>
                <w:b w:val="0"/>
                <w:i w:val="0"/>
                <w:color w:val="212121"/>
                <w:sz w:val="19"/>
              </w:rPr>
              <w:t>ASD and ID frequently coexist through shared neurodevelopmental mechanisms; co-occurrence increases adaptive impairment and the complexity of assessment and support.</w:t>
            </w:r>
          </w:p>
          <w:p>
            <w:pPr>
              <w:spacing w:after="40" w:before="60" w:line="259" w:lineRule="auto"/>
            </w:pPr>
            <w:r>
              <w:rPr>
                <w:rFonts w:ascii="Calibri" w:hAnsi="Calibri"/>
                <w:b w:val="0"/>
                <w:i w:val="0"/>
                <w:color w:val="212121"/>
                <w:sz w:val="19"/>
              </w:rPr>
              <w:t>Intellectual disability co-occurs in roughly 30% of people with autism spectrum disorder.</w:t>
            </w:r>
          </w:p>
          <w:p>
            <w:pPr>
              <w:spacing w:after="40" w:line="252" w:lineRule="auto"/>
            </w:pPr>
            <w:hyperlink r:id="rId15">
              <w:r>
                <w:rPr>
                  <w:rFonts w:ascii="Calibri" w:hAnsi="Calibri" w:cs="Calibri"/>
                  <w:sz w:val="18"/>
                  <w:color w:val="1155CC"/>
                  <w:u w:val="single"/>
                </w:rPr>
                <w:t xml:space="preserve">en.wikipedia.org — Intellectual disability (ASD comorbidity)</w:t>
              </w:r>
            </w:hyperlink>
          </w:p>
          <w:p>
            <w:pPr>
              <w:spacing w:before="60" w:after="40"/>
            </w:pPr>
            <w:r>
              <w:rPr>
                <w:rFonts w:ascii="Calibri" w:hAnsi="Calibri"/>
                <w:b w:val="0"/>
                <w:i w:val="0"/>
                <w:color w:val="5A5A5A"/>
                <w:sz w:val="18"/>
              </w:rPr>
              <w:t>#autism  #ASD  #neurodevelopmental  #dualdiagnosis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Motor stimulation and adapted physical activity support development and prevent the obesity, deconditioning and secondary morbidity that are common in people with ID; sedentary institutional living worsens outcomes.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Maternal iodine, folate and iron status and early-childhood nutrition are decisive: iodine deficiency is the leading preventable cause of ID, and stunting is linked to neurodevelopmental disorders in Indian children.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disorders are far more prevalent in people with ID and worsen daytime behaviour, seizures and cognition; treating them improves function and caregiver strain.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active and passive smoking is associated with low birth weight, prematurity and neurodevelopmental risk in the offspring.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Prenatal alcohol exposure causes fetal alcohol spectrum disorders, one of the commonest preventable causes of intellectual disability; there is no safe amount.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Psychiatric and behavioural disorders (‘dual diagnosis’) are two-to-three times more common in people with ID and are frequently under-recognised, driving distress, aggression and self-injury.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Unsafe water and poor sanitation raise the risk of CNS infections (e.g. neurocysticercosis, bacterial meningitis) that can cause acquired ID; direct hydration effects are minor.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Very high maternal caffeine intake is weakly associated with low birth weight; otherwise caffeine has negligible direct relevance to ID.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Sanitation and immunisation prevent neuroinfections that cause ID; individuals with ID also need structured support for personal hygiene and oral care.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insults — birth asphyxia, kernicterus, CNS infection, head injury, lead exposure and inborn metabolic crises — can directly cause or worsen intellectual disability.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Median urinary iodine concentration (population)</w:t>
            </w:r>
          </w:p>
        </w:tc>
        <w:tc>
          <w:tcPr>
            <w:tcW w:type="dxa" w:w="1655"/>
            <w:vAlign w:val="top"/>
          </w:tcPr>
          <w:p>
            <w:pPr>
              <w:spacing w:after="40" w:before="0" w:line="259" w:lineRule="auto"/>
            </w:pPr>
            <w:r>
              <w:rPr>
                <w:rFonts w:ascii="Calibri" w:hAnsi="Calibri"/>
                <w:b w:val="0"/>
                <w:i w:val="0"/>
                <w:color w:val="212121"/>
                <w:sz w:val="19"/>
              </w:rPr>
              <w:t>Pregnant women, young children</w:t>
            </w:r>
          </w:p>
        </w:tc>
        <w:tc>
          <w:tcPr>
            <w:tcW w:type="dxa" w:w="1512"/>
            <w:vAlign w:val="top"/>
          </w:tcPr>
          <w:p>
            <w:pPr>
              <w:spacing w:after="40" w:before="0" w:line="259" w:lineRule="auto"/>
            </w:pPr>
            <w:r>
              <w:rPr>
                <w:rFonts w:ascii="Calibri" w:hAnsi="Calibri"/>
                <w:b w:val="0"/>
                <w:i w:val="0"/>
                <w:color w:val="212121"/>
                <w:sz w:val="19"/>
              </w:rPr>
              <w:t>150–249 µg/L (pregnancy); 100–199 µg/L (children)</w:t>
            </w:r>
          </w:p>
        </w:tc>
        <w:tc>
          <w:tcPr>
            <w:tcW w:type="dxa" w:w="1512"/>
            <w:vAlign w:val="top"/>
          </w:tcPr>
          <w:p>
            <w:pPr>
              <w:spacing w:after="40" w:before="0" w:line="259" w:lineRule="auto"/>
            </w:pPr>
            <w:r>
              <w:rPr>
                <w:rFonts w:ascii="Calibri" w:hAnsi="Calibri"/>
                <w:b w:val="0"/>
                <w:i w:val="0"/>
                <w:color w:val="212121"/>
                <w:sz w:val="19"/>
              </w:rPr>
              <w:t>&lt; 150 µg/L (pregnancy); &lt; 100 µg/L</w:t>
            </w:r>
          </w:p>
        </w:tc>
        <w:tc>
          <w:tcPr>
            <w:tcW w:type="dxa" w:w="1468"/>
            <w:vAlign w:val="top"/>
          </w:tcPr>
          <w:p>
            <w:pPr>
              <w:spacing w:after="60" w:line="259" w:lineRule="auto"/>
            </w:pPr>
            <w:r>
              <w:rPr>
                <w:rFonts w:ascii="Calibri" w:hAnsi="Calibri"/>
                <w:b w:val="0"/>
                <w:i w:val="0"/>
                <w:color w:val="212121"/>
                <w:sz w:val="19"/>
              </w:rPr>
              <w:t>Low iodine indicates deficiency risking hypothyroid brain injury</w:t>
            </w:r>
          </w:p>
          <w:p>
            <w:pPr>
              <w:spacing w:after="40" w:line="252" w:lineRule="auto"/>
            </w:pPr>
            <w:hyperlink r:id="rId11">
              <w:r>
                <w:rPr>
                  <w:rFonts w:ascii="Calibri" w:hAnsi="Calibri" w:cs="Calibri"/>
                  <w:sz w:val="18"/>
                  <w:color w:val="1155CC"/>
                  <w:u w:val="single"/>
                </w:rPr>
                <w:t xml:space="preserve">https://en.wikipedia.org/wiki/Iodine_deficiency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Newborn screening TSH</w:t>
            </w:r>
          </w:p>
        </w:tc>
        <w:tc>
          <w:tcPr>
            <w:tcW w:type="dxa" w:w="1655"/>
            <w:vAlign w:val="top"/>
          </w:tcPr>
          <w:p>
            <w:pPr>
              <w:spacing w:after="40" w:before="0" w:line="259" w:lineRule="auto"/>
            </w:pPr>
            <w:r>
              <w:rPr>
                <w:rFonts w:ascii="Calibri" w:hAnsi="Calibri"/>
                <w:b w:val="0"/>
                <w:i w:val="0"/>
                <w:color w:val="212121"/>
                <w:sz w:val="19"/>
              </w:rPr>
              <w:t>All neonates</w:t>
            </w:r>
          </w:p>
        </w:tc>
        <w:tc>
          <w:tcPr>
            <w:tcW w:type="dxa" w:w="1512"/>
            <w:vAlign w:val="top"/>
          </w:tcPr>
          <w:p>
            <w:pPr>
              <w:spacing w:after="40" w:before="0" w:line="259" w:lineRule="auto"/>
            </w:pPr>
            <w:r>
              <w:rPr>
                <w:rFonts w:ascii="Calibri" w:hAnsi="Calibri"/>
                <w:b w:val="0"/>
                <w:i w:val="0"/>
                <w:color w:val="212121"/>
                <w:sz w:val="19"/>
              </w:rPr>
              <w:t>&lt; 20 mIU/L (whole blood, filter paper)</w:t>
            </w:r>
          </w:p>
        </w:tc>
        <w:tc>
          <w:tcPr>
            <w:tcW w:type="dxa" w:w="1512"/>
            <w:vAlign w:val="top"/>
          </w:tcPr>
          <w:p>
            <w:pPr>
              <w:spacing w:after="40" w:before="0" w:line="259" w:lineRule="auto"/>
            </w:pPr>
            <w:r>
              <w:rPr>
                <w:rFonts w:ascii="Calibri" w:hAnsi="Calibri"/>
                <w:b w:val="0"/>
                <w:i w:val="0"/>
                <w:color w:val="212121"/>
                <w:sz w:val="19"/>
              </w:rPr>
              <w:t>Persistently elevated TSH / low T4</w:t>
            </w:r>
          </w:p>
        </w:tc>
        <w:tc>
          <w:tcPr>
            <w:tcW w:type="dxa" w:w="1468"/>
            <w:vAlign w:val="top"/>
          </w:tcPr>
          <w:p>
            <w:pPr>
              <w:spacing w:after="40" w:before="0" w:line="259" w:lineRule="auto"/>
            </w:pPr>
            <w:r>
              <w:rPr>
                <w:rFonts w:ascii="Calibri" w:hAnsi="Calibri"/>
                <w:b w:val="0"/>
                <w:i w:val="0"/>
                <w:color w:val="212121"/>
                <w:sz w:val="19"/>
              </w:rPr>
              <w:t>Detects congenital hypothyroidism — treatable cause of ID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Length/height-for-age (stunting)</w:t>
            </w:r>
          </w:p>
        </w:tc>
        <w:tc>
          <w:tcPr>
            <w:tcW w:type="dxa" w:w="1655"/>
            <w:vAlign w:val="top"/>
          </w:tcPr>
          <w:p>
            <w:pPr>
              <w:spacing w:after="40" w:before="0" w:line="259" w:lineRule="auto"/>
            </w:pPr>
            <w:r>
              <w:rPr>
                <w:rFonts w:ascii="Calibri" w:hAnsi="Calibri"/>
                <w:b w:val="0"/>
                <w:i w:val="0"/>
                <w:color w:val="212121"/>
                <w:sz w:val="19"/>
              </w:rPr>
              <w:t>Children &lt; 5 years</w:t>
            </w:r>
          </w:p>
        </w:tc>
        <w:tc>
          <w:tcPr>
            <w:tcW w:type="dxa" w:w="1512"/>
            <w:vAlign w:val="top"/>
          </w:tcPr>
          <w:p>
            <w:pPr>
              <w:spacing w:after="40" w:before="0" w:line="259" w:lineRule="auto"/>
            </w:pPr>
            <w:r>
              <w:rPr>
                <w:rFonts w:ascii="Calibri" w:hAnsi="Calibri"/>
                <w:b w:val="0"/>
                <w:i w:val="0"/>
                <w:color w:val="212121"/>
                <w:sz w:val="19"/>
              </w:rPr>
              <w:t>≥ −2 SD (WHO growth standard)</w:t>
            </w:r>
          </w:p>
        </w:tc>
        <w:tc>
          <w:tcPr>
            <w:tcW w:type="dxa" w:w="1512"/>
            <w:vAlign w:val="top"/>
          </w:tcPr>
          <w:p>
            <w:pPr>
              <w:spacing w:after="40" w:before="0" w:line="259" w:lineRule="auto"/>
            </w:pPr>
            <w:r>
              <w:rPr>
                <w:rFonts w:ascii="Calibri" w:hAnsi="Calibri"/>
                <w:b w:val="0"/>
                <w:i w:val="0"/>
                <w:color w:val="212121"/>
                <w:sz w:val="19"/>
              </w:rPr>
              <w:t>&lt; −2 SD (stunted)</w:t>
            </w:r>
          </w:p>
        </w:tc>
        <w:tc>
          <w:tcPr>
            <w:tcW w:type="dxa" w:w="1468"/>
            <w:vAlign w:val="top"/>
          </w:tcPr>
          <w:p>
            <w:pPr>
              <w:spacing w:after="60" w:line="259" w:lineRule="auto"/>
            </w:pPr>
            <w:r>
              <w:rPr>
                <w:rFonts w:ascii="Calibri" w:hAnsi="Calibri"/>
                <w:b w:val="0"/>
                <w:i w:val="0"/>
                <w:color w:val="212121"/>
                <w:sz w:val="19"/>
              </w:rPr>
              <w:t>Chronic undernutrition impairs cognitive development</w:t>
            </w:r>
          </w:p>
          <w:p>
            <w:pPr>
              <w:spacing w:after="40" w:line="252" w:lineRule="auto"/>
            </w:pPr>
            <w:hyperlink r:id="rId9">
              <w:r>
                <w:rPr>
                  <w:rFonts w:ascii="Calibri" w:hAnsi="Calibri" w:cs="Calibri"/>
                  <w:sz w:val="18"/>
                  <w:color w:val="1155CC"/>
                  <w:u w:val="single"/>
                </w:rPr>
                <w:t xml:space="preserve">https://journals.plos.org/plosmedicine/article?id=10.1371/journal.pmed.1002615</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Birth weight</w:t>
            </w:r>
          </w:p>
        </w:tc>
        <w:tc>
          <w:tcPr>
            <w:tcW w:type="dxa" w:w="1655"/>
            <w:vAlign w:val="top"/>
          </w:tcPr>
          <w:p>
            <w:pPr>
              <w:spacing w:after="40" w:before="0" w:line="259" w:lineRule="auto"/>
            </w:pPr>
            <w:r>
              <w:rPr>
                <w:rFonts w:ascii="Calibri" w:hAnsi="Calibri"/>
                <w:b w:val="0"/>
                <w:i w:val="0"/>
                <w:color w:val="212121"/>
                <w:sz w:val="19"/>
              </w:rPr>
              <w:t>Neonates</w:t>
            </w:r>
          </w:p>
        </w:tc>
        <w:tc>
          <w:tcPr>
            <w:tcW w:type="dxa" w:w="1512"/>
            <w:vAlign w:val="top"/>
          </w:tcPr>
          <w:p>
            <w:pPr>
              <w:spacing w:after="40" w:before="0" w:line="259" w:lineRule="auto"/>
            </w:pPr>
            <w:r>
              <w:rPr>
                <w:rFonts w:ascii="Calibri" w:hAnsi="Calibri"/>
                <w:b w:val="0"/>
                <w:i w:val="0"/>
                <w:color w:val="212121"/>
                <w:sz w:val="19"/>
              </w:rPr>
              <w:t>≥ 2,500 g</w:t>
            </w:r>
          </w:p>
        </w:tc>
        <w:tc>
          <w:tcPr>
            <w:tcW w:type="dxa" w:w="1512"/>
            <w:vAlign w:val="top"/>
          </w:tcPr>
          <w:p>
            <w:pPr>
              <w:spacing w:after="40" w:before="0" w:line="259" w:lineRule="auto"/>
            </w:pPr>
            <w:r>
              <w:rPr>
                <w:rFonts w:ascii="Calibri" w:hAnsi="Calibri"/>
                <w:b w:val="0"/>
                <w:i w:val="0"/>
                <w:color w:val="212121"/>
                <w:sz w:val="19"/>
              </w:rPr>
              <w:t>&lt; 2,500 g (low); &lt; 1,500 g (very low)</w:t>
            </w:r>
          </w:p>
        </w:tc>
        <w:tc>
          <w:tcPr>
            <w:tcW w:type="dxa" w:w="1468"/>
            <w:vAlign w:val="top"/>
          </w:tcPr>
          <w:p>
            <w:pPr>
              <w:spacing w:after="60" w:line="259" w:lineRule="auto"/>
            </w:pPr>
            <w:r>
              <w:rPr>
                <w:rFonts w:ascii="Calibri" w:hAnsi="Calibri"/>
                <w:b w:val="0"/>
                <w:i w:val="0"/>
                <w:color w:val="212121"/>
                <w:sz w:val="19"/>
              </w:rPr>
              <w:t>Low birth weight raises neurodevelopmental risk</w:t>
            </w:r>
          </w:p>
          <w:p>
            <w:pPr>
              <w:spacing w:after="40" w:line="252" w:lineRule="auto"/>
            </w:pPr>
            <w:hyperlink r:id="rId9">
              <w:r>
                <w:rPr>
                  <w:rFonts w:ascii="Calibri" w:hAnsi="Calibri" w:cs="Calibri"/>
                  <w:sz w:val="18"/>
                  <w:color w:val="1155CC"/>
                  <w:u w:val="single"/>
                </w:rPr>
                <w:t xml:space="preserve">https://journals.plos.org/plosmedicine/article?id=10.1371/journal.pmed.1002615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APGAR score at 5 minutes</w:t>
            </w:r>
          </w:p>
        </w:tc>
        <w:tc>
          <w:tcPr>
            <w:tcW w:type="dxa" w:w="1655"/>
            <w:vAlign w:val="top"/>
          </w:tcPr>
          <w:p>
            <w:pPr>
              <w:spacing w:after="40" w:before="0" w:line="259" w:lineRule="auto"/>
            </w:pPr>
            <w:r>
              <w:rPr>
                <w:rFonts w:ascii="Calibri" w:hAnsi="Calibri"/>
                <w:b w:val="0"/>
                <w:i w:val="0"/>
                <w:color w:val="212121"/>
                <w:sz w:val="19"/>
              </w:rPr>
              <w:t>Neonates</w:t>
            </w:r>
          </w:p>
        </w:tc>
        <w:tc>
          <w:tcPr>
            <w:tcW w:type="dxa" w:w="1512"/>
            <w:vAlign w:val="top"/>
          </w:tcPr>
          <w:p>
            <w:pPr>
              <w:spacing w:after="40" w:before="0" w:line="259" w:lineRule="auto"/>
            </w:pPr>
            <w:r>
              <w:rPr>
                <w:rFonts w:ascii="Calibri" w:hAnsi="Calibri"/>
                <w:b w:val="0"/>
                <w:i w:val="0"/>
                <w:color w:val="212121"/>
                <w:sz w:val="19"/>
              </w:rPr>
              <w:t>7–10</w:t>
            </w:r>
          </w:p>
        </w:tc>
        <w:tc>
          <w:tcPr>
            <w:tcW w:type="dxa" w:w="1512"/>
            <w:vAlign w:val="top"/>
          </w:tcPr>
          <w:p>
            <w:pPr>
              <w:spacing w:after="40" w:before="0" w:line="259" w:lineRule="auto"/>
            </w:pPr>
            <w:r>
              <w:rPr>
                <w:rFonts w:ascii="Calibri" w:hAnsi="Calibri"/>
                <w:b w:val="0"/>
                <w:i w:val="0"/>
                <w:color w:val="212121"/>
                <w:sz w:val="19"/>
              </w:rPr>
              <w:t>≤ 6 (birth asphyxia risk)</w:t>
            </w:r>
          </w:p>
        </w:tc>
        <w:tc>
          <w:tcPr>
            <w:tcW w:type="dxa" w:w="1468"/>
            <w:vAlign w:val="top"/>
          </w:tcPr>
          <w:p>
            <w:pPr>
              <w:spacing w:after="40" w:before="0" w:line="259" w:lineRule="auto"/>
            </w:pPr>
            <w:r>
              <w:rPr>
                <w:rFonts w:ascii="Calibri" w:hAnsi="Calibri"/>
                <w:b w:val="0"/>
                <w:i w:val="0"/>
                <w:color w:val="212121"/>
                <w:sz w:val="19"/>
              </w:rPr>
              <w:t>Low APGAR flags hypoxic-ischaemic brain injury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Gestational age at birth</w:t>
            </w:r>
          </w:p>
        </w:tc>
        <w:tc>
          <w:tcPr>
            <w:tcW w:type="dxa" w:w="1655"/>
            <w:vAlign w:val="top"/>
          </w:tcPr>
          <w:p>
            <w:pPr>
              <w:spacing w:after="40" w:before="0" w:line="259" w:lineRule="auto"/>
            </w:pPr>
            <w:r>
              <w:rPr>
                <w:rFonts w:ascii="Calibri" w:hAnsi="Calibri"/>
                <w:b w:val="0"/>
                <w:i w:val="0"/>
                <w:color w:val="212121"/>
                <w:sz w:val="19"/>
              </w:rPr>
              <w:t>Neonates</w:t>
            </w:r>
          </w:p>
        </w:tc>
        <w:tc>
          <w:tcPr>
            <w:tcW w:type="dxa" w:w="1512"/>
            <w:vAlign w:val="top"/>
          </w:tcPr>
          <w:p>
            <w:pPr>
              <w:spacing w:after="40" w:before="0" w:line="259" w:lineRule="auto"/>
            </w:pPr>
            <w:r>
              <w:rPr>
                <w:rFonts w:ascii="Calibri" w:hAnsi="Calibri"/>
                <w:b w:val="0"/>
                <w:i w:val="0"/>
                <w:color w:val="212121"/>
                <w:sz w:val="19"/>
              </w:rPr>
              <w:t>≥ 37 weeks (term)</w:t>
            </w:r>
          </w:p>
        </w:tc>
        <w:tc>
          <w:tcPr>
            <w:tcW w:type="dxa" w:w="1512"/>
            <w:vAlign w:val="top"/>
          </w:tcPr>
          <w:p>
            <w:pPr>
              <w:spacing w:after="40" w:before="0" w:line="259" w:lineRule="auto"/>
            </w:pPr>
            <w:r>
              <w:rPr>
                <w:rFonts w:ascii="Calibri" w:hAnsi="Calibri"/>
                <w:b w:val="0"/>
                <w:i w:val="0"/>
                <w:color w:val="212121"/>
                <w:sz w:val="19"/>
              </w:rPr>
              <w:t>&lt; 37 weeks (preterm); &lt; 32 weeks (very preterm)</w:t>
            </w:r>
          </w:p>
        </w:tc>
        <w:tc>
          <w:tcPr>
            <w:tcW w:type="dxa" w:w="1468"/>
            <w:vAlign w:val="top"/>
          </w:tcPr>
          <w:p>
            <w:pPr>
              <w:spacing w:after="60" w:line="259" w:lineRule="auto"/>
            </w:pPr>
            <w:r>
              <w:rPr>
                <w:rFonts w:ascii="Calibri" w:hAnsi="Calibri"/>
                <w:b w:val="0"/>
                <w:i w:val="0"/>
                <w:color w:val="212121"/>
                <w:sz w:val="19"/>
              </w:rPr>
              <w:t>Prematurity is a leading contributor to ID</w:t>
            </w:r>
          </w:p>
          <w:p>
            <w:pPr>
              <w:spacing w:after="40" w:line="252" w:lineRule="auto"/>
            </w:pPr>
            <w:hyperlink r:id="rId9">
              <w:r>
                <w:rPr>
                  <w:rFonts w:ascii="Calibri" w:hAnsi="Calibri" w:cs="Calibri"/>
                  <w:sz w:val="18"/>
                  <w:color w:val="1155CC"/>
                  <w:u w:val="single"/>
                </w:rPr>
                <w:t xml:space="preserve">https://journals.plos.org/plosmedicine/article?id=10.1371/journal.pmed.1002615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serum bilirubin (neonate)</w:t>
            </w:r>
          </w:p>
        </w:tc>
        <w:tc>
          <w:tcPr>
            <w:tcW w:type="dxa" w:w="1655"/>
            <w:vAlign w:val="top"/>
          </w:tcPr>
          <w:p>
            <w:pPr>
              <w:spacing w:after="40" w:before="0" w:line="259" w:lineRule="auto"/>
            </w:pPr>
            <w:r>
              <w:rPr>
                <w:rFonts w:ascii="Calibri" w:hAnsi="Calibri"/>
                <w:b w:val="0"/>
                <w:i w:val="0"/>
                <w:color w:val="212121"/>
                <w:sz w:val="19"/>
              </w:rPr>
              <w:t>Jaundiced newborns</w:t>
            </w:r>
          </w:p>
        </w:tc>
        <w:tc>
          <w:tcPr>
            <w:tcW w:type="dxa" w:w="1512"/>
            <w:vAlign w:val="top"/>
          </w:tcPr>
          <w:p>
            <w:pPr>
              <w:spacing w:after="40" w:before="0" w:line="259" w:lineRule="auto"/>
            </w:pPr>
            <w:r>
              <w:rPr>
                <w:rFonts w:ascii="Calibri" w:hAnsi="Calibri"/>
                <w:b w:val="0"/>
                <w:i w:val="0"/>
                <w:color w:val="212121"/>
                <w:sz w:val="19"/>
              </w:rPr>
              <w:t>Below phototherapy/exchange threshold for age</w:t>
            </w:r>
          </w:p>
        </w:tc>
        <w:tc>
          <w:tcPr>
            <w:tcW w:type="dxa" w:w="1512"/>
            <w:vAlign w:val="top"/>
          </w:tcPr>
          <w:p>
            <w:pPr>
              <w:spacing w:after="40" w:before="0" w:line="259" w:lineRule="auto"/>
            </w:pPr>
            <w:r>
              <w:rPr>
                <w:rFonts w:ascii="Calibri" w:hAnsi="Calibri"/>
                <w:b w:val="0"/>
                <w:i w:val="0"/>
                <w:color w:val="212121"/>
                <w:sz w:val="19"/>
              </w:rPr>
              <w:t>Approaching exchange-transfusion threshold</w:t>
            </w:r>
          </w:p>
        </w:tc>
        <w:tc>
          <w:tcPr>
            <w:tcW w:type="dxa" w:w="1468"/>
            <w:vAlign w:val="top"/>
          </w:tcPr>
          <w:p>
            <w:pPr>
              <w:spacing w:after="40" w:before="0" w:line="259" w:lineRule="auto"/>
            </w:pPr>
            <w:r>
              <w:rPr>
                <w:rFonts w:ascii="Calibri" w:hAnsi="Calibri"/>
                <w:b w:val="0"/>
                <w:i w:val="0"/>
                <w:color w:val="212121"/>
                <w:sz w:val="19"/>
              </w:rPr>
              <w:t>Severe hyperbilirubinaemia risks kernicterus and ID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lead level</w:t>
            </w:r>
          </w:p>
        </w:tc>
        <w:tc>
          <w:tcPr>
            <w:tcW w:type="dxa" w:w="1655"/>
            <w:vAlign w:val="top"/>
          </w:tcPr>
          <w:p>
            <w:pPr>
              <w:spacing w:after="40" w:before="0" w:line="259" w:lineRule="auto"/>
            </w:pPr>
            <w:r>
              <w:rPr>
                <w:rFonts w:ascii="Calibri" w:hAnsi="Calibri"/>
                <w:b w:val="0"/>
                <w:i w:val="0"/>
                <w:color w:val="212121"/>
                <w:sz w:val="19"/>
              </w:rPr>
              <w:t>Young children</w:t>
            </w:r>
          </w:p>
        </w:tc>
        <w:tc>
          <w:tcPr>
            <w:tcW w:type="dxa" w:w="1512"/>
            <w:vAlign w:val="top"/>
          </w:tcPr>
          <w:p>
            <w:pPr>
              <w:spacing w:after="40" w:before="0" w:line="259" w:lineRule="auto"/>
            </w:pPr>
            <w:r>
              <w:rPr>
                <w:rFonts w:ascii="Calibri" w:hAnsi="Calibri"/>
                <w:b w:val="0"/>
                <w:i w:val="0"/>
                <w:color w:val="212121"/>
                <w:sz w:val="19"/>
              </w:rPr>
              <w:t>&lt; 3.5 µg/dL</w:t>
            </w:r>
          </w:p>
        </w:tc>
        <w:tc>
          <w:tcPr>
            <w:tcW w:type="dxa" w:w="1512"/>
            <w:vAlign w:val="top"/>
          </w:tcPr>
          <w:p>
            <w:pPr>
              <w:spacing w:after="40" w:before="0" w:line="259" w:lineRule="auto"/>
            </w:pPr>
            <w:r>
              <w:rPr>
                <w:rFonts w:ascii="Calibri" w:hAnsi="Calibri"/>
                <w:b w:val="0"/>
                <w:i w:val="0"/>
                <w:color w:val="212121"/>
                <w:sz w:val="19"/>
              </w:rPr>
              <w:t>≥ 3.5 µg/dL (reference value)</w:t>
            </w:r>
          </w:p>
        </w:tc>
        <w:tc>
          <w:tcPr>
            <w:tcW w:type="dxa" w:w="1468"/>
            <w:vAlign w:val="top"/>
          </w:tcPr>
          <w:p>
            <w:pPr>
              <w:spacing w:after="40" w:before="0" w:line="259" w:lineRule="auto"/>
            </w:pPr>
            <w:r>
              <w:rPr>
                <w:rFonts w:ascii="Calibri" w:hAnsi="Calibri"/>
                <w:b w:val="0"/>
                <w:i w:val="0"/>
                <w:color w:val="212121"/>
                <w:sz w:val="19"/>
              </w:rPr>
              <w:t>Lead is neurotoxic and lowers IQ in children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Maternal alcohol intake in pregnancy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Any consumption</w:t>
            </w:r>
          </w:p>
        </w:tc>
        <w:tc>
          <w:tcPr>
            <w:tcW w:type="dxa" w:w="1468"/>
            <w:vAlign w:val="top"/>
          </w:tcPr>
          <w:p>
            <w:pPr>
              <w:spacing w:after="40" w:before="0" w:line="259" w:lineRule="auto"/>
            </w:pPr>
            <w:r>
              <w:rPr>
                <w:rFonts w:ascii="Calibri" w:hAnsi="Calibri"/>
                <w:b w:val="0"/>
                <w:i w:val="0"/>
                <w:color w:val="212121"/>
                <w:sz w:val="19"/>
              </w:rPr>
              <w:t>No safe threshold; prevents fetal alcohol spectrum disorder</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(adults with ID)</w:t>
            </w:r>
          </w:p>
        </w:tc>
        <w:tc>
          <w:tcPr>
            <w:tcW w:type="dxa" w:w="1655"/>
            <w:vAlign w:val="top"/>
          </w:tcPr>
          <w:p>
            <w:pPr>
              <w:spacing w:after="40" w:before="0" w:line="259" w:lineRule="auto"/>
            </w:pPr>
            <w:r>
              <w:rPr>
                <w:rFonts w:ascii="Calibri" w:hAnsi="Calibri"/>
                <w:b w:val="0"/>
                <w:i w:val="0"/>
                <w:color w:val="212121"/>
                <w:sz w:val="19"/>
              </w:rPr>
              <w:t>Adolescents &amp; adults with ID</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is highly prevalent in ID and adds cardiometabolic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Children &amp; adults with ID</w:t>
            </w:r>
          </w:p>
        </w:tc>
        <w:tc>
          <w:tcPr>
            <w:tcW w:type="dxa" w:w="1512"/>
            <w:vAlign w:val="top"/>
          </w:tcPr>
          <w:p>
            <w:pPr>
              <w:spacing w:after="40" w:before="0" w:line="259" w:lineRule="auto"/>
            </w:pPr>
            <w:r>
              <w:rPr>
                <w:rFonts w:ascii="Calibri" w:hAnsi="Calibri"/>
                <w:b w:val="0"/>
                <w:i w:val="0"/>
                <w:color w:val="212121"/>
                <w:sz w:val="19"/>
              </w:rPr>
              <w:t>Age-appropriate (e.g. 9–11 h school-age)</w:t>
            </w:r>
          </w:p>
        </w:tc>
        <w:tc>
          <w:tcPr>
            <w:tcW w:type="dxa" w:w="1512"/>
            <w:vAlign w:val="top"/>
          </w:tcPr>
          <w:p>
            <w:pPr>
              <w:spacing w:after="40" w:before="0" w:line="259" w:lineRule="auto"/>
            </w:pPr>
            <w:r>
              <w:rPr>
                <w:rFonts w:ascii="Calibri" w:hAnsi="Calibri"/>
                <w:b w:val="0"/>
                <w:i w:val="0"/>
                <w:color w:val="212121"/>
                <w:sz w:val="19"/>
              </w:rPr>
              <w:t>Chronic short/fragmented sleep</w:t>
            </w:r>
          </w:p>
        </w:tc>
        <w:tc>
          <w:tcPr>
            <w:tcW w:type="dxa" w:w="1468"/>
            <w:vAlign w:val="top"/>
          </w:tcPr>
          <w:p>
            <w:pPr>
              <w:spacing w:after="40" w:before="0" w:line="259" w:lineRule="auto"/>
            </w:pPr>
            <w:r>
              <w:rPr>
                <w:rFonts w:ascii="Calibri" w:hAnsi="Calibri"/>
                <w:b w:val="0"/>
                <w:i w:val="0"/>
                <w:color w:val="212121"/>
                <w:sz w:val="19"/>
              </w:rPr>
              <w:t>Sleep problems worsen behaviour, seizures and cognition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IQ / standardised cognitive score</w:t>
            </w:r>
          </w:p>
        </w:tc>
        <w:tc>
          <w:tcPr>
            <w:tcW w:type="dxa" w:w="1655"/>
            <w:vAlign w:val="top"/>
          </w:tcPr>
          <w:p>
            <w:pPr>
              <w:spacing w:after="40" w:before="0" w:line="259" w:lineRule="auto"/>
            </w:pPr>
            <w:r>
              <w:rPr>
                <w:rFonts w:ascii="Calibri" w:hAnsi="Calibri"/>
                <w:b w:val="0"/>
                <w:i w:val="0"/>
                <w:color w:val="212121"/>
                <w:sz w:val="19"/>
              </w:rPr>
              <w:t>Children &amp; adults under assessment</w:t>
            </w:r>
          </w:p>
        </w:tc>
        <w:tc>
          <w:tcPr>
            <w:tcW w:type="dxa" w:w="1512"/>
            <w:vAlign w:val="top"/>
          </w:tcPr>
          <w:p>
            <w:pPr>
              <w:spacing w:after="40" w:before="0" w:line="259" w:lineRule="auto"/>
            </w:pPr>
            <w:r>
              <w:rPr>
                <w:rFonts w:ascii="Calibri" w:hAnsi="Calibri"/>
                <w:b w:val="0"/>
                <w:i w:val="0"/>
                <w:color w:val="212121"/>
                <w:sz w:val="19"/>
              </w:rPr>
              <w:t>85–115 (average range)</w:t>
            </w:r>
          </w:p>
        </w:tc>
        <w:tc>
          <w:tcPr>
            <w:tcW w:type="dxa" w:w="1512"/>
            <w:vAlign w:val="top"/>
          </w:tcPr>
          <w:p>
            <w:pPr>
              <w:spacing w:after="40" w:before="0" w:line="259" w:lineRule="auto"/>
            </w:pPr>
            <w:r>
              <w:rPr>
                <w:rFonts w:ascii="Calibri" w:hAnsi="Calibri"/>
                <w:b w:val="0"/>
                <w:i w:val="0"/>
                <w:color w:val="212121"/>
                <w:sz w:val="19"/>
              </w:rPr>
              <w:t>≤ 70 (≈ 2 SD below mean)</w:t>
            </w:r>
          </w:p>
        </w:tc>
        <w:tc>
          <w:tcPr>
            <w:tcW w:type="dxa" w:w="1468"/>
            <w:vAlign w:val="top"/>
          </w:tcPr>
          <w:p>
            <w:pPr>
              <w:spacing w:after="60" w:line="259" w:lineRule="auto"/>
            </w:pPr>
            <w:r>
              <w:rPr>
                <w:rFonts w:ascii="Calibri" w:hAnsi="Calibri"/>
                <w:b w:val="0"/>
                <w:i w:val="0"/>
                <w:color w:val="212121"/>
                <w:sz w:val="19"/>
              </w:rPr>
              <w:t>Confirms intellectual deficit with adaptive testing</w:t>
            </w:r>
          </w:p>
          <w:p>
            <w:pPr>
              <w:spacing w:after="40" w:line="252" w:lineRule="auto"/>
            </w:pPr>
            <w:hyperlink r:id="rId10">
              <w:r>
                <w:rPr>
                  <w:rFonts w:ascii="Calibri" w:hAnsi="Calibri" w:cs="Calibri"/>
                  <w:sz w:val="18"/>
                  <w:color w:val="1155CC"/>
                  <w:u w:val="single"/>
                </w:rPr>
                <w:t xml:space="preserve">https://www.ncbi.nlm.nih.gov/books/NBK547654/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Full-scale IQ (standardised test)</w:t>
            </w:r>
          </w:p>
        </w:tc>
        <w:tc>
          <w:tcPr>
            <w:tcW w:type="dxa" w:w="892"/>
            <w:vAlign w:val="top"/>
          </w:tcPr>
          <w:p>
            <w:pPr>
              <w:spacing w:after="40" w:before="0" w:line="259" w:lineRule="auto"/>
            </w:pPr>
            <w:r>
              <w:rPr>
                <w:rFonts w:ascii="Calibri" w:hAnsi="Calibri"/>
                <w:b w:val="0"/>
                <w:i w:val="0"/>
                <w:color w:val="212121"/>
                <w:sz w:val="16"/>
              </w:rPr>
              <w:t>Cognitive assessment (e.g. WISC / Binet-Kamat / MISIC)</w:t>
            </w:r>
          </w:p>
        </w:tc>
        <w:tc>
          <w:tcPr>
            <w:tcW w:type="dxa" w:w="950"/>
            <w:vAlign w:val="top"/>
          </w:tcPr>
          <w:p>
            <w:pPr>
              <w:spacing w:after="40" w:before="0" w:line="259" w:lineRule="auto"/>
            </w:pPr>
            <w:r>
              <w:rPr>
                <w:rFonts w:ascii="Calibri" w:hAnsi="Calibri"/>
                <w:b w:val="0"/>
                <w:i w:val="0"/>
                <w:color w:val="212121"/>
                <w:sz w:val="16"/>
              </w:rPr>
              <w:t>85–115</w:t>
            </w:r>
          </w:p>
        </w:tc>
        <w:tc>
          <w:tcPr>
            <w:tcW w:type="dxa" w:w="950"/>
            <w:vAlign w:val="top"/>
          </w:tcPr>
          <w:p>
            <w:pPr>
              <w:spacing w:after="40" w:before="0" w:line="259" w:lineRule="auto"/>
            </w:pPr>
            <w:r>
              <w:rPr>
                <w:rFonts w:ascii="Calibri" w:hAnsi="Calibri"/>
                <w:b w:val="0"/>
                <w:i w:val="0"/>
                <w:color w:val="212121"/>
                <w:sz w:val="16"/>
              </w:rPr>
              <w:t>≤ 70 (≈ 2 SD below mean)</w:t>
            </w:r>
          </w:p>
        </w:tc>
        <w:tc>
          <w:tcPr>
            <w:tcW w:type="dxa" w:w="1036"/>
            <w:vAlign w:val="top"/>
          </w:tcPr>
          <w:p>
            <w:pPr>
              <w:spacing w:after="40" w:before="0" w:line="259" w:lineRule="auto"/>
            </w:pPr>
            <w:r>
              <w:rPr>
                <w:rFonts w:ascii="Calibri" w:hAnsi="Calibri"/>
                <w:b w:val="0"/>
                <w:i w:val="0"/>
                <w:color w:val="212121"/>
                <w:sz w:val="16"/>
              </w:rPr>
              <w:t>Confirms intellectual deficit; grade severity with adaptive testing</w:t>
            </w:r>
          </w:p>
        </w:tc>
        <w:tc>
          <w:tcPr>
            <w:tcW w:type="dxa" w:w="1036"/>
            <w:vAlign w:val="top"/>
          </w:tcPr>
          <w:p>
            <w:pPr>
              <w:spacing w:after="40" w:before="0" w:line="259" w:lineRule="auto"/>
            </w:pPr>
            <w:r>
              <w:rPr>
                <w:rFonts w:ascii="Calibri" w:hAnsi="Calibri"/>
                <w:b w:val="0"/>
                <w:i w:val="0"/>
                <w:color w:val="212121"/>
                <w:sz w:val="16"/>
              </w:rPr>
              <w:t>Children with developmental delay, school failure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culturally validated, individually administered tests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Chromosomal microarray / karyotype</w:t>
            </w:r>
          </w:p>
        </w:tc>
        <w:tc>
          <w:tcPr>
            <w:tcW w:type="dxa" w:w="892"/>
            <w:vAlign w:val="top"/>
          </w:tcPr>
          <w:p>
            <w:pPr>
              <w:spacing w:after="40" w:before="0" w:line="259" w:lineRule="auto"/>
            </w:pPr>
            <w:r>
              <w:rPr>
                <w:rFonts w:ascii="Calibri" w:hAnsi="Calibri"/>
                <w:b w:val="0"/>
                <w:i w:val="0"/>
                <w:color w:val="212121"/>
                <w:sz w:val="16"/>
              </w:rPr>
              <w:t>Cytogenetic &amp; CMA testing</w:t>
            </w:r>
          </w:p>
        </w:tc>
        <w:tc>
          <w:tcPr>
            <w:tcW w:type="dxa" w:w="950"/>
            <w:vAlign w:val="top"/>
          </w:tcPr>
          <w:p>
            <w:pPr>
              <w:spacing w:after="40" w:before="0" w:line="259" w:lineRule="auto"/>
            </w:pPr>
            <w:r>
              <w:rPr>
                <w:rFonts w:ascii="Calibri" w:hAnsi="Calibri"/>
                <w:b w:val="0"/>
                <w:i w:val="0"/>
                <w:color w:val="212121"/>
                <w:sz w:val="16"/>
              </w:rPr>
              <w:t>No pathogenic copy-number variant</w:t>
            </w:r>
          </w:p>
        </w:tc>
        <w:tc>
          <w:tcPr>
            <w:tcW w:type="dxa" w:w="950"/>
            <w:vAlign w:val="top"/>
          </w:tcPr>
          <w:p>
            <w:pPr>
              <w:spacing w:after="40" w:before="0" w:line="259" w:lineRule="auto"/>
            </w:pPr>
            <w:r>
              <w:rPr>
                <w:rFonts w:ascii="Calibri" w:hAnsi="Calibri"/>
                <w:b w:val="0"/>
                <w:i w:val="0"/>
                <w:color w:val="212121"/>
                <w:sz w:val="16"/>
              </w:rPr>
              <w:t>Trisomy 21 / pathogenic CNV</w:t>
            </w:r>
          </w:p>
        </w:tc>
        <w:tc>
          <w:tcPr>
            <w:tcW w:type="dxa" w:w="1036"/>
            <w:vAlign w:val="top"/>
          </w:tcPr>
          <w:p>
            <w:pPr>
              <w:spacing w:after="40" w:before="0" w:line="259" w:lineRule="auto"/>
            </w:pPr>
            <w:r>
              <w:rPr>
                <w:rFonts w:ascii="Calibri" w:hAnsi="Calibri"/>
                <w:b w:val="0"/>
                <w:i w:val="0"/>
                <w:color w:val="212121"/>
                <w:sz w:val="16"/>
              </w:rPr>
              <w:t>First-line genetic test; identifies chromosomal cause</w:t>
            </w:r>
          </w:p>
        </w:tc>
        <w:tc>
          <w:tcPr>
            <w:tcW w:type="dxa" w:w="1036"/>
            <w:vAlign w:val="top"/>
          </w:tcPr>
          <w:p>
            <w:pPr>
              <w:spacing w:after="40" w:before="0" w:line="259" w:lineRule="auto"/>
            </w:pPr>
            <w:r>
              <w:rPr>
                <w:rFonts w:ascii="Calibri" w:hAnsi="Calibri"/>
                <w:b w:val="0"/>
                <w:i w:val="0"/>
                <w:color w:val="212121"/>
                <w:sz w:val="16"/>
              </w:rPr>
              <w:t>Dysmorphic or unexplained ID, multiple anomalies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Microarray has higher yield than karyotype for unexplained ID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Fragile-X (FMR1 CGG repeat)</w:t>
            </w:r>
          </w:p>
        </w:tc>
        <w:tc>
          <w:tcPr>
            <w:tcW w:type="dxa" w:w="892"/>
            <w:vAlign w:val="top"/>
          </w:tcPr>
          <w:p>
            <w:pPr>
              <w:spacing w:after="40" w:before="0" w:line="259" w:lineRule="auto"/>
            </w:pPr>
            <w:r>
              <w:rPr>
                <w:rFonts w:ascii="Calibri" w:hAnsi="Calibri"/>
                <w:b w:val="0"/>
                <w:i w:val="0"/>
                <w:color w:val="212121"/>
                <w:sz w:val="16"/>
              </w:rPr>
              <w:t>Molecular DNA testing</w:t>
            </w:r>
          </w:p>
        </w:tc>
        <w:tc>
          <w:tcPr>
            <w:tcW w:type="dxa" w:w="950"/>
            <w:vAlign w:val="top"/>
          </w:tcPr>
          <w:p>
            <w:pPr>
              <w:spacing w:after="40" w:before="0" w:line="259" w:lineRule="auto"/>
            </w:pPr>
            <w:r>
              <w:rPr>
                <w:rFonts w:ascii="Calibri" w:hAnsi="Calibri"/>
                <w:b w:val="0"/>
                <w:i w:val="0"/>
                <w:color w:val="212121"/>
                <w:sz w:val="16"/>
              </w:rPr>
              <w:t>&lt; 45 repeats</w:t>
            </w:r>
          </w:p>
        </w:tc>
        <w:tc>
          <w:tcPr>
            <w:tcW w:type="dxa" w:w="950"/>
            <w:vAlign w:val="top"/>
          </w:tcPr>
          <w:p>
            <w:pPr>
              <w:spacing w:after="40" w:before="0" w:line="259" w:lineRule="auto"/>
            </w:pPr>
            <w:r>
              <w:rPr>
                <w:rFonts w:ascii="Calibri" w:hAnsi="Calibri"/>
                <w:b w:val="0"/>
                <w:i w:val="0"/>
                <w:color w:val="212121"/>
                <w:sz w:val="16"/>
              </w:rPr>
              <w:t>&gt; 200 repeats (full mutation)</w:t>
            </w:r>
          </w:p>
        </w:tc>
        <w:tc>
          <w:tcPr>
            <w:tcW w:type="dxa" w:w="1036"/>
            <w:vAlign w:val="top"/>
          </w:tcPr>
          <w:p>
            <w:pPr>
              <w:spacing w:after="40" w:before="0" w:line="259" w:lineRule="auto"/>
            </w:pPr>
            <w:r>
              <w:rPr>
                <w:rFonts w:ascii="Calibri" w:hAnsi="Calibri"/>
                <w:b w:val="0"/>
                <w:i w:val="0"/>
                <w:color w:val="212121"/>
                <w:sz w:val="16"/>
              </w:rPr>
              <w:t>Detects the commonest inherited cause of ID</w:t>
            </w:r>
          </w:p>
        </w:tc>
        <w:tc>
          <w:tcPr>
            <w:tcW w:type="dxa" w:w="1036"/>
            <w:vAlign w:val="top"/>
          </w:tcPr>
          <w:p>
            <w:pPr>
              <w:spacing w:after="40" w:before="0" w:line="259" w:lineRule="auto"/>
            </w:pPr>
            <w:r>
              <w:rPr>
                <w:rFonts w:ascii="Calibri" w:hAnsi="Calibri"/>
                <w:b w:val="0"/>
                <w:i w:val="0"/>
                <w:color w:val="212121"/>
                <w:sz w:val="16"/>
              </w:rPr>
              <w:t>Boys with ID, family history, characteristic phenotype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Indicated in most cases of unexplained ID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 newborn TSH</w:t>
            </w:r>
          </w:p>
        </w:tc>
        <w:tc>
          <w:tcPr>
            <w:tcW w:type="dxa" w:w="892"/>
            <w:vAlign w:val="top"/>
          </w:tcPr>
          <w:p>
            <w:pPr>
              <w:spacing w:after="40" w:before="0" w:line="259" w:lineRule="auto"/>
            </w:pPr>
            <w:r>
              <w:rPr>
                <w:rFonts w:ascii="Calibri" w:hAnsi="Calibri"/>
                <w:b w:val="0"/>
                <w:i w:val="0"/>
                <w:color w:val="212121"/>
                <w:sz w:val="16"/>
              </w:rPr>
              <w:t>TSH, free T4</w:t>
            </w:r>
          </w:p>
        </w:tc>
        <w:tc>
          <w:tcPr>
            <w:tcW w:type="dxa" w:w="950"/>
            <w:vAlign w:val="top"/>
          </w:tcPr>
          <w:p>
            <w:pPr>
              <w:spacing w:after="40" w:before="0" w:line="259" w:lineRule="auto"/>
            </w:pPr>
            <w:r>
              <w:rPr>
                <w:rFonts w:ascii="Calibri" w:hAnsi="Calibri"/>
                <w:b w:val="0"/>
                <w:i w:val="0"/>
                <w:color w:val="212121"/>
                <w:sz w:val="16"/>
              </w:rPr>
              <w:t>Age-specific reference range</w:t>
            </w:r>
          </w:p>
        </w:tc>
        <w:tc>
          <w:tcPr>
            <w:tcW w:type="dxa" w:w="950"/>
            <w:vAlign w:val="top"/>
          </w:tcPr>
          <w:p>
            <w:pPr>
              <w:spacing w:after="40" w:before="0" w:line="259" w:lineRule="auto"/>
            </w:pPr>
            <w:r>
              <w:rPr>
                <w:rFonts w:ascii="Calibri" w:hAnsi="Calibri"/>
                <w:b w:val="0"/>
                <w:i w:val="0"/>
                <w:color w:val="212121"/>
                <w:sz w:val="16"/>
              </w:rPr>
              <w:t>Elevated TSH, low free T4</w:t>
            </w:r>
          </w:p>
        </w:tc>
        <w:tc>
          <w:tcPr>
            <w:tcW w:type="dxa" w:w="1036"/>
            <w:vAlign w:val="top"/>
          </w:tcPr>
          <w:p>
            <w:pPr>
              <w:spacing w:after="40" w:before="0" w:line="259" w:lineRule="auto"/>
            </w:pPr>
            <w:r>
              <w:rPr>
                <w:rFonts w:ascii="Calibri" w:hAnsi="Calibri"/>
                <w:b w:val="0"/>
                <w:i w:val="0"/>
                <w:color w:val="212121"/>
                <w:sz w:val="16"/>
              </w:rPr>
              <w:t>Identifies congenital/iodine-deficiency hypothyroidism — treatable</w:t>
            </w:r>
          </w:p>
        </w:tc>
        <w:tc>
          <w:tcPr>
            <w:tcW w:type="dxa" w:w="1036"/>
            <w:vAlign w:val="top"/>
          </w:tcPr>
          <w:p>
            <w:pPr>
              <w:spacing w:after="40" w:before="0" w:line="259" w:lineRule="auto"/>
            </w:pPr>
            <w:r>
              <w:rPr>
                <w:rFonts w:ascii="Calibri" w:hAnsi="Calibri"/>
                <w:b w:val="0"/>
                <w:i w:val="0"/>
                <w:color w:val="212121"/>
                <w:sz w:val="16"/>
              </w:rPr>
              <w:t>All neonates; children with delay &amp; goitre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Early thyroxine prevents ID; core of newborn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Metabolic screen</w:t>
            </w:r>
          </w:p>
        </w:tc>
        <w:tc>
          <w:tcPr>
            <w:tcW w:type="dxa" w:w="892"/>
            <w:vAlign w:val="top"/>
          </w:tcPr>
          <w:p>
            <w:pPr>
              <w:spacing w:after="40" w:before="0" w:line="259" w:lineRule="auto"/>
            </w:pPr>
            <w:r>
              <w:rPr>
                <w:rFonts w:ascii="Calibri" w:hAnsi="Calibri"/>
                <w:b w:val="0"/>
                <w:i w:val="0"/>
                <w:color w:val="212121"/>
                <w:sz w:val="16"/>
              </w:rPr>
              <w:t>Tandem mass spectrometry, urine organic acids, plasma amino acids, ammonia</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Abnormal metabolite pattern (e.g. PKU)</w:t>
            </w:r>
          </w:p>
        </w:tc>
        <w:tc>
          <w:tcPr>
            <w:tcW w:type="dxa" w:w="1036"/>
            <w:vAlign w:val="top"/>
          </w:tcPr>
          <w:p>
            <w:pPr>
              <w:spacing w:after="40" w:before="0" w:line="259" w:lineRule="auto"/>
            </w:pPr>
            <w:r>
              <w:rPr>
                <w:rFonts w:ascii="Calibri" w:hAnsi="Calibri"/>
                <w:b w:val="0"/>
                <w:i w:val="0"/>
                <w:color w:val="212121"/>
                <w:sz w:val="16"/>
              </w:rPr>
              <w:t>Detects treatable inborn errors of metabolism</w:t>
            </w:r>
          </w:p>
        </w:tc>
        <w:tc>
          <w:tcPr>
            <w:tcW w:type="dxa" w:w="1036"/>
            <w:vAlign w:val="top"/>
          </w:tcPr>
          <w:p>
            <w:pPr>
              <w:spacing w:after="40" w:before="0" w:line="259" w:lineRule="auto"/>
            </w:pPr>
            <w:r>
              <w:rPr>
                <w:rFonts w:ascii="Calibri" w:hAnsi="Calibri"/>
                <w:b w:val="0"/>
                <w:i w:val="0"/>
                <w:color w:val="212121"/>
                <w:sz w:val="16"/>
              </w:rPr>
              <w:t>Consanguineous parents, regression, unexplained ID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Higher yield where consanguinity is common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lead level</w:t>
            </w:r>
          </w:p>
        </w:tc>
        <w:tc>
          <w:tcPr>
            <w:tcW w:type="dxa" w:w="892"/>
            <w:vAlign w:val="top"/>
          </w:tcPr>
          <w:p>
            <w:pPr>
              <w:spacing w:after="40" w:before="0" w:line="259" w:lineRule="auto"/>
            </w:pPr>
            <w:r>
              <w:rPr>
                <w:rFonts w:ascii="Calibri" w:hAnsi="Calibri"/>
                <w:b w:val="0"/>
                <w:i w:val="0"/>
                <w:color w:val="212121"/>
                <w:sz w:val="16"/>
              </w:rPr>
              <w:t>Venous lead assay</w:t>
            </w:r>
          </w:p>
        </w:tc>
        <w:tc>
          <w:tcPr>
            <w:tcW w:type="dxa" w:w="950"/>
            <w:vAlign w:val="top"/>
          </w:tcPr>
          <w:p>
            <w:pPr>
              <w:spacing w:after="40" w:before="0" w:line="259" w:lineRule="auto"/>
            </w:pPr>
            <w:r>
              <w:rPr>
                <w:rFonts w:ascii="Calibri" w:hAnsi="Calibri"/>
                <w:b w:val="0"/>
                <w:i w:val="0"/>
                <w:color w:val="212121"/>
                <w:sz w:val="16"/>
              </w:rPr>
              <w:t>&lt; 3.5 µg/dL</w:t>
            </w:r>
          </w:p>
        </w:tc>
        <w:tc>
          <w:tcPr>
            <w:tcW w:type="dxa" w:w="950"/>
            <w:vAlign w:val="top"/>
          </w:tcPr>
          <w:p>
            <w:pPr>
              <w:spacing w:after="40" w:before="0" w:line="259" w:lineRule="auto"/>
            </w:pPr>
            <w:r>
              <w:rPr>
                <w:rFonts w:ascii="Calibri" w:hAnsi="Calibri"/>
                <w:b w:val="0"/>
                <w:i w:val="0"/>
                <w:color w:val="212121"/>
                <w:sz w:val="16"/>
              </w:rPr>
              <w:t>≥ 3.5 µg/dL</w:t>
            </w:r>
          </w:p>
        </w:tc>
        <w:tc>
          <w:tcPr>
            <w:tcW w:type="dxa" w:w="1036"/>
            <w:vAlign w:val="top"/>
          </w:tcPr>
          <w:p>
            <w:pPr>
              <w:spacing w:after="40" w:before="0" w:line="259" w:lineRule="auto"/>
            </w:pPr>
            <w:r>
              <w:rPr>
                <w:rFonts w:ascii="Calibri" w:hAnsi="Calibri"/>
                <w:b w:val="0"/>
                <w:i w:val="0"/>
                <w:color w:val="212121"/>
                <w:sz w:val="16"/>
              </w:rPr>
              <w:t>Identifies neurotoxic lead exposure</w:t>
            </w:r>
          </w:p>
        </w:tc>
        <w:tc>
          <w:tcPr>
            <w:tcW w:type="dxa" w:w="1036"/>
            <w:vAlign w:val="top"/>
          </w:tcPr>
          <w:p>
            <w:pPr>
              <w:spacing w:after="40" w:before="0" w:line="259" w:lineRule="auto"/>
            </w:pPr>
            <w:r>
              <w:rPr>
                <w:rFonts w:ascii="Calibri" w:hAnsi="Calibri"/>
                <w:b w:val="0"/>
                <w:i w:val="0"/>
                <w:color w:val="212121"/>
                <w:sz w:val="16"/>
              </w:rPr>
              <w:t>Children with pica, exposure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Chelation and source removal for high levels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Malformation, injury, dysmyelination</w:t>
            </w:r>
          </w:p>
        </w:tc>
        <w:tc>
          <w:tcPr>
            <w:tcW w:type="dxa" w:w="1036"/>
            <w:vAlign w:val="top"/>
          </w:tcPr>
          <w:p>
            <w:pPr>
              <w:spacing w:after="40" w:before="0" w:line="259" w:lineRule="auto"/>
            </w:pPr>
            <w:r>
              <w:rPr>
                <w:rFonts w:ascii="Calibri" w:hAnsi="Calibri"/>
                <w:b w:val="0"/>
                <w:i w:val="0"/>
                <w:color w:val="212121"/>
                <w:sz w:val="16"/>
              </w:rPr>
              <w:t>Defines structural/acquired causes</w:t>
            </w:r>
          </w:p>
        </w:tc>
        <w:tc>
          <w:tcPr>
            <w:tcW w:type="dxa" w:w="1036"/>
            <w:vAlign w:val="top"/>
          </w:tcPr>
          <w:p>
            <w:pPr>
              <w:spacing w:after="40" w:before="0" w:line="259" w:lineRule="auto"/>
            </w:pPr>
            <w:r>
              <w:rPr>
                <w:rFonts w:ascii="Calibri" w:hAnsi="Calibri"/>
                <w:b w:val="0"/>
                <w:i w:val="0"/>
                <w:color w:val="212121"/>
                <w:sz w:val="16"/>
              </w:rPr>
              <w:t>Microcephaly, seizures, focal signs, severe 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Preferred over CT; consider metabolic/leukodystrophy patterns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Electroencephalogram (EEG)</w:t>
            </w:r>
          </w:p>
        </w:tc>
        <w:tc>
          <w:tcPr>
            <w:tcW w:type="dxa" w:w="892"/>
            <w:vAlign w:val="top"/>
          </w:tcPr>
          <w:p>
            <w:pPr>
              <w:spacing w:after="40" w:before="0" w:line="259" w:lineRule="auto"/>
            </w:pPr>
            <w:r>
              <w:rPr>
                <w:rFonts w:ascii="Calibri" w:hAnsi="Calibri"/>
                <w:b w:val="0"/>
                <w:i w:val="0"/>
                <w:color w:val="212121"/>
                <w:sz w:val="16"/>
              </w:rPr>
              <w:t>EEG</w:t>
            </w:r>
          </w:p>
        </w:tc>
        <w:tc>
          <w:tcPr>
            <w:tcW w:type="dxa" w:w="950"/>
            <w:vAlign w:val="top"/>
          </w:tcPr>
          <w:p>
            <w:pPr>
              <w:spacing w:after="40" w:before="0" w:line="259" w:lineRule="auto"/>
            </w:pPr>
            <w:r>
              <w:rPr>
                <w:rFonts w:ascii="Calibri" w:hAnsi="Calibri"/>
                <w:b w:val="0"/>
                <w:i w:val="0"/>
                <w:color w:val="212121"/>
                <w:sz w:val="16"/>
              </w:rPr>
              <w:t>Normal background, no epileptiform discharge</w:t>
            </w:r>
          </w:p>
        </w:tc>
        <w:tc>
          <w:tcPr>
            <w:tcW w:type="dxa" w:w="950"/>
            <w:vAlign w:val="top"/>
          </w:tcPr>
          <w:p>
            <w:pPr>
              <w:spacing w:after="40" w:before="0" w:line="259" w:lineRule="auto"/>
            </w:pPr>
            <w:r>
              <w:rPr>
                <w:rFonts w:ascii="Calibri" w:hAnsi="Calibri"/>
                <w:b w:val="0"/>
                <w:i w:val="0"/>
                <w:color w:val="212121"/>
                <w:sz w:val="16"/>
              </w:rPr>
              <w:t>Epileptiform / encephalopathic pattern</w:t>
            </w:r>
          </w:p>
        </w:tc>
        <w:tc>
          <w:tcPr>
            <w:tcW w:type="dxa" w:w="1036"/>
            <w:vAlign w:val="top"/>
          </w:tcPr>
          <w:p>
            <w:pPr>
              <w:spacing w:after="40" w:before="0" w:line="259" w:lineRule="auto"/>
            </w:pPr>
            <w:r>
              <w:rPr>
                <w:rFonts w:ascii="Calibri" w:hAnsi="Calibri"/>
                <w:b w:val="0"/>
                <w:i w:val="0"/>
                <w:color w:val="212121"/>
                <w:sz w:val="16"/>
              </w:rPr>
              <w:t>Assesses co-occurring epilepsy</w:t>
            </w:r>
          </w:p>
        </w:tc>
        <w:tc>
          <w:tcPr>
            <w:tcW w:type="dxa" w:w="1036"/>
            <w:vAlign w:val="top"/>
          </w:tcPr>
          <w:p>
            <w:pPr>
              <w:spacing w:after="40" w:before="0" w:line="259" w:lineRule="auto"/>
            </w:pPr>
            <w:r>
              <w:rPr>
                <w:rFonts w:ascii="Calibri" w:hAnsi="Calibri"/>
                <w:b w:val="0"/>
                <w:i w:val="0"/>
                <w:color w:val="212121"/>
                <w:sz w:val="16"/>
              </w:rPr>
              <w:t>Children with seizures or regression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Guided by clinical seizure history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history</w:t>
            </w:r>
          </w:p>
        </w:tc>
        <w:tc>
          <w:tcPr>
            <w:tcW w:type="dxa" w:w="979"/>
            <w:vAlign w:val="top"/>
          </w:tcPr>
          <w:p>
            <w:pPr>
              <w:spacing w:after="40" w:before="0" w:line="259" w:lineRule="auto"/>
            </w:pPr>
            <w:r>
              <w:rPr>
                <w:rFonts w:ascii="Calibri" w:hAnsi="Calibri"/>
                <w:b w:val="0"/>
                <w:i w:val="0"/>
                <w:color w:val="212121"/>
                <w:sz w:val="16"/>
              </w:rPr>
              <w:t>Attainment of motor, language, social &amp; adaptive milestones</w:t>
            </w:r>
          </w:p>
        </w:tc>
        <w:tc>
          <w:tcPr>
            <w:tcW w:type="dxa" w:w="950"/>
            <w:vAlign w:val="top"/>
          </w:tcPr>
          <w:p>
            <w:pPr>
              <w:spacing w:after="40" w:before="0" w:line="259" w:lineRule="auto"/>
            </w:pPr>
            <w:r>
              <w:rPr>
                <w:rFonts w:ascii="Calibri" w:hAnsi="Calibri"/>
                <w:b w:val="0"/>
                <w:i w:val="0"/>
                <w:color w:val="212121"/>
                <w:sz w:val="16"/>
              </w:rPr>
              <w:t>Age-appropriate milestones</w:t>
            </w:r>
          </w:p>
        </w:tc>
        <w:tc>
          <w:tcPr>
            <w:tcW w:type="dxa" w:w="950"/>
            <w:vAlign w:val="top"/>
          </w:tcPr>
          <w:p>
            <w:pPr>
              <w:spacing w:after="40" w:before="0" w:line="259" w:lineRule="auto"/>
            </w:pPr>
            <w:r>
              <w:rPr>
                <w:rFonts w:ascii="Calibri" w:hAnsi="Calibri"/>
                <w:b w:val="0"/>
                <w:i w:val="0"/>
                <w:color w:val="212121"/>
                <w:sz w:val="16"/>
              </w:rPr>
              <w:t>Global delay / plateau / regression</w:t>
            </w:r>
          </w:p>
        </w:tc>
        <w:tc>
          <w:tcPr>
            <w:tcW w:type="dxa" w:w="1036"/>
            <w:vAlign w:val="top"/>
          </w:tcPr>
          <w:p>
            <w:pPr>
              <w:spacing w:after="40" w:before="0" w:line="259" w:lineRule="auto"/>
            </w:pPr>
            <w:r>
              <w:rPr>
                <w:rFonts w:ascii="Calibri" w:hAnsi="Calibri"/>
                <w:b w:val="0"/>
                <w:i w:val="0"/>
                <w:color w:val="212121"/>
                <w:sz w:val="16"/>
              </w:rPr>
              <w:t>Cardinal to recognising ID and its onset in the developmental period</w:t>
            </w:r>
          </w:p>
        </w:tc>
        <w:tc>
          <w:tcPr>
            <w:tcW w:type="dxa" w:w="1036"/>
            <w:vAlign w:val="top"/>
          </w:tcPr>
          <w:p>
            <w:pPr>
              <w:spacing w:after="40" w:before="0" w:line="259" w:lineRule="auto"/>
            </w:pPr>
            <w:r>
              <w:rPr>
                <w:rFonts w:ascii="Calibri" w:hAnsi="Calibri"/>
                <w:b w:val="0"/>
                <w:i w:val="0"/>
                <w:color w:val="212121"/>
                <w:sz w:val="16"/>
              </w:rPr>
              <w:t>Infants and children with delay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Regression suggests metabolic/neurodegenerative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Antenatal &amp; perinatal history</w:t>
            </w:r>
          </w:p>
        </w:tc>
        <w:tc>
          <w:tcPr>
            <w:tcW w:type="dxa" w:w="979"/>
            <w:vAlign w:val="top"/>
          </w:tcPr>
          <w:p>
            <w:pPr>
              <w:spacing w:after="40" w:before="0" w:line="259" w:lineRule="auto"/>
            </w:pPr>
            <w:r>
              <w:rPr>
                <w:rFonts w:ascii="Calibri" w:hAnsi="Calibri"/>
                <w:b w:val="0"/>
                <w:i w:val="0"/>
                <w:color w:val="212121"/>
                <w:sz w:val="16"/>
              </w:rPr>
              <w:t>Iodine/alcohol/infection exposure, asphyxia, prematurity, jaundice</w:t>
            </w:r>
          </w:p>
        </w:tc>
        <w:tc>
          <w:tcPr>
            <w:tcW w:type="dxa" w:w="950"/>
            <w:vAlign w:val="top"/>
          </w:tcPr>
          <w:p>
            <w:pPr>
              <w:spacing w:after="40" w:before="0" w:line="259" w:lineRule="auto"/>
            </w:pPr>
            <w:r>
              <w:rPr>
                <w:rFonts w:ascii="Calibri" w:hAnsi="Calibri"/>
                <w:b w:val="0"/>
                <w:i w:val="0"/>
                <w:color w:val="212121"/>
                <w:sz w:val="16"/>
              </w:rPr>
              <w:t>Uneventful pregnancy &amp; delivery</w:t>
            </w:r>
          </w:p>
        </w:tc>
        <w:tc>
          <w:tcPr>
            <w:tcW w:type="dxa" w:w="950"/>
            <w:vAlign w:val="top"/>
          </w:tcPr>
          <w:p>
            <w:pPr>
              <w:spacing w:after="40" w:before="0" w:line="259" w:lineRule="auto"/>
            </w:pPr>
            <w:r>
              <w:rPr>
                <w:rFonts w:ascii="Calibri" w:hAnsi="Calibri"/>
                <w:b w:val="0"/>
                <w:i w:val="0"/>
                <w:color w:val="212121"/>
                <w:sz w:val="16"/>
              </w:rPr>
              <w:t>Identifiable prenatal/perinatal insult</w:t>
            </w:r>
          </w:p>
        </w:tc>
        <w:tc>
          <w:tcPr>
            <w:tcW w:type="dxa" w:w="1036"/>
            <w:vAlign w:val="top"/>
          </w:tcPr>
          <w:p>
            <w:pPr>
              <w:spacing w:after="40" w:before="0" w:line="259" w:lineRule="auto"/>
            </w:pPr>
            <w:r>
              <w:rPr>
                <w:rFonts w:ascii="Calibri" w:hAnsi="Calibri"/>
                <w:b w:val="0"/>
                <w:i w:val="0"/>
                <w:color w:val="212121"/>
                <w:sz w:val="16"/>
              </w:rPr>
              <w:t>Uncovers preventable and treatable causes</w:t>
            </w:r>
          </w:p>
        </w:tc>
        <w:tc>
          <w:tcPr>
            <w:tcW w:type="dxa" w:w="1036"/>
            <w:vAlign w:val="top"/>
          </w:tcPr>
          <w:p>
            <w:pPr>
              <w:spacing w:after="40" w:before="0" w:line="259" w:lineRule="auto"/>
            </w:pPr>
            <w:r>
              <w:rPr>
                <w:rFonts w:ascii="Calibri" w:hAnsi="Calibri"/>
                <w:b w:val="0"/>
                <w:i w:val="0"/>
                <w:color w:val="212121"/>
                <w:sz w:val="16"/>
              </w:rPr>
              <w:t>Neonates, high-risk pregnancies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APGAR, birth weight, NICU stay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pedigree</w:t>
            </w:r>
          </w:p>
        </w:tc>
        <w:tc>
          <w:tcPr>
            <w:tcW w:type="dxa" w:w="979"/>
            <w:vAlign w:val="top"/>
          </w:tcPr>
          <w:p>
            <w:pPr>
              <w:spacing w:after="40" w:before="0" w:line="259" w:lineRule="auto"/>
            </w:pPr>
            <w:r>
              <w:rPr>
                <w:rFonts w:ascii="Calibri" w:hAnsi="Calibri"/>
                <w:b w:val="0"/>
                <w:i w:val="0"/>
                <w:color w:val="212121"/>
                <w:sz w:val="16"/>
              </w:rPr>
              <w:t>Consanguinity, affected relatives, recurrent losses</w:t>
            </w:r>
          </w:p>
        </w:tc>
        <w:tc>
          <w:tcPr>
            <w:tcW w:type="dxa" w:w="950"/>
            <w:vAlign w:val="top"/>
          </w:tcPr>
          <w:p>
            <w:pPr>
              <w:spacing w:after="40" w:before="0" w:line="259" w:lineRule="auto"/>
            </w:pPr>
            <w:r>
              <w:rPr>
                <w:rFonts w:ascii="Calibri" w:hAnsi="Calibri"/>
                <w:b w:val="0"/>
                <w:i w:val="0"/>
                <w:color w:val="212121"/>
                <w:sz w:val="16"/>
              </w:rPr>
              <w:t>No family history / non-consanguineous</w:t>
            </w:r>
          </w:p>
        </w:tc>
        <w:tc>
          <w:tcPr>
            <w:tcW w:type="dxa" w:w="950"/>
            <w:vAlign w:val="top"/>
          </w:tcPr>
          <w:p>
            <w:pPr>
              <w:spacing w:after="40" w:before="0" w:line="259" w:lineRule="auto"/>
            </w:pPr>
            <w:r>
              <w:rPr>
                <w:rFonts w:ascii="Calibri" w:hAnsi="Calibri"/>
                <w:b w:val="0"/>
                <w:i w:val="0"/>
                <w:color w:val="212121"/>
                <w:sz w:val="16"/>
              </w:rPr>
              <w:t>Consanguinity or affected relatives</w:t>
            </w:r>
          </w:p>
        </w:tc>
        <w:tc>
          <w:tcPr>
            <w:tcW w:type="dxa" w:w="1036"/>
            <w:vAlign w:val="top"/>
          </w:tcPr>
          <w:p>
            <w:pPr>
              <w:spacing w:after="40" w:before="0" w:line="259" w:lineRule="auto"/>
            </w:pPr>
            <w:r>
              <w:rPr>
                <w:rFonts w:ascii="Calibri" w:hAnsi="Calibri"/>
                <w:b w:val="0"/>
                <w:i w:val="0"/>
                <w:color w:val="212121"/>
                <w:sz w:val="16"/>
              </w:rPr>
              <w:t>Points to genetic/recessive aetiology and recurrence risk</w:t>
            </w:r>
          </w:p>
        </w:tc>
        <w:tc>
          <w:tcPr>
            <w:tcW w:type="dxa" w:w="1036"/>
            <w:vAlign w:val="top"/>
          </w:tcPr>
          <w:p>
            <w:pPr>
              <w:spacing w:after="40" w:before="0" w:line="259" w:lineRule="auto"/>
            </w:pPr>
            <w:r>
              <w:rPr>
                <w:rFonts w:ascii="Calibri" w:hAnsi="Calibri"/>
                <w:b w:val="0"/>
                <w:i w:val="0"/>
                <w:color w:val="212121"/>
                <w:sz w:val="16"/>
              </w:rPr>
              <w:t>Consanguineous families, prior affected child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Basis for genetic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Standardised assessment</w:t>
            </w:r>
          </w:p>
        </w:tc>
        <w:tc>
          <w:tcPr>
            <w:tcW w:type="dxa" w:w="950"/>
            <w:vAlign w:val="top"/>
          </w:tcPr>
          <w:p>
            <w:pPr>
              <w:spacing w:after="40" w:before="0" w:line="259" w:lineRule="auto"/>
            </w:pPr>
            <w:r>
              <w:rPr>
                <w:rFonts w:ascii="Calibri" w:hAnsi="Calibri"/>
                <w:b w:val="0"/>
                <w:i w:val="0"/>
                <w:color w:val="212121"/>
                <w:sz w:val="16"/>
              </w:rPr>
              <w:t>Adaptive behaviour assessment</w:t>
            </w:r>
          </w:p>
        </w:tc>
        <w:tc>
          <w:tcPr>
            <w:tcW w:type="dxa" w:w="979"/>
            <w:vAlign w:val="top"/>
          </w:tcPr>
          <w:p>
            <w:pPr>
              <w:spacing w:after="40" w:before="0" w:line="259" w:lineRule="auto"/>
            </w:pPr>
            <w:r>
              <w:rPr>
                <w:rFonts w:ascii="Calibri" w:hAnsi="Calibri"/>
                <w:b w:val="0"/>
                <w:i w:val="0"/>
                <w:color w:val="212121"/>
                <w:sz w:val="16"/>
              </w:rPr>
              <w:t>Conceptual, social &amp; practical adaptive skills (e.g. Vineland/VSMS)</w:t>
            </w:r>
          </w:p>
        </w:tc>
        <w:tc>
          <w:tcPr>
            <w:tcW w:type="dxa" w:w="950"/>
            <w:vAlign w:val="top"/>
          </w:tcPr>
          <w:p>
            <w:pPr>
              <w:spacing w:after="40" w:before="0" w:line="259" w:lineRule="auto"/>
            </w:pPr>
            <w:r>
              <w:rPr>
                <w:rFonts w:ascii="Calibri" w:hAnsi="Calibri"/>
                <w:b w:val="0"/>
                <w:i w:val="0"/>
                <w:color w:val="212121"/>
                <w:sz w:val="16"/>
              </w:rPr>
              <w:t>Age-appropriate adaptive functioning</w:t>
            </w:r>
          </w:p>
        </w:tc>
        <w:tc>
          <w:tcPr>
            <w:tcW w:type="dxa" w:w="950"/>
            <w:vAlign w:val="top"/>
          </w:tcPr>
          <w:p>
            <w:pPr>
              <w:spacing w:after="40" w:before="0" w:line="259" w:lineRule="auto"/>
            </w:pPr>
            <w:r>
              <w:rPr>
                <w:rFonts w:ascii="Calibri" w:hAnsi="Calibri"/>
                <w:b w:val="0"/>
                <w:i w:val="0"/>
                <w:color w:val="212121"/>
                <w:sz w:val="16"/>
              </w:rPr>
              <w:t>Deficits limiting independence</w:t>
            </w:r>
          </w:p>
        </w:tc>
        <w:tc>
          <w:tcPr>
            <w:tcW w:type="dxa" w:w="1036"/>
            <w:vAlign w:val="top"/>
          </w:tcPr>
          <w:p>
            <w:pPr>
              <w:spacing w:after="40" w:before="0" w:line="259" w:lineRule="auto"/>
            </w:pPr>
            <w:r>
              <w:rPr>
                <w:rFonts w:ascii="Calibri" w:hAnsi="Calibri"/>
                <w:b w:val="0"/>
                <w:i w:val="0"/>
                <w:color w:val="212121"/>
                <w:sz w:val="16"/>
              </w:rPr>
              <w:t>Required (with IQ) to diagnose and grade severity</w:t>
            </w:r>
          </w:p>
        </w:tc>
        <w:tc>
          <w:tcPr>
            <w:tcW w:type="dxa" w:w="1036"/>
            <w:vAlign w:val="top"/>
          </w:tcPr>
          <w:p>
            <w:pPr>
              <w:spacing w:after="40" w:before="0" w:line="259" w:lineRule="auto"/>
            </w:pPr>
            <w:r>
              <w:rPr>
                <w:rFonts w:ascii="Calibri" w:hAnsi="Calibri"/>
                <w:b w:val="0"/>
                <w:i w:val="0"/>
                <w:color w:val="212121"/>
                <w:sz w:val="16"/>
              </w:rPr>
              <w:t>All under assessment for ID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Severity graded chiefly on adaptive functioning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Dysmorphology &amp; systemic exam</w:t>
            </w:r>
          </w:p>
        </w:tc>
        <w:tc>
          <w:tcPr>
            <w:tcW w:type="dxa" w:w="979"/>
            <w:vAlign w:val="top"/>
          </w:tcPr>
          <w:p>
            <w:pPr>
              <w:spacing w:after="40" w:before="0" w:line="259" w:lineRule="auto"/>
            </w:pPr>
            <w:r>
              <w:rPr>
                <w:rFonts w:ascii="Calibri" w:hAnsi="Calibri"/>
                <w:b w:val="0"/>
                <w:i w:val="0"/>
                <w:color w:val="212121"/>
                <w:sz w:val="16"/>
              </w:rPr>
              <w:t>Facial gestalt, growth, congenital anomalies</w:t>
            </w:r>
          </w:p>
        </w:tc>
        <w:tc>
          <w:tcPr>
            <w:tcW w:type="dxa" w:w="950"/>
            <w:vAlign w:val="top"/>
          </w:tcPr>
          <w:p>
            <w:pPr>
              <w:spacing w:after="40" w:before="0" w:line="259" w:lineRule="auto"/>
            </w:pPr>
            <w:r>
              <w:rPr>
                <w:rFonts w:ascii="Calibri" w:hAnsi="Calibri"/>
                <w:b w:val="0"/>
                <w:i w:val="0"/>
                <w:color w:val="212121"/>
                <w:sz w:val="16"/>
              </w:rPr>
              <w:t>No dysmorphism</w:t>
            </w:r>
          </w:p>
        </w:tc>
        <w:tc>
          <w:tcPr>
            <w:tcW w:type="dxa" w:w="950"/>
            <w:vAlign w:val="top"/>
          </w:tcPr>
          <w:p>
            <w:pPr>
              <w:spacing w:after="40" w:before="0" w:line="259" w:lineRule="auto"/>
            </w:pPr>
            <w:r>
              <w:rPr>
                <w:rFonts w:ascii="Calibri" w:hAnsi="Calibri"/>
                <w:b w:val="0"/>
                <w:i w:val="0"/>
                <w:color w:val="212121"/>
                <w:sz w:val="16"/>
              </w:rPr>
              <w:t>Syndromic features (e.g. Down, Fragile-X)</w:t>
            </w:r>
          </w:p>
        </w:tc>
        <w:tc>
          <w:tcPr>
            <w:tcW w:type="dxa" w:w="1036"/>
            <w:vAlign w:val="top"/>
          </w:tcPr>
          <w:p>
            <w:pPr>
              <w:spacing w:after="40" w:before="0" w:line="259" w:lineRule="auto"/>
            </w:pPr>
            <w:r>
              <w:rPr>
                <w:rFonts w:ascii="Calibri" w:hAnsi="Calibri"/>
                <w:b w:val="0"/>
                <w:i w:val="0"/>
                <w:color w:val="212121"/>
                <w:sz w:val="16"/>
              </w:rPr>
              <w:t>Directs targeted genetic testing</w:t>
            </w:r>
          </w:p>
        </w:tc>
        <w:tc>
          <w:tcPr>
            <w:tcW w:type="dxa" w:w="1036"/>
            <w:vAlign w:val="top"/>
          </w:tcPr>
          <w:p>
            <w:pPr>
              <w:spacing w:after="40" w:before="0" w:line="259" w:lineRule="auto"/>
            </w:pPr>
            <w:r>
              <w:rPr>
                <w:rFonts w:ascii="Calibri" w:hAnsi="Calibri"/>
                <w:b w:val="0"/>
                <w:i w:val="0"/>
                <w:color w:val="212121"/>
                <w:sz w:val="16"/>
              </w:rPr>
              <w:t>Syndromic-appearing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Measure height, weight, head circumference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Neuro, vision &amp; hearing screen</w:t>
            </w:r>
          </w:p>
        </w:tc>
        <w:tc>
          <w:tcPr>
            <w:tcW w:type="dxa" w:w="979"/>
            <w:vAlign w:val="top"/>
          </w:tcPr>
          <w:p>
            <w:pPr>
              <w:spacing w:after="40" w:before="0" w:line="259" w:lineRule="auto"/>
            </w:pPr>
            <w:r>
              <w:rPr>
                <w:rFonts w:ascii="Calibri" w:hAnsi="Calibri"/>
                <w:b w:val="0"/>
                <w:i w:val="0"/>
                <w:color w:val="212121"/>
                <w:sz w:val="16"/>
              </w:rPr>
              <w:t>Tone, reflexes, microcephaly, sensory acuity</w:t>
            </w:r>
          </w:p>
        </w:tc>
        <w:tc>
          <w:tcPr>
            <w:tcW w:type="dxa" w:w="950"/>
            <w:vAlign w:val="top"/>
          </w:tcPr>
          <w:p>
            <w:pPr>
              <w:spacing w:after="40" w:before="0" w:line="259" w:lineRule="auto"/>
            </w:pPr>
            <w:r>
              <w:rPr>
                <w:rFonts w:ascii="Calibri" w:hAnsi="Calibri"/>
                <w:b w:val="0"/>
                <w:i w:val="0"/>
                <w:color w:val="212121"/>
                <w:sz w:val="16"/>
              </w:rPr>
              <w:t>Normal neuro &amp; sensory screen</w:t>
            </w:r>
          </w:p>
        </w:tc>
        <w:tc>
          <w:tcPr>
            <w:tcW w:type="dxa" w:w="950"/>
            <w:vAlign w:val="top"/>
          </w:tcPr>
          <w:p>
            <w:pPr>
              <w:spacing w:after="40" w:before="0" w:line="259" w:lineRule="auto"/>
            </w:pPr>
            <w:r>
              <w:rPr>
                <w:rFonts w:ascii="Calibri" w:hAnsi="Calibri"/>
                <w:b w:val="0"/>
                <w:i w:val="0"/>
                <w:color w:val="212121"/>
                <w:sz w:val="16"/>
              </w:rPr>
              <w:t>Hypotonia/spasticity, microcephaly, sensory loss</w:t>
            </w:r>
          </w:p>
        </w:tc>
        <w:tc>
          <w:tcPr>
            <w:tcW w:type="dxa" w:w="1036"/>
            <w:vAlign w:val="top"/>
          </w:tcPr>
          <w:p>
            <w:pPr>
              <w:spacing w:after="40" w:before="0" w:line="259" w:lineRule="auto"/>
            </w:pPr>
            <w:r>
              <w:rPr>
                <w:rFonts w:ascii="Calibri" w:hAnsi="Calibri"/>
                <w:b w:val="0"/>
                <w:i w:val="0"/>
                <w:color w:val="212121"/>
                <w:sz w:val="16"/>
              </w:rPr>
              <w:t>Detects cerebral palsy overlap and correctable sensory deficits mimicking ID</w:t>
            </w:r>
          </w:p>
        </w:tc>
        <w:tc>
          <w:tcPr>
            <w:tcW w:type="dxa" w:w="1036"/>
            <w:vAlign w:val="top"/>
          </w:tcPr>
          <w:p>
            <w:pPr>
              <w:spacing w:after="40" w:before="0" w:line="259" w:lineRule="auto"/>
            </w:pPr>
            <w:r>
              <w:rPr>
                <w:rFonts w:ascii="Calibri" w:hAnsi="Calibri"/>
                <w:b w:val="0"/>
                <w:i w:val="0"/>
                <w:color w:val="212121"/>
                <w:sz w:val="16"/>
              </w:rPr>
              <w:t>Children with delay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Always exclude uncorrected hearing/vision loss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Delayed motor milestones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Late sitting, crawling, standing and walking relative to age norms.</w:t>
            </w:r>
          </w:p>
        </w:tc>
      </w:tr>
      <w:tr>
        <w:trPr>
          <w:cantSplit/>
        </w:trPr>
        <w:tc>
          <w:tcPr>
            <w:tcW w:type="dxa" w:w="2304"/>
            <w:vAlign w:val="top"/>
          </w:tcPr>
          <w:p>
            <w:pPr>
              <w:spacing w:after="40" w:before="0" w:line="259" w:lineRule="auto"/>
            </w:pPr>
            <w:r>
              <w:rPr>
                <w:rFonts w:ascii="Calibri" w:hAnsi="Calibri"/>
                <w:b/>
                <w:i w:val="0"/>
                <w:color w:val="212121"/>
                <w:sz w:val="19"/>
              </w:rPr>
              <w:t>Delayed speech &amp; language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Late first words and phrases; limited vocabulary and comprehension.</w:t>
            </w:r>
          </w:p>
        </w:tc>
      </w:tr>
      <w:tr>
        <w:trPr>
          <w:cantSplit/>
        </w:trPr>
        <w:tc>
          <w:tcPr>
            <w:tcW w:type="dxa" w:w="2304"/>
            <w:vAlign w:val="top"/>
          </w:tcPr>
          <w:p>
            <w:pPr>
              <w:spacing w:after="40" w:before="0" w:line="259" w:lineRule="auto"/>
            </w:pPr>
            <w:r>
              <w:rPr>
                <w:rFonts w:ascii="Calibri" w:hAnsi="Calibri"/>
                <w:b/>
                <w:i w:val="0"/>
                <w:color w:val="212121"/>
                <w:sz w:val="19"/>
              </w:rPr>
              <w:t>Learning difficulty / academic underachievement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Struggles with reading, writing and arithmetic; grade repetition or school dropout.</w:t>
            </w:r>
          </w:p>
        </w:tc>
      </w:tr>
      <w:tr>
        <w:trPr>
          <w:cantSplit/>
        </w:trPr>
        <w:tc>
          <w:tcPr>
            <w:tcW w:type="dxa" w:w="2304"/>
            <w:vAlign w:val="top"/>
          </w:tcPr>
          <w:p>
            <w:pPr>
              <w:spacing w:after="40" w:before="0" w:line="259" w:lineRule="auto"/>
            </w:pPr>
            <w:r>
              <w:rPr>
                <w:rFonts w:ascii="Calibri" w:hAnsi="Calibri"/>
                <w:b/>
                <w:i w:val="0"/>
                <w:color w:val="212121"/>
                <w:sz w:val="19"/>
              </w:rPr>
              <w:t>Poor adaptive &amp; self-care skills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Delayed dressing, feeding, toileting and independent living skills.</w:t>
            </w:r>
          </w:p>
        </w:tc>
      </w:tr>
      <w:tr>
        <w:trPr>
          <w:cantSplit/>
        </w:trPr>
        <w:tc>
          <w:tcPr>
            <w:tcW w:type="dxa" w:w="2304"/>
            <w:vAlign w:val="top"/>
          </w:tcPr>
          <w:p>
            <w:pPr>
              <w:spacing w:after="40" w:before="0" w:line="259" w:lineRule="auto"/>
            </w:pPr>
            <w:r>
              <w:rPr>
                <w:rFonts w:ascii="Calibri" w:hAnsi="Calibri"/>
                <w:b/>
                <w:i w:val="0"/>
                <w:color w:val="212121"/>
                <w:sz w:val="19"/>
              </w:rPr>
              <w:t>Difficulty with abstract thinking &amp; problem-solving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with reasoning, planning, generalising and handling money or time.</w:t>
            </w:r>
          </w:p>
        </w:tc>
      </w:tr>
      <w:tr>
        <w:trPr>
          <w:cantSplit/>
        </w:trPr>
        <w:tc>
          <w:tcPr>
            <w:tcW w:type="dxa" w:w="2304"/>
            <w:vAlign w:val="top"/>
          </w:tcPr>
          <w:p>
            <w:pPr>
              <w:spacing w:after="40" w:before="0" w:line="259" w:lineRule="auto"/>
            </w:pPr>
            <w:r>
              <w:rPr>
                <w:rFonts w:ascii="Calibri" w:hAnsi="Calibri"/>
                <w:b/>
                <w:i w:val="0"/>
                <w:color w:val="212121"/>
                <w:sz w:val="19"/>
              </w:rPr>
              <w:t>Immature social judgement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understanding social rules and consequences; over-trusting, easily led.</w:t>
            </w:r>
          </w:p>
        </w:tc>
      </w:tr>
      <w:tr>
        <w:trPr>
          <w:cantSplit/>
        </w:trPr>
        <w:tc>
          <w:tcPr>
            <w:tcW w:type="dxa" w:w="2304"/>
            <w:vAlign w:val="top"/>
          </w:tcPr>
          <w:p>
            <w:pPr>
              <w:spacing w:after="40" w:before="0" w:line="259" w:lineRule="auto"/>
            </w:pPr>
            <w:r>
              <w:rPr>
                <w:rFonts w:ascii="Calibri" w:hAnsi="Calibri"/>
                <w:b/>
                <w:i w:val="0"/>
                <w:color w:val="212121"/>
                <w:sz w:val="19"/>
              </w:rPr>
              <w:t>Delayed toilet training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Continence achieved later than peers, especially in moderate–severe ID.</w:t>
            </w:r>
          </w:p>
        </w:tc>
      </w:tr>
      <w:tr>
        <w:trPr>
          <w:cantSplit/>
        </w:trPr>
        <w:tc>
          <w:tcPr>
            <w:tcW w:type="dxa" w:w="2304"/>
            <w:vAlign w:val="top"/>
          </w:tcPr>
          <w:p>
            <w:pPr>
              <w:spacing w:after="40" w:before="0" w:line="259" w:lineRule="auto"/>
            </w:pPr>
            <w:r>
              <w:rPr>
                <w:rFonts w:ascii="Calibri" w:hAnsi="Calibri"/>
                <w:b/>
                <w:i w:val="0"/>
                <w:color w:val="212121"/>
                <w:sz w:val="19"/>
              </w:rPr>
              <w:t>Behavioural difficulties / irritability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Frustration, tantrums, hyperactivity or aggression, often communication-related.</w:t>
            </w:r>
          </w:p>
        </w:tc>
      </w:tr>
      <w:tr>
        <w:trPr>
          <w:cantSplit/>
        </w:trPr>
        <w:tc>
          <w:tcPr>
            <w:tcW w:type="dxa" w:w="2304"/>
            <w:vAlign w:val="top"/>
          </w:tcPr>
          <w:p>
            <w:pPr>
              <w:spacing w:after="40" w:before="0" w:line="259" w:lineRule="auto"/>
            </w:pPr>
            <w:r>
              <w:rPr>
                <w:rFonts w:ascii="Calibri" w:hAnsi="Calibri"/>
                <w:b/>
                <w:i w:val="0"/>
                <w:color w:val="212121"/>
                <w:sz w:val="19"/>
              </w:rPr>
              <w:t>Attention &amp; impulse-control problems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Short attention span and impulsivity; overlap with ADHD.</w:t>
            </w:r>
          </w:p>
        </w:tc>
      </w:tr>
      <w:tr>
        <w:trPr>
          <w:cantSplit/>
        </w:trPr>
        <w:tc>
          <w:tcPr>
            <w:tcW w:type="dxa" w:w="2304"/>
            <w:vAlign w:val="top"/>
          </w:tcPr>
          <w:p>
            <w:pPr>
              <w:spacing w:after="40" w:before="0" w:line="259" w:lineRule="auto"/>
            </w:pPr>
            <w:r>
              <w:rPr>
                <w:rFonts w:ascii="Calibri" w:hAnsi="Calibri"/>
                <w:b/>
                <w:i w:val="0"/>
                <w:color w:val="212121"/>
                <w:sz w:val="19"/>
              </w:rPr>
              <w:t>Feeding &amp; swallowing difficulties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Oromotor problems in moderate–severe ID affecting nutrition.</w:t>
            </w:r>
          </w:p>
        </w:tc>
      </w:tr>
      <w:tr>
        <w:trPr>
          <w:cantSplit/>
        </w:trPr>
        <w:tc>
          <w:tcPr>
            <w:tcW w:type="dxa" w:w="2304"/>
            <w:vAlign w:val="top"/>
          </w:tcPr>
          <w:p>
            <w:pPr>
              <w:spacing w:after="40" w:before="0" w:line="259" w:lineRule="auto"/>
            </w:pPr>
            <w:r>
              <w:rPr>
                <w:rFonts w:ascii="Calibri" w:hAnsi="Calibri"/>
                <w:b/>
                <w:i w:val="0"/>
                <w:color w:val="212121"/>
                <w:sz w:val="19"/>
              </w:rPr>
              <w:t>Self-injurious or stereotyped behaviour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Head-banging, biting or repetitive movements, mainly in severe/profound ID.</w:t>
            </w:r>
          </w:p>
        </w:tc>
      </w:tr>
      <w:tr>
        <w:trPr>
          <w:cantSplit/>
        </w:trPr>
        <w:tc>
          <w:tcPr>
            <w:tcW w:type="dxa" w:w="2304"/>
            <w:vAlign w:val="top"/>
          </w:tcPr>
          <w:p>
            <w:pPr>
              <w:spacing w:after="40" w:before="0" w:line="259" w:lineRule="auto"/>
            </w:pPr>
            <w:r>
              <w:rPr>
                <w:rFonts w:ascii="Calibri" w:hAnsi="Calibri"/>
                <w:b/>
                <w:i w:val="0"/>
                <w:color w:val="212121"/>
                <w:sz w:val="19"/>
              </w:rPr>
              <w:t>Loss (regression) of acquired skills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Developmental regression suggests an underlying metabolic or neurodegenerative disorder and warrants urgent work-up.</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IQ ≤ 70 on standardised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demonstration of significantly sub-average intellectual functioning.</w:t>
            </w:r>
          </w:p>
        </w:tc>
      </w:tr>
      <w:tr>
        <w:trPr>
          <w:cantSplit/>
        </w:trPr>
        <w:tc>
          <w:tcPr>
            <w:tcW w:type="dxa" w:w="3456"/>
            <w:vAlign w:val="top"/>
          </w:tcPr>
          <w:p>
            <w:pPr>
              <w:spacing w:after="40" w:before="0" w:line="259" w:lineRule="auto"/>
            </w:pPr>
            <w:r>
              <w:rPr>
                <w:rFonts w:ascii="Calibri" w:hAnsi="Calibri"/>
                <w:b/>
                <w:i w:val="0"/>
                <w:color w:val="212121"/>
                <w:sz w:val="19"/>
              </w:rPr>
              <w:t>Deficits on adaptive behaviour scales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shortfall in conceptual, social and practical skills (e.g. Vineland/VSMS).</w:t>
            </w:r>
          </w:p>
        </w:tc>
      </w:tr>
      <w:tr>
        <w:trPr>
          <w:cantSplit/>
        </w:trPr>
        <w:tc>
          <w:tcPr>
            <w:tcW w:type="dxa" w:w="3456"/>
            <w:vAlign w:val="top"/>
          </w:tcPr>
          <w:p>
            <w:pPr>
              <w:spacing w:after="40" w:before="0" w:line="259" w:lineRule="auto"/>
            </w:pPr>
            <w:r>
              <w:rPr>
                <w:rFonts w:ascii="Calibri" w:hAnsi="Calibri"/>
                <w:b/>
                <w:i w:val="0"/>
                <w:color w:val="212121"/>
                <w:sz w:val="19"/>
              </w:rPr>
              <w:t>Failure of developmental screening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Missed age-expected milestones on standardised tools (e.g. Denver, TDSC).</w:t>
            </w:r>
          </w:p>
        </w:tc>
      </w:tr>
      <w:tr>
        <w:trPr>
          <w:cantSplit/>
        </w:trPr>
        <w:tc>
          <w:tcPr>
            <w:tcW w:type="dxa" w:w="3456"/>
            <w:vAlign w:val="top"/>
          </w:tcPr>
          <w:p>
            <w:pPr>
              <w:spacing w:after="40" w:before="0" w:line="259" w:lineRule="auto"/>
            </w:pPr>
            <w:r>
              <w:rPr>
                <w:rFonts w:ascii="Calibri" w:hAnsi="Calibri"/>
                <w:b/>
                <w:i w:val="0"/>
                <w:color w:val="212121"/>
                <w:sz w:val="19"/>
              </w:rPr>
              <w:t>Dysmorphic / syndromic features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Down facies, Fragile-X phenotype and other recognisable patterns in syndromic ID.</w:t>
            </w:r>
          </w:p>
        </w:tc>
      </w:tr>
      <w:tr>
        <w:trPr>
          <w:cantSplit/>
        </w:trPr>
        <w:tc>
          <w:tcPr>
            <w:tcW w:type="dxa" w:w="3456"/>
            <w:vAlign w:val="top"/>
          </w:tcPr>
          <w:p>
            <w:pPr>
              <w:spacing w:after="40" w:before="0" w:line="259" w:lineRule="auto"/>
            </w:pPr>
            <w:r>
              <w:rPr>
                <w:rFonts w:ascii="Calibri" w:hAnsi="Calibri"/>
                <w:b/>
                <w:i w:val="0"/>
                <w:color w:val="212121"/>
                <w:sz w:val="19"/>
              </w:rPr>
              <w:t>Abnormal muscle tone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Hypotonia or spasticity, particularly where cerebral palsy coexists.</w:t>
            </w:r>
          </w:p>
        </w:tc>
      </w:tr>
      <w:tr>
        <w:trPr>
          <w:cantSplit/>
        </w:trPr>
        <w:tc>
          <w:tcPr>
            <w:tcW w:type="dxa" w:w="3456"/>
            <w:vAlign w:val="top"/>
          </w:tcPr>
          <w:p>
            <w:pPr>
              <w:spacing w:after="40" w:before="0" w:line="259" w:lineRule="auto"/>
            </w:pPr>
            <w:r>
              <w:rPr>
                <w:rFonts w:ascii="Calibri" w:hAnsi="Calibri"/>
                <w:b/>
                <w:i w:val="0"/>
                <w:color w:val="212121"/>
                <w:sz w:val="19"/>
              </w:rPr>
              <w:t>Microcephaly (or macrocephaly)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Head circumference below (or above) normal centiles suggests a structural/genetic cause.</w:t>
            </w:r>
          </w:p>
        </w:tc>
      </w:tr>
      <w:tr>
        <w:trPr>
          <w:cantSplit/>
        </w:trPr>
        <w:tc>
          <w:tcPr>
            <w:tcW w:type="dxa" w:w="3456"/>
            <w:vAlign w:val="top"/>
          </w:tcPr>
          <w:p>
            <w:pPr>
              <w:spacing w:after="40" w:before="0" w:line="259" w:lineRule="auto"/>
            </w:pPr>
            <w:r>
              <w:rPr>
                <w:rFonts w:ascii="Calibri" w:hAnsi="Calibri"/>
                <w:b/>
                <w:i w:val="0"/>
                <w:color w:val="212121"/>
                <w:sz w:val="19"/>
              </w:rPr>
              <w:t>Uncorrected hearing or vision impairment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Sensory deficits both cause and mimic ID and must be identified.</w:t>
            </w:r>
          </w:p>
        </w:tc>
      </w:tr>
      <w:tr>
        <w:trPr>
          <w:cantSplit/>
        </w:trPr>
        <w:tc>
          <w:tcPr>
            <w:tcW w:type="dxa" w:w="3456"/>
            <w:vAlign w:val="top"/>
          </w:tcPr>
          <w:p>
            <w:pPr>
              <w:spacing w:after="40" w:before="0" w:line="259" w:lineRule="auto"/>
            </w:pPr>
            <w:r>
              <w:rPr>
                <w:rFonts w:ascii="Calibri" w:hAnsi="Calibri"/>
                <w:b/>
                <w:i w:val="0"/>
                <w:color w:val="212121"/>
                <w:sz w:val="19"/>
              </w:rPr>
              <w:t>Macro-orchidism &amp; long face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Post-pubertal signs characteristic of Fragile-X syndrome in males.</w:t>
            </w:r>
          </w:p>
        </w:tc>
      </w:tr>
      <w:tr>
        <w:trPr>
          <w:cantSplit/>
        </w:trPr>
        <w:tc>
          <w:tcPr>
            <w:tcW w:type="dxa" w:w="3456"/>
            <w:vAlign w:val="top"/>
          </w:tcPr>
          <w:p>
            <w:pPr>
              <w:spacing w:after="40" w:before="0" w:line="259" w:lineRule="auto"/>
            </w:pPr>
            <w:r>
              <w:rPr>
                <w:rFonts w:ascii="Calibri" w:hAnsi="Calibri"/>
                <w:b/>
                <w:i w:val="0"/>
                <w:color w:val="212121"/>
                <w:sz w:val="19"/>
              </w:rPr>
              <w:t>Neurocutaneous stigmata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Café-au-lait or hypopigmented (ash-leaf) macules point to neurofibromatosis or tuberous sclerosis.</w:t>
            </w:r>
          </w:p>
        </w:tc>
      </w:tr>
      <w:tr>
        <w:trPr>
          <w:cantSplit/>
        </w:trPr>
        <w:tc>
          <w:tcPr>
            <w:tcW w:type="dxa" w:w="3456"/>
            <w:vAlign w:val="top"/>
          </w:tcPr>
          <w:p>
            <w:pPr>
              <w:spacing w:after="40" w:before="0" w:line="259" w:lineRule="auto"/>
            </w:pPr>
            <w:r>
              <w:rPr>
                <w:rFonts w:ascii="Calibri" w:hAnsi="Calibri"/>
                <w:b/>
                <w:i w:val="0"/>
                <w:color w:val="212121"/>
                <w:sz w:val="19"/>
              </w:rPr>
              <w:t>Clinical seizures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Observed seizures indicate co-occurring epilepsy, common in moderate–profound ID.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deficits in intellectual and adaptive functioning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Communication and language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Educational underachievement and functional illiteracy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in activities of daily living</w:t>
            </w:r>
          </w:p>
        </w:tc>
        <w:tc>
          <w:tcPr>
            <w:tcW w:type="dxa" w:w="2980"/>
            <w:vAlign w:val="top"/>
          </w:tcPr>
          <w:p>
            <w:pPr>
              <w:spacing w:after="40" w:before="0" w:line="259" w:lineRule="auto"/>
            </w:pPr>
            <w:r>
              <w:rPr>
                <w:rFonts w:ascii="Calibri" w:hAnsi="Calibri"/>
                <w:b w:val="0"/>
                <w:i w:val="0"/>
                <w:color w:val="212121"/>
                <w:sz w:val="19"/>
              </w:rPr>
              <w:t>Direct consequences of the core intellectual and adaptive impairment.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Co-occurring epilepsy (up to ~50% in profound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Psychiatric &amp; behavioural disorders (dual diagnosis) — anxiety, depression, psychosis, aggression, self-injury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Motor and sensory impairments (cerebral palsy, hearing/vision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Feeding, nutrition, obesity and dental/oral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Injuries, accidents and heightened vulnerability to neglect and abuse</w:t>
            </w:r>
          </w:p>
        </w:tc>
        <w:tc>
          <w:tcPr>
            <w:tcW w:type="dxa" w:w="2980"/>
            <w:vAlign w:val="top"/>
          </w:tcPr>
          <w:p>
            <w:pPr>
              <w:spacing w:after="40" w:before="0" w:line="259" w:lineRule="auto"/>
            </w:pPr>
            <w:r>
              <w:rPr>
                <w:rFonts w:ascii="Calibri" w:hAnsi="Calibri"/>
                <w:b w:val="0"/>
                <w:i w:val="0"/>
                <w:color w:val="212121"/>
                <w:sz w:val="19"/>
              </w:rPr>
              <w:t>Arise from the underlying brain pathology, comorbidities and environmental/social risk.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dependency and loss of independent living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Unemployment and economic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caregiver burden and family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life expectancy and excess avoidable mortality</w:t>
            </w:r>
          </w:p>
        </w:tc>
        <w:tc>
          <w:tcPr>
            <w:tcW w:type="dxa" w:w="2980"/>
            <w:vAlign w:val="top"/>
          </w:tcPr>
          <w:p>
            <w:pPr>
              <w:spacing w:after="40" w:before="0" w:line="259" w:lineRule="auto"/>
            </w:pPr>
            <w:r>
              <w:rPr>
                <w:rFonts w:ascii="Calibri" w:hAnsi="Calibri"/>
                <w:b w:val="0"/>
                <w:i w:val="0"/>
                <w:color w:val="212121"/>
                <w:sz w:val="19"/>
              </w:rPr>
              <w:t>Long-term disabling and social outcomes of unsupported intellectual disability.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Epilepsy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underlying brain pathology and interacts bidirectionally; frequent seizures further impair cognition and complicate drug choice.</w:t>
            </w:r>
          </w:p>
          <w:p>
            <w:pPr>
              <w:spacing w:after="40" w:before="0" w:line="259" w:lineRule="auto"/>
            </w:pPr>
            <w:r>
              <w:rPr>
                <w:rFonts w:ascii="Calibri" w:hAnsi="Calibri"/>
                <w:b/>
                <w:i w:val="0"/>
                <w:color w:val="212121"/>
                <w:sz w:val="19"/>
              </w:rPr>
              <w:t>~22% overall; ~50% in profound ID</w:t>
            </w:r>
          </w:p>
        </w:tc>
      </w:tr>
      <w:tr>
        <w:trPr>
          <w:cantSplit/>
        </w:trPr>
        <w:tc>
          <w:tcPr>
            <w:tcW w:type="dxa" w:w="2232"/>
            <w:vAlign w:val="top"/>
          </w:tcPr>
          <w:p>
            <w:pPr>
              <w:spacing w:after="40" w:before="0" w:line="259" w:lineRule="auto"/>
            </w:pPr>
            <w:r>
              <w:rPr>
                <w:rFonts w:ascii="Calibri" w:hAnsi="Calibri"/>
                <w:b/>
                <w:i w:val="0"/>
                <w:color w:val="212121"/>
                <w:sz w:val="19"/>
              </w:rPr>
              <w:t>Autism spectrum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Coexists through shared neurodevelopmental mechanisms; increases adaptive impairment and complexity of assessment and support.</w:t>
            </w:r>
          </w:p>
          <w:p>
            <w:pPr>
              <w:spacing w:after="40" w:before="0" w:line="259" w:lineRule="auto"/>
            </w:pPr>
            <w:r>
              <w:rPr>
                <w:rFonts w:ascii="Calibri" w:hAnsi="Calibri"/>
                <w:b/>
                <w:i w:val="0"/>
                <w:color w:val="212121"/>
                <w:sz w:val="19"/>
              </w:rPr>
              <w:t>~30% (of ASD cases)</w:t>
            </w:r>
          </w:p>
        </w:tc>
      </w:tr>
      <w:tr>
        <w:trPr>
          <w:cantSplit/>
        </w:trPr>
        <w:tc>
          <w:tcPr>
            <w:tcW w:type="dxa" w:w="2232"/>
            <w:vAlign w:val="top"/>
          </w:tcPr>
          <w:p>
            <w:pPr>
              <w:spacing w:after="40" w:before="0" w:line="259" w:lineRule="auto"/>
            </w:pPr>
            <w:r>
              <w:rPr>
                <w:rFonts w:ascii="Calibri" w:hAnsi="Calibri"/>
                <w:b/>
                <w:i w:val="0"/>
                <w:color w:val="212121"/>
                <w:sz w:val="19"/>
              </w:rPr>
              <w:t>Cerebral palsy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perinatal brain injury (asphyxia, prematurity) produces both motor disability and ID, requiring combined rehabilitation.</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Attention and impulse-control problems frequently coexist and respond to behavioural and pharmacological management.</w:t>
            </w:r>
          </w:p>
        </w:tc>
      </w:tr>
      <w:tr>
        <w:trPr>
          <w:cantSplit/>
        </w:trPr>
        <w:tc>
          <w:tcPr>
            <w:tcW w:type="dxa" w:w="2232"/>
            <w:vAlign w:val="top"/>
          </w:tcPr>
          <w:p>
            <w:pPr>
              <w:spacing w:after="40" w:before="0" w:line="259" w:lineRule="auto"/>
            </w:pPr>
            <w:r>
              <w:rPr>
                <w:rFonts w:ascii="Calibri" w:hAnsi="Calibri"/>
                <w:b/>
                <w:i w:val="0"/>
                <w:color w:val="212121"/>
                <w:sz w:val="19"/>
              </w:rPr>
              <w:t>Congenital 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Untreated thyroid deficiency causes preventable ID; newborn screening and early thyroxine avert it, a clear treatment interaction.</w:t>
            </w:r>
          </w:p>
        </w:tc>
      </w:tr>
      <w:tr>
        <w:trPr>
          <w:cantSplit/>
        </w:trPr>
        <w:tc>
          <w:tcPr>
            <w:tcW w:type="dxa" w:w="2232"/>
            <w:vAlign w:val="top"/>
          </w:tcPr>
          <w:p>
            <w:pPr>
              <w:spacing w:after="40" w:before="0" w:line="259" w:lineRule="auto"/>
            </w:pPr>
            <w:r>
              <w:rPr>
                <w:rFonts w:ascii="Calibri" w:hAnsi="Calibri"/>
                <w:b/>
                <w:i w:val="0"/>
                <w:color w:val="212121"/>
                <w:sz w:val="19"/>
              </w:rPr>
              <w:t>Down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Commonest chromosomal cause of ID; also predisposes to early-onset Alzheimer-type dementia, congenital heart disease and hypothyroidism.</w:t>
            </w:r>
          </w:p>
        </w:tc>
      </w:tr>
      <w:tr>
        <w:trPr>
          <w:cantSplit/>
        </w:trPr>
        <w:tc>
          <w:tcPr>
            <w:tcW w:type="dxa" w:w="2232"/>
            <w:vAlign w:val="top"/>
          </w:tcPr>
          <w:p>
            <w:pPr>
              <w:spacing w:after="40" w:before="0" w:line="259" w:lineRule="auto"/>
            </w:pPr>
            <w:r>
              <w:rPr>
                <w:rFonts w:ascii="Calibri" w:hAnsi="Calibri"/>
                <w:b/>
                <w:i w:val="0"/>
                <w:color w:val="212121"/>
                <w:sz w:val="19"/>
              </w:rPr>
              <w:t>Psychiatric disorders (anxiety, depression, psychosis)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‘Dual diagnosis’ is common and under-recognised; presentation is atypical, altering monitoring and treatment.</w:t>
            </w:r>
          </w:p>
          <w:p>
            <w:pPr>
              <w:spacing w:after="40" w:before="0" w:line="259" w:lineRule="auto"/>
            </w:pPr>
            <w:r>
              <w:rPr>
                <w:rFonts w:ascii="Calibri" w:hAnsi="Calibri"/>
                <w:b/>
                <w:i w:val="0"/>
                <w:color w:val="212121"/>
                <w:sz w:val="19"/>
              </w:rPr>
              <w:t>2–3× general-population rates</w:t>
            </w:r>
          </w:p>
        </w:tc>
      </w:tr>
      <w:tr>
        <w:trPr>
          <w:cantSplit/>
        </w:trPr>
        <w:tc>
          <w:tcPr>
            <w:tcW w:type="dxa" w:w="2232"/>
            <w:vAlign w:val="top"/>
          </w:tcPr>
          <w:p>
            <w:pPr>
              <w:spacing w:after="40" w:before="0" w:line="259" w:lineRule="auto"/>
            </w:pPr>
            <w:r>
              <w:rPr>
                <w:rFonts w:ascii="Calibri" w:hAnsi="Calibri"/>
                <w:b/>
                <w:i w:val="0"/>
                <w:color w:val="212121"/>
                <w:sz w:val="19"/>
              </w:rPr>
              <w:t>Sensory impairment (hearing &amp; vision)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can both cause and mimic ID, and worsens functioning if uncorrected.</w:t>
            </w:r>
          </w:p>
        </w:tc>
      </w:tr>
      <w:tr>
        <w:trPr>
          <w:cantSplit/>
        </w:trPr>
        <w:tc>
          <w:tcPr>
            <w:tcW w:type="dxa" w:w="2232"/>
            <w:vAlign w:val="top"/>
          </w:tcPr>
          <w:p>
            <w:pPr>
              <w:spacing w:after="40" w:before="0" w:line="259" w:lineRule="auto"/>
            </w:pPr>
            <w:r>
              <w:rPr>
                <w:rFonts w:ascii="Calibri" w:hAnsi="Calibri"/>
                <w:b/>
                <w:i w:val="0"/>
                <w:color w:val="212121"/>
                <w:sz w:val="19"/>
              </w:rPr>
              <w:t>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ID; disturb behaviour, seizures and cognition and add to caregiver strain.</w:t>
            </w:r>
          </w:p>
        </w:tc>
      </w:tr>
      <w:tr>
        <w:trPr>
          <w:cantSplit/>
        </w:trPr>
        <w:tc>
          <w:tcPr>
            <w:tcW w:type="dxa" w:w="2232"/>
            <w:vAlign w:val="top"/>
          </w:tcPr>
          <w:p>
            <w:pPr>
              <w:spacing w:after="40" w:before="0" w:line="259" w:lineRule="auto"/>
            </w:pPr>
            <w:r>
              <w:rPr>
                <w:rFonts w:ascii="Calibri" w:hAnsi="Calibri"/>
                <w:b/>
                <w:i w:val="0"/>
                <w:color w:val="212121"/>
                <w:sz w:val="19"/>
              </w:rPr>
              <w:t>Obesity &amp; cardiometabolic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activity, medication effects and diet drive obesity and its metabolic consequences in adults with ID.</w:t>
            </w:r>
          </w:p>
        </w:tc>
      </w:tr>
      <w:tr>
        <w:trPr>
          <w:cantSplit/>
        </w:trPr>
        <w:tc>
          <w:tcPr>
            <w:tcW w:type="dxa" w:w="2232"/>
            <w:vAlign w:val="top"/>
          </w:tcPr>
          <w:p>
            <w:pPr>
              <w:spacing w:after="40" w:before="0" w:line="259" w:lineRule="auto"/>
            </w:pPr>
            <w:r>
              <w:rPr>
                <w:rFonts w:ascii="Calibri" w:hAnsi="Calibri"/>
                <w:b/>
                <w:i w:val="0"/>
                <w:color w:val="212121"/>
                <w:sz w:val="19"/>
              </w:rPr>
              <w:t>Dental caries &amp; periodontal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oral self-care and limited dental access make caries markedly more common in Indian children with ID.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universal iodised salt and correct maternal iodine/folate/iron deficiency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quality antenatal care, skilled institutional delivery and neonatal resuscitation to prevent birth asphyxia and its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abstinence from alcohol, tobacco and unprescribed drugs in pregnancy to prevent fetal alcohol spectrum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Implement newborn screening for congenital hypothyroidism and treatable inborn errors of metabolism, with prompt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childhood immunisation and ensure clean water and sanitation to prevent CNS infections (meningitis, encephalitis, neurocysticercosis).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 routine developmental surveillance at every well-child contact and refer early — do not ‘wait and watch’ — on any delay or parental concern.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genetic counselling to consanguineous couples and families with a previously affected child.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 &amp;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Consanguineous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&amp;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&amp; paediatric teams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early-intervention and stimulation programmes as soon as delay is identified to maximise developmental gains.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individualised special education, inclusive schooling and an Individualised Education Plan tailored to 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Train caregivers in adaptive-skill teaching, behaviour support and communication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Facilitate disability certification and entitlements under the Rights of Persons with Disabilities (RPWD) Act, 2016 and link to vocational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structured transition to supported employment and independent-living skills for adolescents and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Special educators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daily age-appropriate motor stimulation and play to support gross- and fine-motor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adapted, supervised physical activity and sport (e.g. Special Olympics-style programmes) to build fitness and social skills.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and manage obesity with regular activity and weight monitoring, especially in adults on psychotropic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physiotherapy and occupational therapy where motor impairment or cerebral palsy coexists.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coexisting cerebral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 with ID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iodine (iodised salt) and periconceptional folic acid to prevent iodine-deficiency and neural-tube-related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and treat childhood undernutrition and stunting through the first 1,000 days with adequate protein, energy and micronutrients.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maternal anaemia and iron deficiency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dietary-manage inborn errors of metabolism (e.g. phenylalanine-restricted diet in PKU) identified on newborn screening.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metabolic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consistent sleep routines and good sleep hygiene, which are frequently disrupted in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sleep-disordered breathing (common in Down syndrome) and behavioural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medications and pain/reflux as reversible contributors to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improving sleep reduces daytime behavioural problems, seizure frequency and caregiver strain.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Down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expectant mothers to avoid active smoking and second-hand smoke, which raise the risk of low birth weight and prematurity.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tobacco cessation in households with pregnant women and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children with ID from passive smoke exposure to reduce respiratory and developmental harm.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children with ID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zero alcohol before conception and throughout pregnancy — there is no known safe amount — to prevent fetal alcohol spectrum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treatment of alcohol-use disorder in 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contraception and preconception counselling to women with alcohol 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alcohol-use disorder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screen for co-occurring psychiatric and behavioural disorders (‘dual diagnosis’), which are common and easily missed.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positive behaviour support and adapted psychological therapies as first-line for challenging behaviour before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psychotropics cautiously, at low doses with clear targets and regular review, monitoring for metabolic and extrapyramidal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families and caregivers with counselling, respite care and peer support to reduce burden and burnout.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Safeguard against neglect, exploitation and abuse, to which people with ID are especially vulnerable.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adults with 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challenging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Mental-health &amp; disability services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medicine/article?id=10.1371/journal.pmed.1002615" TargetMode="External"/><Relationship Id="rId10" Type="http://schemas.openxmlformats.org/officeDocument/2006/relationships/hyperlink" Target="https://www.ncbi.nlm.nih.gov/books/NBK547654/" TargetMode="External"/><Relationship Id="rId11" Type="http://schemas.openxmlformats.org/officeDocument/2006/relationships/hyperlink" Target="https://en.wikipedia.org/wiki/Iodine_deficiency" TargetMode="External"/><Relationship Id="rId12" Type="http://schemas.openxmlformats.org/officeDocument/2006/relationships/hyperlink" Target="https://pubmed.ncbi.nlm.nih.gov/38114583/" TargetMode="External"/><Relationship Id="rId13" Type="http://schemas.openxmlformats.org/officeDocument/2006/relationships/hyperlink" Target="https://en.wikipedia.org/wiki/Disability_in_India" TargetMode="External"/><Relationship Id="rId14" Type="http://schemas.openxmlformats.org/officeDocument/2006/relationships/hyperlink" Target="https://pubmed.ncbi.nlm.nih.gov/24127006/" TargetMode="External"/><Relationship Id="rId15" Type="http://schemas.openxmlformats.org/officeDocument/2006/relationships/hyperlink" Target="https://en.wikipedia.org/wiki/Intellectual_dis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