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Specific Learning Disorders (dyslexia, dyscalculia, dysgraphia)</w:t>
      </w:r>
    </w:p>
    <w:p>
      <w:pPr>
        <w:spacing w:before="0" w:after="160"/>
      </w:pPr>
      <w:r>
        <w:rPr>
          <w:rFonts w:ascii="Calibri" w:hAnsi="Calibri"/>
          <w:b/>
          <w:i w:val="0"/>
          <w:color w:val="212121"/>
          <w:sz w:val="22"/>
        </w:rPr>
        <w:t xml:space="preserve">AKA </w:t>
      </w:r>
      <w:r>
        <w:rPr>
          <w:rFonts w:ascii="Calibri" w:hAnsi="Calibri"/>
          <w:b w:val="0"/>
          <w:i w:val="0"/>
          <w:color w:val="212121"/>
          <w:sz w:val="22"/>
        </w:rPr>
        <w:t>i.e., Specific Learning Disability (SLD / SpLD), Learning disability, Dyslexia (reading disability), Dysgraphia (writing disability), Dyscalculia (mathematics disability)</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Specific Learning Disorder (SLD) is a neurodevelopmental disorder of biological origin characterised by persistent difficulties in learning and using academic skills — reading, written expression or mathematics — that are substantially below age expectations and significantly interfere with academic, occupational or day-to-day functioning. The difficulties persist for at least six months despite targeted help and are not better explained by intellectual disability, uncorrected vision or hearing deficits, lack of schooling or psychosocial adversity. It presents most often as dyslexia (reading), dysgraphia (writing) and dyscalculia (mathematics), usually emerging in the early school years and, importantly, not a reflection of low intelligence or effort.</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Specific learning disorders are among the most common neurodevelopmental conditions of childhood. In an Indian community study of primary-school children in a South Indian city, about 15 out of every 100 children (15.17%) screened positive for a specific learning disability — with dysgraphia (12.5%) the most common, followed by dyslexia (11.2%) and dyscalculia (10.5%). International estimates converge on 5–15% of school-age children being affected across languages and cultures, meaning a typical Indian classroom of 40 pupils may contain 2–6 children with an unrecognised learning disability.</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SLD is a clinical diagnosis (DSM-5 / ICD-11) established through structured psychoeducational assessment after other causes are excluded. All of the following criteria (A–D) must be met, supported by standardized testing: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Criterion A — at least one of six academic-skill difficulties persisting ≥ 6 months despite targeted intervention: inaccurate or slow, effortful word reading; difficulty understanding the meaning of what is read; poor spelling; poor written expression; difficulty mastering number sense, number facts or calculation; or difficulty with mathematical reasoning;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Criterion B — the affected academic skills are substantially and quantifiably below those expected for chronological age (typically ≥ 1.5 SD below the population mean on standardized achievement testing), causing significant interference with academic or daily functioning;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Criterion C — difficulties begin during the school-age years, though they may not fully manifest until academic demands exceed the individual's limited capacities;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Criterion D — the difficulties are not better explained by intellectual disability, uncorrected visual or auditory acuity, other mental or neurological disorders, psychosocial adversity, lack of proficiency in the language of instruction, or inadequate educational instruction;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Specify subtype(s): with impairment in reading (dyslexia), in written expression (dysgraphia) and/or in mathematics (dyscalculia); and severity: mild, moderate or severe;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Assessment integrates developmental / academic / family history, a standardized IQ measure (to exclude intellectual disability) with achievement testing, and rule-out of vision, hearing, thyroid and anaemia causes; Indian tools include the NIMHANS Index of Specific Learning Disabilities, the DALI (Dyslexia Assessment for the Languages of India) and grade-level ability tests.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DSM-5 groups all subtypes under a single 'Specific Learning Disorder' diagnosis with academic-domain specifiers, replacing the older separate labels; the difficulties commonly co-occur:</w:t>
      </w:r>
    </w:p>
    <w:p>
      <w:pPr>
        <w:spacing w:before="0" w:after="80"/>
      </w:pPr>
      <w:r>
        <w:rPr>
          <w:rFonts w:ascii="Calibri" w:hAnsi="Calibri"/>
          <w:b w:val="0"/>
          <w:i w:val="0"/>
          <w:color w:val="212121"/>
          <w:sz w:val="21"/>
        </w:rPr>
        <w:t>(1) SLD with impairment in reading (dyslexia) — the most widely recognised subtype, involving difficulties with word-reading accuracy, reading rate/fluency and reading comprehension, underpinned by deficits in phonological processing (linking speech sounds to letters);</w:t>
      </w:r>
    </w:p>
    <w:p>
      <w:pPr>
        <w:spacing w:before="0" w:after="80"/>
      </w:pPr>
      <w:r>
        <w:rPr>
          <w:rFonts w:ascii="Calibri" w:hAnsi="Calibri"/>
          <w:b w:val="0"/>
          <w:i w:val="0"/>
          <w:color w:val="212121"/>
          <w:sz w:val="21"/>
        </w:rPr>
        <w:t>(2) SLD with impairment in written expression (dysgraphia) — difficulties with spelling accuracy, grammar and punctuation, and the clarity or organisation of written output; it often includes graphomotor difficulty producing legible, appropriately spaced handwriting;</w:t>
      </w:r>
    </w:p>
    <w:p>
      <w:pPr>
        <w:spacing w:before="0" w:after="80"/>
      </w:pPr>
      <w:r>
        <w:rPr>
          <w:rFonts w:ascii="Calibri" w:hAnsi="Calibri"/>
          <w:b w:val="0"/>
          <w:i w:val="0"/>
          <w:color w:val="212121"/>
          <w:sz w:val="21"/>
        </w:rPr>
        <w:t>(3) SLD with impairment in mathematics (dyscalculia) — difficulties with number sense, memorisation of arithmetic facts, accurate/fluent calculation and mathematical reasoning;</w:t>
      </w:r>
    </w:p>
    <w:p>
      <w:pPr>
        <w:spacing w:before="0" w:after="80"/>
      </w:pPr>
      <w:r>
        <w:rPr>
          <w:rFonts w:ascii="Calibri" w:hAnsi="Calibri"/>
          <w:b w:val="0"/>
          <w:i w:val="0"/>
          <w:color w:val="212121"/>
          <w:sz w:val="21"/>
        </w:rPr>
        <w:t>(4) Severity is specified as mild, moderate or severe based on the degree of support required. ICD-11 uses the parallel term 'developmental learning disorder'. Diagnostic practice has moved from the older IQ–achievement discrepancy model toward a Response-to-Intervention (RTI) framework that documents inadequate progress despite evidence-based teaching.</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Genetic predisposition: SLD is highly heritable and aggregates strongly in families; twin and family studies estimate heritability around 40–60%, with susceptibility genes such as DCDC2, KIAA0319 and ROBO1 implicated in reading disability.</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Neurobiological differences: Atypical development and functioning of left-hemisphere temporo-parietal and occipito-temporal reading networks (and parietal number-processing regions) alter phonological, orthographic and numerical processing.</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Prenatal and perinatal factors: Prematurity, low birth weight and prenatal exposure to alcohol, nicotine or other toxins increase the risk of later learning disabilities.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Early nutritional and health factors: Early-childhood iron-deficiency anaemia, iodine deficiency and chronic undernutrition impair neurodevelopment, attention and school readiness, compounding learning difficulty — a major issue in the Indian context.</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Language, orthography and instructional context: Multilingual schooling and the opaque orthography of English (versus more transparent Indian scripts), together with inadequate early literacy instruction, shape how and when difficulties manifest and are identified (modifiers, not primary causes).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School-age children (Grades 1–4)</w:t>
            </w:r>
          </w:p>
        </w:tc>
        <w:tc>
          <w:tcPr>
            <w:tcW w:type="dxa" w:w="4276"/>
            <w:vAlign w:val="top"/>
          </w:tcPr>
          <w:p>
            <w:pPr>
              <w:spacing w:after="60" w:line="259" w:lineRule="auto"/>
            </w:pPr>
            <w:r>
              <w:rPr>
                <w:rFonts w:ascii="Calibri" w:hAnsi="Calibri"/>
                <w:b w:val="0"/>
                <w:i w:val="0"/>
                <w:color w:val="212121"/>
                <w:sz w:val="19"/>
              </w:rPr>
              <w:t>Difficulties typically surface in early primary school as formal reading, writing and arithmetic demands rise and outstrip the child's capacity; this is the peak window for identification and early intervention.</w:t>
            </w:r>
          </w:p>
          <w:p>
            <w:pPr>
              <w:spacing w:after="40" w:before="60" w:line="259" w:lineRule="auto"/>
            </w:pPr>
            <w:r>
              <w:rPr>
                <w:rFonts w:ascii="Calibri" w:hAnsi="Calibri"/>
                <w:b w:val="0"/>
                <w:i w:val="0"/>
                <w:color w:val="212121"/>
                <w:sz w:val="19"/>
              </w:rPr>
              <w:t>In a South Indian city, 15.17% of primary-school children screened positive for a specific learning disability (dysgraphia 12.5%, dyslexia 11.2%, dyscalculia 10.5%).</w:t>
            </w:r>
          </w:p>
          <w:p>
            <w:pPr>
              <w:spacing w:after="40" w:line="252" w:lineRule="auto"/>
            </w:pPr>
            <w:hyperlink r:id="rId9">
              <w:r>
                <w:rPr>
                  <w:rFonts w:ascii="Calibri" w:hAnsi="Calibri" w:cs="Calibri"/>
                  <w:sz w:val="18"/>
                  <w:color w:val="1155CC"/>
                  <w:u w:val="single"/>
                </w:rPr>
                <w:t xml:space="preserve">link.springer.com — Mogasale et al., Indian J Pediatr 2012</w:t>
              </w:r>
            </w:hyperlink>
          </w:p>
          <w:p>
            <w:pPr>
              <w:spacing w:before="60" w:after="40"/>
            </w:pPr>
            <w:r>
              <w:rPr>
                <w:rFonts w:ascii="Calibri" w:hAnsi="Calibri"/>
                <w:b w:val="0"/>
                <w:i w:val="0"/>
                <w:color w:val="5A5A5A"/>
                <w:sz w:val="18"/>
              </w:rPr>
              <w:t>#SLD  #dyslexia  #primaryschool  #earlyidentification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Adolescents and adults</w:t>
            </w:r>
          </w:p>
        </w:tc>
        <w:tc>
          <w:tcPr>
            <w:tcW w:type="dxa" w:w="4276"/>
            <w:vAlign w:val="top"/>
          </w:tcPr>
          <w:p>
            <w:pPr>
              <w:spacing w:after="60" w:line="259" w:lineRule="auto"/>
            </w:pPr>
            <w:r>
              <w:rPr>
                <w:rFonts w:ascii="Calibri" w:hAnsi="Calibri"/>
                <w:b w:val="0"/>
                <w:i w:val="0"/>
                <w:color w:val="212121"/>
                <w:sz w:val="19"/>
              </w:rPr>
              <w:t>SLD is lifelong; without support, reading, spelling and math difficulties persist into secondary school, higher education and the workplace, where slow reading and word retrieval remain evident.</w:t>
            </w:r>
          </w:p>
          <w:p>
            <w:pPr>
              <w:spacing w:after="40" w:before="60" w:line="259" w:lineRule="auto"/>
            </w:pPr>
            <w:r>
              <w:rPr>
                <w:rFonts w:ascii="Calibri" w:hAnsi="Calibri"/>
                <w:b w:val="0"/>
                <w:i w:val="0"/>
                <w:color w:val="212121"/>
                <w:sz w:val="19"/>
              </w:rPr>
              <w:t>Mayo Clinic notes dyslexia symptoms persist into the teenage years and adulthood, including slow reading, spelling difficulty and trouble with math word problems.</w:t>
            </w:r>
          </w:p>
          <w:p>
            <w:pPr>
              <w:spacing w:after="40" w:line="252" w:lineRule="auto"/>
            </w:pPr>
            <w:hyperlink r:id="rId10">
              <w:r>
                <w:rPr>
                  <w:rFonts w:ascii="Calibri" w:hAnsi="Calibri" w:cs="Calibri"/>
                  <w:sz w:val="18"/>
                  <w:color w:val="1155CC"/>
                  <w:u w:val="single"/>
                </w:rPr>
                <w:t xml:space="preserve">mayoclinic.org — dyslexia symptoms &amp; causes</w:t>
              </w:r>
            </w:hyperlink>
          </w:p>
          <w:p>
            <w:pPr>
              <w:spacing w:before="60" w:after="40"/>
            </w:pPr>
            <w:r>
              <w:rPr>
                <w:rFonts w:ascii="Calibri" w:hAnsi="Calibri"/>
                <w:b w:val="0"/>
                <w:i w:val="0"/>
                <w:color w:val="5A5A5A"/>
                <w:sz w:val="18"/>
              </w:rPr>
              <w:t>#lifelong  #adults  #persistent  #workplace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Boys / male students</w:t>
            </w:r>
          </w:p>
        </w:tc>
        <w:tc>
          <w:tcPr>
            <w:tcW w:type="dxa" w:w="4276"/>
            <w:vAlign w:val="top"/>
          </w:tcPr>
          <w:p>
            <w:pPr>
              <w:spacing w:after="60" w:line="259" w:lineRule="auto"/>
            </w:pPr>
            <w:r>
              <w:rPr>
                <w:rFonts w:ascii="Calibri" w:hAnsi="Calibri"/>
                <w:b w:val="0"/>
                <w:i w:val="0"/>
                <w:color w:val="212121"/>
                <w:sz w:val="19"/>
              </w:rPr>
              <w:t>Boys are identified and referred more often than girls, with commonly cited male-to-female ratios of about 2:1 to 3:1; part of this reflects referral bias, as affected girls (often with fewer disruptive behaviours) are under-recognised.</w:t>
            </w:r>
          </w:p>
          <w:p>
            <w:pPr>
              <w:spacing w:after="40" w:before="60" w:line="259" w:lineRule="auto"/>
            </w:pPr>
            <w:r>
              <w:rPr>
                <w:rFonts w:ascii="Calibri" w:hAnsi="Calibri"/>
                <w:b w:val="0"/>
                <w:i w:val="0"/>
                <w:color w:val="212121"/>
                <w:sz w:val="19"/>
              </w:rPr>
              <w:t>DSM-5 records that specific learning disorder is more common in males than females; girls are frequently under-identified in classroom settings.</w:t>
            </w:r>
          </w:p>
          <w:p>
            <w:pPr>
              <w:spacing w:before="60" w:after="40"/>
            </w:pPr>
            <w:r>
              <w:rPr>
                <w:rFonts w:ascii="Calibri" w:hAnsi="Calibri"/>
                <w:b w:val="0"/>
                <w:i w:val="0"/>
                <w:color w:val="5A5A5A"/>
                <w:sz w:val="18"/>
              </w:rPr>
              <w:t>#boys  #referralbias  #underdiagnosis  #gender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&amp; first-generation learners</w:t>
            </w:r>
          </w:p>
        </w:tc>
        <w:tc>
          <w:tcPr>
            <w:tcW w:type="dxa" w:w="4276"/>
            <w:vAlign w:val="top"/>
          </w:tcPr>
          <w:p>
            <w:pPr>
              <w:spacing w:after="60" w:line="259" w:lineRule="auto"/>
            </w:pPr>
            <w:r>
              <w:rPr>
                <w:rFonts w:ascii="Calibri" w:hAnsi="Calibri"/>
                <w:b w:val="0"/>
                <w:i w:val="0"/>
                <w:color w:val="212121"/>
                <w:sz w:val="19"/>
              </w:rPr>
              <w:t>Children from low-income or first-generation-literate families are markedly under-identified: limited access to trained assessors, remedial teaching and awareness means the underlying disorder is mistaken for 'slowness' or lack of effort, and environmental disadvantage compounds the deficit.</w:t>
            </w:r>
          </w:p>
          <w:p>
            <w:pPr>
              <w:spacing w:after="40" w:before="60" w:line="259" w:lineRule="auto"/>
            </w:pPr>
            <w:r>
              <w:rPr>
                <w:rFonts w:ascii="Calibri" w:hAnsi="Calibri"/>
                <w:b w:val="0"/>
                <w:i w:val="0"/>
                <w:color w:val="212121"/>
                <w:sz w:val="19"/>
              </w:rPr>
              <w:t>Low awareness, teacher-training gaps and limited assessment services lead to late diagnosis and under-identification of SLD in low-resource Indian schools.</w:t>
            </w:r>
          </w:p>
          <w:p>
            <w:pPr>
              <w:spacing w:before="60" w:after="40"/>
            </w:pPr>
            <w:r>
              <w:rPr>
                <w:rFonts w:ascii="Calibri" w:hAnsi="Calibri"/>
                <w:b w:val="0"/>
                <w:i w:val="0"/>
                <w:color w:val="5A5A5A"/>
                <w:sz w:val="18"/>
              </w:rPr>
              <w:t>#lowSES  #firstgen  #underidentified  #accessgap</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South Indian &amp; multilingual learners</w:t>
            </w:r>
          </w:p>
        </w:tc>
        <w:tc>
          <w:tcPr>
            <w:tcW w:type="dxa" w:w="4276"/>
            <w:vAlign w:val="top"/>
          </w:tcPr>
          <w:p>
            <w:pPr>
              <w:spacing w:after="60" w:line="259" w:lineRule="auto"/>
            </w:pPr>
            <w:r>
              <w:rPr>
                <w:rFonts w:ascii="Calibri" w:hAnsi="Calibri"/>
                <w:b w:val="0"/>
                <w:i w:val="0"/>
                <w:color w:val="212121"/>
                <w:sz w:val="19"/>
              </w:rPr>
              <w:t>Indian children commonly learn in a regional language alongside English and Hindi; simultaneous acquisition of multiple orthographies increases the cognitive load of literacy and can unmask reading difficulty, complicating identification.</w:t>
            </w:r>
          </w:p>
          <w:p>
            <w:pPr>
              <w:spacing w:after="40" w:before="60" w:line="259" w:lineRule="auto"/>
            </w:pPr>
            <w:r>
              <w:rPr>
                <w:rFonts w:ascii="Calibri" w:hAnsi="Calibri"/>
                <w:b w:val="0"/>
                <w:i w:val="0"/>
                <w:color w:val="212121"/>
                <w:sz w:val="19"/>
              </w:rPr>
              <w:t>Dyslexia (reading disability) was found in 11.2% of primary-school children in a South Indian city sample.</w:t>
            </w:r>
          </w:p>
          <w:p>
            <w:pPr>
              <w:spacing w:after="40" w:line="252" w:lineRule="auto"/>
            </w:pPr>
            <w:hyperlink r:id="rId9">
              <w:r>
                <w:rPr>
                  <w:rFonts w:ascii="Calibri" w:hAnsi="Calibri" w:cs="Calibri"/>
                  <w:sz w:val="18"/>
                  <w:color w:val="1155CC"/>
                  <w:u w:val="single"/>
                </w:rPr>
                <w:t xml:space="preserve">link.springer.com — Mogasale et al., Indian J Pediatr 2012</w:t>
              </w:r>
            </w:hyperlink>
          </w:p>
          <w:p>
            <w:pPr>
              <w:spacing w:before="60" w:after="40"/>
            </w:pPr>
            <w:r>
              <w:rPr>
                <w:rFonts w:ascii="Calibri" w:hAnsi="Calibri"/>
                <w:b w:val="0"/>
                <w:i w:val="0"/>
                <w:color w:val="5A5A5A"/>
                <w:sz w:val="18"/>
              </w:rPr>
              <w:t>#SouthIndia  #multilingual  #orthography  #biliteracy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Schooling environment</w:t>
            </w:r>
          </w:p>
        </w:tc>
        <w:tc>
          <w:tcPr>
            <w:tcW w:type="dxa" w:w="2160"/>
            <w:vAlign w:val="top"/>
          </w:tcPr>
          <w:p>
            <w:pPr>
              <w:spacing w:after="40" w:before="0" w:line="259" w:lineRule="auto"/>
            </w:pPr>
            <w:r>
              <w:rPr>
                <w:rFonts w:ascii="Calibri" w:hAnsi="Calibri"/>
                <w:b w:val="0"/>
                <w:i w:val="0"/>
                <w:color w:val="212121"/>
                <w:sz w:val="19"/>
              </w:rPr>
              <w:t>Urban English-medium schools</w:t>
            </w:r>
          </w:p>
        </w:tc>
        <w:tc>
          <w:tcPr>
            <w:tcW w:type="dxa" w:w="4276"/>
            <w:vAlign w:val="top"/>
          </w:tcPr>
          <w:p>
            <w:pPr>
              <w:spacing w:after="60" w:line="259" w:lineRule="auto"/>
            </w:pPr>
            <w:r>
              <w:rPr>
                <w:rFonts w:ascii="Calibri" w:hAnsi="Calibri"/>
                <w:b w:val="0"/>
                <w:i w:val="0"/>
                <w:color w:val="212121"/>
                <w:sz w:val="19"/>
              </w:rPr>
              <w:t>English has a deep, opaque orthography with irregular letter-sound mapping, so reading disability tends to surface earlier and more visibly in English-medium instruction than in phonetically transparent Indian scripts such as Devanagari or Dravidian scripts.</w:t>
            </w:r>
          </w:p>
          <w:p>
            <w:pPr>
              <w:spacing w:after="40" w:before="60" w:line="259" w:lineRule="auto"/>
            </w:pPr>
            <w:r>
              <w:rPr>
                <w:rFonts w:ascii="Calibri" w:hAnsi="Calibri"/>
                <w:b w:val="0"/>
                <w:i w:val="0"/>
                <w:color w:val="212121"/>
                <w:sz w:val="19"/>
              </w:rPr>
              <w:t>Cleveland Clinic estimates dyslexia affects roughly 1 in 14 people worldwide, with difficulty in the brain's language-processing regions.</w:t>
            </w:r>
          </w:p>
          <w:p>
            <w:pPr>
              <w:spacing w:after="40" w:line="252" w:lineRule="auto"/>
            </w:pPr>
            <w:hyperlink r:id="rId11">
              <w:r>
                <w:rPr>
                  <w:rFonts w:ascii="Calibri" w:hAnsi="Calibri" w:cs="Calibri"/>
                  <w:sz w:val="18"/>
                  <w:color w:val="1155CC"/>
                  <w:u w:val="single"/>
                </w:rPr>
                <w:t xml:space="preserve">my.clevelandclinic.org — dyslexia</w:t>
              </w:r>
            </w:hyperlink>
          </w:p>
          <w:p>
            <w:pPr>
              <w:spacing w:before="60" w:after="40"/>
            </w:pPr>
            <w:r>
              <w:rPr>
                <w:rFonts w:ascii="Calibri" w:hAnsi="Calibri"/>
                <w:b w:val="0"/>
                <w:i w:val="0"/>
                <w:color w:val="5A5A5A"/>
                <w:sz w:val="18"/>
              </w:rPr>
              <w:t>#Englishmedium  #opaqueorthography  #urbanschools</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screen time</w:t>
            </w:r>
          </w:p>
        </w:tc>
        <w:tc>
          <w:tcPr>
            <w:tcW w:type="dxa" w:w="2160"/>
            <w:vAlign w:val="top"/>
          </w:tcPr>
          <w:p>
            <w:pPr>
              <w:spacing w:after="40" w:before="0" w:line="259" w:lineRule="auto"/>
            </w:pPr>
            <w:r>
              <w:rPr>
                <w:rFonts w:ascii="Calibri" w:hAnsi="Calibri"/>
                <w:b w:val="0"/>
                <w:i w:val="0"/>
                <w:color w:val="212121"/>
                <w:sz w:val="19"/>
              </w:rPr>
              <w:t>High-screen, low-reading children</w:t>
            </w:r>
          </w:p>
        </w:tc>
        <w:tc>
          <w:tcPr>
            <w:tcW w:type="dxa" w:w="4276"/>
            <w:vAlign w:val="top"/>
          </w:tcPr>
          <w:p>
            <w:pPr>
              <w:spacing w:after="60" w:line="259" w:lineRule="auto"/>
            </w:pPr>
            <w:r>
              <w:rPr>
                <w:rFonts w:ascii="Calibri" w:hAnsi="Calibri"/>
                <w:b w:val="0"/>
                <w:i w:val="0"/>
                <w:color w:val="212121"/>
                <w:sz w:val="19"/>
              </w:rPr>
              <w:t>Excess recreational screen time displaces shared reading and print exposure and shortens sleep; while not a cause of SLD, it reduces literacy practice and can widen the gap between an affected child and peers.</w:t>
            </w:r>
          </w:p>
          <w:p>
            <w:pPr>
              <w:spacing w:after="40" w:before="60" w:line="259" w:lineRule="auto"/>
            </w:pPr>
            <w:r>
              <w:rPr>
                <w:rFonts w:ascii="Calibri" w:hAnsi="Calibri"/>
                <w:b w:val="0"/>
                <w:i w:val="0"/>
                <w:color w:val="212121"/>
                <w:sz w:val="19"/>
              </w:rPr>
              <w:t>Reduced reading exposure and sleep displacement from heavy screen use undermine the practice needed to build reading fluency.</w:t>
            </w:r>
          </w:p>
          <w:p>
            <w:pPr>
              <w:spacing w:before="60" w:after="40"/>
            </w:pPr>
            <w:r>
              <w:rPr>
                <w:rFonts w:ascii="Calibri" w:hAnsi="Calibri"/>
                <w:b w:val="0"/>
                <w:i w:val="0"/>
                <w:color w:val="5A5A5A"/>
                <w:sz w:val="18"/>
              </w:rPr>
              <w:t>#screentime  #readingexposure  #sedentary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Sleep</w:t>
            </w:r>
          </w:p>
        </w:tc>
        <w:tc>
          <w:tcPr>
            <w:tcW w:type="dxa" w:w="2160"/>
            <w:vAlign w:val="top"/>
          </w:tcPr>
          <w:p>
            <w:pPr>
              <w:spacing w:after="40" w:before="0" w:line="259" w:lineRule="auto"/>
            </w:pPr>
            <w:r>
              <w:rPr>
                <w:rFonts w:ascii="Calibri" w:hAnsi="Calibri"/>
                <w:b w:val="0"/>
                <w:i w:val="0"/>
                <w:color w:val="212121"/>
                <w:sz w:val="19"/>
              </w:rPr>
              <w:t>Poor / insufficient sleepers</w:t>
            </w:r>
          </w:p>
        </w:tc>
        <w:tc>
          <w:tcPr>
            <w:tcW w:type="dxa" w:w="4276"/>
            <w:vAlign w:val="top"/>
          </w:tcPr>
          <w:p>
            <w:pPr>
              <w:spacing w:after="60" w:line="259" w:lineRule="auto"/>
            </w:pPr>
            <w:r>
              <w:rPr>
                <w:rFonts w:ascii="Calibri" w:hAnsi="Calibri"/>
                <w:b w:val="0"/>
                <w:i w:val="0"/>
                <w:color w:val="212121"/>
                <w:sz w:val="19"/>
              </w:rPr>
              <w:t>Sleep is essential for memory consolidation, attention and new-skill learning; chronically short or poor sleep impairs classroom attention and academic performance and aggravates the functional impact of an underlying SLD.</w:t>
            </w:r>
          </w:p>
          <w:p>
            <w:pPr>
              <w:spacing w:after="40" w:before="60" w:line="259" w:lineRule="auto"/>
            </w:pPr>
            <w:r>
              <w:rPr>
                <w:rFonts w:ascii="Calibri" w:hAnsi="Calibri"/>
                <w:b w:val="0"/>
                <w:i w:val="0"/>
                <w:color w:val="212121"/>
                <w:sz w:val="19"/>
              </w:rPr>
              <w:t>School-age children (6–12 y) need 9–12 hours of sleep; insufficient sleep impairs attention, cognitive performance, vocabulary acquisition, learning and memory.</w:t>
            </w:r>
          </w:p>
          <w:p>
            <w:pPr>
              <w:spacing w:after="40" w:line="252" w:lineRule="auto"/>
            </w:pPr>
            <w:hyperlink r:id="rId12">
              <w:r>
                <w:rPr>
                  <w:rFonts w:ascii="Calibri" w:hAnsi="Calibri" w:cs="Calibri"/>
                  <w:sz w:val="18"/>
                  <w:color w:val="1155CC"/>
                  <w:u w:val="single"/>
                </w:rPr>
                <w:t xml:space="preserve">sleepfoundation.org — children and sleep</w:t>
              </w:r>
            </w:hyperlink>
          </w:p>
          <w:p>
            <w:pPr>
              <w:spacing w:before="60" w:after="40"/>
            </w:pPr>
            <w:r>
              <w:rPr>
                <w:rFonts w:ascii="Calibri" w:hAnsi="Calibri"/>
                <w:b w:val="0"/>
                <w:i w:val="0"/>
                <w:color w:val="5A5A5A"/>
                <w:sz w:val="18"/>
              </w:rPr>
              <w:t>#sleep  #memoryconsolidation  #attention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 (prenatal exposure)</w:t>
            </w:r>
          </w:p>
        </w:tc>
        <w:tc>
          <w:tcPr>
            <w:tcW w:type="dxa" w:w="2160"/>
            <w:vAlign w:val="top"/>
          </w:tcPr>
          <w:p>
            <w:pPr>
              <w:spacing w:after="40" w:before="0" w:line="259" w:lineRule="auto"/>
            </w:pPr>
            <w:r>
              <w:rPr>
                <w:rFonts w:ascii="Calibri" w:hAnsi="Calibri"/>
                <w:b w:val="0"/>
                <w:i w:val="0"/>
                <w:color w:val="212121"/>
                <w:sz w:val="19"/>
              </w:rPr>
              <w:t>Children with prenatal tobacco exposure</w:t>
            </w:r>
          </w:p>
        </w:tc>
        <w:tc>
          <w:tcPr>
            <w:tcW w:type="dxa" w:w="4276"/>
            <w:vAlign w:val="top"/>
          </w:tcPr>
          <w:p>
            <w:pPr>
              <w:spacing w:after="60" w:line="259" w:lineRule="auto"/>
            </w:pPr>
            <w:r>
              <w:rPr>
                <w:rFonts w:ascii="Calibri" w:hAnsi="Calibri"/>
                <w:b w:val="0"/>
                <w:i w:val="0"/>
                <w:color w:val="212121"/>
                <w:sz w:val="19"/>
              </w:rPr>
              <w:t>Maternal smoking and second-hand smoke exposure in pregnancy are recognised prenatal risk factors for neurodevelopmental and learning problems in the child (the child's own smoking is not relevant at this age).</w:t>
            </w:r>
          </w:p>
          <w:p>
            <w:pPr>
              <w:spacing w:after="40" w:before="60" w:line="259" w:lineRule="auto"/>
            </w:pPr>
            <w:r>
              <w:rPr>
                <w:rFonts w:ascii="Calibri" w:hAnsi="Calibri"/>
                <w:b w:val="0"/>
                <w:i w:val="0"/>
                <w:color w:val="212121"/>
                <w:sz w:val="19"/>
              </w:rPr>
              <w:t>Cleveland Clinic lists prenatal exposure to nicotine among factors that increase the risk of dyslexia.</w:t>
            </w:r>
          </w:p>
          <w:p>
            <w:pPr>
              <w:spacing w:after="40" w:line="252" w:lineRule="auto"/>
            </w:pPr>
            <w:hyperlink r:id="rId11">
              <w:r>
                <w:rPr>
                  <w:rFonts w:ascii="Calibri" w:hAnsi="Calibri" w:cs="Calibri"/>
                  <w:sz w:val="18"/>
                  <w:color w:val="1155CC"/>
                  <w:u w:val="single"/>
                </w:rPr>
                <w:t xml:space="preserve">my.clevelandclinic.org — dyslexia (risk factors)</w:t>
              </w:r>
            </w:hyperlink>
          </w:p>
          <w:p>
            <w:pPr>
              <w:spacing w:before="60" w:after="40"/>
            </w:pPr>
            <w:r>
              <w:rPr>
                <w:rFonts w:ascii="Calibri" w:hAnsi="Calibri"/>
                <w:b w:val="0"/>
                <w:i w:val="0"/>
                <w:color w:val="5A5A5A"/>
                <w:sz w:val="18"/>
              </w:rPr>
              <w:t>#prenatal  #tobacco  #neurodevelopment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 (prenatal exposure)</w:t>
            </w:r>
          </w:p>
        </w:tc>
        <w:tc>
          <w:tcPr>
            <w:tcW w:type="dxa" w:w="2160"/>
            <w:vAlign w:val="top"/>
          </w:tcPr>
          <w:p>
            <w:pPr>
              <w:spacing w:after="40" w:before="0" w:line="259" w:lineRule="auto"/>
            </w:pPr>
            <w:r>
              <w:rPr>
                <w:rFonts w:ascii="Calibri" w:hAnsi="Calibri"/>
                <w:b w:val="0"/>
                <w:i w:val="0"/>
                <w:color w:val="212121"/>
                <w:sz w:val="19"/>
              </w:rPr>
              <w:t>Children with prenatal alcohol exposure</w:t>
            </w:r>
          </w:p>
        </w:tc>
        <w:tc>
          <w:tcPr>
            <w:tcW w:type="dxa" w:w="4276"/>
            <w:vAlign w:val="top"/>
          </w:tcPr>
          <w:p>
            <w:pPr>
              <w:spacing w:after="60" w:line="259" w:lineRule="auto"/>
            </w:pPr>
            <w:r>
              <w:rPr>
                <w:rFonts w:ascii="Calibri" w:hAnsi="Calibri"/>
                <w:b w:val="0"/>
                <w:i w:val="0"/>
                <w:color w:val="212121"/>
                <w:sz w:val="19"/>
              </w:rPr>
              <w:t>Prenatal alcohol exposure (foetal alcohol spectrum) damages the developing brain and is a well-established cause of learning disabilities, including reading and mathematics deficits.</w:t>
            </w:r>
          </w:p>
          <w:p>
            <w:pPr>
              <w:spacing w:after="40" w:before="60" w:line="259" w:lineRule="auto"/>
            </w:pPr>
            <w:r>
              <w:rPr>
                <w:rFonts w:ascii="Calibri" w:hAnsi="Calibri"/>
                <w:b w:val="0"/>
                <w:i w:val="0"/>
                <w:color w:val="212121"/>
                <w:sz w:val="19"/>
              </w:rPr>
              <w:t>Cleveland Clinic lists prenatal exposure to alcohol among factors that increase the risk of dyslexia.</w:t>
            </w:r>
          </w:p>
          <w:p>
            <w:pPr>
              <w:spacing w:after="40" w:line="252" w:lineRule="auto"/>
            </w:pPr>
            <w:hyperlink r:id="rId11">
              <w:r>
                <w:rPr>
                  <w:rFonts w:ascii="Calibri" w:hAnsi="Calibri" w:cs="Calibri"/>
                  <w:sz w:val="18"/>
                  <w:color w:val="1155CC"/>
                  <w:u w:val="single"/>
                </w:rPr>
                <w:t xml:space="preserve">my.clevelandclinic.org — dyslexia (risk factors)</w:t>
              </w:r>
            </w:hyperlink>
          </w:p>
          <w:p>
            <w:pPr>
              <w:spacing w:before="60" w:after="40"/>
            </w:pPr>
            <w:r>
              <w:rPr>
                <w:rFonts w:ascii="Calibri" w:hAnsi="Calibri"/>
                <w:b w:val="0"/>
                <w:i w:val="0"/>
                <w:color w:val="5A5A5A"/>
                <w:sz w:val="18"/>
              </w:rPr>
              <w:t>#prenatal  #alcohol  #FASD</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Iron-deficiency anaemia</w:t>
            </w:r>
          </w:p>
        </w:tc>
        <w:tc>
          <w:tcPr>
            <w:tcW w:type="dxa" w:w="2160"/>
            <w:vAlign w:val="top"/>
          </w:tcPr>
          <w:p>
            <w:pPr>
              <w:spacing w:after="40" w:before="0" w:line="259" w:lineRule="auto"/>
            </w:pPr>
            <w:r>
              <w:rPr>
                <w:rFonts w:ascii="Calibri" w:hAnsi="Calibri"/>
                <w:b w:val="0"/>
                <w:i w:val="0"/>
                <w:color w:val="212121"/>
                <w:sz w:val="19"/>
              </w:rPr>
              <w:t>Anaemic young children</w:t>
            </w:r>
          </w:p>
        </w:tc>
        <w:tc>
          <w:tcPr>
            <w:tcW w:type="dxa" w:w="4276"/>
            <w:vAlign w:val="top"/>
          </w:tcPr>
          <w:p>
            <w:pPr>
              <w:spacing w:after="60" w:line="259" w:lineRule="auto"/>
            </w:pPr>
            <w:r>
              <w:rPr>
                <w:rFonts w:ascii="Calibri" w:hAnsi="Calibri"/>
                <w:b w:val="0"/>
                <w:i w:val="0"/>
                <w:color w:val="212121"/>
                <w:sz w:val="19"/>
              </w:rPr>
              <w:t>Iron-deficiency anaemia in early childhood impairs cognitive and motor development, attention and school performance; in India, where childhood anaemia is highly prevalent, it is an important, treatable contributor to poor learning.</w:t>
            </w:r>
          </w:p>
          <w:p>
            <w:pPr>
              <w:spacing w:after="40" w:before="60" w:line="259" w:lineRule="auto"/>
            </w:pPr>
            <w:r>
              <w:rPr>
                <w:rFonts w:ascii="Calibri" w:hAnsi="Calibri"/>
                <w:b w:val="0"/>
                <w:i w:val="0"/>
                <w:color w:val="212121"/>
                <w:sz w:val="19"/>
              </w:rPr>
              <w:t>WHO reports that anaemia can cause poor cognitive and motor development and reduced school performance; South-East Asia carries a large burden with about 83 million children affected.</w:t>
            </w:r>
          </w:p>
          <w:p>
            <w:pPr>
              <w:spacing w:after="40" w:line="252" w:lineRule="auto"/>
            </w:pPr>
            <w:hyperlink r:id="rId13">
              <w:r>
                <w:rPr>
                  <w:rFonts w:ascii="Calibri" w:hAnsi="Calibri" w:cs="Calibri"/>
                  <w:sz w:val="18"/>
                  <w:color w:val="1155CC"/>
                  <w:u w:val="single"/>
                </w:rPr>
                <w:t xml:space="preserve">who.int — anaemia fact sheet</w:t>
              </w:r>
            </w:hyperlink>
          </w:p>
          <w:p>
            <w:pPr>
              <w:spacing w:before="60" w:after="40"/>
            </w:pPr>
            <w:r>
              <w:rPr>
                <w:rFonts w:ascii="Calibri" w:hAnsi="Calibri"/>
                <w:b w:val="0"/>
                <w:i w:val="0"/>
                <w:color w:val="5A5A5A"/>
                <w:sz w:val="18"/>
              </w:rPr>
              <w:t>#irondeficiency  #anaemia  #cognition  #NFHS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undernutrition</w:t>
            </w:r>
          </w:p>
        </w:tc>
        <w:tc>
          <w:tcPr>
            <w:tcW w:type="dxa" w:w="2160"/>
            <w:vAlign w:val="top"/>
          </w:tcPr>
          <w:p>
            <w:pPr>
              <w:spacing w:after="40" w:before="0" w:line="259" w:lineRule="auto"/>
            </w:pPr>
            <w:r>
              <w:rPr>
                <w:rFonts w:ascii="Calibri" w:hAnsi="Calibri"/>
                <w:b w:val="0"/>
                <w:i w:val="0"/>
                <w:color w:val="212121"/>
                <w:sz w:val="19"/>
              </w:rPr>
              <w:t>Stunted / undernourished children</w:t>
            </w:r>
          </w:p>
        </w:tc>
        <w:tc>
          <w:tcPr>
            <w:tcW w:type="dxa" w:w="4276"/>
            <w:vAlign w:val="top"/>
          </w:tcPr>
          <w:p>
            <w:pPr>
              <w:spacing w:after="60" w:line="259" w:lineRule="auto"/>
            </w:pPr>
            <w:r>
              <w:rPr>
                <w:rFonts w:ascii="Calibri" w:hAnsi="Calibri"/>
                <w:b w:val="0"/>
                <w:i w:val="0"/>
                <w:color w:val="212121"/>
                <w:sz w:val="19"/>
              </w:rPr>
              <w:t>Early protein-energy and micronutrient undernutrition (including iodine deficiency) impairs brain development and school readiness; chronic undernutrition remains common among Indian children and can amplify learning difficulty.</w:t>
            </w:r>
          </w:p>
          <w:p>
            <w:pPr>
              <w:spacing w:after="40" w:before="60" w:line="259" w:lineRule="auto"/>
            </w:pPr>
            <w:r>
              <w:rPr>
                <w:rFonts w:ascii="Calibri" w:hAnsi="Calibri"/>
                <w:b w:val="0"/>
                <w:i w:val="0"/>
                <w:color w:val="212121"/>
                <w:sz w:val="19"/>
              </w:rPr>
              <w:t>Early-life undernutrition and micronutrient deficiency are associated with delayed neurodevelopment and reduced learning capacity.</w:t>
            </w:r>
          </w:p>
          <w:p>
            <w:pPr>
              <w:spacing w:before="60" w:after="40"/>
            </w:pPr>
            <w:r>
              <w:rPr>
                <w:rFonts w:ascii="Calibri" w:hAnsi="Calibri"/>
                <w:b w:val="0"/>
                <w:i w:val="0"/>
                <w:color w:val="5A5A5A"/>
                <w:sz w:val="18"/>
              </w:rPr>
              <w:t>#undernutrition  #stunting  #micronutrients</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 with SLD</w:t>
            </w:r>
          </w:p>
        </w:tc>
        <w:tc>
          <w:tcPr>
            <w:tcW w:type="dxa" w:w="4276"/>
            <w:vAlign w:val="top"/>
          </w:tcPr>
          <w:p>
            <w:pPr>
              <w:spacing w:after="60" w:line="259" w:lineRule="auto"/>
            </w:pPr>
            <w:r>
              <w:rPr>
                <w:rFonts w:ascii="Calibri" w:hAnsi="Calibri"/>
                <w:b w:val="0"/>
                <w:i w:val="0"/>
                <w:color w:val="212121"/>
                <w:sz w:val="19"/>
              </w:rPr>
              <w:t>A child with a parent or sibling who has a reading or learning disability is at substantially higher risk; the disorder clusters strongly in families.</w:t>
            </w:r>
          </w:p>
          <w:p>
            <w:pPr>
              <w:spacing w:after="40" w:before="60" w:line="259" w:lineRule="auto"/>
            </w:pPr>
            <w:r>
              <w:rPr>
                <w:rFonts w:ascii="Calibri" w:hAnsi="Calibri"/>
                <w:b w:val="0"/>
                <w:i w:val="0"/>
                <w:color w:val="212121"/>
                <w:sz w:val="19"/>
              </w:rPr>
              <w:t>Cleveland Clinic and Mayo Clinic both note that dyslexia often runs in families and that having a biological family member with the condition raises risk.</w:t>
            </w:r>
          </w:p>
          <w:p>
            <w:pPr>
              <w:spacing w:after="40" w:line="252" w:lineRule="auto"/>
            </w:pPr>
            <w:hyperlink r:id="rId11">
              <w:r>
                <w:rPr>
                  <w:rFonts w:ascii="Calibri" w:hAnsi="Calibri" w:cs="Calibri"/>
                  <w:sz w:val="18"/>
                  <w:color w:val="1155CC"/>
                  <w:u w:val="single"/>
                </w:rPr>
                <w:t xml:space="preserve">my.clevelandclinic.org — dyslexia (is it genetic?)</w:t>
              </w:r>
            </w:hyperlink>
          </w:p>
          <w:p>
            <w:pPr>
              <w:spacing w:before="60" w:after="40"/>
            </w:pPr>
            <w:r>
              <w:rPr>
                <w:rFonts w:ascii="Calibri" w:hAnsi="Calibri"/>
                <w:b w:val="0"/>
                <w:i w:val="0"/>
                <w:color w:val="5A5A5A"/>
                <w:sz w:val="18"/>
              </w:rPr>
              <w:t>#familyhistory  #heritable  #firstdegree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Heritability / candidate genes</w:t>
            </w:r>
          </w:p>
        </w:tc>
        <w:tc>
          <w:tcPr>
            <w:tcW w:type="dxa" w:w="2160"/>
            <w:vAlign w:val="top"/>
          </w:tcPr>
          <w:p>
            <w:pPr>
              <w:spacing w:after="40" w:before="0" w:line="259" w:lineRule="auto"/>
            </w:pPr>
            <w:r>
              <w:rPr>
                <w:rFonts w:ascii="Calibri" w:hAnsi="Calibri"/>
                <w:b w:val="0"/>
                <w:i w:val="0"/>
                <w:color w:val="212121"/>
                <w:sz w:val="19"/>
              </w:rPr>
              <w:t>Children with genetic susceptibility</w:t>
            </w:r>
          </w:p>
        </w:tc>
        <w:tc>
          <w:tcPr>
            <w:tcW w:type="dxa" w:w="4276"/>
            <w:vAlign w:val="top"/>
          </w:tcPr>
          <w:p>
            <w:pPr>
              <w:spacing w:after="60" w:line="259" w:lineRule="auto"/>
            </w:pPr>
            <w:r>
              <w:rPr>
                <w:rFonts w:ascii="Calibri" w:hAnsi="Calibri"/>
                <w:b w:val="0"/>
                <w:i w:val="0"/>
                <w:color w:val="212121"/>
                <w:sz w:val="19"/>
              </w:rPr>
              <w:t>Reading disability is polygenic and highly heritable; multiple genes affecting language and neuronal migration contribute, so no single gene determines the condition.</w:t>
            </w:r>
          </w:p>
          <w:p>
            <w:pPr>
              <w:spacing w:after="40" w:before="60" w:line="259" w:lineRule="auto"/>
            </w:pPr>
            <w:r>
              <w:rPr>
                <w:rFonts w:ascii="Calibri" w:hAnsi="Calibri"/>
                <w:b w:val="0"/>
                <w:i w:val="0"/>
                <w:color w:val="212121"/>
                <w:sz w:val="19"/>
              </w:rPr>
              <w:t>Mayo Clinic notes dyslexia appears to be linked to specific genes that affect how the brain processes reading and language, and tends to run in families.</w:t>
            </w:r>
          </w:p>
          <w:p>
            <w:pPr>
              <w:spacing w:after="40" w:line="252" w:lineRule="auto"/>
            </w:pPr>
            <w:hyperlink r:id="rId10">
              <w:r>
                <w:rPr>
                  <w:rFonts w:ascii="Calibri" w:hAnsi="Calibri" w:cs="Calibri"/>
                  <w:sz w:val="18"/>
                  <w:color w:val="1155CC"/>
                  <w:u w:val="single"/>
                </w:rPr>
                <w:t xml:space="preserve">mayoclinic.org — dyslexia (causes)</w:t>
              </w:r>
            </w:hyperlink>
          </w:p>
          <w:p>
            <w:pPr>
              <w:spacing w:before="60" w:after="40"/>
            </w:pPr>
            <w:r>
              <w:rPr>
                <w:rFonts w:ascii="Calibri" w:hAnsi="Calibri"/>
                <w:b w:val="0"/>
                <w:i w:val="0"/>
                <w:color w:val="5A5A5A"/>
                <w:sz w:val="18"/>
              </w:rPr>
              <w:t>#polygenic  #heritability  #DCDC2</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ADHD</w:t>
            </w:r>
          </w:p>
        </w:tc>
        <w:tc>
          <w:tcPr>
            <w:tcW w:type="dxa" w:w="2160"/>
            <w:vAlign w:val="top"/>
          </w:tcPr>
          <w:p>
            <w:pPr>
              <w:spacing w:after="40" w:before="0" w:line="259" w:lineRule="auto"/>
            </w:pPr>
            <w:r>
              <w:rPr>
                <w:rFonts w:ascii="Calibri" w:hAnsi="Calibri"/>
                <w:b w:val="0"/>
                <w:i w:val="0"/>
                <w:color w:val="212121"/>
                <w:sz w:val="19"/>
              </w:rPr>
              <w:t>Children with attention-deficit/hyperactivity disorder</w:t>
            </w:r>
          </w:p>
        </w:tc>
        <w:tc>
          <w:tcPr>
            <w:tcW w:type="dxa" w:w="4276"/>
            <w:vAlign w:val="top"/>
          </w:tcPr>
          <w:p>
            <w:pPr>
              <w:spacing w:after="60" w:line="259" w:lineRule="auto"/>
            </w:pPr>
            <w:r>
              <w:rPr>
                <w:rFonts w:ascii="Calibri" w:hAnsi="Calibri"/>
                <w:b w:val="0"/>
                <w:i w:val="0"/>
                <w:color w:val="212121"/>
                <w:sz w:val="19"/>
              </w:rPr>
              <w:t>ADHD and SLD frequently co-occur and share partly overlapping genetic and neurocognitive substrates; coexisting inattention worsens academic output and complicates both diagnosis and management.</w:t>
            </w:r>
          </w:p>
          <w:p>
            <w:pPr>
              <w:spacing w:after="40" w:before="60" w:line="259" w:lineRule="auto"/>
            </w:pPr>
            <w:r>
              <w:rPr>
                <w:rFonts w:ascii="Calibri" w:hAnsi="Calibri"/>
                <w:b w:val="0"/>
                <w:i w:val="0"/>
                <w:color w:val="212121"/>
                <w:sz w:val="19"/>
              </w:rPr>
              <w:t>Cleveland Clinic lists ADHD among the conditions that frequently accompany dyscalculia and other learning disorders.</w:t>
            </w:r>
          </w:p>
          <w:p>
            <w:pPr>
              <w:spacing w:after="40" w:line="252" w:lineRule="auto"/>
            </w:pPr>
            <w:hyperlink r:id="rId14">
              <w:r>
                <w:rPr>
                  <w:rFonts w:ascii="Calibri" w:hAnsi="Calibri" w:cs="Calibri"/>
                  <w:sz w:val="18"/>
                  <w:color w:val="1155CC"/>
                  <w:u w:val="single"/>
                </w:rPr>
                <w:t xml:space="preserve">my.clevelandclinic.org — dyscalculia (co-occurring)</w:t>
              </w:r>
            </w:hyperlink>
          </w:p>
          <w:p>
            <w:pPr>
              <w:spacing w:before="60" w:after="40"/>
            </w:pPr>
            <w:r>
              <w:rPr>
                <w:rFonts w:ascii="Calibri" w:hAnsi="Calibri"/>
                <w:b w:val="0"/>
                <w:i w:val="0"/>
                <w:color w:val="5A5A5A"/>
                <w:sz w:val="18"/>
              </w:rPr>
              <w:t>#ADHD  #comorbidity  #attention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Autism spectrum disorder</w:t>
            </w:r>
          </w:p>
        </w:tc>
        <w:tc>
          <w:tcPr>
            <w:tcW w:type="dxa" w:w="2160"/>
            <w:vAlign w:val="top"/>
          </w:tcPr>
          <w:p>
            <w:pPr>
              <w:spacing w:after="40" w:before="0" w:line="259" w:lineRule="auto"/>
            </w:pPr>
            <w:r>
              <w:rPr>
                <w:rFonts w:ascii="Calibri" w:hAnsi="Calibri"/>
                <w:b w:val="0"/>
                <w:i w:val="0"/>
                <w:color w:val="212121"/>
                <w:sz w:val="19"/>
              </w:rPr>
              <w:t>Children on the autism spectrum</w:t>
            </w:r>
          </w:p>
        </w:tc>
        <w:tc>
          <w:tcPr>
            <w:tcW w:type="dxa" w:w="4276"/>
            <w:vAlign w:val="top"/>
          </w:tcPr>
          <w:p>
            <w:pPr>
              <w:spacing w:after="60" w:line="259" w:lineRule="auto"/>
            </w:pPr>
            <w:r>
              <w:rPr>
                <w:rFonts w:ascii="Calibri" w:hAnsi="Calibri"/>
                <w:b w:val="0"/>
                <w:i w:val="0"/>
                <w:color w:val="212121"/>
                <w:sz w:val="19"/>
              </w:rPr>
              <w:t>Learning disorders — particularly dysgraphia — commonly co-occur with autism spectrum disorder, though each can exist independently; overlapping needs require integrated educational support.</w:t>
            </w:r>
          </w:p>
          <w:p>
            <w:pPr>
              <w:spacing w:after="40" w:before="60" w:line="259" w:lineRule="auto"/>
            </w:pPr>
            <w:r>
              <w:rPr>
                <w:rFonts w:ascii="Calibri" w:hAnsi="Calibri"/>
                <w:b w:val="0"/>
                <w:i w:val="0"/>
                <w:color w:val="212121"/>
                <w:sz w:val="19"/>
              </w:rPr>
              <w:t>Cleveland Clinic notes dysgraphia commonly occurs alongside autism spectrum disorder, although a person can have dysgraphia without autism.</w:t>
            </w:r>
          </w:p>
          <w:p>
            <w:pPr>
              <w:spacing w:after="40" w:line="252" w:lineRule="auto"/>
            </w:pPr>
            <w:hyperlink r:id="rId15">
              <w:r>
                <w:rPr>
                  <w:rFonts w:ascii="Calibri" w:hAnsi="Calibri" w:cs="Calibri"/>
                  <w:sz w:val="18"/>
                  <w:color w:val="1155CC"/>
                  <w:u w:val="single"/>
                </w:rPr>
                <w:t xml:space="preserve">my.clevelandclinic.org — dysgraphia (associated)</w:t>
              </w:r>
            </w:hyperlink>
          </w:p>
          <w:p>
            <w:pPr>
              <w:spacing w:before="60" w:after="40"/>
            </w:pPr>
            <w:r>
              <w:rPr>
                <w:rFonts w:ascii="Calibri" w:hAnsi="Calibri"/>
                <w:b w:val="0"/>
                <w:i w:val="0"/>
                <w:color w:val="5A5A5A"/>
                <w:sz w:val="18"/>
              </w:rPr>
              <w:t>#autism  #dysgraphia  #comorbidity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Prematurity / low birth weight</w:t>
            </w:r>
          </w:p>
        </w:tc>
        <w:tc>
          <w:tcPr>
            <w:tcW w:type="dxa" w:w="2160"/>
            <w:vAlign w:val="top"/>
          </w:tcPr>
          <w:p>
            <w:pPr>
              <w:spacing w:after="40" w:before="0" w:line="259" w:lineRule="auto"/>
            </w:pPr>
            <w:r>
              <w:rPr>
                <w:rFonts w:ascii="Calibri" w:hAnsi="Calibri"/>
                <w:b w:val="0"/>
                <w:i w:val="0"/>
                <w:color w:val="212121"/>
                <w:sz w:val="19"/>
              </w:rPr>
              <w:t>Preterm &amp; low-birth-weight children</w:t>
            </w:r>
          </w:p>
        </w:tc>
        <w:tc>
          <w:tcPr>
            <w:tcW w:type="dxa" w:w="4276"/>
            <w:vAlign w:val="top"/>
          </w:tcPr>
          <w:p>
            <w:pPr>
              <w:spacing w:after="60" w:line="259" w:lineRule="auto"/>
            </w:pPr>
            <w:r>
              <w:rPr>
                <w:rFonts w:ascii="Calibri" w:hAnsi="Calibri"/>
                <w:b w:val="0"/>
                <w:i w:val="0"/>
                <w:color w:val="212121"/>
                <w:sz w:val="19"/>
              </w:rPr>
              <w:t>Preterm birth and low birth weight are biological risk factors for later learning disability, reflecting the vulnerability of the immature developing brain.</w:t>
            </w:r>
          </w:p>
          <w:p>
            <w:pPr>
              <w:spacing w:after="40" w:before="60" w:line="259" w:lineRule="auto"/>
            </w:pPr>
            <w:r>
              <w:rPr>
                <w:rFonts w:ascii="Calibri" w:hAnsi="Calibri"/>
                <w:b w:val="0"/>
                <w:i w:val="0"/>
                <w:color w:val="212121"/>
                <w:sz w:val="19"/>
              </w:rPr>
              <w:t>Cleveland Clinic identifies preterm birth or low birth weight as factors that increase the risk of dyslexia.</w:t>
            </w:r>
          </w:p>
          <w:p>
            <w:pPr>
              <w:spacing w:after="40" w:line="252" w:lineRule="auto"/>
            </w:pPr>
            <w:hyperlink r:id="rId11">
              <w:r>
                <w:rPr>
                  <w:rFonts w:ascii="Calibri" w:hAnsi="Calibri" w:cs="Calibri"/>
                  <w:sz w:val="18"/>
                  <w:color w:val="1155CC"/>
                  <w:u w:val="single"/>
                </w:rPr>
                <w:t xml:space="preserve">my.clevelandclinic.org — dyslexia (risk factors)</w:t>
              </w:r>
            </w:hyperlink>
          </w:p>
          <w:p>
            <w:pPr>
              <w:spacing w:before="60" w:after="40"/>
            </w:pPr>
            <w:r>
              <w:rPr>
                <w:rFonts w:ascii="Calibri" w:hAnsi="Calibri"/>
                <w:b w:val="0"/>
                <w:i w:val="0"/>
                <w:color w:val="5A5A5A"/>
                <w:sz w:val="18"/>
              </w:rPr>
              <w:t>#prematurity  #lowbirthweight  #perinatal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Anxiety / depression</w:t>
            </w:r>
          </w:p>
        </w:tc>
        <w:tc>
          <w:tcPr>
            <w:tcW w:type="dxa" w:w="2160"/>
            <w:vAlign w:val="top"/>
          </w:tcPr>
          <w:p>
            <w:pPr>
              <w:spacing w:after="40" w:before="0" w:line="259" w:lineRule="auto"/>
            </w:pPr>
            <w:r>
              <w:rPr>
                <w:rFonts w:ascii="Calibri" w:hAnsi="Calibri"/>
                <w:b w:val="0"/>
                <w:i w:val="0"/>
                <w:color w:val="212121"/>
                <w:sz w:val="19"/>
              </w:rPr>
              <w:t>Children with academic-related emotional distress</w:t>
            </w:r>
          </w:p>
        </w:tc>
        <w:tc>
          <w:tcPr>
            <w:tcW w:type="dxa" w:w="4276"/>
            <w:vAlign w:val="top"/>
          </w:tcPr>
          <w:p>
            <w:pPr>
              <w:spacing w:after="60" w:line="259" w:lineRule="auto"/>
            </w:pPr>
            <w:r>
              <w:rPr>
                <w:rFonts w:ascii="Calibri" w:hAnsi="Calibri"/>
                <w:b w:val="0"/>
                <w:i w:val="0"/>
                <w:color w:val="212121"/>
                <w:sz w:val="19"/>
              </w:rPr>
              <w:t>Repeated academic failure and stigma commonly generate secondary anxiety, low self-esteem and depression, which further impair concentration and learning in a self-reinforcing cycle.</w:t>
            </w:r>
          </w:p>
          <w:p>
            <w:pPr>
              <w:spacing w:after="40" w:before="60" w:line="259" w:lineRule="auto"/>
            </w:pPr>
            <w:r>
              <w:rPr>
                <w:rFonts w:ascii="Calibri" w:hAnsi="Calibri"/>
                <w:b w:val="0"/>
                <w:i w:val="0"/>
                <w:color w:val="212121"/>
                <w:sz w:val="19"/>
              </w:rPr>
              <w:t>Cleveland Clinic notes people with dyscalculia have elevated rates of anxiety and depression; Mayo Clinic lists low self-esteem, anxiety and social withdrawal as complications of untreated dyslexia.</w:t>
            </w:r>
          </w:p>
          <w:p>
            <w:pPr>
              <w:spacing w:after="40" w:line="252" w:lineRule="auto"/>
            </w:pPr>
            <w:hyperlink r:id="rId14">
              <w:r>
                <w:rPr>
                  <w:rFonts w:ascii="Calibri" w:hAnsi="Calibri" w:cs="Calibri"/>
                  <w:sz w:val="18"/>
                  <w:color w:val="1155CC"/>
                  <w:u w:val="single"/>
                </w:rPr>
                <w:t xml:space="preserve">my.clevelandclinic.org — dyscalculia (mental health)</w:t>
              </w:r>
            </w:hyperlink>
          </w:p>
          <w:p>
            <w:pPr>
              <w:spacing w:before="60" w:after="40"/>
            </w:pPr>
            <w:r>
              <w:rPr>
                <w:rFonts w:ascii="Calibri" w:hAnsi="Calibri"/>
                <w:b w:val="0"/>
                <w:i w:val="0"/>
                <w:color w:val="5A5A5A"/>
                <w:sz w:val="18"/>
              </w:rPr>
              <w:t>#anxiety  #depression  #selfesteem  #secondary</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Regular physical activity supports attention, executive function and general cognition, which aid learning readiness, but it does not cause or prevent SLD; targeted occupational-therapy motor work can help graphomotor skills in dysgraphia.</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Early-life nutrition strongly shapes neurodevelopment: iron, iodine, protein-energy and long-chain fatty-acid adequacy support cognition and attention, and deficiency (common in India) worsens learning — though nutrition is a modifier, not the primary cause of SLD.</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Sleep is critical for memory consolidation, attention and new-skill acquisition; short or poor sleep measurably reduces classroom attention and academic performance and aggravates the functional impact of an underlying learning disorder.</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Prenatal maternal smoking and second-hand smoke exposure are recognised risk factors for neurodevelopmental and learning problems in the child; the child's own smoking is not relevant at this age.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Prenatal alcohol exposure (foetal alcohol spectrum) is a well-established cause of learning disabilities, including reading and mathematics deficits; there is no safe level of alcohol in pregnancy.</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The relationship is bidirectional: SLD raises the risk of anxiety, low self-esteem and depression, and these emotional states, along with school refusal, further impair concentration and learning.</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general concentration and cognitive performance, but there is no specific established link between water intake and the development or course of SLD.</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has no established therapeutic role in SLD; in children, caffeinated drinks can disrupt sleep and worsen attention, indirectly harming learning.</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General health and hygiene support regular school attendance and wellbeing but have no direct causal link to learning disorders.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Rising academic demands, transition to English-medium instruction, curriculum acceleration and high-stakes examinations act as 'provoking' triggers that unmask and intensify a previously subtle learning disability.</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In dysgraphia, seating, pencil grip and graphomotor posture influence handwriting legibility, writing speed and hand fatigue; ergonomic and occupational-therapy adjustments can reduce the writing burden.</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School-age children (6–12 y)</w:t>
            </w:r>
          </w:p>
        </w:tc>
        <w:tc>
          <w:tcPr>
            <w:tcW w:type="dxa" w:w="1512"/>
            <w:vAlign w:val="top"/>
          </w:tcPr>
          <w:p>
            <w:pPr>
              <w:spacing w:after="40" w:before="0" w:line="259" w:lineRule="auto"/>
            </w:pPr>
            <w:r>
              <w:rPr>
                <w:rFonts w:ascii="Calibri" w:hAnsi="Calibri"/>
                <w:b w:val="0"/>
                <w:i w:val="0"/>
                <w:color w:val="212121"/>
                <w:sz w:val="19"/>
              </w:rPr>
              <w:t>9–12 hours/night</w:t>
            </w:r>
          </w:p>
        </w:tc>
        <w:tc>
          <w:tcPr>
            <w:tcW w:type="dxa" w:w="1512"/>
            <w:vAlign w:val="top"/>
          </w:tcPr>
          <w:p>
            <w:pPr>
              <w:spacing w:after="40" w:before="0" w:line="259" w:lineRule="auto"/>
            </w:pPr>
            <w:r>
              <w:rPr>
                <w:rFonts w:ascii="Calibri" w:hAnsi="Calibri"/>
                <w:b w:val="0"/>
                <w:i w:val="0"/>
                <w:color w:val="212121"/>
                <w:sz w:val="19"/>
              </w:rPr>
              <w:t>&lt; 9 hours/night (chronic)</w:t>
            </w:r>
          </w:p>
        </w:tc>
        <w:tc>
          <w:tcPr>
            <w:tcW w:type="dxa" w:w="1468"/>
            <w:vAlign w:val="top"/>
          </w:tcPr>
          <w:p>
            <w:pPr>
              <w:spacing w:after="60" w:line="259" w:lineRule="auto"/>
            </w:pPr>
            <w:r>
              <w:rPr>
                <w:rFonts w:ascii="Calibri" w:hAnsi="Calibri"/>
                <w:b w:val="0"/>
                <w:i w:val="0"/>
                <w:color w:val="212121"/>
                <w:sz w:val="19"/>
              </w:rPr>
              <w:t>Insufficient sleep impairs attention, memory and academic performance</w:t>
            </w:r>
          </w:p>
          <w:p>
            <w:pPr>
              <w:spacing w:after="40" w:line="252" w:lineRule="auto"/>
            </w:pPr>
            <w:hyperlink r:id="rId12">
              <w:r>
                <w:rPr>
                  <w:rFonts w:ascii="Calibri" w:hAnsi="Calibri" w:cs="Calibri"/>
                  <w:sz w:val="18"/>
                  <w:color w:val="1155CC"/>
                  <w:u w:val="single"/>
                </w:rPr>
                <w:t xml:space="preserve">https://www.sleepfoundation.org/children-and-sleep</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Haemoglobin (anaemia screen)</w:t>
            </w:r>
          </w:p>
        </w:tc>
        <w:tc>
          <w:tcPr>
            <w:tcW w:type="dxa" w:w="1655"/>
            <w:vAlign w:val="top"/>
          </w:tcPr>
          <w:p>
            <w:pPr>
              <w:spacing w:after="40" w:before="0" w:line="259" w:lineRule="auto"/>
            </w:pPr>
            <w:r>
              <w:rPr>
                <w:rFonts w:ascii="Calibri" w:hAnsi="Calibri"/>
                <w:b w:val="0"/>
                <w:i w:val="0"/>
                <w:color w:val="212121"/>
                <w:sz w:val="19"/>
              </w:rPr>
              <w:t>Children 5–11 years</w:t>
            </w:r>
          </w:p>
        </w:tc>
        <w:tc>
          <w:tcPr>
            <w:tcW w:type="dxa" w:w="1512"/>
            <w:vAlign w:val="top"/>
          </w:tcPr>
          <w:p>
            <w:pPr>
              <w:spacing w:after="40" w:before="0" w:line="259" w:lineRule="auto"/>
            </w:pPr>
            <w:r>
              <w:rPr>
                <w:rFonts w:ascii="Calibri" w:hAnsi="Calibri"/>
                <w:b w:val="0"/>
                <w:i w:val="0"/>
                <w:color w:val="212121"/>
                <w:sz w:val="19"/>
              </w:rPr>
              <w:t>≥ 11.5 g/dL</w:t>
            </w:r>
          </w:p>
        </w:tc>
        <w:tc>
          <w:tcPr>
            <w:tcW w:type="dxa" w:w="1512"/>
            <w:vAlign w:val="top"/>
          </w:tcPr>
          <w:p>
            <w:pPr>
              <w:spacing w:after="40" w:before="0" w:line="259" w:lineRule="auto"/>
            </w:pPr>
            <w:r>
              <w:rPr>
                <w:rFonts w:ascii="Calibri" w:hAnsi="Calibri"/>
                <w:b w:val="0"/>
                <w:i w:val="0"/>
                <w:color w:val="212121"/>
                <w:sz w:val="19"/>
              </w:rPr>
              <w:t>&lt; 11.5 g/dL (anaemia)</w:t>
            </w:r>
          </w:p>
        </w:tc>
        <w:tc>
          <w:tcPr>
            <w:tcW w:type="dxa" w:w="1468"/>
            <w:vAlign w:val="top"/>
          </w:tcPr>
          <w:p>
            <w:pPr>
              <w:spacing w:after="60" w:line="259" w:lineRule="auto"/>
            </w:pPr>
            <w:r>
              <w:rPr>
                <w:rFonts w:ascii="Calibri" w:hAnsi="Calibri"/>
                <w:b w:val="0"/>
                <w:i w:val="0"/>
                <w:color w:val="212121"/>
                <w:sz w:val="19"/>
              </w:rPr>
              <w:t>Iron-deficiency anaemia impairs cognition, attention and school performance</w:t>
            </w:r>
          </w:p>
          <w:p>
            <w:pPr>
              <w:spacing w:after="40" w:line="252" w:lineRule="auto"/>
            </w:pPr>
            <w:hyperlink r:id="rId13">
              <w:r>
                <w:rPr>
                  <w:rFonts w:ascii="Calibri" w:hAnsi="Calibri" w:cs="Calibri"/>
                  <w:sz w:val="18"/>
                  <w:color w:val="1155CC"/>
                  <w:u w:val="single"/>
                </w:rPr>
                <w:t xml:space="preserve">https://www.who.int/news-room/fact-sheets/detail/anaemia</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Reading fluency (words correct/minute)</w:t>
            </w:r>
          </w:p>
        </w:tc>
        <w:tc>
          <w:tcPr>
            <w:tcW w:type="dxa" w:w="1655"/>
            <w:vAlign w:val="top"/>
          </w:tcPr>
          <w:p>
            <w:pPr>
              <w:spacing w:after="40" w:before="0" w:line="259" w:lineRule="auto"/>
            </w:pPr>
            <w:r>
              <w:rPr>
                <w:rFonts w:ascii="Calibri" w:hAnsi="Calibri"/>
                <w:b w:val="0"/>
                <w:i w:val="0"/>
                <w:color w:val="212121"/>
                <w:sz w:val="19"/>
              </w:rPr>
              <w:t>Primary-grade readers</w:t>
            </w:r>
          </w:p>
        </w:tc>
        <w:tc>
          <w:tcPr>
            <w:tcW w:type="dxa" w:w="1512"/>
            <w:vAlign w:val="top"/>
          </w:tcPr>
          <w:p>
            <w:pPr>
              <w:spacing w:after="40" w:before="0" w:line="259" w:lineRule="auto"/>
            </w:pPr>
            <w:r>
              <w:rPr>
                <w:rFonts w:ascii="Calibri" w:hAnsi="Calibri"/>
                <w:b w:val="0"/>
                <w:i w:val="0"/>
                <w:color w:val="212121"/>
                <w:sz w:val="19"/>
              </w:rPr>
              <w:t>At or above grade-level norm</w:t>
            </w:r>
          </w:p>
        </w:tc>
        <w:tc>
          <w:tcPr>
            <w:tcW w:type="dxa" w:w="1512"/>
            <w:vAlign w:val="top"/>
          </w:tcPr>
          <w:p>
            <w:pPr>
              <w:spacing w:after="40" w:before="0" w:line="259" w:lineRule="auto"/>
            </w:pPr>
            <w:r>
              <w:rPr>
                <w:rFonts w:ascii="Calibri" w:hAnsi="Calibri"/>
                <w:b w:val="0"/>
                <w:i w:val="0"/>
                <w:color w:val="212121"/>
                <w:sz w:val="19"/>
              </w:rPr>
              <w:t>Persistently below grade-level norm</w:t>
            </w:r>
          </w:p>
        </w:tc>
        <w:tc>
          <w:tcPr>
            <w:tcW w:type="dxa" w:w="1468"/>
            <w:vAlign w:val="top"/>
          </w:tcPr>
          <w:p>
            <w:pPr>
              <w:spacing w:after="40" w:before="0" w:line="259" w:lineRule="auto"/>
            </w:pPr>
            <w:r>
              <w:rPr>
                <w:rFonts w:ascii="Calibri" w:hAnsi="Calibri"/>
                <w:b w:val="0"/>
                <w:i w:val="0"/>
                <w:color w:val="212121"/>
                <w:sz w:val="19"/>
              </w:rPr>
              <w:t>Slow, inaccurate oral reading is a core marker of dyslexia</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Achievement gap vs age/grade</w:t>
            </w:r>
          </w:p>
        </w:tc>
        <w:tc>
          <w:tcPr>
            <w:tcW w:type="dxa" w:w="1655"/>
            <w:vAlign w:val="top"/>
          </w:tcPr>
          <w:p>
            <w:pPr>
              <w:spacing w:after="40" w:before="0" w:line="259" w:lineRule="auto"/>
            </w:pPr>
            <w:r>
              <w:rPr>
                <w:rFonts w:ascii="Calibri" w:hAnsi="Calibri"/>
                <w:b w:val="0"/>
                <w:i w:val="0"/>
                <w:color w:val="212121"/>
                <w:sz w:val="19"/>
              </w:rPr>
              <w:t>Children assessed for SLD</w:t>
            </w:r>
          </w:p>
        </w:tc>
        <w:tc>
          <w:tcPr>
            <w:tcW w:type="dxa" w:w="1512"/>
            <w:vAlign w:val="top"/>
          </w:tcPr>
          <w:p>
            <w:pPr>
              <w:spacing w:after="40" w:before="0" w:line="259" w:lineRule="auto"/>
            </w:pPr>
            <w:r>
              <w:rPr>
                <w:rFonts w:ascii="Calibri" w:hAnsi="Calibri"/>
                <w:b w:val="0"/>
                <w:i w:val="0"/>
                <w:color w:val="212121"/>
                <w:sz w:val="19"/>
              </w:rPr>
              <w:t>Within age expectation</w:t>
            </w:r>
          </w:p>
        </w:tc>
        <w:tc>
          <w:tcPr>
            <w:tcW w:type="dxa" w:w="1512"/>
            <w:vAlign w:val="top"/>
          </w:tcPr>
          <w:p>
            <w:pPr>
              <w:spacing w:after="40" w:before="0" w:line="259" w:lineRule="auto"/>
            </w:pPr>
            <w:r>
              <w:rPr>
                <w:rFonts w:ascii="Calibri" w:hAnsi="Calibri"/>
                <w:b w:val="0"/>
                <w:i w:val="0"/>
                <w:color w:val="212121"/>
                <w:sz w:val="19"/>
              </w:rPr>
              <w:t>≥ 1.5 SD below mean / ≥ 2 grade levels behind</w:t>
            </w:r>
          </w:p>
        </w:tc>
        <w:tc>
          <w:tcPr>
            <w:tcW w:type="dxa" w:w="1468"/>
            <w:vAlign w:val="top"/>
          </w:tcPr>
          <w:p>
            <w:pPr>
              <w:spacing w:after="40" w:before="0" w:line="259" w:lineRule="auto"/>
            </w:pPr>
            <w:r>
              <w:rPr>
                <w:rFonts w:ascii="Calibri" w:hAnsi="Calibri"/>
                <w:b w:val="0"/>
                <w:i w:val="0"/>
                <w:color w:val="212121"/>
                <w:sz w:val="19"/>
              </w:rPr>
              <w:t>Quantifies Criterion B (substantially below expected achievement)</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Full-scale IQ (rule-out of ID)</w:t>
            </w:r>
          </w:p>
        </w:tc>
        <w:tc>
          <w:tcPr>
            <w:tcW w:type="dxa" w:w="1655"/>
            <w:vAlign w:val="top"/>
          </w:tcPr>
          <w:p>
            <w:pPr>
              <w:spacing w:after="40" w:before="0" w:line="259" w:lineRule="auto"/>
            </w:pPr>
            <w:r>
              <w:rPr>
                <w:rFonts w:ascii="Calibri" w:hAnsi="Calibri"/>
                <w:b w:val="0"/>
                <w:i w:val="0"/>
                <w:color w:val="212121"/>
                <w:sz w:val="19"/>
              </w:rPr>
              <w:t>Children assessed for SLD</w:t>
            </w:r>
          </w:p>
        </w:tc>
        <w:tc>
          <w:tcPr>
            <w:tcW w:type="dxa" w:w="1512"/>
            <w:vAlign w:val="top"/>
          </w:tcPr>
          <w:p>
            <w:pPr>
              <w:spacing w:after="40" w:before="0" w:line="259" w:lineRule="auto"/>
            </w:pPr>
            <w:r>
              <w:rPr>
                <w:rFonts w:ascii="Calibri" w:hAnsi="Calibri"/>
                <w:b w:val="0"/>
                <w:i w:val="0"/>
                <w:color w:val="212121"/>
                <w:sz w:val="19"/>
              </w:rPr>
              <w:t>≥ 85 (average range)</w:t>
            </w:r>
          </w:p>
        </w:tc>
        <w:tc>
          <w:tcPr>
            <w:tcW w:type="dxa" w:w="1512"/>
            <w:vAlign w:val="top"/>
          </w:tcPr>
          <w:p>
            <w:pPr>
              <w:spacing w:after="40" w:before="0" w:line="259" w:lineRule="auto"/>
            </w:pPr>
            <w:r>
              <w:rPr>
                <w:rFonts w:ascii="Calibri" w:hAnsi="Calibri"/>
                <w:b w:val="0"/>
                <w:i w:val="0"/>
                <w:color w:val="212121"/>
                <w:sz w:val="19"/>
              </w:rPr>
              <w:t>&lt; 70 suggests intellectual disability, not SLD</w:t>
            </w:r>
          </w:p>
        </w:tc>
        <w:tc>
          <w:tcPr>
            <w:tcW w:type="dxa" w:w="1468"/>
            <w:vAlign w:val="top"/>
          </w:tcPr>
          <w:p>
            <w:pPr>
              <w:spacing w:after="40" w:before="0" w:line="259" w:lineRule="auto"/>
            </w:pPr>
            <w:r>
              <w:rPr>
                <w:rFonts w:ascii="Calibri" w:hAnsi="Calibri"/>
                <w:b w:val="0"/>
                <w:i w:val="0"/>
                <w:color w:val="212121"/>
                <w:sz w:val="19"/>
              </w:rPr>
              <w:t>Confirms difficulty is 'unexpected' relative to overall ability</w:t>
            </w:r>
          </w:p>
        </w:tc>
      </w:tr>
      <w:tr>
        <w:trPr>
          <w:cantSplit/>
        </w:trPr>
        <w:tc>
          <w:tcPr>
            <w:tcW w:type="dxa" w:w="1512"/>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Handwriting legibility / speed</w:t>
            </w:r>
          </w:p>
        </w:tc>
        <w:tc>
          <w:tcPr>
            <w:tcW w:type="dxa" w:w="1655"/>
            <w:vAlign w:val="top"/>
          </w:tcPr>
          <w:p>
            <w:pPr>
              <w:spacing w:after="40" w:before="0" w:line="259" w:lineRule="auto"/>
            </w:pPr>
            <w:r>
              <w:rPr>
                <w:rFonts w:ascii="Calibri" w:hAnsi="Calibri"/>
                <w:b w:val="0"/>
                <w:i w:val="0"/>
                <w:color w:val="212121"/>
                <w:sz w:val="19"/>
              </w:rPr>
              <w:t>Children with suspected dysgraphia</w:t>
            </w:r>
          </w:p>
        </w:tc>
        <w:tc>
          <w:tcPr>
            <w:tcW w:type="dxa" w:w="1512"/>
            <w:vAlign w:val="top"/>
          </w:tcPr>
          <w:p>
            <w:pPr>
              <w:spacing w:after="40" w:before="0" w:line="259" w:lineRule="auto"/>
            </w:pPr>
            <w:r>
              <w:rPr>
                <w:rFonts w:ascii="Calibri" w:hAnsi="Calibri"/>
                <w:b w:val="0"/>
                <w:i w:val="0"/>
                <w:color w:val="212121"/>
                <w:sz w:val="19"/>
              </w:rPr>
              <w:t>Legible, age-appropriate speed</w:t>
            </w:r>
          </w:p>
        </w:tc>
        <w:tc>
          <w:tcPr>
            <w:tcW w:type="dxa" w:w="1512"/>
            <w:vAlign w:val="top"/>
          </w:tcPr>
          <w:p>
            <w:pPr>
              <w:spacing w:after="40" w:before="0" w:line="259" w:lineRule="auto"/>
            </w:pPr>
            <w:r>
              <w:rPr>
                <w:rFonts w:ascii="Calibri" w:hAnsi="Calibri"/>
                <w:b w:val="0"/>
                <w:i w:val="0"/>
                <w:color w:val="212121"/>
                <w:sz w:val="19"/>
              </w:rPr>
              <w:t>Illegible or very slow, effortful writing</w:t>
            </w:r>
          </w:p>
        </w:tc>
        <w:tc>
          <w:tcPr>
            <w:tcW w:type="dxa" w:w="1468"/>
            <w:vAlign w:val="top"/>
          </w:tcPr>
          <w:p>
            <w:pPr>
              <w:spacing w:after="40" w:before="0" w:line="259" w:lineRule="auto"/>
            </w:pPr>
            <w:r>
              <w:rPr>
                <w:rFonts w:ascii="Calibri" w:hAnsi="Calibri"/>
                <w:b w:val="0"/>
                <w:i w:val="0"/>
                <w:color w:val="212121"/>
                <w:sz w:val="19"/>
              </w:rPr>
              <w:t>Assessed with graphomotor and copying tasks; guides OT referral</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Recreational screen time (hours/day)</w:t>
            </w:r>
          </w:p>
        </w:tc>
        <w:tc>
          <w:tcPr>
            <w:tcW w:type="dxa" w:w="1655"/>
            <w:vAlign w:val="top"/>
          </w:tcPr>
          <w:p>
            <w:pPr>
              <w:spacing w:after="40" w:before="0" w:line="259" w:lineRule="auto"/>
            </w:pPr>
            <w:r>
              <w:rPr>
                <w:rFonts w:ascii="Calibri" w:hAnsi="Calibri"/>
                <w:b w:val="0"/>
                <w:i w:val="0"/>
                <w:color w:val="212121"/>
                <w:sz w:val="19"/>
              </w:rPr>
              <w:t>Children &amp; adolescents</w:t>
            </w:r>
          </w:p>
        </w:tc>
        <w:tc>
          <w:tcPr>
            <w:tcW w:type="dxa" w:w="1512"/>
            <w:vAlign w:val="top"/>
          </w:tcPr>
          <w:p>
            <w:pPr>
              <w:spacing w:after="40" w:before="0" w:line="259" w:lineRule="auto"/>
            </w:pPr>
            <w:r>
              <w:rPr>
                <w:rFonts w:ascii="Calibri" w:hAnsi="Calibri"/>
                <w:b w:val="0"/>
                <w:i w:val="0"/>
                <w:color w:val="212121"/>
                <w:sz w:val="19"/>
              </w:rPr>
              <w:t>≤ 2 hours/day recreational</w:t>
            </w:r>
          </w:p>
        </w:tc>
        <w:tc>
          <w:tcPr>
            <w:tcW w:type="dxa" w:w="1512"/>
            <w:vAlign w:val="top"/>
          </w:tcPr>
          <w:p>
            <w:pPr>
              <w:spacing w:after="40" w:before="0" w:line="259" w:lineRule="auto"/>
            </w:pPr>
            <w:r>
              <w:rPr>
                <w:rFonts w:ascii="Calibri" w:hAnsi="Calibri"/>
                <w:b w:val="0"/>
                <w:i w:val="0"/>
                <w:color w:val="212121"/>
                <w:sz w:val="19"/>
              </w:rPr>
              <w:t>&gt; 2 hours/day displacing reading/sleep</w:t>
            </w:r>
          </w:p>
        </w:tc>
        <w:tc>
          <w:tcPr>
            <w:tcW w:type="dxa" w:w="1468"/>
            <w:vAlign w:val="top"/>
          </w:tcPr>
          <w:p>
            <w:pPr>
              <w:spacing w:after="40" w:before="0" w:line="259" w:lineRule="auto"/>
            </w:pPr>
            <w:r>
              <w:rPr>
                <w:rFonts w:ascii="Calibri" w:hAnsi="Calibri"/>
                <w:b w:val="0"/>
                <w:i w:val="0"/>
                <w:color w:val="212121"/>
                <w:sz w:val="19"/>
              </w:rPr>
              <w:t>Excess screen use reduces reading practice and shortens sleep</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Anxiety / depression screen</w:t>
            </w:r>
          </w:p>
        </w:tc>
        <w:tc>
          <w:tcPr>
            <w:tcW w:type="dxa" w:w="1655"/>
            <w:vAlign w:val="top"/>
          </w:tcPr>
          <w:p>
            <w:pPr>
              <w:spacing w:after="40" w:before="0" w:line="259" w:lineRule="auto"/>
            </w:pPr>
            <w:r>
              <w:rPr>
                <w:rFonts w:ascii="Calibri" w:hAnsi="Calibri"/>
                <w:b w:val="0"/>
                <w:i w:val="0"/>
                <w:color w:val="212121"/>
                <w:sz w:val="19"/>
              </w:rPr>
              <w:t>Children with academic difficulty</w:t>
            </w:r>
          </w:p>
        </w:tc>
        <w:tc>
          <w:tcPr>
            <w:tcW w:type="dxa" w:w="1512"/>
            <w:vAlign w:val="top"/>
          </w:tcPr>
          <w:p>
            <w:pPr>
              <w:spacing w:after="40" w:before="0" w:line="259" w:lineRule="auto"/>
            </w:pPr>
            <w:r>
              <w:rPr>
                <w:rFonts w:ascii="Calibri" w:hAnsi="Calibri"/>
                <w:b w:val="0"/>
                <w:i w:val="0"/>
                <w:color w:val="212121"/>
                <w:sz w:val="19"/>
              </w:rPr>
              <w:t>Below clinical cut-off</w:t>
            </w:r>
          </w:p>
        </w:tc>
        <w:tc>
          <w:tcPr>
            <w:tcW w:type="dxa" w:w="1512"/>
            <w:vAlign w:val="top"/>
          </w:tcPr>
          <w:p>
            <w:pPr>
              <w:spacing w:after="40" w:before="0" w:line="259" w:lineRule="auto"/>
            </w:pPr>
            <w:r>
              <w:rPr>
                <w:rFonts w:ascii="Calibri" w:hAnsi="Calibri"/>
                <w:b w:val="0"/>
                <w:i w:val="0"/>
                <w:color w:val="212121"/>
                <w:sz w:val="19"/>
              </w:rPr>
              <w:t>Above clinical cut-off on validated screen</w:t>
            </w:r>
          </w:p>
        </w:tc>
        <w:tc>
          <w:tcPr>
            <w:tcW w:type="dxa" w:w="1468"/>
            <w:vAlign w:val="top"/>
          </w:tcPr>
          <w:p>
            <w:pPr>
              <w:spacing w:after="60" w:line="259" w:lineRule="auto"/>
            </w:pPr>
            <w:r>
              <w:rPr>
                <w:rFonts w:ascii="Calibri" w:hAnsi="Calibri"/>
                <w:b w:val="0"/>
                <w:i w:val="0"/>
                <w:color w:val="212121"/>
                <w:sz w:val="19"/>
              </w:rPr>
              <w:t>Screens for secondary emotional distress that worsens learning</w:t>
            </w:r>
          </w:p>
          <w:p>
            <w:pPr>
              <w:spacing w:after="40" w:line="252" w:lineRule="auto"/>
            </w:pPr>
            <w:hyperlink r:id="rId16">
              <w:r>
                <w:rPr>
                  <w:rFonts w:ascii="Calibri" w:hAnsi="Calibri" w:cs="Calibri"/>
                  <w:sz w:val="18"/>
                  <w:color w:val="1155CC"/>
                  <w:u w:val="single"/>
                </w:rPr>
                <w:t xml:space="preserve">https://www.who.int/news-room/fact-sheets/detail/adolescent-mental-health</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Psychometric</w:t>
            </w:r>
          </w:p>
        </w:tc>
        <w:tc>
          <w:tcPr>
            <w:tcW w:type="dxa" w:w="1036"/>
            <w:vAlign w:val="top"/>
          </w:tcPr>
          <w:p>
            <w:pPr>
              <w:spacing w:after="40" w:before="0" w:line="259" w:lineRule="auto"/>
            </w:pPr>
            <w:r>
              <w:rPr>
                <w:rFonts w:ascii="Calibri" w:hAnsi="Calibri"/>
                <w:b w:val="0"/>
                <w:i w:val="0"/>
                <w:color w:val="212121"/>
                <w:sz w:val="16"/>
              </w:rPr>
              <w:t>Full-scale IQ / cognitive ability</w:t>
            </w:r>
          </w:p>
        </w:tc>
        <w:tc>
          <w:tcPr>
            <w:tcW w:type="dxa" w:w="892"/>
            <w:vAlign w:val="top"/>
          </w:tcPr>
          <w:p>
            <w:pPr>
              <w:spacing w:after="40" w:before="0" w:line="259" w:lineRule="auto"/>
            </w:pPr>
            <w:r>
              <w:rPr>
                <w:rFonts w:ascii="Calibri" w:hAnsi="Calibri"/>
                <w:b w:val="0"/>
                <w:i w:val="0"/>
                <w:color w:val="212121"/>
                <w:sz w:val="16"/>
              </w:rPr>
              <w:t>Standardized intelligence test (e.g., WISC-V, MISIC)</w:t>
            </w:r>
          </w:p>
        </w:tc>
        <w:tc>
          <w:tcPr>
            <w:tcW w:type="dxa" w:w="950"/>
            <w:vAlign w:val="top"/>
          </w:tcPr>
          <w:p>
            <w:pPr>
              <w:spacing w:after="40" w:before="0" w:line="259" w:lineRule="auto"/>
            </w:pPr>
            <w:r>
              <w:rPr>
                <w:rFonts w:ascii="Calibri" w:hAnsi="Calibri"/>
                <w:b w:val="0"/>
                <w:i w:val="0"/>
                <w:color w:val="212121"/>
                <w:sz w:val="16"/>
              </w:rPr>
              <w:t>≥ 85 (average range)</w:t>
            </w:r>
          </w:p>
        </w:tc>
        <w:tc>
          <w:tcPr>
            <w:tcW w:type="dxa" w:w="950"/>
            <w:vAlign w:val="top"/>
          </w:tcPr>
          <w:p>
            <w:pPr>
              <w:spacing w:after="40" w:before="0" w:line="259" w:lineRule="auto"/>
            </w:pPr>
            <w:r>
              <w:rPr>
                <w:rFonts w:ascii="Calibri" w:hAnsi="Calibri"/>
                <w:b w:val="0"/>
                <w:i w:val="0"/>
                <w:color w:val="212121"/>
                <w:sz w:val="16"/>
              </w:rPr>
              <w:t>&lt; 70 indicates intellectual disability</w:t>
            </w:r>
          </w:p>
        </w:tc>
        <w:tc>
          <w:tcPr>
            <w:tcW w:type="dxa" w:w="1036"/>
            <w:vAlign w:val="top"/>
          </w:tcPr>
          <w:p>
            <w:pPr>
              <w:spacing w:after="40" w:before="0" w:line="259" w:lineRule="auto"/>
            </w:pPr>
            <w:r>
              <w:rPr>
                <w:rFonts w:ascii="Calibri" w:hAnsi="Calibri"/>
                <w:b w:val="0"/>
                <w:i w:val="0"/>
                <w:color w:val="212121"/>
                <w:sz w:val="16"/>
              </w:rPr>
              <w:t>Establishes that learning difficulty is unexpected relative to general ability and excludes intellectual disability</w:t>
            </w:r>
          </w:p>
        </w:tc>
        <w:tc>
          <w:tcPr>
            <w:tcW w:type="dxa" w:w="1036"/>
            <w:vAlign w:val="top"/>
          </w:tcPr>
          <w:p>
            <w:pPr>
              <w:spacing w:after="40" w:before="0" w:line="259" w:lineRule="auto"/>
            </w:pPr>
            <w:r>
              <w:rPr>
                <w:rFonts w:ascii="Calibri" w:hAnsi="Calibri"/>
                <w:b w:val="0"/>
                <w:i w:val="0"/>
                <w:color w:val="212121"/>
                <w:sz w:val="16"/>
              </w:rPr>
              <w:t>Children referred for academic failure, suspected SLD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Essential (rule-out)</w:t>
            </w:r>
          </w:p>
        </w:tc>
        <w:tc>
          <w:tcPr>
            <w:tcW w:type="dxa" w:w="720"/>
            <w:vAlign w:val="top"/>
          </w:tcPr>
          <w:p>
            <w:pPr>
              <w:spacing w:after="40" w:before="0" w:line="259" w:lineRule="auto"/>
            </w:pPr>
            <w:r>
              <w:rPr>
                <w:rFonts w:ascii="Calibri" w:hAnsi="Calibri"/>
                <w:b w:val="0"/>
                <w:i w:val="0"/>
                <w:color w:val="212121"/>
                <w:sz w:val="16"/>
              </w:rPr>
              <w:t>Interpret subtest scatter, not just the global score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Psychometric</w:t>
            </w:r>
          </w:p>
        </w:tc>
        <w:tc>
          <w:tcPr>
            <w:tcW w:type="dxa" w:w="1036"/>
            <w:vAlign w:val="top"/>
          </w:tcPr>
          <w:p>
            <w:pPr>
              <w:spacing w:after="40" w:before="0" w:line="259" w:lineRule="auto"/>
            </w:pPr>
            <w:r>
              <w:rPr>
                <w:rFonts w:ascii="Calibri" w:hAnsi="Calibri"/>
                <w:b w:val="0"/>
                <w:i w:val="0"/>
                <w:color w:val="212121"/>
                <w:sz w:val="16"/>
              </w:rPr>
              <w:t>Academic achievement (reading, writing, maths)</w:t>
            </w:r>
          </w:p>
        </w:tc>
        <w:tc>
          <w:tcPr>
            <w:tcW w:type="dxa" w:w="892"/>
            <w:vAlign w:val="top"/>
          </w:tcPr>
          <w:p>
            <w:pPr>
              <w:spacing w:after="40" w:before="0" w:line="259" w:lineRule="auto"/>
            </w:pPr>
            <w:r>
              <w:rPr>
                <w:rFonts w:ascii="Calibri" w:hAnsi="Calibri"/>
                <w:b w:val="0"/>
                <w:i w:val="0"/>
                <w:color w:val="212121"/>
                <w:sz w:val="16"/>
              </w:rPr>
              <w:t>Standardized achievement battery / curriculum-based / NIMHANS SLD Index</w:t>
            </w:r>
          </w:p>
        </w:tc>
        <w:tc>
          <w:tcPr>
            <w:tcW w:type="dxa" w:w="950"/>
            <w:vAlign w:val="top"/>
          </w:tcPr>
          <w:p>
            <w:pPr>
              <w:spacing w:after="40" w:before="0" w:line="259" w:lineRule="auto"/>
            </w:pPr>
            <w:r>
              <w:rPr>
                <w:rFonts w:ascii="Calibri" w:hAnsi="Calibri"/>
                <w:b w:val="0"/>
                <w:i w:val="0"/>
                <w:color w:val="212121"/>
                <w:sz w:val="16"/>
              </w:rPr>
              <w:t>Within age &amp; grade expectation</w:t>
            </w:r>
          </w:p>
        </w:tc>
        <w:tc>
          <w:tcPr>
            <w:tcW w:type="dxa" w:w="950"/>
            <w:vAlign w:val="top"/>
          </w:tcPr>
          <w:p>
            <w:pPr>
              <w:spacing w:after="40" w:before="0" w:line="259" w:lineRule="auto"/>
            </w:pPr>
            <w:r>
              <w:rPr>
                <w:rFonts w:ascii="Calibri" w:hAnsi="Calibri"/>
                <w:b w:val="0"/>
                <w:i w:val="0"/>
                <w:color w:val="212121"/>
                <w:sz w:val="16"/>
              </w:rPr>
              <w:t>≥ 1.5 SD below mean / ≥ 2 grade levels behind</w:t>
            </w:r>
          </w:p>
        </w:tc>
        <w:tc>
          <w:tcPr>
            <w:tcW w:type="dxa" w:w="1036"/>
            <w:vAlign w:val="top"/>
          </w:tcPr>
          <w:p>
            <w:pPr>
              <w:spacing w:after="40" w:before="0" w:line="259" w:lineRule="auto"/>
            </w:pPr>
            <w:r>
              <w:rPr>
                <w:rFonts w:ascii="Calibri" w:hAnsi="Calibri"/>
                <w:b w:val="0"/>
                <w:i w:val="0"/>
                <w:color w:val="212121"/>
                <w:sz w:val="16"/>
              </w:rPr>
              <w:t>Quantifies the domain(s) of impairment and confirms Criterion B</w:t>
            </w:r>
          </w:p>
        </w:tc>
        <w:tc>
          <w:tcPr>
            <w:tcW w:type="dxa" w:w="1036"/>
            <w:vAlign w:val="top"/>
          </w:tcPr>
          <w:p>
            <w:pPr>
              <w:spacing w:after="40" w:before="0" w:line="259" w:lineRule="auto"/>
            </w:pPr>
            <w:r>
              <w:rPr>
                <w:rFonts w:ascii="Calibri" w:hAnsi="Calibri"/>
                <w:b w:val="0"/>
                <w:i w:val="0"/>
                <w:color w:val="212121"/>
                <w:sz w:val="16"/>
              </w:rPr>
              <w:t>School-age children with persistent underachievement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Test in the child's language of instruction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Psychometric</w:t>
            </w:r>
          </w:p>
        </w:tc>
        <w:tc>
          <w:tcPr>
            <w:tcW w:type="dxa" w:w="1036"/>
            <w:vAlign w:val="top"/>
          </w:tcPr>
          <w:p>
            <w:pPr>
              <w:spacing w:after="40" w:before="0" w:line="259" w:lineRule="auto"/>
            </w:pPr>
            <w:r>
              <w:rPr>
                <w:rFonts w:ascii="Calibri" w:hAnsi="Calibri"/>
                <w:b w:val="0"/>
                <w:i w:val="0"/>
                <w:color w:val="212121"/>
                <w:sz w:val="16"/>
              </w:rPr>
              <w:t>Phonological processing &amp; reading fluency</w:t>
            </w:r>
          </w:p>
        </w:tc>
        <w:tc>
          <w:tcPr>
            <w:tcW w:type="dxa" w:w="892"/>
            <w:vAlign w:val="top"/>
          </w:tcPr>
          <w:p>
            <w:pPr>
              <w:spacing w:after="40" w:before="0" w:line="259" w:lineRule="auto"/>
            </w:pPr>
            <w:r>
              <w:rPr>
                <w:rFonts w:ascii="Calibri" w:hAnsi="Calibri"/>
                <w:b w:val="0"/>
                <w:i w:val="0"/>
                <w:color w:val="212121"/>
                <w:sz w:val="16"/>
              </w:rPr>
              <w:t>Phonological awareness / rapid naming / DALI reading tests</w:t>
            </w:r>
          </w:p>
        </w:tc>
        <w:tc>
          <w:tcPr>
            <w:tcW w:type="dxa" w:w="950"/>
            <w:vAlign w:val="top"/>
          </w:tcPr>
          <w:p>
            <w:pPr>
              <w:spacing w:after="40" w:before="0" w:line="259" w:lineRule="auto"/>
            </w:pPr>
            <w:r>
              <w:rPr>
                <w:rFonts w:ascii="Calibri" w:hAnsi="Calibri"/>
                <w:b w:val="0"/>
                <w:i w:val="0"/>
                <w:color w:val="212121"/>
                <w:sz w:val="16"/>
              </w:rPr>
              <w:t>Age-appropriate performance</w:t>
            </w:r>
          </w:p>
        </w:tc>
        <w:tc>
          <w:tcPr>
            <w:tcW w:type="dxa" w:w="950"/>
            <w:vAlign w:val="top"/>
          </w:tcPr>
          <w:p>
            <w:pPr>
              <w:spacing w:after="40" w:before="0" w:line="259" w:lineRule="auto"/>
            </w:pPr>
            <w:r>
              <w:rPr>
                <w:rFonts w:ascii="Calibri" w:hAnsi="Calibri"/>
                <w:b w:val="0"/>
                <w:i w:val="0"/>
                <w:color w:val="212121"/>
                <w:sz w:val="16"/>
              </w:rPr>
              <w:t>Deficient phonemic awareness, slow naming, low fluency</w:t>
            </w:r>
          </w:p>
        </w:tc>
        <w:tc>
          <w:tcPr>
            <w:tcW w:type="dxa" w:w="1036"/>
            <w:vAlign w:val="top"/>
          </w:tcPr>
          <w:p>
            <w:pPr>
              <w:spacing w:after="40" w:before="0" w:line="259" w:lineRule="auto"/>
            </w:pPr>
            <w:r>
              <w:rPr>
                <w:rFonts w:ascii="Calibri" w:hAnsi="Calibri"/>
                <w:b w:val="0"/>
                <w:i w:val="0"/>
                <w:color w:val="212121"/>
                <w:sz w:val="16"/>
              </w:rPr>
              <w:t>Identifies the core deficit of dyslexia and guides remediation</w:t>
            </w:r>
          </w:p>
        </w:tc>
        <w:tc>
          <w:tcPr>
            <w:tcW w:type="dxa" w:w="1036"/>
            <w:vAlign w:val="top"/>
          </w:tcPr>
          <w:p>
            <w:pPr>
              <w:spacing w:after="40" w:before="0" w:line="259" w:lineRule="auto"/>
            </w:pPr>
            <w:r>
              <w:rPr>
                <w:rFonts w:ascii="Calibri" w:hAnsi="Calibri"/>
                <w:b w:val="0"/>
                <w:i w:val="0"/>
                <w:color w:val="212121"/>
                <w:sz w:val="16"/>
              </w:rPr>
              <w:t>Children with slow/inaccurate reading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Use language-appropriate Indian tools (e.g., DALI)</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Screening</w:t>
            </w:r>
          </w:p>
        </w:tc>
        <w:tc>
          <w:tcPr>
            <w:tcW w:type="dxa" w:w="1036"/>
            <w:vAlign w:val="top"/>
          </w:tcPr>
          <w:p>
            <w:pPr>
              <w:spacing w:after="40" w:before="0" w:line="259" w:lineRule="auto"/>
            </w:pPr>
            <w:r>
              <w:rPr>
                <w:rFonts w:ascii="Calibri" w:hAnsi="Calibri"/>
                <w:b w:val="0"/>
                <w:i w:val="0"/>
                <w:color w:val="212121"/>
                <w:sz w:val="16"/>
              </w:rPr>
              <w:t>Vision &amp; hearing acuity</w:t>
            </w:r>
          </w:p>
        </w:tc>
        <w:tc>
          <w:tcPr>
            <w:tcW w:type="dxa" w:w="892"/>
            <w:vAlign w:val="top"/>
          </w:tcPr>
          <w:p>
            <w:pPr>
              <w:spacing w:after="40" w:before="0" w:line="259" w:lineRule="auto"/>
            </w:pPr>
            <w:r>
              <w:rPr>
                <w:rFonts w:ascii="Calibri" w:hAnsi="Calibri"/>
                <w:b w:val="0"/>
                <w:i w:val="0"/>
                <w:color w:val="212121"/>
                <w:sz w:val="16"/>
              </w:rPr>
              <w:t>Visual acuity testing; audiometry</w:t>
            </w:r>
          </w:p>
        </w:tc>
        <w:tc>
          <w:tcPr>
            <w:tcW w:type="dxa" w:w="950"/>
            <w:vAlign w:val="top"/>
          </w:tcPr>
          <w:p>
            <w:pPr>
              <w:spacing w:after="40" w:before="0" w:line="259" w:lineRule="auto"/>
            </w:pPr>
            <w:r>
              <w:rPr>
                <w:rFonts w:ascii="Calibri" w:hAnsi="Calibri"/>
                <w:b w:val="0"/>
                <w:i w:val="0"/>
                <w:color w:val="212121"/>
                <w:sz w:val="16"/>
              </w:rPr>
              <w:t>Normal corrected vision and hearing</w:t>
            </w:r>
          </w:p>
        </w:tc>
        <w:tc>
          <w:tcPr>
            <w:tcW w:type="dxa" w:w="950"/>
            <w:vAlign w:val="top"/>
          </w:tcPr>
          <w:p>
            <w:pPr>
              <w:spacing w:after="40" w:before="0" w:line="259" w:lineRule="auto"/>
            </w:pPr>
            <w:r>
              <w:rPr>
                <w:rFonts w:ascii="Calibri" w:hAnsi="Calibri"/>
                <w:b w:val="0"/>
                <w:i w:val="0"/>
                <w:color w:val="212121"/>
                <w:sz w:val="16"/>
              </w:rPr>
              <w:t>Uncorrected refractive error or hearing loss</w:t>
            </w:r>
          </w:p>
        </w:tc>
        <w:tc>
          <w:tcPr>
            <w:tcW w:type="dxa" w:w="1036"/>
            <w:vAlign w:val="top"/>
          </w:tcPr>
          <w:p>
            <w:pPr>
              <w:spacing w:after="40" w:before="0" w:line="259" w:lineRule="auto"/>
            </w:pPr>
            <w:r>
              <w:rPr>
                <w:rFonts w:ascii="Calibri" w:hAnsi="Calibri"/>
                <w:b w:val="0"/>
                <w:i w:val="0"/>
                <w:color w:val="212121"/>
                <w:sz w:val="16"/>
              </w:rPr>
              <w:t>Excludes sensory causes of reading/learning difficulty (Criterion D)</w:t>
            </w:r>
          </w:p>
        </w:tc>
        <w:tc>
          <w:tcPr>
            <w:tcW w:type="dxa" w:w="1036"/>
            <w:vAlign w:val="top"/>
          </w:tcPr>
          <w:p>
            <w:pPr>
              <w:spacing w:after="40" w:before="0" w:line="259" w:lineRule="auto"/>
            </w:pPr>
            <w:r>
              <w:rPr>
                <w:rFonts w:ascii="Calibri" w:hAnsi="Calibri"/>
                <w:b w:val="0"/>
                <w:i w:val="0"/>
                <w:color w:val="212121"/>
                <w:sz w:val="16"/>
              </w:rPr>
              <w:t>All children assessed for SLD</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Essential (rule-out)</w:t>
            </w:r>
          </w:p>
        </w:tc>
        <w:tc>
          <w:tcPr>
            <w:tcW w:type="dxa" w:w="720"/>
            <w:vAlign w:val="top"/>
          </w:tcPr>
          <w:p>
            <w:pPr>
              <w:spacing w:after="40" w:before="0" w:line="259" w:lineRule="auto"/>
            </w:pPr>
            <w:r>
              <w:rPr>
                <w:rFonts w:ascii="Calibri" w:hAnsi="Calibri"/>
                <w:b w:val="0"/>
                <w:i w:val="0"/>
                <w:color w:val="212121"/>
                <w:sz w:val="16"/>
              </w:rPr>
              <w:t>Mandatory before confirming an SLD diagnosis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Haemoglobin / iron studies</w:t>
            </w:r>
          </w:p>
        </w:tc>
        <w:tc>
          <w:tcPr>
            <w:tcW w:type="dxa" w:w="892"/>
            <w:vAlign w:val="top"/>
          </w:tcPr>
          <w:p>
            <w:pPr>
              <w:spacing w:after="40" w:before="0" w:line="259" w:lineRule="auto"/>
            </w:pPr>
            <w:r>
              <w:rPr>
                <w:rFonts w:ascii="Calibri" w:hAnsi="Calibri"/>
                <w:b w:val="0"/>
                <w:i w:val="0"/>
                <w:color w:val="212121"/>
                <w:sz w:val="16"/>
              </w:rPr>
              <w:t>Complete blood count, ferritin</w:t>
            </w:r>
          </w:p>
        </w:tc>
        <w:tc>
          <w:tcPr>
            <w:tcW w:type="dxa" w:w="950"/>
            <w:vAlign w:val="top"/>
          </w:tcPr>
          <w:p>
            <w:pPr>
              <w:spacing w:after="40" w:before="0" w:line="259" w:lineRule="auto"/>
            </w:pPr>
            <w:r>
              <w:rPr>
                <w:rFonts w:ascii="Calibri" w:hAnsi="Calibri"/>
                <w:b w:val="0"/>
                <w:i w:val="0"/>
                <w:color w:val="212121"/>
                <w:sz w:val="16"/>
              </w:rPr>
              <w:t>Hb ≥ 11.5 g/dL (5–11 y)</w:t>
            </w:r>
          </w:p>
        </w:tc>
        <w:tc>
          <w:tcPr>
            <w:tcW w:type="dxa" w:w="950"/>
            <w:vAlign w:val="top"/>
          </w:tcPr>
          <w:p>
            <w:pPr>
              <w:spacing w:after="40" w:before="0" w:line="259" w:lineRule="auto"/>
            </w:pPr>
            <w:r>
              <w:rPr>
                <w:rFonts w:ascii="Calibri" w:hAnsi="Calibri"/>
                <w:b w:val="0"/>
                <w:i w:val="0"/>
                <w:color w:val="212121"/>
                <w:sz w:val="16"/>
              </w:rPr>
              <w:t>Anaemia / low ferritin</w:t>
            </w:r>
          </w:p>
        </w:tc>
        <w:tc>
          <w:tcPr>
            <w:tcW w:type="dxa" w:w="1036"/>
            <w:vAlign w:val="top"/>
          </w:tcPr>
          <w:p>
            <w:pPr>
              <w:spacing w:after="40" w:before="0" w:line="259" w:lineRule="auto"/>
            </w:pPr>
            <w:r>
              <w:rPr>
                <w:rFonts w:ascii="Calibri" w:hAnsi="Calibri"/>
                <w:b w:val="0"/>
                <w:i w:val="0"/>
                <w:color w:val="212121"/>
                <w:sz w:val="16"/>
              </w:rPr>
              <w:t>Identifies a treatable contributor to poor attention and learning</w:t>
            </w:r>
          </w:p>
        </w:tc>
        <w:tc>
          <w:tcPr>
            <w:tcW w:type="dxa" w:w="1036"/>
            <w:vAlign w:val="top"/>
          </w:tcPr>
          <w:p>
            <w:pPr>
              <w:spacing w:after="40" w:before="0" w:line="259" w:lineRule="auto"/>
            </w:pPr>
            <w:r>
              <w:rPr>
                <w:rFonts w:ascii="Calibri" w:hAnsi="Calibri"/>
                <w:b w:val="0"/>
                <w:i w:val="0"/>
                <w:color w:val="212121"/>
                <w:sz w:val="16"/>
              </w:rPr>
              <w:t>Undernourished or pale children, low-SES settings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Highly relevant given India's anaemia burden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Thyroid function</w:t>
            </w:r>
          </w:p>
        </w:tc>
        <w:tc>
          <w:tcPr>
            <w:tcW w:type="dxa" w:w="892"/>
            <w:vAlign w:val="top"/>
          </w:tcPr>
          <w:p>
            <w:pPr>
              <w:spacing w:after="40" w:before="0" w:line="259" w:lineRule="auto"/>
            </w:pPr>
            <w:r>
              <w:rPr>
                <w:rFonts w:ascii="Calibri" w:hAnsi="Calibri"/>
                <w:b w:val="0"/>
                <w:i w:val="0"/>
                <w:color w:val="212121"/>
                <w:sz w:val="16"/>
              </w:rPr>
              <w:t>TSH ± free T4</w:t>
            </w:r>
          </w:p>
        </w:tc>
        <w:tc>
          <w:tcPr>
            <w:tcW w:type="dxa" w:w="950"/>
            <w:vAlign w:val="top"/>
          </w:tcPr>
          <w:p>
            <w:pPr>
              <w:spacing w:after="40" w:before="0" w:line="259" w:lineRule="auto"/>
            </w:pPr>
            <w:r>
              <w:rPr>
                <w:rFonts w:ascii="Calibri" w:hAnsi="Calibri"/>
                <w:b w:val="0"/>
                <w:i w:val="0"/>
                <w:color w:val="212121"/>
                <w:sz w:val="16"/>
              </w:rPr>
              <w:t>Euthyroid</w:t>
            </w:r>
          </w:p>
        </w:tc>
        <w:tc>
          <w:tcPr>
            <w:tcW w:type="dxa" w:w="950"/>
            <w:vAlign w:val="top"/>
          </w:tcPr>
          <w:p>
            <w:pPr>
              <w:spacing w:after="40" w:before="0" w:line="259" w:lineRule="auto"/>
            </w:pPr>
            <w:r>
              <w:rPr>
                <w:rFonts w:ascii="Calibri" w:hAnsi="Calibri"/>
                <w:b w:val="0"/>
                <w:i w:val="0"/>
                <w:color w:val="212121"/>
                <w:sz w:val="16"/>
              </w:rPr>
              <w:t>Hypothyroidism</w:t>
            </w:r>
          </w:p>
        </w:tc>
        <w:tc>
          <w:tcPr>
            <w:tcW w:type="dxa" w:w="1036"/>
            <w:vAlign w:val="top"/>
          </w:tcPr>
          <w:p>
            <w:pPr>
              <w:spacing w:after="40" w:before="0" w:line="259" w:lineRule="auto"/>
            </w:pPr>
            <w:r>
              <w:rPr>
                <w:rFonts w:ascii="Calibri" w:hAnsi="Calibri"/>
                <w:b w:val="0"/>
                <w:i w:val="0"/>
                <w:color w:val="212121"/>
                <w:sz w:val="16"/>
              </w:rPr>
              <w:t>Excludes a reversible endocrine cause of poor concentration and school performance</w:t>
            </w:r>
          </w:p>
        </w:tc>
        <w:tc>
          <w:tcPr>
            <w:tcW w:type="dxa" w:w="1036"/>
            <w:vAlign w:val="top"/>
          </w:tcPr>
          <w:p>
            <w:pPr>
              <w:spacing w:after="40" w:before="0" w:line="259" w:lineRule="auto"/>
            </w:pPr>
            <w:r>
              <w:rPr>
                <w:rFonts w:ascii="Calibri" w:hAnsi="Calibri"/>
                <w:b w:val="0"/>
                <w:i w:val="0"/>
                <w:color w:val="212121"/>
                <w:sz w:val="16"/>
              </w:rPr>
              <w:t>Children with global decline in performance, fatigue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Consider where cognitive slowing is generalised</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Developmental &amp; academic history</w:t>
            </w:r>
          </w:p>
        </w:tc>
        <w:tc>
          <w:tcPr>
            <w:tcW w:type="dxa" w:w="979"/>
            <w:vAlign w:val="top"/>
          </w:tcPr>
          <w:p>
            <w:pPr>
              <w:spacing w:after="40" w:before="0" w:line="259" w:lineRule="auto"/>
            </w:pPr>
            <w:r>
              <w:rPr>
                <w:rFonts w:ascii="Calibri" w:hAnsi="Calibri"/>
                <w:b w:val="0"/>
                <w:i w:val="0"/>
                <w:color w:val="212121"/>
                <w:sz w:val="16"/>
              </w:rPr>
              <w:t>Milestones, school reports, response to teaching</w:t>
            </w:r>
          </w:p>
        </w:tc>
        <w:tc>
          <w:tcPr>
            <w:tcW w:type="dxa" w:w="950"/>
            <w:vAlign w:val="top"/>
          </w:tcPr>
          <w:p>
            <w:pPr>
              <w:spacing w:after="40" w:before="0" w:line="259" w:lineRule="auto"/>
            </w:pPr>
            <w:r>
              <w:rPr>
                <w:rFonts w:ascii="Calibri" w:hAnsi="Calibri"/>
                <w:b w:val="0"/>
                <w:i w:val="0"/>
                <w:color w:val="212121"/>
                <w:sz w:val="16"/>
              </w:rPr>
              <w:t>On-track skills, no persistent gap</w:t>
            </w:r>
          </w:p>
        </w:tc>
        <w:tc>
          <w:tcPr>
            <w:tcW w:type="dxa" w:w="950"/>
            <w:vAlign w:val="top"/>
          </w:tcPr>
          <w:p>
            <w:pPr>
              <w:spacing w:after="40" w:before="0" w:line="259" w:lineRule="auto"/>
            </w:pPr>
            <w:r>
              <w:rPr>
                <w:rFonts w:ascii="Calibri" w:hAnsi="Calibri"/>
                <w:b w:val="0"/>
                <w:i w:val="0"/>
                <w:color w:val="212121"/>
                <w:sz w:val="16"/>
              </w:rPr>
              <w:t>Persistent difficulty ≥ 6 months despite targeted help</w:t>
            </w:r>
          </w:p>
        </w:tc>
        <w:tc>
          <w:tcPr>
            <w:tcW w:type="dxa" w:w="1036"/>
            <w:vAlign w:val="top"/>
          </w:tcPr>
          <w:p>
            <w:pPr>
              <w:spacing w:after="40" w:before="0" w:line="259" w:lineRule="auto"/>
            </w:pPr>
            <w:r>
              <w:rPr>
                <w:rFonts w:ascii="Calibri" w:hAnsi="Calibri"/>
                <w:b w:val="0"/>
                <w:i w:val="0"/>
                <w:color w:val="212121"/>
                <w:sz w:val="16"/>
              </w:rPr>
              <w:t>Establishes chronicity and 'unexpected' underachievement (Criteria A, C)</w:t>
            </w:r>
          </w:p>
        </w:tc>
        <w:tc>
          <w:tcPr>
            <w:tcW w:type="dxa" w:w="1036"/>
            <w:vAlign w:val="top"/>
          </w:tcPr>
          <w:p>
            <w:pPr>
              <w:spacing w:after="40" w:before="0" w:line="259" w:lineRule="auto"/>
            </w:pPr>
            <w:r>
              <w:rPr>
                <w:rFonts w:ascii="Calibri" w:hAnsi="Calibri"/>
                <w:b w:val="0"/>
                <w:i w:val="0"/>
                <w:color w:val="212121"/>
                <w:sz w:val="16"/>
              </w:rPr>
              <w:t>Children with reported academic struggle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Collect samples of classwork and prior report cards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w:t>
            </w:r>
          </w:p>
        </w:tc>
        <w:tc>
          <w:tcPr>
            <w:tcW w:type="dxa" w:w="979"/>
            <w:vAlign w:val="top"/>
          </w:tcPr>
          <w:p>
            <w:pPr>
              <w:spacing w:after="40" w:before="0" w:line="259" w:lineRule="auto"/>
            </w:pPr>
            <w:r>
              <w:rPr>
                <w:rFonts w:ascii="Calibri" w:hAnsi="Calibri"/>
                <w:b w:val="0"/>
                <w:i w:val="0"/>
                <w:color w:val="212121"/>
                <w:sz w:val="16"/>
              </w:rPr>
              <w:t>Relatives with reading/learning difficulty</w:t>
            </w:r>
          </w:p>
        </w:tc>
        <w:tc>
          <w:tcPr>
            <w:tcW w:type="dxa" w:w="950"/>
            <w:vAlign w:val="top"/>
          </w:tcPr>
          <w:p>
            <w:pPr>
              <w:spacing w:after="40" w:before="0" w:line="259" w:lineRule="auto"/>
            </w:pPr>
            <w:r>
              <w:rPr>
                <w:rFonts w:ascii="Calibri" w:hAnsi="Calibri"/>
                <w:b w:val="0"/>
                <w:i w:val="0"/>
                <w:color w:val="212121"/>
                <w:sz w:val="16"/>
              </w:rPr>
              <w:t>No family history</w:t>
            </w:r>
          </w:p>
        </w:tc>
        <w:tc>
          <w:tcPr>
            <w:tcW w:type="dxa" w:w="950"/>
            <w:vAlign w:val="top"/>
          </w:tcPr>
          <w:p>
            <w:pPr>
              <w:spacing w:after="40" w:before="0" w:line="259" w:lineRule="auto"/>
            </w:pPr>
            <w:r>
              <w:rPr>
                <w:rFonts w:ascii="Calibri" w:hAnsi="Calibri"/>
                <w:b w:val="0"/>
                <w:i w:val="0"/>
                <w:color w:val="212121"/>
                <w:sz w:val="16"/>
              </w:rPr>
              <w:t>≥ 1 first-degree relative affected</w:t>
            </w:r>
          </w:p>
        </w:tc>
        <w:tc>
          <w:tcPr>
            <w:tcW w:type="dxa" w:w="1036"/>
            <w:vAlign w:val="top"/>
          </w:tcPr>
          <w:p>
            <w:pPr>
              <w:spacing w:after="40" w:before="0" w:line="259" w:lineRule="auto"/>
            </w:pPr>
            <w:r>
              <w:rPr>
                <w:rFonts w:ascii="Calibri" w:hAnsi="Calibri"/>
                <w:b w:val="0"/>
                <w:i w:val="0"/>
                <w:color w:val="212121"/>
                <w:sz w:val="16"/>
              </w:rPr>
              <w:t>Supports a heritable neurodevelopmental basis</w:t>
            </w:r>
          </w:p>
        </w:tc>
        <w:tc>
          <w:tcPr>
            <w:tcW w:type="dxa" w:w="1036"/>
            <w:vAlign w:val="top"/>
          </w:tcPr>
          <w:p>
            <w:pPr>
              <w:spacing w:after="40" w:before="0" w:line="259" w:lineRule="auto"/>
            </w:pPr>
            <w:r>
              <w:rPr>
                <w:rFonts w:ascii="Calibri" w:hAnsi="Calibri"/>
                <w:b w:val="0"/>
                <w:i w:val="0"/>
                <w:color w:val="212121"/>
                <w:sz w:val="16"/>
              </w:rPr>
              <w:t>Children with a parent/sibling who struggled academically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Ask specifically about undiagnosed adult reading difficulty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Prenatal &amp; perinatal history</w:t>
            </w:r>
          </w:p>
        </w:tc>
        <w:tc>
          <w:tcPr>
            <w:tcW w:type="dxa" w:w="979"/>
            <w:vAlign w:val="top"/>
          </w:tcPr>
          <w:p>
            <w:pPr>
              <w:spacing w:after="40" w:before="0" w:line="259" w:lineRule="auto"/>
            </w:pPr>
            <w:r>
              <w:rPr>
                <w:rFonts w:ascii="Calibri" w:hAnsi="Calibri"/>
                <w:b w:val="0"/>
                <w:i w:val="0"/>
                <w:color w:val="212121"/>
                <w:sz w:val="16"/>
              </w:rPr>
              <w:t>Prematurity, low birth weight, prenatal alcohol/tobacco</w:t>
            </w:r>
          </w:p>
        </w:tc>
        <w:tc>
          <w:tcPr>
            <w:tcW w:type="dxa" w:w="950"/>
            <w:vAlign w:val="top"/>
          </w:tcPr>
          <w:p>
            <w:pPr>
              <w:spacing w:after="40" w:before="0" w:line="259" w:lineRule="auto"/>
            </w:pPr>
            <w:r>
              <w:rPr>
                <w:rFonts w:ascii="Calibri" w:hAnsi="Calibri"/>
                <w:b w:val="0"/>
                <w:i w:val="0"/>
                <w:color w:val="212121"/>
                <w:sz w:val="16"/>
              </w:rPr>
              <w:t>Uncomplicated pregnancy &amp; term birth</w:t>
            </w:r>
          </w:p>
        </w:tc>
        <w:tc>
          <w:tcPr>
            <w:tcW w:type="dxa" w:w="950"/>
            <w:vAlign w:val="top"/>
          </w:tcPr>
          <w:p>
            <w:pPr>
              <w:spacing w:after="40" w:before="0" w:line="259" w:lineRule="auto"/>
            </w:pPr>
            <w:r>
              <w:rPr>
                <w:rFonts w:ascii="Calibri" w:hAnsi="Calibri"/>
                <w:b w:val="0"/>
                <w:i w:val="0"/>
                <w:color w:val="212121"/>
                <w:sz w:val="16"/>
              </w:rPr>
              <w:t>Preterm/LBW or prenatal substance exposure</w:t>
            </w:r>
          </w:p>
        </w:tc>
        <w:tc>
          <w:tcPr>
            <w:tcW w:type="dxa" w:w="1036"/>
            <w:vAlign w:val="top"/>
          </w:tcPr>
          <w:p>
            <w:pPr>
              <w:spacing w:after="40" w:before="0" w:line="259" w:lineRule="auto"/>
            </w:pPr>
            <w:r>
              <w:rPr>
                <w:rFonts w:ascii="Calibri" w:hAnsi="Calibri"/>
                <w:b w:val="0"/>
                <w:i w:val="0"/>
                <w:color w:val="212121"/>
                <w:sz w:val="16"/>
              </w:rPr>
              <w:t>Identifies biological risk factors</w:t>
            </w:r>
          </w:p>
        </w:tc>
        <w:tc>
          <w:tcPr>
            <w:tcW w:type="dxa" w:w="1036"/>
            <w:vAlign w:val="top"/>
          </w:tcPr>
          <w:p>
            <w:pPr>
              <w:spacing w:after="40" w:before="0" w:line="259" w:lineRule="auto"/>
            </w:pPr>
            <w:r>
              <w:rPr>
                <w:rFonts w:ascii="Calibri" w:hAnsi="Calibri"/>
                <w:b w:val="0"/>
                <w:i w:val="0"/>
                <w:color w:val="212121"/>
                <w:sz w:val="16"/>
              </w:rPr>
              <w:t>Preterm/LBW children, at-risk pregnancies</w:t>
            </w:r>
          </w:p>
        </w:tc>
        <w:tc>
          <w:tcPr>
            <w:tcW w:type="dxa" w:w="720"/>
            <w:vAlign w:val="top"/>
          </w:tcPr>
          <w:p>
            <w:pPr>
              <w:spacing w:after="40" w:before="0" w:line="259" w:lineRule="auto"/>
            </w:pPr>
            <w:r>
              <w:rPr>
                <w:rFonts w:ascii="Calibri" w:hAnsi="Calibri"/>
                <w:b w:val="0"/>
                <w:i w:val="0"/>
                <w:color w:val="212121"/>
                <w:sz w:val="16"/>
              </w:rPr>
              <w:t>Alcohol; Smoking</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Document gestational age and birth weight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Behavioural &amp; mental-health history</w:t>
            </w:r>
          </w:p>
        </w:tc>
        <w:tc>
          <w:tcPr>
            <w:tcW w:type="dxa" w:w="979"/>
            <w:vAlign w:val="top"/>
          </w:tcPr>
          <w:p>
            <w:pPr>
              <w:spacing w:after="40" w:before="0" w:line="259" w:lineRule="auto"/>
            </w:pPr>
            <w:r>
              <w:rPr>
                <w:rFonts w:ascii="Calibri" w:hAnsi="Calibri"/>
                <w:b w:val="0"/>
                <w:i w:val="0"/>
                <w:color w:val="212121"/>
                <w:sz w:val="16"/>
              </w:rPr>
              <w:t>Attention, anxiety, mood, school refusal, self-esteem</w:t>
            </w:r>
          </w:p>
        </w:tc>
        <w:tc>
          <w:tcPr>
            <w:tcW w:type="dxa" w:w="950"/>
            <w:vAlign w:val="top"/>
          </w:tcPr>
          <w:p>
            <w:pPr>
              <w:spacing w:after="40" w:before="0" w:line="259" w:lineRule="auto"/>
            </w:pPr>
            <w:r>
              <w:rPr>
                <w:rFonts w:ascii="Calibri" w:hAnsi="Calibri"/>
                <w:b w:val="0"/>
                <w:i w:val="0"/>
                <w:color w:val="212121"/>
                <w:sz w:val="16"/>
              </w:rPr>
              <w:t>No significant symptoms</w:t>
            </w:r>
          </w:p>
        </w:tc>
        <w:tc>
          <w:tcPr>
            <w:tcW w:type="dxa" w:w="950"/>
            <w:vAlign w:val="top"/>
          </w:tcPr>
          <w:p>
            <w:pPr>
              <w:spacing w:after="40" w:before="0" w:line="259" w:lineRule="auto"/>
            </w:pPr>
            <w:r>
              <w:rPr>
                <w:rFonts w:ascii="Calibri" w:hAnsi="Calibri"/>
                <w:b w:val="0"/>
                <w:i w:val="0"/>
                <w:color w:val="212121"/>
                <w:sz w:val="16"/>
              </w:rPr>
              <w:t>Inattention, anxiety, avoidance, low self-esteem</w:t>
            </w:r>
          </w:p>
        </w:tc>
        <w:tc>
          <w:tcPr>
            <w:tcW w:type="dxa" w:w="1036"/>
            <w:vAlign w:val="top"/>
          </w:tcPr>
          <w:p>
            <w:pPr>
              <w:spacing w:after="40" w:before="0" w:line="259" w:lineRule="auto"/>
            </w:pPr>
            <w:r>
              <w:rPr>
                <w:rFonts w:ascii="Calibri" w:hAnsi="Calibri"/>
                <w:b w:val="0"/>
                <w:i w:val="0"/>
                <w:color w:val="212121"/>
                <w:sz w:val="16"/>
              </w:rPr>
              <w:t>Detects comorbid ADHD and secondary emotional distress</w:t>
            </w:r>
          </w:p>
        </w:tc>
        <w:tc>
          <w:tcPr>
            <w:tcW w:type="dxa" w:w="1036"/>
            <w:vAlign w:val="top"/>
          </w:tcPr>
          <w:p>
            <w:pPr>
              <w:spacing w:after="40" w:before="0" w:line="259" w:lineRule="auto"/>
            </w:pPr>
            <w:r>
              <w:rPr>
                <w:rFonts w:ascii="Calibri" w:hAnsi="Calibri"/>
                <w:b w:val="0"/>
                <w:i w:val="0"/>
                <w:color w:val="212121"/>
                <w:sz w:val="16"/>
              </w:rPr>
              <w:t>Children with behaviour change or school reluctance</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Use parent/teacher rating scales (e.g., for ADHD)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General &amp; neurological examination</w:t>
            </w:r>
          </w:p>
        </w:tc>
        <w:tc>
          <w:tcPr>
            <w:tcW w:type="dxa" w:w="979"/>
            <w:vAlign w:val="top"/>
          </w:tcPr>
          <w:p>
            <w:pPr>
              <w:spacing w:after="40" w:before="0" w:line="259" w:lineRule="auto"/>
            </w:pPr>
            <w:r>
              <w:rPr>
                <w:rFonts w:ascii="Calibri" w:hAnsi="Calibri"/>
                <w:b w:val="0"/>
                <w:i w:val="0"/>
                <w:color w:val="212121"/>
                <w:sz w:val="16"/>
              </w:rPr>
              <w:t>Dysmorphism, focal deficits, graphomotor observation</w:t>
            </w:r>
          </w:p>
        </w:tc>
        <w:tc>
          <w:tcPr>
            <w:tcW w:type="dxa" w:w="950"/>
            <w:vAlign w:val="top"/>
          </w:tcPr>
          <w:p>
            <w:pPr>
              <w:spacing w:after="40" w:before="0" w:line="259" w:lineRule="auto"/>
            </w:pPr>
            <w:r>
              <w:rPr>
                <w:rFonts w:ascii="Calibri" w:hAnsi="Calibri"/>
                <w:b w:val="0"/>
                <w:i w:val="0"/>
                <w:color w:val="212121"/>
                <w:sz w:val="16"/>
              </w:rPr>
              <w:t>Normal exam; no focal signs</w:t>
            </w:r>
          </w:p>
        </w:tc>
        <w:tc>
          <w:tcPr>
            <w:tcW w:type="dxa" w:w="950"/>
            <w:vAlign w:val="top"/>
          </w:tcPr>
          <w:p>
            <w:pPr>
              <w:spacing w:after="40" w:before="0" w:line="259" w:lineRule="auto"/>
            </w:pPr>
            <w:r>
              <w:rPr>
                <w:rFonts w:ascii="Calibri" w:hAnsi="Calibri"/>
                <w:b w:val="0"/>
                <w:i w:val="0"/>
                <w:color w:val="212121"/>
                <w:sz w:val="16"/>
              </w:rPr>
              <w:t>Dysmorphic features, focal deficit, or skill regression</w:t>
            </w:r>
          </w:p>
        </w:tc>
        <w:tc>
          <w:tcPr>
            <w:tcW w:type="dxa" w:w="1036"/>
            <w:vAlign w:val="top"/>
          </w:tcPr>
          <w:p>
            <w:pPr>
              <w:spacing w:after="40" w:before="0" w:line="259" w:lineRule="auto"/>
            </w:pPr>
            <w:r>
              <w:rPr>
                <w:rFonts w:ascii="Calibri" w:hAnsi="Calibri"/>
                <w:b w:val="0"/>
                <w:i w:val="0"/>
                <w:color w:val="212121"/>
                <w:sz w:val="16"/>
              </w:rPr>
              <w:t>Screens for syndromic, sensory or acquired neurological causes (Criterion D)</w:t>
            </w:r>
          </w:p>
        </w:tc>
        <w:tc>
          <w:tcPr>
            <w:tcW w:type="dxa" w:w="1036"/>
            <w:vAlign w:val="top"/>
          </w:tcPr>
          <w:p>
            <w:pPr>
              <w:spacing w:after="40" w:before="0" w:line="259" w:lineRule="auto"/>
            </w:pPr>
            <w:r>
              <w:rPr>
                <w:rFonts w:ascii="Calibri" w:hAnsi="Calibri"/>
                <w:b w:val="0"/>
                <w:i w:val="0"/>
                <w:color w:val="212121"/>
                <w:sz w:val="16"/>
              </w:rPr>
              <w:t>All children assessed for SLD</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Essential (rule-out)</w:t>
            </w:r>
          </w:p>
        </w:tc>
        <w:tc>
          <w:tcPr>
            <w:tcW w:type="dxa" w:w="720"/>
            <w:vAlign w:val="top"/>
          </w:tcPr>
          <w:p>
            <w:pPr>
              <w:spacing w:after="40" w:before="0" w:line="259" w:lineRule="auto"/>
            </w:pPr>
            <w:r>
              <w:rPr>
                <w:rFonts w:ascii="Calibri" w:hAnsi="Calibri"/>
                <w:b w:val="0"/>
                <w:i w:val="0"/>
                <w:color w:val="212121"/>
                <w:sz w:val="16"/>
              </w:rPr>
              <w:t>Skill regression warrants further neurological workup</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Functional</w:t>
            </w:r>
          </w:p>
        </w:tc>
        <w:tc>
          <w:tcPr>
            <w:tcW w:type="dxa" w:w="950"/>
            <w:vAlign w:val="top"/>
          </w:tcPr>
          <w:p>
            <w:pPr>
              <w:spacing w:after="40" w:before="0" w:line="259" w:lineRule="auto"/>
            </w:pPr>
            <w:r>
              <w:rPr>
                <w:rFonts w:ascii="Calibri" w:hAnsi="Calibri"/>
                <w:b w:val="0"/>
                <w:i w:val="0"/>
                <w:color w:val="212121"/>
                <w:sz w:val="16"/>
              </w:rPr>
              <w:t>Classroom observation &amp; error analysis</w:t>
            </w:r>
          </w:p>
        </w:tc>
        <w:tc>
          <w:tcPr>
            <w:tcW w:type="dxa" w:w="979"/>
            <w:vAlign w:val="top"/>
          </w:tcPr>
          <w:p>
            <w:pPr>
              <w:spacing w:after="40" w:before="0" w:line="259" w:lineRule="auto"/>
            </w:pPr>
            <w:r>
              <w:rPr>
                <w:rFonts w:ascii="Calibri" w:hAnsi="Calibri"/>
                <w:b w:val="0"/>
                <w:i w:val="0"/>
                <w:color w:val="212121"/>
                <w:sz w:val="16"/>
              </w:rPr>
              <w:t>Reading, writing and maths error patterns</w:t>
            </w:r>
          </w:p>
        </w:tc>
        <w:tc>
          <w:tcPr>
            <w:tcW w:type="dxa" w:w="950"/>
            <w:vAlign w:val="top"/>
          </w:tcPr>
          <w:p>
            <w:pPr>
              <w:spacing w:after="40" w:before="0" w:line="259" w:lineRule="auto"/>
            </w:pPr>
            <w:r>
              <w:rPr>
                <w:rFonts w:ascii="Calibri" w:hAnsi="Calibri"/>
                <w:b w:val="0"/>
                <w:i w:val="0"/>
                <w:color w:val="212121"/>
                <w:sz w:val="16"/>
              </w:rPr>
              <w:t>Errors within age expectation</w:t>
            </w:r>
          </w:p>
        </w:tc>
        <w:tc>
          <w:tcPr>
            <w:tcW w:type="dxa" w:w="950"/>
            <w:vAlign w:val="top"/>
          </w:tcPr>
          <w:p>
            <w:pPr>
              <w:spacing w:after="40" w:before="0" w:line="259" w:lineRule="auto"/>
            </w:pPr>
            <w:r>
              <w:rPr>
                <w:rFonts w:ascii="Calibri" w:hAnsi="Calibri"/>
                <w:b w:val="0"/>
                <w:i w:val="0"/>
                <w:color w:val="212121"/>
                <w:sz w:val="16"/>
              </w:rPr>
              <w:t>Characteristic decoding, spelling or calculation errors</w:t>
            </w:r>
          </w:p>
        </w:tc>
        <w:tc>
          <w:tcPr>
            <w:tcW w:type="dxa" w:w="1036"/>
            <w:vAlign w:val="top"/>
          </w:tcPr>
          <w:p>
            <w:pPr>
              <w:spacing w:after="40" w:before="0" w:line="259" w:lineRule="auto"/>
            </w:pPr>
            <w:r>
              <w:rPr>
                <w:rFonts w:ascii="Calibri" w:hAnsi="Calibri"/>
                <w:b w:val="0"/>
                <w:i w:val="0"/>
                <w:color w:val="212121"/>
                <w:sz w:val="16"/>
              </w:rPr>
              <w:t>Links deficits to real-world functional impairment and tailors the education plan</w:t>
            </w:r>
          </w:p>
        </w:tc>
        <w:tc>
          <w:tcPr>
            <w:tcW w:type="dxa" w:w="1036"/>
            <w:vAlign w:val="top"/>
          </w:tcPr>
          <w:p>
            <w:pPr>
              <w:spacing w:after="40" w:before="0" w:line="259" w:lineRule="auto"/>
            </w:pPr>
            <w:r>
              <w:rPr>
                <w:rFonts w:ascii="Calibri" w:hAnsi="Calibri"/>
                <w:b w:val="0"/>
                <w:i w:val="0"/>
                <w:color w:val="212121"/>
                <w:sz w:val="16"/>
              </w:rPr>
              <w:t>Children in mainstream classrooms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Coordinate with the class teacher / special educator</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Slow, effortful, inaccurate reading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Difficulty decoding and sounding out words; reads well below age level — the hallmark of dyslexia.</w:t>
            </w:r>
          </w:p>
        </w:tc>
      </w:tr>
      <w:tr>
        <w:trPr>
          <w:cantSplit/>
        </w:trPr>
        <w:tc>
          <w:tcPr>
            <w:tcW w:type="dxa" w:w="2304"/>
            <w:vAlign w:val="top"/>
          </w:tcPr>
          <w:p>
            <w:pPr>
              <w:spacing w:after="40" w:before="0" w:line="259" w:lineRule="auto"/>
            </w:pPr>
            <w:r>
              <w:rPr>
                <w:rFonts w:ascii="Calibri" w:hAnsi="Calibri"/>
                <w:b/>
                <w:i w:val="0"/>
                <w:color w:val="212121"/>
                <w:sz w:val="19"/>
              </w:rPr>
              <w:t>Poor spelling and frequent letter reversals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Inconsistent, phonetically implausible spelling; reversals (b/d, p/q) persisting beyond age 7–8.</w:t>
            </w:r>
          </w:p>
        </w:tc>
      </w:tr>
      <w:tr>
        <w:trPr>
          <w:cantSplit/>
        </w:trPr>
        <w:tc>
          <w:tcPr>
            <w:tcW w:type="dxa" w:w="2304"/>
            <w:vAlign w:val="top"/>
          </w:tcPr>
          <w:p>
            <w:pPr>
              <w:spacing w:after="40" w:before="0" w:line="259" w:lineRule="auto"/>
            </w:pPr>
            <w:r>
              <w:rPr>
                <w:rFonts w:ascii="Calibri" w:hAnsi="Calibri"/>
                <w:b/>
                <w:i w:val="0"/>
                <w:color w:val="212121"/>
                <w:sz w:val="19"/>
              </w:rPr>
              <w:t>Difficulty with written expression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Messy, poorly organised writing with grammar and punctuation errors; ideas hard to get onto paper (dysgraphia).</w:t>
            </w:r>
          </w:p>
        </w:tc>
      </w:tr>
      <w:tr>
        <w:trPr>
          <w:cantSplit/>
        </w:trPr>
        <w:tc>
          <w:tcPr>
            <w:tcW w:type="dxa" w:w="2304"/>
            <w:vAlign w:val="top"/>
          </w:tcPr>
          <w:p>
            <w:pPr>
              <w:spacing w:after="40" w:before="0" w:line="259" w:lineRule="auto"/>
            </w:pPr>
            <w:r>
              <w:rPr>
                <w:rFonts w:ascii="Calibri" w:hAnsi="Calibri"/>
                <w:b/>
                <w:i w:val="0"/>
                <w:color w:val="212121"/>
                <w:sz w:val="19"/>
              </w:rPr>
              <w:t>Difficulty with numbers and calculation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Weak number sense, trouble memorising tables and arithmetic facts, and slow, error-prone calculation (dyscalculia).</w:t>
            </w:r>
          </w:p>
        </w:tc>
      </w:tr>
      <w:tr>
        <w:trPr>
          <w:cantSplit/>
        </w:trPr>
        <w:tc>
          <w:tcPr>
            <w:tcW w:type="dxa" w:w="2304"/>
            <w:vAlign w:val="top"/>
          </w:tcPr>
          <w:p>
            <w:pPr>
              <w:spacing w:after="40" w:before="0" w:line="259" w:lineRule="auto"/>
            </w:pPr>
            <w:r>
              <w:rPr>
                <w:rFonts w:ascii="Calibri" w:hAnsi="Calibri"/>
                <w:b/>
                <w:i w:val="0"/>
                <w:color w:val="212121"/>
                <w:sz w:val="19"/>
              </w:rPr>
              <w:t>Avoidance of reading, writing or maths tasks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Reluctance, procrastination and frustration when faced with the affected academic activity.</w:t>
            </w:r>
          </w:p>
        </w:tc>
      </w:tr>
      <w:tr>
        <w:trPr>
          <w:cantSplit/>
        </w:trPr>
        <w:tc>
          <w:tcPr>
            <w:tcW w:type="dxa" w:w="2304"/>
            <w:vAlign w:val="top"/>
          </w:tcPr>
          <w:p>
            <w:pPr>
              <w:spacing w:after="40" w:before="0" w:line="259" w:lineRule="auto"/>
            </w:pPr>
            <w:r>
              <w:rPr>
                <w:rFonts w:ascii="Calibri" w:hAnsi="Calibri"/>
                <w:b/>
                <w:i w:val="0"/>
                <w:color w:val="212121"/>
                <w:sz w:val="19"/>
              </w:rPr>
              <w:t>Homework takes excessively long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Disproportionate time and adult help needed to complete age-appropriate schoolwork.</w:t>
            </w:r>
          </w:p>
        </w:tc>
      </w:tr>
      <w:tr>
        <w:trPr>
          <w:cantSplit/>
        </w:trPr>
        <w:tc>
          <w:tcPr>
            <w:tcW w:type="dxa" w:w="2304"/>
            <w:vAlign w:val="top"/>
          </w:tcPr>
          <w:p>
            <w:pPr>
              <w:spacing w:after="40" w:before="0" w:line="259" w:lineRule="auto"/>
            </w:pPr>
            <w:r>
              <w:rPr>
                <w:rFonts w:ascii="Calibri" w:hAnsi="Calibri"/>
                <w:b/>
                <w:i w:val="0"/>
                <w:color w:val="212121"/>
                <w:sz w:val="19"/>
              </w:rPr>
              <w:t>Trouble following multi-step instructions / sequencing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Difficulty with sequences such as days, months, or multi-step directions and telling the time.</w:t>
            </w:r>
          </w:p>
        </w:tc>
      </w:tr>
      <w:tr>
        <w:trPr>
          <w:cantSplit/>
        </w:trPr>
        <w:tc>
          <w:tcPr>
            <w:tcW w:type="dxa" w:w="2304"/>
            <w:vAlign w:val="top"/>
          </w:tcPr>
          <w:p>
            <w:pPr>
              <w:spacing w:after="40" w:before="0" w:line="259" w:lineRule="auto"/>
            </w:pPr>
            <w:r>
              <w:rPr>
                <w:rFonts w:ascii="Calibri" w:hAnsi="Calibri"/>
                <w:b/>
                <w:i w:val="0"/>
                <w:color w:val="212121"/>
                <w:sz w:val="19"/>
              </w:rPr>
              <w:t>Word-finding difficulty and mispronunciations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Hesitant speech with trouble retrieving the right word or pronouncing longer words.</w:t>
            </w:r>
          </w:p>
        </w:tc>
      </w:tr>
      <w:tr>
        <w:trPr>
          <w:cantSplit/>
        </w:trPr>
        <w:tc>
          <w:tcPr>
            <w:tcW w:type="dxa" w:w="2304"/>
            <w:vAlign w:val="top"/>
          </w:tcPr>
          <w:p>
            <w:pPr>
              <w:spacing w:after="40" w:before="0" w:line="259" w:lineRule="auto"/>
            </w:pPr>
            <w:r>
              <w:rPr>
                <w:rFonts w:ascii="Calibri" w:hAnsi="Calibri"/>
                <w:b/>
                <w:i w:val="0"/>
                <w:color w:val="212121"/>
                <w:sz w:val="19"/>
              </w:rPr>
              <w:t>Difficulty learning left/right and rote sequences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Persistent confusion of left and right and difficulty with rote memory (alphabet, tables).</w:t>
            </w:r>
          </w:p>
        </w:tc>
      </w:tr>
      <w:tr>
        <w:trPr>
          <w:cantSplit/>
        </w:trPr>
        <w:tc>
          <w:tcPr>
            <w:tcW w:type="dxa" w:w="2304"/>
            <w:vAlign w:val="top"/>
          </w:tcPr>
          <w:p>
            <w:pPr>
              <w:spacing w:after="40" w:before="0" w:line="259" w:lineRule="auto"/>
            </w:pPr>
            <w:r>
              <w:rPr>
                <w:rFonts w:ascii="Calibri" w:hAnsi="Calibri"/>
                <w:b/>
                <w:i w:val="0"/>
                <w:color w:val="212121"/>
                <w:sz w:val="19"/>
              </w:rPr>
              <w:t>Physical complaints before school</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Headache or stomach-ache on school mornings reflecting anxiety about academic tasks.</w:t>
            </w:r>
          </w:p>
        </w:tc>
      </w:tr>
      <w:tr>
        <w:trPr>
          <w:cantSplit/>
        </w:trPr>
        <w:tc>
          <w:tcPr>
            <w:tcW w:type="dxa" w:w="2304"/>
            <w:vAlign w:val="top"/>
          </w:tcPr>
          <w:p>
            <w:pPr>
              <w:spacing w:after="40" w:before="0" w:line="259" w:lineRule="auto"/>
            </w:pPr>
            <w:r>
              <w:rPr>
                <w:rFonts w:ascii="Calibri" w:hAnsi="Calibri"/>
                <w:b/>
                <w:i w:val="0"/>
                <w:color w:val="212121"/>
                <w:sz w:val="19"/>
              </w:rPr>
              <w:t>Regression / loss of previously acquired skills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Loss of skills already mastered is atypical for SLD and should prompt evaluation for an alternative neurological cause.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Reading accuracy/fluency below grade norm on testing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Objectively low scores on standardized oral reading and fluency measures.</w:t>
            </w:r>
          </w:p>
        </w:tc>
      </w:tr>
      <w:tr>
        <w:trPr>
          <w:cantSplit/>
        </w:trPr>
        <w:tc>
          <w:tcPr>
            <w:tcW w:type="dxa" w:w="3456"/>
            <w:vAlign w:val="top"/>
          </w:tcPr>
          <w:p>
            <w:pPr>
              <w:spacing w:after="40" w:before="0" w:line="259" w:lineRule="auto"/>
            </w:pPr>
            <w:r>
              <w:rPr>
                <w:rFonts w:ascii="Calibri" w:hAnsi="Calibri"/>
                <w:b/>
                <w:i w:val="0"/>
                <w:color w:val="212121"/>
                <w:sz w:val="19"/>
              </w:rPr>
              <w:t>Spelling and written output below age level</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Demonstrable deficits on standardized spelling and writing tasks.</w:t>
            </w:r>
          </w:p>
        </w:tc>
      </w:tr>
      <w:tr>
        <w:trPr>
          <w:cantSplit/>
        </w:trPr>
        <w:tc>
          <w:tcPr>
            <w:tcW w:type="dxa" w:w="3456"/>
            <w:vAlign w:val="top"/>
          </w:tcPr>
          <w:p>
            <w:pPr>
              <w:spacing w:after="40" w:before="0" w:line="259" w:lineRule="auto"/>
            </w:pPr>
            <w:r>
              <w:rPr>
                <w:rFonts w:ascii="Calibri" w:hAnsi="Calibri"/>
                <w:b/>
                <w:i w:val="0"/>
                <w:color w:val="212121"/>
                <w:sz w:val="19"/>
              </w:rPr>
              <w:t>Poor handwriting and awkward pencil grip</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Illegible, laboured, poorly spaced writing with an immature or tense grip (dysgraphia).</w:t>
            </w:r>
          </w:p>
        </w:tc>
      </w:tr>
      <w:tr>
        <w:trPr>
          <w:cantSplit/>
        </w:trPr>
        <w:tc>
          <w:tcPr>
            <w:tcW w:type="dxa" w:w="3456"/>
            <w:vAlign w:val="top"/>
          </w:tcPr>
          <w:p>
            <w:pPr>
              <w:spacing w:after="40" w:before="0" w:line="259" w:lineRule="auto"/>
            </w:pPr>
            <w:r>
              <w:rPr>
                <w:rFonts w:ascii="Calibri" w:hAnsi="Calibri"/>
                <w:b/>
                <w:i w:val="0"/>
                <w:color w:val="212121"/>
                <w:sz w:val="19"/>
              </w:rPr>
              <w:t>Mathematics achievement below grade level</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Low scores on calculation and mathematical reasoning subtests (dyscalculia).</w:t>
            </w:r>
          </w:p>
        </w:tc>
      </w:tr>
      <w:tr>
        <w:trPr>
          <w:cantSplit/>
        </w:trPr>
        <w:tc>
          <w:tcPr>
            <w:tcW w:type="dxa" w:w="3456"/>
            <w:vAlign w:val="top"/>
          </w:tcPr>
          <w:p>
            <w:pPr>
              <w:spacing w:after="40" w:before="0" w:line="259" w:lineRule="auto"/>
            </w:pPr>
            <w:r>
              <w:rPr>
                <w:rFonts w:ascii="Calibri" w:hAnsi="Calibri"/>
                <w:b/>
                <w:i w:val="0"/>
                <w:color w:val="212121"/>
                <w:sz w:val="19"/>
              </w:rPr>
              <w:t>IQ–achievement discrepancy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Average or above-average intelligence paired with markedly low academic achievement.</w:t>
            </w:r>
          </w:p>
        </w:tc>
      </w:tr>
      <w:tr>
        <w:trPr>
          <w:cantSplit/>
        </w:trPr>
        <w:tc>
          <w:tcPr>
            <w:tcW w:type="dxa" w:w="3456"/>
            <w:vAlign w:val="top"/>
          </w:tcPr>
          <w:p>
            <w:pPr>
              <w:spacing w:after="40" w:before="0" w:line="259" w:lineRule="auto"/>
            </w:pPr>
            <w:r>
              <w:rPr>
                <w:rFonts w:ascii="Calibri" w:hAnsi="Calibri"/>
                <w:b/>
                <w:i w:val="0"/>
                <w:color w:val="212121"/>
                <w:sz w:val="19"/>
              </w:rPr>
              <w:t>Phonological-processing deficits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Poor performance on rhyming, phoneme segmentation and rapid automatised naming tasks.</w:t>
            </w:r>
          </w:p>
        </w:tc>
      </w:tr>
      <w:tr>
        <w:trPr>
          <w:cantSplit/>
        </w:trPr>
        <w:tc>
          <w:tcPr>
            <w:tcW w:type="dxa" w:w="3456"/>
            <w:vAlign w:val="top"/>
          </w:tcPr>
          <w:p>
            <w:pPr>
              <w:spacing w:after="40" w:before="0" w:line="259" w:lineRule="auto"/>
            </w:pPr>
            <w:r>
              <w:rPr>
                <w:rFonts w:ascii="Calibri" w:hAnsi="Calibri"/>
                <w:b/>
                <w:i w:val="0"/>
                <w:color w:val="212121"/>
                <w:sz w:val="19"/>
              </w:rPr>
              <w:t>Persistent letter/number reversals beyond age 7–8</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Reversal or transposition of letters and digits past the expected developmental window.</w:t>
            </w:r>
          </w:p>
        </w:tc>
      </w:tr>
      <w:tr>
        <w:trPr>
          <w:cantSplit/>
        </w:trPr>
        <w:tc>
          <w:tcPr>
            <w:tcW w:type="dxa" w:w="3456"/>
            <w:vAlign w:val="top"/>
          </w:tcPr>
          <w:p>
            <w:pPr>
              <w:spacing w:after="40" w:before="0" w:line="259" w:lineRule="auto"/>
            </w:pPr>
            <w:r>
              <w:rPr>
                <w:rFonts w:ascii="Calibri" w:hAnsi="Calibri"/>
                <w:b/>
                <w:i w:val="0"/>
                <w:color w:val="212121"/>
                <w:sz w:val="19"/>
              </w:rPr>
              <w:t>Normal vision, hearing and neurological examination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normal sensory and neurological exam supports SLD as a diagnosis of exclusion.</w:t>
            </w:r>
          </w:p>
        </w:tc>
      </w:tr>
      <w:tr>
        <w:trPr>
          <w:cantSplit/>
        </w:trPr>
        <w:tc>
          <w:tcPr>
            <w:tcW w:type="dxa" w:w="3456"/>
            <w:vAlign w:val="top"/>
          </w:tcPr>
          <w:p>
            <w:pPr>
              <w:spacing w:after="40" w:before="0" w:line="259" w:lineRule="auto"/>
            </w:pPr>
            <w:r>
              <w:rPr>
                <w:rFonts w:ascii="Calibri" w:hAnsi="Calibri"/>
                <w:b/>
                <w:i w:val="0"/>
                <w:color w:val="212121"/>
                <w:sz w:val="19"/>
              </w:rPr>
              <w:t>Signs of comorbid ADHD</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Observable inattention, distractibility or impulsivity co-occurring with the learning deficit.</w:t>
            </w:r>
          </w:p>
        </w:tc>
      </w:tr>
      <w:tr>
        <w:trPr>
          <w:cantSplit/>
        </w:trPr>
        <w:tc>
          <w:tcPr>
            <w:tcW w:type="dxa" w:w="3456"/>
            <w:vAlign w:val="top"/>
          </w:tcPr>
          <w:p>
            <w:pPr>
              <w:spacing w:after="40" w:before="0" w:line="259" w:lineRule="auto"/>
            </w:pPr>
            <w:r>
              <w:rPr>
                <w:rFonts w:ascii="Calibri" w:hAnsi="Calibri"/>
                <w:b/>
                <w:i w:val="0"/>
                <w:color w:val="212121"/>
                <w:sz w:val="19"/>
              </w:rPr>
              <w:t>Emotional signs — low self-esteem, anxiety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Withdrawal, tearfulness or somatic complaints around academic demands.</w:t>
            </w:r>
          </w:p>
        </w:tc>
      </w:tr>
      <w:tr>
        <w:trPr>
          <w:cantSplit/>
        </w:trPr>
        <w:tc>
          <w:tcPr>
            <w:tcW w:type="dxa" w:w="3456"/>
            <w:vAlign w:val="top"/>
          </w:tcPr>
          <w:p>
            <w:pPr>
              <w:spacing w:after="40" w:before="0" w:line="259" w:lineRule="auto"/>
            </w:pPr>
            <w:r>
              <w:rPr>
                <w:rFonts w:ascii="Calibri" w:hAnsi="Calibri"/>
                <w:b/>
                <w:i w:val="0"/>
                <w:color w:val="212121"/>
                <w:sz w:val="19"/>
              </w:rPr>
              <w:t>Dysmorphic features or neurocutaneous stigmata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May point to a syndromic or genetic cause requiring separate evaluation.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academic underachievement in the affected domain(s)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Reading, spelling, writing and/or mathematics skills well below potential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Grade retention and chronic difficulty coping with the curriculum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Slow work pace and dependence on adult support for schoolwork</w:t>
            </w:r>
          </w:p>
        </w:tc>
        <w:tc>
          <w:tcPr>
            <w:tcW w:type="dxa" w:w="2980"/>
            <w:vAlign w:val="top"/>
          </w:tcPr>
          <w:p>
            <w:pPr>
              <w:spacing w:after="40" w:before="0" w:line="259" w:lineRule="auto"/>
            </w:pPr>
            <w:r>
              <w:rPr>
                <w:rFonts w:ascii="Calibri" w:hAnsi="Calibri"/>
                <w:b w:val="0"/>
                <w:i w:val="0"/>
                <w:color w:val="212121"/>
                <w:sz w:val="19"/>
              </w:rPr>
              <w:t>Direct educational consequences of the core skill deficit</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 self-esteem and chronic academic frustration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Anxiety, depression and school refusal / absenteeism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Behavioural problems and peer/social difficulties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Added burden of comorbid ADHD, language and coordination disorders</w:t>
            </w:r>
          </w:p>
        </w:tc>
        <w:tc>
          <w:tcPr>
            <w:tcW w:type="dxa" w:w="2980"/>
            <w:vAlign w:val="top"/>
          </w:tcPr>
          <w:p>
            <w:pPr>
              <w:spacing w:after="40" w:before="0" w:line="259" w:lineRule="auto"/>
            </w:pPr>
            <w:r>
              <w:rPr>
                <w:rFonts w:ascii="Calibri" w:hAnsi="Calibri"/>
                <w:b w:val="0"/>
                <w:i w:val="0"/>
                <w:color w:val="212121"/>
                <w:sz w:val="19"/>
              </w:rPr>
              <w:t>Emotional, behavioural and comorbid consequences arising from repeated failure and stigma</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School dropout and reduced educational attainment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Underemployment and lower lifetime earnings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risk of persistent anxiety/depression into adulthood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Greater risk of behavioural difficulties and justice-system involvement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quality of life and self-efficacy in adulthood</w:t>
            </w:r>
          </w:p>
        </w:tc>
        <w:tc>
          <w:tcPr>
            <w:tcW w:type="dxa" w:w="2980"/>
            <w:vAlign w:val="top"/>
          </w:tcPr>
          <w:p>
            <w:pPr>
              <w:spacing w:after="40" w:before="0" w:line="259" w:lineRule="auto"/>
            </w:pPr>
            <w:r>
              <w:rPr>
                <w:rFonts w:ascii="Calibri" w:hAnsi="Calibri"/>
                <w:b w:val="0"/>
                <w:i w:val="0"/>
                <w:color w:val="212121"/>
                <w:sz w:val="19"/>
              </w:rPr>
              <w:t>Long-term, potentially preventable outcomes of unidentified or unsupported SLD</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Attention-deficit/hyperactivity disorder (ADHD)</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most common comorbidity; overlapping genetic and neurocognitive substrates, and inattention magnifies academic impairment and complicates diagnosis and treatment.</w:t>
            </w:r>
          </w:p>
        </w:tc>
      </w:tr>
      <w:tr>
        <w:trPr>
          <w:cantSplit/>
        </w:trPr>
        <w:tc>
          <w:tcPr>
            <w:tcW w:type="dxa" w:w="2232"/>
            <w:vAlign w:val="top"/>
          </w:tcPr>
          <w:p>
            <w:pPr>
              <w:spacing w:after="40" w:before="0" w:line="259" w:lineRule="auto"/>
            </w:pPr>
            <w:r>
              <w:rPr>
                <w:rFonts w:ascii="Calibri" w:hAnsi="Calibri"/>
                <w:b/>
                <w:i w:val="0"/>
                <w:color w:val="212121"/>
                <w:sz w:val="19"/>
              </w:rPr>
              <w:t>Developmental language disorder / speech-sound disorder</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Early language and phonological weaknesses frequently precede and predict dyslexia, sharing a common language-processing basis.</w:t>
            </w:r>
          </w:p>
        </w:tc>
      </w:tr>
      <w:tr>
        <w:trPr>
          <w:cantSplit/>
        </w:trPr>
        <w:tc>
          <w:tcPr>
            <w:tcW w:type="dxa" w:w="2232"/>
            <w:vAlign w:val="top"/>
          </w:tcPr>
          <w:p>
            <w:pPr>
              <w:spacing w:after="40" w:before="0" w:line="259" w:lineRule="auto"/>
            </w:pPr>
            <w:r>
              <w:rPr>
                <w:rFonts w:ascii="Calibri" w:hAnsi="Calibri"/>
                <w:b/>
                <w:i w:val="0"/>
                <w:color w:val="212121"/>
                <w:sz w:val="19"/>
              </w:rPr>
              <w:t>Developmental coordination disorder (dyspraxia)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Motor-coordination difficulty often co-occurs, especially with dysgraphia, adding graphomotor impairment to the writing difficulty.</w:t>
            </w:r>
          </w:p>
        </w:tc>
      </w:tr>
      <w:tr>
        <w:trPr>
          <w:cantSplit/>
        </w:trPr>
        <w:tc>
          <w:tcPr>
            <w:tcW w:type="dxa" w:w="2232"/>
            <w:vAlign w:val="top"/>
          </w:tcPr>
          <w:p>
            <w:pPr>
              <w:spacing w:after="40" w:before="0" w:line="259" w:lineRule="auto"/>
            </w:pPr>
            <w:r>
              <w:rPr>
                <w:rFonts w:ascii="Calibri" w:hAnsi="Calibri"/>
                <w:b/>
                <w:i w:val="0"/>
                <w:color w:val="212121"/>
                <w:sz w:val="19"/>
              </w:rPr>
              <w:t>Autism spectrum disorder</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Learning disorders (notably dysgraphia) commonly co-occur with autism; overlapping needs require integrated educational planning.</w:t>
            </w:r>
          </w:p>
        </w:tc>
      </w:tr>
      <w:tr>
        <w:trPr>
          <w:cantSplit/>
        </w:trPr>
        <w:tc>
          <w:tcPr>
            <w:tcW w:type="dxa" w:w="2232"/>
            <w:vAlign w:val="top"/>
          </w:tcPr>
          <w:p>
            <w:pPr>
              <w:spacing w:after="40" w:before="0" w:line="259" w:lineRule="auto"/>
            </w:pPr>
            <w:r>
              <w:rPr>
                <w:rFonts w:ascii="Calibri" w:hAnsi="Calibri"/>
                <w:b/>
                <w:i w:val="0"/>
                <w:color w:val="212121"/>
                <w:sz w:val="19"/>
              </w:rPr>
              <w:t>Anxiety disorders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Repeated academic failure and evaluation stress commonly produce secondary anxiety, which further impairs concentration and performance.</w:t>
            </w:r>
          </w:p>
        </w:tc>
      </w:tr>
      <w:tr>
        <w:trPr>
          <w:cantSplit/>
        </w:trPr>
        <w:tc>
          <w:tcPr>
            <w:tcW w:type="dxa" w:w="2232"/>
            <w:vAlign w:val="top"/>
          </w:tcPr>
          <w:p>
            <w:pPr>
              <w:spacing w:after="40" w:before="0" w:line="259" w:lineRule="auto"/>
            </w:pPr>
            <w:r>
              <w:rPr>
                <w:rFonts w:ascii="Calibri" w:hAnsi="Calibri"/>
                <w:b/>
                <w:i w:val="0"/>
                <w:color w:val="212121"/>
                <w:sz w:val="19"/>
              </w:rPr>
              <w:t>Depression / low self-esteem</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Chronic underachievement and stigma raise the risk of low mood and depression, creating a self-reinforcing cycle with learning difficulty.</w:t>
            </w:r>
          </w:p>
        </w:tc>
      </w:tr>
      <w:tr>
        <w:trPr>
          <w:cantSplit/>
        </w:trPr>
        <w:tc>
          <w:tcPr>
            <w:tcW w:type="dxa" w:w="2232"/>
            <w:vAlign w:val="top"/>
          </w:tcPr>
          <w:p>
            <w:pPr>
              <w:spacing w:after="40" w:before="0" w:line="259" w:lineRule="auto"/>
            </w:pPr>
            <w:r>
              <w:rPr>
                <w:rFonts w:ascii="Calibri" w:hAnsi="Calibri"/>
                <w:b/>
                <w:i w:val="0"/>
                <w:color w:val="212121"/>
                <w:sz w:val="19"/>
              </w:rPr>
              <w:t>Prematurity / low birth weight</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Preterm birth and low birth weight are biological antecedents that increase the likelihood of a later learning disability.</w:t>
            </w:r>
          </w:p>
        </w:tc>
      </w:tr>
      <w:tr>
        <w:trPr>
          <w:cantSplit/>
        </w:trPr>
        <w:tc>
          <w:tcPr>
            <w:tcW w:type="dxa" w:w="2232"/>
            <w:vAlign w:val="top"/>
          </w:tcPr>
          <w:p>
            <w:pPr>
              <w:spacing w:after="40" w:before="0" w:line="259" w:lineRule="auto"/>
            </w:pPr>
            <w:r>
              <w:rPr>
                <w:rFonts w:ascii="Calibri" w:hAnsi="Calibri"/>
                <w:b/>
                <w:i w:val="0"/>
                <w:color w:val="212121"/>
                <w:sz w:val="19"/>
              </w:rPr>
              <w:t>Iron-deficiency anaemia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Highly prevalent in Indian children; impairs attention and cognition and can compound learning difficulty, but is treatable and should be corrected.</w:t>
            </w:r>
          </w:p>
        </w:tc>
      </w:tr>
      <w:tr>
        <w:trPr>
          <w:cantSplit/>
        </w:trPr>
        <w:tc>
          <w:tcPr>
            <w:tcW w:type="dxa" w:w="2232"/>
            <w:vAlign w:val="top"/>
          </w:tcPr>
          <w:p>
            <w:pPr>
              <w:spacing w:after="40" w:before="0" w:line="259" w:lineRule="auto"/>
            </w:pPr>
            <w:r>
              <w:rPr>
                <w:rFonts w:ascii="Calibri" w:hAnsi="Calibri"/>
                <w:b/>
                <w:i w:val="0"/>
                <w:color w:val="212121"/>
                <w:sz w:val="19"/>
              </w:rPr>
              <w:t>Epilepsy / other neurodevelopmental disorders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Co-existing neurological conditions can affect attention and learning and alter assessment, monitoring and educational planning.</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Promote universal early screening for reading, writing and number skills in Grades 1–2 so difficulties are caught before failure sets 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Train teachers to recognise early warning signs (slow reading, persistent reversals, poor spelling, avoidance) and to distinguish SLD from lack of effort.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systematic, multisensory literacy instruction (e.g., Orton-Gillingham approaches) and phonics from the outset.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Adopt a Response-to-Intervention model: provide targeted small-group help and monitor progress before formal referral.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Raise parent and school awareness of SLD and of legal protections and exam accommodations under India's Rights of Persons with Disabilities (RPWD) Act, 2016.</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primary-school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First-generation learners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a family history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Multilingual learners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Develop an individualised education plan (IEP) with a special educator targeting the specific impaired domain(s).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remedial, multisensory, one-to-one or small-group instruction with frequent repetition and over-learning.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Grant classroom and examination accommodations — extra time, a reader/scribe, use of a calculator, laptop or spell-checker — as clinically indicated.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assistive technology such as text-to-speech, audiobooks and speech-to-text to bypass the weak skill.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Obtain formal certification (e.g., through NIMHANS or a recognised board) to access statutory exam concessions.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Diagnosed children with SLD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in board examinations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dyslexia/dysgraphia/dyscalculia</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regular physical activity and play, which support attention, executive function and mood that underpin learning.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Refer children with dysgraphia for occupational therapy targeting fine-motor control, pencil grip and graphomotor skills.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sensory-motor and handwriting-practice routines to improve writing legibility and reduce hand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Optimise seating and desk ergonomics to support comfortable, sustained writing.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dysgraphia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comorbid ADHD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high-screen children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iron-deficiency anaemia, which is common in Indian children and impairs attention and cognition.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 balanced diet with adequate iron, iodine, protein and long-chain fatty acids to support neurodevelopment.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a proper breakfast before school to sustain concentration through the morning.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participation in mid-day meal and micronutrient programmes for at-risk children.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Anaemic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Low-income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Preschool &amp; primary children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school-age children obtain 9–12 hours of sleep per night to support memory consolidation and attention.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consistent bedtime and wake-time, including on weekends.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screens for at least an hour before bed to protect sleep quality.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sleep problems and screen for coexisting sleep-disordered breathing where snoring is present.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School-age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High-screen-time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attention difficulty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Advise complete avoidance of smoking during pregnancy to reduce the child's neurodevelopmental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Protect infants and children from second-hand tobacco smoke in the home.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smoking-cessation support to expectant and new parents.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Expectant mothers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children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Counsel that there is no safe level of alcohol in pregnancy; complete abstinence prevents foetal alcohol spectrum disorders.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Identify and support women with alcohol use who are pregnant or planning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Raise community awareness that prenatal alcohol exposure causes lifelong learning disability.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Expectant mothers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At-risk families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Actively screen for and treat secondary anxiety, low self-esteem and depression with counselling or cognitive behavioural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Reframe the child's difficulty for family and teachers as a specific, manageable disorder — not laziness or low intelligence — to reduce blame and stigma.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Identify and manage comorbid ADHD, which commonly coexists and worsens academic and emotional outcomes.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on the child's strengths and provide consistent encouragement to protect self-esteem and motivation.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Engage parents and teachers as a supportive team and connect families to peer-support resources.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academic-related distress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comorbid ADHD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with SLD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of affected children</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springer.com/article/10.1007/s12098-011-0553-3" TargetMode="External"/><Relationship Id="rId10" Type="http://schemas.openxmlformats.org/officeDocument/2006/relationships/hyperlink" Target="https://www.mayoclinic.org/diseases-conditions/dyslexia/symptoms-causes/syc-20353552" TargetMode="External"/><Relationship Id="rId11" Type="http://schemas.openxmlformats.org/officeDocument/2006/relationships/hyperlink" Target="https://my.clevelandclinic.org/health/diseases/6005-dyslexia" TargetMode="External"/><Relationship Id="rId12" Type="http://schemas.openxmlformats.org/officeDocument/2006/relationships/hyperlink" Target="https://www.sleepfoundation.org/children-and-sleep" TargetMode="External"/><Relationship Id="rId13" Type="http://schemas.openxmlformats.org/officeDocument/2006/relationships/hyperlink" Target="https://www.who.int/news-room/fact-sheets/detail/anaemia" TargetMode="External"/><Relationship Id="rId14" Type="http://schemas.openxmlformats.org/officeDocument/2006/relationships/hyperlink" Target="https://my.clevelandclinic.org/health/diseases/23949-dyscalculia" TargetMode="External"/><Relationship Id="rId15" Type="http://schemas.openxmlformats.org/officeDocument/2006/relationships/hyperlink" Target="https://my.clevelandclinic.org/health/diseases/23294-dysgraphia" TargetMode="External"/><Relationship Id="rId16" Type="http://schemas.openxmlformats.org/officeDocument/2006/relationships/hyperlink" Target="https://www.who.int/news-room/fact-sheets/detail/adolescent-mental-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