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Personality Disorders</w:t>
      </w:r>
    </w:p>
    <w:p>
      <w:pPr>
        <w:spacing w:before="0" w:after="160"/>
      </w:pPr>
      <w:r>
        <w:rPr>
          <w:rFonts w:ascii="Calibri" w:hAnsi="Calibri"/>
          <w:b/>
          <w:i w:val="0"/>
          <w:color w:val="212121"/>
          <w:sz w:val="22"/>
        </w:rPr>
        <w:t xml:space="preserve">AKA </w:t>
      </w:r>
      <w:r>
        <w:rPr>
          <w:rFonts w:ascii="Calibri" w:hAnsi="Calibri"/>
          <w:b w:val="0"/>
          <w:i w:val="0"/>
          <w:color w:val="212121"/>
          <w:sz w:val="22"/>
        </w:rPr>
        <w:t>i.e., Personality disorder (PD); Cluster A — paranoid, schizoid, schizotypal; Cluster B — antisocial (dissocial), borderline (emotionally unstable personality disorder, EUPD), histrionic, narcissistic; Cluster C — avoidant (anxious), dependent, obsessive–compulsive (anankastic) personality disorders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Personality disorders are enduring, pervasive and inflexible patterns of inner experience and behaviour — affecting cognition, emotional responses, interpersonal functioning and impulse control — that deviate markedly from the expectations of the individual's culture, begin by adolescence or early adulthood, remain stable over time, and cause clinically significant distress or impairment in social, academic and occupational functioning. Presentations range from odd–eccentric (cluster A) through dramatic–emotional–erratic (cluster B) to anxious–fearful (cluster C) patterns. ICD-11 has moved to a dimensional model that grades severity of personality dysfunction (mild, moderate, severe) with five trait-domain qualifiers and a borderline pattern specifier. Personality disorders are strongly associated with self-harm, suicide, substance use and premature mortality, yet remain grossly under-recognized in India.</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No Indian general-population survey has yet applied standardized personality interviews, so recorded Indian rates are recognized underestimates. Globally, about 7.8 out of every 100 adults in the community have a personality disorder — 4.3% in low- and middle-income countries such as India versus 9.6% in high-income countries — suggesting that roughly 4–8 of every 100 Indian adults are affected. In Indian clinical settings, personality disorders were recorded in 1.07% of psychiatric outpatients over a 10-year North Indian series (anxious-avoidant and borderline types most common), about 5% of undergraduate students in Odisha screen positive for borderline personality disorder, and 58–64% of Indian patients admitted after deliberate self-harm meet criteria for a personality disorder.</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Personality disorder is a clinical diagnosis made on longitudinal history (ideally with informant/collateral accounts) against DSM-5 general criteria, or the ICD-11 severity-based model; standardized instruments such as the WHO International Personality Disorder Examination (IPDE) or SCID-5-PD substantially improve reliability over unstructured clinical impression. The DSM-5 general criteria require: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 enduring pattern of inner experience and behaviour deviating markedly from cultural expectations, manifested in two or more of: cognition, affectivity, interpersonal functioning, or impulse control;</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the pattern is inflexible and pervasive across a broad range of personal and social situations;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the pattern leads to clinically significant distress or impairment in social, occupational or other important areas of functioning;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the pattern is stable and of long duration, with onset traceable at least to adolescence or early adulthood (ICD-11 additionally expects the disturbance to have persisted ≥ 2 years);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the pattern is not better explained by another mental disorder; and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the pattern is not attributable to the physiological effects of a substance or another medical condition (e.g., head trauma, frontal lobe lesion — 'organic personality change' must be excluded, particularly when onset is late).</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Personality disorders are classified in two complementary ways — the familiar DSM-5 categorical clusters and the newer ICD-11 dimensional model:</w:t>
      </w:r>
    </w:p>
    <w:p>
      <w:pPr>
        <w:spacing w:before="0" w:after="80"/>
      </w:pPr>
      <w:r>
        <w:rPr>
          <w:rFonts w:ascii="Calibri" w:hAnsi="Calibri"/>
          <w:b w:val="0"/>
          <w:i w:val="0"/>
          <w:color w:val="212121"/>
          <w:sz w:val="21"/>
        </w:rPr>
        <w:t>(1) Cluster A (odd–eccentric): paranoid (pervasive distrust and suspiciousness), schizoid (detachment and restricted emotional range) and schizotypal (interpersonal discomfort with cognitive-perceptual distortions and eccentricity) personality disorders;</w:t>
      </w:r>
    </w:p>
    <w:p>
      <w:pPr>
        <w:spacing w:before="0" w:after="80"/>
      </w:pPr>
      <w:r>
        <w:rPr>
          <w:rFonts w:ascii="Calibri" w:hAnsi="Calibri"/>
          <w:b w:val="0"/>
          <w:i w:val="0"/>
          <w:color w:val="212121"/>
          <w:sz w:val="21"/>
        </w:rPr>
        <w:t>(2) Cluster B (dramatic–emotional–erratic): antisocial/dissocial (disregard for and violation of the rights of others, requiring evidence of conduct disorder before age 15), borderline/emotionally unstable (instability of relationships, self-image and affect with marked impulsivity, fear of abandonment and recurrent self-harm), histrionic (excessive emotionality and attention-seeking) and narcissistic (grandiosity, need for admiration, lack of empathy) personality disorders;</w:t>
      </w:r>
    </w:p>
    <w:p>
      <w:pPr>
        <w:spacing w:before="0" w:after="80"/>
      </w:pPr>
      <w:r>
        <w:rPr>
          <w:rFonts w:ascii="Calibri" w:hAnsi="Calibri"/>
          <w:b w:val="0"/>
          <w:i w:val="0"/>
          <w:color w:val="212121"/>
          <w:sz w:val="21"/>
        </w:rPr>
        <w:t>(3) Cluster C (anxious–fearful): avoidant/anxious (social inhibition, feelings of inadequacy, hypersensitivity to negative evaluation), dependent (submissive, clinging behaviour with excessive need to be cared for) and obsessive–compulsive/anankastic (preoccupation with orderliness, perfectionism and control at the expense of flexibility) personality disorders; and</w:t>
      </w:r>
    </w:p>
    <w:p>
      <w:pPr>
        <w:spacing w:before="0" w:after="80"/>
      </w:pPr>
      <w:r>
        <w:rPr>
          <w:rFonts w:ascii="Calibri" w:hAnsi="Calibri"/>
          <w:b w:val="0"/>
          <w:i w:val="0"/>
          <w:color w:val="212121"/>
          <w:sz w:val="21"/>
        </w:rPr>
        <w:t>(4) ICD-11 dimensional model (in force since 2022): a single diagnosis of personality disorder graded by severity — personality difficulty (sub-threshold), mild, moderate or severe — combined with five trait-domain qualifiers (negative affectivity, detachment, dissociality, disinhibition, anankastia) and an optional borderline pattern specifier; severity is defined by the degree of dysfunction in self (identity, self-worth, self-direction) and interpersonal (empathy, intimacy) functioning and risk of harm to self or others.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Genetic predisposition: Twin and national register studies show substantial heritability — additive genetic factors explain about 42% of variance in borderline features, and risk of diagnosed BPD is about 11.5-fold in monozygotic co-twins and 4.7-fold in full siblings of affected individuals.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Childhood maltreatment and adversity: Physical, sexual and especially emotional abuse and neglect are the strongest environmental determinants — individuals with borderline PD are ~14 times more likely to report childhood adversity than healthy controls.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Neurobiological factors: Fronto-limbic dysregulation (amygdala hyper-reactivity with prefrontal hypo-activation), serotonergic dysfunction and hypothalamic–pituitary–adrenal axis alterations underlie impulsive aggression and affective instability.</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Temperamental and developmental factors: High neuroticism, impulsivity, novelty-seeking and callous-unemotional traits, and childhood conduct disorder or ADHD, are developmental antecedents — conduct disorder before age 15 is a prerequisite for antisocial PD.</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Environmental and sociocultural factors: Invalidating family environments, disrupted attachment, parental psychopathology or substance use, poverty, community violence, urbanization and migration shape trait expression; collectivistic Indian family structures may buffer or mask some presentations.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Gene–environment interaction: Inherited vulnerability amplifies the impact of early adversity — neither alone is usually sufficient, explaining why most abuse survivors never develop a personality disorder.</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Adolescents &amp; young adults (18–30 years)</w:t>
            </w:r>
          </w:p>
        </w:tc>
        <w:tc>
          <w:tcPr>
            <w:tcW w:type="dxa" w:w="4276"/>
            <w:vAlign w:val="top"/>
          </w:tcPr>
          <w:p>
            <w:pPr>
              <w:spacing w:after="60" w:line="259" w:lineRule="auto"/>
            </w:pPr>
            <w:r>
              <w:rPr>
                <w:rFonts w:ascii="Calibri" w:hAnsi="Calibri"/>
                <w:b w:val="0"/>
                <w:i w:val="0"/>
                <w:color w:val="212121"/>
                <w:sz w:val="19"/>
              </w:rPr>
              <w:t>Personality disorders consolidate during adolescence and early adulthood, when identity formation and emotion regulation are most unstable; borderline features peak in the early 20s and attenuate with age. Early detection in this window offers the best window for trait modification.</w:t>
            </w:r>
          </w:p>
          <w:p>
            <w:pPr>
              <w:spacing w:after="40" w:before="60" w:line="259" w:lineRule="auto"/>
            </w:pPr>
            <w:r>
              <w:rPr>
                <w:rFonts w:ascii="Calibri" w:hAnsi="Calibri"/>
                <w:b w:val="0"/>
                <w:i w:val="0"/>
                <w:color w:val="212121"/>
                <w:sz w:val="19"/>
              </w:rPr>
              <w:t>In a 10-year North Indian psychiatric outpatient series, 69.4% of all personality disorder diagnoses were in patients aged 21–40 years, and 56% were unmarried; the borderline subgroup was youngest (mean age 24.4 years).</w:t>
            </w:r>
          </w:p>
          <w:p>
            <w:pPr>
              <w:spacing w:after="40" w:line="252" w:lineRule="auto"/>
            </w:pPr>
            <w:hyperlink r:id="rId9">
              <w:r>
                <w:rPr>
                  <w:rFonts w:ascii="Calibri" w:hAnsi="Calibri" w:cs="Calibri"/>
                  <w:sz w:val="18"/>
                  <w:color w:val="1155CC"/>
                  <w:u w:val="single"/>
                </w:rPr>
                <w:t xml:space="preserve">pubmed.ncbi.nlm.nih.gov/21177705 — PD prevalence &amp; demography, North India</w:t>
              </w:r>
            </w:hyperlink>
          </w:p>
          <w:p>
            <w:pPr>
              <w:spacing w:before="60" w:after="40"/>
            </w:pPr>
            <w:r>
              <w:rPr>
                <w:rFonts w:ascii="Calibri" w:hAnsi="Calibri"/>
                <w:b w:val="0"/>
                <w:i w:val="0"/>
                <w:color w:val="5A5A5A"/>
                <w:sz w:val="18"/>
              </w:rPr>
              <w:t>#youthonset  #identitydisturbance  #emotiondysregulation  #collegestress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Dramatic cluster B traits generally soften with age, but rigid anankastic (obsessive–compulsive) and cluster A patterns persist or become more prominent as late-life losses, retirement and cognitive change strip away compensatory supports. New personality change in later life warrants an organic (neurological) work-up.</w:t>
            </w:r>
          </w:p>
          <w:p>
            <w:pPr>
              <w:spacing w:after="40" w:before="60" w:line="259" w:lineRule="auto"/>
            </w:pPr>
            <w:r>
              <w:rPr>
                <w:rFonts w:ascii="Calibri" w:hAnsi="Calibri"/>
                <w:b w:val="0"/>
                <w:i w:val="0"/>
                <w:color w:val="212121"/>
                <w:sz w:val="19"/>
              </w:rPr>
              <w:t>Among elderly Indian patients (45–74 years) admitted after deliberate self-harm, 64% had a personality disorder, most commonly the anankastic type (36%).</w:t>
            </w:r>
          </w:p>
          <w:p>
            <w:pPr>
              <w:spacing w:after="40" w:line="252" w:lineRule="auto"/>
            </w:pPr>
            <w:hyperlink r:id="rId10">
              <w:r>
                <w:rPr>
                  <w:rFonts w:ascii="Calibri" w:hAnsi="Calibri" w:cs="Calibri"/>
                  <w:sz w:val="18"/>
                  <w:color w:val="1155CC"/>
                  <w:u w:val="single"/>
                </w:rPr>
                <w:t xml:space="preserve">pubmed.ncbi.nlm.nih.gov/19742186 — PD in deliberate self-harm, Kolkata</w:t>
              </w:r>
            </w:hyperlink>
          </w:p>
          <w:p>
            <w:pPr>
              <w:spacing w:before="60" w:after="40"/>
            </w:pPr>
            <w:r>
              <w:rPr>
                <w:rFonts w:ascii="Calibri" w:hAnsi="Calibri"/>
                <w:b w:val="0"/>
                <w:i w:val="0"/>
                <w:color w:val="5A5A5A"/>
                <w:sz w:val="18"/>
              </w:rPr>
              <w:t>#anankastic  #latelife  #rigidity  #organicruleout</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Antisocial (dissocial) personality disorder is markedly more common in men, reflecting higher externalizing temperament, childhood conduct disorder, substance use and testosterone-linked aggression; men with PD are also likelier to present through legal rather than health systems.</w:t>
            </w:r>
          </w:p>
          <w:p>
            <w:pPr>
              <w:spacing w:after="40" w:before="60" w:line="259" w:lineRule="auto"/>
            </w:pPr>
            <w:r>
              <w:rPr>
                <w:rFonts w:ascii="Calibri" w:hAnsi="Calibri"/>
                <w:b w:val="0"/>
                <w:i w:val="0"/>
                <w:color w:val="212121"/>
                <w:sz w:val="19"/>
              </w:rPr>
              <w:t>Lifetime antisocial PD prevalence is 3.6% among US adults with clear male predominance (NESARC, n≈43,000); 64.9% of North Indian psychiatric outpatients with a personality disorder were men.</w:t>
            </w:r>
          </w:p>
          <w:p>
            <w:pPr>
              <w:spacing w:after="40" w:line="252" w:lineRule="auto"/>
            </w:pPr>
            <w:hyperlink r:id="rId11">
              <w:r>
                <w:rPr>
                  <w:rFonts w:ascii="Calibri" w:hAnsi="Calibri" w:cs="Calibri"/>
                  <w:sz w:val="18"/>
                  <w:color w:val="1155CC"/>
                  <w:u w:val="single"/>
                </w:rPr>
                <w:t xml:space="preserve">pubmed.ncbi.nlm.nih.gov/15960559 — antisocial personality syndromes, NESARC</w:t>
              </w:r>
            </w:hyperlink>
          </w:p>
          <w:p>
            <w:pPr>
              <w:spacing w:before="60" w:after="40"/>
            </w:pPr>
            <w:r>
              <w:rPr>
                <w:rFonts w:ascii="Calibri" w:hAnsi="Calibri"/>
                <w:b w:val="0"/>
                <w:i w:val="0"/>
                <w:color w:val="5A5A5A"/>
                <w:sz w:val="18"/>
              </w:rPr>
              <w:t>#antisocial  #externalizing  #conductdisorder  #forensicrisk</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Borderline (emotionally unstable) PD dominates female clinical presentations — self-harm, affective instability and abandonment fears drive help-seeking — although community prevalence of BPD is nearly equal between sexes; women simply reach services more often and carry greater comorbid mood, anxiety and eating pathology.</w:t>
            </w:r>
          </w:p>
          <w:p>
            <w:pPr>
              <w:spacing w:after="40" w:before="60" w:line="259" w:lineRule="auto"/>
            </w:pPr>
            <w:r>
              <w:rPr>
                <w:rFonts w:ascii="Calibri" w:hAnsi="Calibri"/>
                <w:b w:val="0"/>
                <w:i w:val="0"/>
                <w:color w:val="212121"/>
                <w:sz w:val="19"/>
              </w:rPr>
              <w:t>NESARC: lifetime BPD 6.2% in women vs 5.6% in men (no significant difference); the borderline group in a North Indian outpatient series was 60% female and significantly younger than other PD groups.</w:t>
            </w:r>
          </w:p>
          <w:p>
            <w:pPr>
              <w:spacing w:after="40" w:line="252" w:lineRule="auto"/>
            </w:pPr>
            <w:hyperlink r:id="rId12">
              <w:r>
                <w:rPr>
                  <w:rFonts w:ascii="Calibri" w:hAnsi="Calibri" w:cs="Calibri"/>
                  <w:sz w:val="18"/>
                  <w:color w:val="1155CC"/>
                  <w:u w:val="single"/>
                </w:rPr>
                <w:t xml:space="preserve">pubmed.ncbi.nlm.nih.gov/18426259 — BPD prevalence &amp; comorbidity, NESARC Wave 2</w:t>
              </w:r>
            </w:hyperlink>
          </w:p>
          <w:p>
            <w:pPr>
              <w:spacing w:before="60" w:after="40"/>
            </w:pPr>
            <w:r>
              <w:rPr>
                <w:rFonts w:ascii="Calibri" w:hAnsi="Calibri"/>
                <w:b w:val="0"/>
                <w:i w:val="0"/>
                <w:color w:val="5A5A5A"/>
                <w:sz w:val="18"/>
              </w:rPr>
              <w:t>#borderline  #selfharm  #helpseeking  #EUPD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less-educated adults</w:t>
            </w:r>
          </w:p>
        </w:tc>
        <w:tc>
          <w:tcPr>
            <w:tcW w:type="dxa" w:w="4276"/>
            <w:vAlign w:val="top"/>
          </w:tcPr>
          <w:p>
            <w:pPr>
              <w:spacing w:after="60" w:line="259" w:lineRule="auto"/>
            </w:pPr>
            <w:r>
              <w:rPr>
                <w:rFonts w:ascii="Calibri" w:hAnsi="Calibri"/>
                <w:b w:val="0"/>
                <w:i w:val="0"/>
                <w:color w:val="212121"/>
                <w:sz w:val="19"/>
              </w:rPr>
              <w:t>Poverty concentrates the causal exposures of personality pathology — childhood adversity, family disruption, community violence, early substance exposure — while personality dysfunction in turn erodes education, employment and marriage, creating a downward social drift.</w:t>
            </w:r>
          </w:p>
          <w:p>
            <w:pPr>
              <w:spacing w:after="40" w:before="60" w:line="259" w:lineRule="auto"/>
            </w:pPr>
            <w:r>
              <w:rPr>
                <w:rFonts w:ascii="Calibri" w:hAnsi="Calibri"/>
                <w:b w:val="0"/>
                <w:i w:val="0"/>
                <w:color w:val="212121"/>
                <w:sz w:val="19"/>
              </w:rPr>
              <w:t>Lifetime borderline PD was significantly more prevalent among adults in the lowest income and education strata in the 34,653-person NESARC national survey.</w:t>
            </w:r>
          </w:p>
          <w:p>
            <w:pPr>
              <w:spacing w:after="40" w:line="252" w:lineRule="auto"/>
            </w:pPr>
            <w:hyperlink r:id="rId12">
              <w:r>
                <w:rPr>
                  <w:rFonts w:ascii="Calibri" w:hAnsi="Calibri" w:cs="Calibri"/>
                  <w:sz w:val="18"/>
                  <w:color w:val="1155CC"/>
                  <w:u w:val="single"/>
                </w:rPr>
                <w:t xml:space="preserve">pubmed.ncbi.nlm.nih.gov/18426259 — BPD sociodemographic correlates, NESARC</w:t>
              </w:r>
            </w:hyperlink>
          </w:p>
          <w:p>
            <w:pPr>
              <w:spacing w:before="60" w:after="40"/>
            </w:pPr>
            <w:r>
              <w:rPr>
                <w:rFonts w:ascii="Calibri" w:hAnsi="Calibri"/>
                <w:b w:val="0"/>
                <w:i w:val="0"/>
                <w:color w:val="5A5A5A"/>
                <w:sz w:val="18"/>
              </w:rPr>
              <w:t>#socialdrift  #adversity  #unemployment  #lowSES</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country income</w:t>
            </w:r>
          </w:p>
        </w:tc>
        <w:tc>
          <w:tcPr>
            <w:tcW w:type="dxa" w:w="2160"/>
            <w:vAlign w:val="top"/>
          </w:tcPr>
          <w:p>
            <w:pPr>
              <w:spacing w:after="40" w:before="0" w:line="259" w:lineRule="auto"/>
            </w:pPr>
            <w:r>
              <w:rPr>
                <w:rFonts w:ascii="Calibri" w:hAnsi="Calibri"/>
                <w:b w:val="0"/>
                <w:i w:val="0"/>
                <w:color w:val="212121"/>
                <w:sz w:val="19"/>
              </w:rPr>
              <w:t>Indian &amp; other LMIC populations (under-detected)</w:t>
            </w:r>
          </w:p>
        </w:tc>
        <w:tc>
          <w:tcPr>
            <w:tcW w:type="dxa" w:w="4276"/>
            <w:vAlign w:val="top"/>
          </w:tcPr>
          <w:p>
            <w:pPr>
              <w:spacing w:after="60" w:line="259" w:lineRule="auto"/>
            </w:pPr>
            <w:r>
              <w:rPr>
                <w:rFonts w:ascii="Calibri" w:hAnsi="Calibri"/>
                <w:b w:val="0"/>
                <w:i w:val="0"/>
                <w:color w:val="212121"/>
                <w:sz w:val="19"/>
              </w:rPr>
              <w:t>Pooled community prevalence in low- and middle-income countries is under half that of high-income countries — a mix of genuine protective factors (extended family, collectivistic support) and systematic under-detection, since Indian epidemiological studies have not used standardized personality interviews and therefore grossly underestimate true rates.</w:t>
            </w:r>
          </w:p>
          <w:p>
            <w:pPr>
              <w:spacing w:after="40" w:before="60" w:line="259" w:lineRule="auto"/>
            </w:pPr>
            <w:r>
              <w:rPr>
                <w:rFonts w:ascii="Calibri" w:hAnsi="Calibri"/>
                <w:b w:val="0"/>
                <w:i w:val="0"/>
                <w:color w:val="212121"/>
                <w:sz w:val="19"/>
              </w:rPr>
              <w:t>Any personality disorder: 4.3% pooled prevalence in LMICs vs 9.6% in high-income countries; global pooled prevalence 7.8% (cluster A 3.8%, cluster B 2.8%, cluster C 5.0%).</w:t>
            </w:r>
          </w:p>
          <w:p>
            <w:pPr>
              <w:spacing w:after="40" w:line="252" w:lineRule="auto"/>
            </w:pPr>
            <w:hyperlink r:id="rId13">
              <w:r>
                <w:rPr>
                  <w:rFonts w:ascii="Calibri" w:hAnsi="Calibri" w:cs="Calibri"/>
                  <w:sz w:val="18"/>
                  <w:color w:val="1155CC"/>
                  <w:u w:val="single"/>
                </w:rPr>
                <w:t xml:space="preserve">cambridge.org — global PD prevalence meta-analysis (Br J Psychiatry 2020)</w:t>
              </w:r>
            </w:hyperlink>
          </w:p>
          <w:p>
            <w:pPr>
              <w:spacing w:before="60" w:after="40"/>
            </w:pPr>
            <w:r>
              <w:rPr>
                <w:rFonts w:ascii="Calibri" w:hAnsi="Calibri"/>
                <w:b w:val="0"/>
                <w:i w:val="0"/>
                <w:color w:val="5A5A5A"/>
                <w:sz w:val="18"/>
              </w:rPr>
              <w:t>#LMIC  #underdiagnosis  #jointfamily  #epidemiology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Urbanisation</w:t>
            </w:r>
          </w:p>
        </w:tc>
        <w:tc>
          <w:tcPr>
            <w:tcW w:type="dxa" w:w="2160"/>
            <w:vAlign w:val="top"/>
          </w:tcPr>
          <w:p>
            <w:pPr>
              <w:spacing w:after="40" w:before="0" w:line="259" w:lineRule="auto"/>
            </w:pPr>
            <w:r>
              <w:rPr>
                <w:rFonts w:ascii="Calibri" w:hAnsi="Calibri"/>
                <w:b w:val="0"/>
                <w:i w:val="0"/>
                <w:color w:val="212121"/>
                <w:sz w:val="19"/>
              </w:rPr>
              <w:t>Urban residents &amp; internal migrants</w:t>
            </w:r>
          </w:p>
        </w:tc>
        <w:tc>
          <w:tcPr>
            <w:tcW w:type="dxa" w:w="4276"/>
            <w:vAlign w:val="top"/>
          </w:tcPr>
          <w:p>
            <w:pPr>
              <w:spacing w:after="60" w:line="259" w:lineRule="auto"/>
            </w:pPr>
            <w:r>
              <w:rPr>
                <w:rFonts w:ascii="Calibri" w:hAnsi="Calibri"/>
                <w:b w:val="0"/>
                <w:i w:val="0"/>
                <w:color w:val="212121"/>
                <w:sz w:val="19"/>
              </w:rPr>
              <w:t>Urban living and migration heighten family fragmentation, anonymity, substance availability and competitive stress; antisocial personality syndromes cluster in urban settings, and India's National Mental Health Survey found the overall mental-morbidity burden concentrated in urban metros.</w:t>
            </w:r>
          </w:p>
          <w:p>
            <w:pPr>
              <w:spacing w:after="40" w:before="60" w:line="259" w:lineRule="auto"/>
            </w:pPr>
            <w:r>
              <w:rPr>
                <w:rFonts w:ascii="Calibri" w:hAnsi="Calibri"/>
                <w:b w:val="0"/>
                <w:i w:val="0"/>
                <w:color w:val="212121"/>
                <w:sz w:val="19"/>
              </w:rPr>
              <w:t>NMHS 2015–16 (12 states, n=34,802): lifetime prevalence of any mental morbidity in India 13.67% and current prevalence 10.56%, with a substantially higher burden in urban metropolitan areas.</w:t>
            </w:r>
          </w:p>
          <w:p>
            <w:pPr>
              <w:spacing w:after="40" w:line="252" w:lineRule="auto"/>
            </w:pPr>
            <w:hyperlink r:id="rId14">
              <w:r>
                <w:rPr>
                  <w:rFonts w:ascii="Calibri" w:hAnsi="Calibri" w:cs="Calibri"/>
                  <w:sz w:val="18"/>
                  <w:color w:val="1155CC"/>
                  <w:u w:val="single"/>
                </w:rPr>
                <w:t xml:space="preserve">pubmed.ncbi.nlm.nih.gov/32126902 — National Mental Health Survey of India 2016</w:t>
              </w:r>
            </w:hyperlink>
          </w:p>
          <w:p>
            <w:pPr>
              <w:spacing w:before="60" w:after="40"/>
            </w:pPr>
            <w:r>
              <w:rPr>
                <w:rFonts w:ascii="Calibri" w:hAnsi="Calibri"/>
                <w:b w:val="0"/>
                <w:i w:val="0"/>
                <w:color w:val="5A5A5A"/>
                <w:sz w:val="18"/>
              </w:rPr>
              <w:t>#urbanstress  #migration  #nuclearfamily  #NMHS</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Substance use</w:t>
            </w:r>
          </w:p>
        </w:tc>
        <w:tc>
          <w:tcPr>
            <w:tcW w:type="dxa" w:w="2160"/>
            <w:vAlign w:val="top"/>
          </w:tcPr>
          <w:p>
            <w:pPr>
              <w:spacing w:after="40" w:before="0" w:line="259" w:lineRule="auto"/>
            </w:pPr>
            <w:r>
              <w:rPr>
                <w:rFonts w:ascii="Calibri" w:hAnsi="Calibri"/>
                <w:b w:val="0"/>
                <w:i w:val="0"/>
                <w:color w:val="212121"/>
                <w:sz w:val="19"/>
              </w:rPr>
              <w:t>Alcohol &amp; drug users</w:t>
            </w:r>
          </w:p>
        </w:tc>
        <w:tc>
          <w:tcPr>
            <w:tcW w:type="dxa" w:w="4276"/>
            <w:vAlign w:val="top"/>
          </w:tcPr>
          <w:p>
            <w:pPr>
              <w:spacing w:after="60" w:line="259" w:lineRule="auto"/>
            </w:pPr>
            <w:r>
              <w:rPr>
                <w:rFonts w:ascii="Calibri" w:hAnsi="Calibri"/>
                <w:b w:val="0"/>
                <w:i w:val="0"/>
                <w:color w:val="212121"/>
                <w:sz w:val="19"/>
              </w:rPr>
              <w:t>Trait impulsivity and affect dysregulation drive self-medication with alcohol, cannabis, opioids and stimulants; substance use in turn destabilizes mood, relationships and treatment adherence, entrenching the personality pathology in a vicious cycle.</w:t>
            </w:r>
          </w:p>
          <w:p>
            <w:pPr>
              <w:spacing w:after="40" w:before="60" w:line="259" w:lineRule="auto"/>
            </w:pPr>
            <w:r>
              <w:rPr>
                <w:rFonts w:ascii="Calibri" w:hAnsi="Calibri"/>
                <w:b w:val="0"/>
                <w:i w:val="0"/>
                <w:color w:val="212121"/>
                <w:sz w:val="19"/>
              </w:rPr>
              <w:t>78.2% of adults with borderline PD have a lifetime substance use disorder (NESARC); among Odisha undergraduates, positive BPD screening carried 4.5-fold odds of substance use (OR 4.54), with tobacco and cannabis most strongly linked.</w:t>
            </w:r>
          </w:p>
          <w:p>
            <w:pPr>
              <w:spacing w:after="40" w:line="252" w:lineRule="auto"/>
            </w:pPr>
            <w:hyperlink r:id="rId15">
              <w:r>
                <w:rPr>
                  <w:rFonts w:ascii="Calibri" w:hAnsi="Calibri" w:cs="Calibri"/>
                  <w:sz w:val="18"/>
                  <w:color w:val="1155CC"/>
                  <w:u w:val="single"/>
                </w:rPr>
                <w:t xml:space="preserve">pubmed.ncbi.nlm.nih.gov/25248122 — BPD community characteristics, NESARC</w:t>
              </w:r>
            </w:hyperlink>
          </w:p>
          <w:p>
            <w:pPr>
              <w:spacing w:before="60" w:after="40"/>
            </w:pPr>
            <w:r>
              <w:rPr>
                <w:rFonts w:ascii="Calibri" w:hAnsi="Calibri"/>
                <w:b w:val="0"/>
                <w:i w:val="0"/>
                <w:color w:val="5A5A5A"/>
                <w:sz w:val="18"/>
              </w:rPr>
              <w:t>#selfmedication  #impulsivity  #dualdiagnosis  #cannabis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Nicotine-dependent smokers</w:t>
            </w:r>
          </w:p>
        </w:tc>
        <w:tc>
          <w:tcPr>
            <w:tcW w:type="dxa" w:w="4276"/>
            <w:vAlign w:val="top"/>
          </w:tcPr>
          <w:p>
            <w:pPr>
              <w:spacing w:after="60" w:line="259" w:lineRule="auto"/>
            </w:pPr>
            <w:r>
              <w:rPr>
                <w:rFonts w:ascii="Calibri" w:hAnsi="Calibri"/>
                <w:b w:val="0"/>
                <w:i w:val="0"/>
                <w:color w:val="212121"/>
                <w:sz w:val="19"/>
              </w:rPr>
              <w:t>Nicotine is used for rapid affect regulation; nicotine dependence is disproportionately common with borderline, antisocial and dependent personality disorders, and comorbid PD lowers quit success — relevant in India where tobacco is consumed in both smoked and smokeless forms.</w:t>
            </w:r>
          </w:p>
          <w:p>
            <w:pPr>
              <w:spacing w:after="40" w:before="60" w:line="259" w:lineRule="auto"/>
            </w:pPr>
            <w:r>
              <w:rPr>
                <w:rFonts w:ascii="Calibri" w:hAnsi="Calibri"/>
                <w:b w:val="0"/>
                <w:i w:val="0"/>
                <w:color w:val="212121"/>
                <w:sz w:val="19"/>
              </w:rPr>
              <w:t>Smokers seeking cessation treatment had significantly higher odds of paranoid, schizoid, schizotypal, borderline, antisocial and dependent PDs than general-population smokers; nicotine dependence itself was associated with borderline and dependent PD.</w:t>
            </w:r>
          </w:p>
          <w:p>
            <w:pPr>
              <w:spacing w:after="40" w:line="252" w:lineRule="auto"/>
            </w:pPr>
            <w:hyperlink r:id="rId16">
              <w:r>
                <w:rPr>
                  <w:rFonts w:ascii="Calibri" w:hAnsi="Calibri" w:cs="Calibri"/>
                  <w:sz w:val="18"/>
                  <w:color w:val="1155CC"/>
                  <w:u w:val="single"/>
                </w:rPr>
                <w:t xml:space="preserve">pubmed.ncbi.nlm.nih.gov/27448261 — personality disorders and smoking</w:t>
              </w:r>
            </w:hyperlink>
          </w:p>
          <w:p>
            <w:pPr>
              <w:spacing w:before="60" w:after="40"/>
            </w:pPr>
            <w:r>
              <w:rPr>
                <w:rFonts w:ascii="Calibri" w:hAnsi="Calibri"/>
                <w:b w:val="0"/>
                <w:i w:val="0"/>
                <w:color w:val="5A5A5A"/>
                <w:sz w:val="18"/>
              </w:rPr>
              <w:t>#nicotinedependence  #affectregulation  #tobaccoIndia  #quitfailure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Incarceration / legal involvement</w:t>
            </w:r>
          </w:p>
        </w:tc>
        <w:tc>
          <w:tcPr>
            <w:tcW w:type="dxa" w:w="2160"/>
            <w:vAlign w:val="top"/>
          </w:tcPr>
          <w:p>
            <w:pPr>
              <w:spacing w:after="40" w:before="0" w:line="259" w:lineRule="auto"/>
            </w:pPr>
            <w:r>
              <w:rPr>
                <w:rFonts w:ascii="Calibri" w:hAnsi="Calibri"/>
                <w:b w:val="0"/>
                <w:i w:val="0"/>
                <w:color w:val="212121"/>
                <w:sz w:val="19"/>
              </w:rPr>
              <w:t>Prisoners &amp; repeat offenders</w:t>
            </w:r>
          </w:p>
        </w:tc>
        <w:tc>
          <w:tcPr>
            <w:tcW w:type="dxa" w:w="4276"/>
            <w:vAlign w:val="top"/>
          </w:tcPr>
          <w:p>
            <w:pPr>
              <w:spacing w:after="60" w:line="259" w:lineRule="auto"/>
            </w:pPr>
            <w:r>
              <w:rPr>
                <w:rFonts w:ascii="Calibri" w:hAnsi="Calibri"/>
                <w:b w:val="0"/>
                <w:i w:val="0"/>
                <w:color w:val="212121"/>
                <w:sz w:val="19"/>
              </w:rPr>
              <w:t>Antisocial and borderline pathology mediate violence, recidivism and rule-breaking; prison populations therefore show an extreme concentration of personality disorder, and PD screening is standard in forensic psychiatric evaluation.</w:t>
            </w:r>
          </w:p>
          <w:p>
            <w:pPr>
              <w:spacing w:after="40" w:before="60" w:line="259" w:lineRule="auto"/>
            </w:pPr>
            <w:r>
              <w:rPr>
                <w:rFonts w:ascii="Calibri" w:hAnsi="Calibri"/>
                <w:b w:val="0"/>
                <w:i w:val="0"/>
                <w:color w:val="212121"/>
                <w:sz w:val="19"/>
              </w:rPr>
              <w:t>Systematic review of 62 surveys (22,790 prisoners): 65% of male prisoners had a personality disorder — including 47% with antisocial PD — as did 42% of female prisoners (21% antisocial).</w:t>
            </w:r>
          </w:p>
          <w:p>
            <w:pPr>
              <w:spacing w:after="40" w:line="252" w:lineRule="auto"/>
            </w:pPr>
            <w:hyperlink r:id="rId17">
              <w:r>
                <w:rPr>
                  <w:rFonts w:ascii="Calibri" w:hAnsi="Calibri" w:cs="Calibri"/>
                  <w:sz w:val="18"/>
                  <w:color w:val="1155CC"/>
                  <w:u w:val="single"/>
                </w:rPr>
                <w:t xml:space="preserve">pubmed.ncbi.nlm.nih.gov/11867106 — serious mental disorder in 23,000 prisoners (Lancet)</w:t>
              </w:r>
            </w:hyperlink>
          </w:p>
          <w:p>
            <w:pPr>
              <w:spacing w:before="60" w:after="40"/>
            </w:pPr>
            <w:r>
              <w:rPr>
                <w:rFonts w:ascii="Calibri" w:hAnsi="Calibri"/>
                <w:b w:val="0"/>
                <w:i w:val="0"/>
                <w:color w:val="5A5A5A"/>
                <w:sz w:val="18"/>
              </w:rPr>
              <w:t>#forensic  #recidivism  #dissocial  #prisonmentalhealth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Physically inactive adults with PD traits</w:t>
            </w:r>
          </w:p>
        </w:tc>
        <w:tc>
          <w:tcPr>
            <w:tcW w:type="dxa" w:w="4276"/>
            <w:vAlign w:val="top"/>
          </w:tcPr>
          <w:p>
            <w:pPr>
              <w:spacing w:after="60" w:line="259" w:lineRule="auto"/>
            </w:pPr>
            <w:r>
              <w:rPr>
                <w:rFonts w:ascii="Calibri" w:hAnsi="Calibri"/>
                <w:b w:val="0"/>
                <w:i w:val="0"/>
                <w:color w:val="212121"/>
                <w:sz w:val="19"/>
              </w:rPr>
              <w:t>Physical inactivity clusters with insomnia, depression, obesity and social withdrawal in personality disorder; cross-sectional studies in borderline PD link higher leisure- and transport-related physical activity with lower depressive burden, and structured exercise is a useful adjunct to psychotherapy.</w:t>
            </w:r>
          </w:p>
          <w:p>
            <w:pPr>
              <w:spacing w:after="40" w:before="60" w:line="259" w:lineRule="auto"/>
            </w:pPr>
            <w:r>
              <w:rPr>
                <w:rFonts w:ascii="Calibri" w:hAnsi="Calibri"/>
                <w:b w:val="0"/>
                <w:i w:val="0"/>
                <w:color w:val="212121"/>
                <w:sz w:val="19"/>
              </w:rPr>
              <w:t>Insomnia disorder — which strongly co-varies with inactivity — is significantly associated with borderline symptom severity in community samples of adults reporting BPD.</w:t>
            </w:r>
          </w:p>
          <w:p>
            <w:pPr>
              <w:spacing w:before="60" w:after="40"/>
            </w:pPr>
            <w:r>
              <w:rPr>
                <w:rFonts w:ascii="Calibri" w:hAnsi="Calibri"/>
                <w:b w:val="0"/>
                <w:i w:val="0"/>
                <w:color w:val="5A5A5A"/>
                <w:sz w:val="18"/>
              </w:rPr>
              <w:t>#inactivity  #insomnia  #behaviouralactivation  #exerciseadjunct</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Disordered eating</w:t>
            </w:r>
          </w:p>
        </w:tc>
        <w:tc>
          <w:tcPr>
            <w:tcW w:type="dxa" w:w="2160"/>
            <w:vAlign w:val="top"/>
          </w:tcPr>
          <w:p>
            <w:pPr>
              <w:spacing w:after="40" w:before="0" w:line="259" w:lineRule="auto"/>
            </w:pPr>
            <w:r>
              <w:rPr>
                <w:rFonts w:ascii="Calibri" w:hAnsi="Calibri"/>
                <w:b w:val="0"/>
                <w:i w:val="0"/>
                <w:color w:val="212121"/>
                <w:sz w:val="19"/>
              </w:rPr>
              <w:t>Binge, purge &amp; restrictive eaters</w:t>
            </w:r>
          </w:p>
        </w:tc>
        <w:tc>
          <w:tcPr>
            <w:tcW w:type="dxa" w:w="4276"/>
            <w:vAlign w:val="top"/>
          </w:tcPr>
          <w:p>
            <w:pPr>
              <w:spacing w:after="60" w:line="259" w:lineRule="auto"/>
            </w:pPr>
            <w:r>
              <w:rPr>
                <w:rFonts w:ascii="Calibri" w:hAnsi="Calibri"/>
                <w:b w:val="0"/>
                <w:i w:val="0"/>
                <w:color w:val="212121"/>
                <w:sz w:val="19"/>
              </w:rPr>
              <w:t>Impulsivity and identity disturbance express through food: binge eating and bulimia cluster with borderline PD, while restrictive anorexia clusters with avoidant and anankastic traits — eating disorder patients should routinely be assessed for personality pathology and vice versa.</w:t>
            </w:r>
          </w:p>
          <w:p>
            <w:pPr>
              <w:spacing w:after="40" w:before="60" w:line="259" w:lineRule="auto"/>
            </w:pPr>
            <w:r>
              <w:rPr>
                <w:rFonts w:ascii="Calibri" w:hAnsi="Calibri"/>
                <w:b w:val="0"/>
                <w:i w:val="0"/>
                <w:color w:val="212121"/>
                <w:sz w:val="19"/>
              </w:rPr>
              <w:t>Meta-analysis of 87 studies: 52% of eating-disorder patients have a comorbid personality disorder versus 9% of healthy controls, with borderline and avoidant PDs predominating.</w:t>
            </w:r>
          </w:p>
          <w:p>
            <w:pPr>
              <w:spacing w:after="40" w:line="252" w:lineRule="auto"/>
            </w:pPr>
            <w:hyperlink r:id="rId18">
              <w:r>
                <w:rPr>
                  <w:rFonts w:ascii="Calibri" w:hAnsi="Calibri" w:cs="Calibri"/>
                  <w:sz w:val="18"/>
                  <w:color w:val="1155CC"/>
                  <w:u w:val="single"/>
                </w:rPr>
                <w:t xml:space="preserve">pubmed.ncbi.nlm.nih.gov/27995489 — PD comorbidity in eating disorders, meta-analysis</w:t>
              </w:r>
            </w:hyperlink>
          </w:p>
          <w:p>
            <w:pPr>
              <w:spacing w:before="60" w:after="40"/>
            </w:pPr>
            <w:r>
              <w:rPr>
                <w:rFonts w:ascii="Calibri" w:hAnsi="Calibri"/>
                <w:b w:val="0"/>
                <w:i w:val="0"/>
                <w:color w:val="5A5A5A"/>
                <w:sz w:val="18"/>
              </w:rPr>
              <w:t>#bingeeating  #bulimia  #bodyimage  #impulsiveeating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Irregular meals, low omega-3 &amp; caffeine-heavy patterns</w:t>
            </w:r>
          </w:p>
        </w:tc>
        <w:tc>
          <w:tcPr>
            <w:tcW w:type="dxa" w:w="4276"/>
            <w:vAlign w:val="top"/>
          </w:tcPr>
          <w:p>
            <w:pPr>
              <w:spacing w:after="60" w:line="259" w:lineRule="auto"/>
            </w:pPr>
            <w:r>
              <w:rPr>
                <w:rFonts w:ascii="Calibri" w:hAnsi="Calibri"/>
                <w:b w:val="0"/>
                <w:i w:val="0"/>
                <w:color w:val="212121"/>
                <w:sz w:val="19"/>
              </w:rPr>
              <w:t>Chaotic eating schedules, skipped meals and heavy caffeine/energy-drink use destabilize energy, sleep and mood in emotionally unstable individuals; small trials suggest marine omega-3 fatty acid supplementation may modestly reduce affective instability and impulsivity as an adjunct in borderline PD, though evidence remains preliminary.</w:t>
            </w:r>
          </w:p>
          <w:p>
            <w:pPr>
              <w:spacing w:before="60" w:after="40"/>
            </w:pPr>
            <w:r>
              <w:rPr>
                <w:rFonts w:ascii="Calibri" w:hAnsi="Calibri"/>
                <w:b w:val="0"/>
                <w:i w:val="0"/>
                <w:color w:val="5A5A5A"/>
                <w:sz w:val="18"/>
              </w:rPr>
              <w:t>#mealregularity  #omega3  #caffeineoveruse  #moodstability</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of people with PD</w:t>
            </w:r>
          </w:p>
        </w:tc>
        <w:tc>
          <w:tcPr>
            <w:tcW w:type="dxa" w:w="4276"/>
            <w:vAlign w:val="top"/>
          </w:tcPr>
          <w:p>
            <w:pPr>
              <w:spacing w:after="60" w:line="259" w:lineRule="auto"/>
            </w:pPr>
            <w:r>
              <w:rPr>
                <w:rFonts w:ascii="Calibri" w:hAnsi="Calibri"/>
                <w:b w:val="0"/>
                <w:i w:val="0"/>
                <w:color w:val="212121"/>
                <w:sz w:val="19"/>
              </w:rPr>
              <w:t>Personality pathology aggregates strongly in families through both inherited temperament and shared adverse environments; risk rises with genetic proximity, and parental PD additionally transmits risk through parenting disruption.</w:t>
            </w:r>
          </w:p>
          <w:p>
            <w:pPr>
              <w:spacing w:after="40" w:before="60" w:line="259" w:lineRule="auto"/>
            </w:pPr>
            <w:r>
              <w:rPr>
                <w:rFonts w:ascii="Calibri" w:hAnsi="Calibri"/>
                <w:b w:val="0"/>
                <w:i w:val="0"/>
                <w:color w:val="212121"/>
                <w:sz w:val="19"/>
              </w:rPr>
              <w:t>Swedish total-population study (1.85 million people; 11,665 BPD cases): hazard of BPD diagnosis was 11.5× in monozygotic co-twins and 4.7× in full siblings of affected individuals; cross-national twin data attribute ~42% of variance in borderline features to additive genetic factors.</w:t>
            </w:r>
          </w:p>
          <w:p>
            <w:pPr>
              <w:spacing w:after="40" w:line="252" w:lineRule="auto"/>
            </w:pPr>
            <w:hyperlink r:id="rId19">
              <w:r>
                <w:rPr>
                  <w:rFonts w:ascii="Calibri" w:hAnsi="Calibri" w:cs="Calibri"/>
                  <w:sz w:val="18"/>
                  <w:color w:val="1155CC"/>
                  <w:u w:val="single"/>
                </w:rPr>
                <w:t xml:space="preserve">pubmed.ncbi.nlm.nih.gov/31160693 — familial risk &amp; heritability of BPD (Mol Psychiatry)</w:t>
              </w:r>
            </w:hyperlink>
          </w:p>
          <w:p>
            <w:pPr>
              <w:spacing w:before="60" w:after="40"/>
            </w:pPr>
            <w:r>
              <w:rPr>
                <w:rFonts w:ascii="Calibri" w:hAnsi="Calibri"/>
                <w:b w:val="0"/>
                <w:i w:val="0"/>
                <w:color w:val="5A5A5A"/>
                <w:sz w:val="18"/>
              </w:rPr>
              <w:t>#heritability  #familialaggregation  #twinstudies  #temperament</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Childhood maltreatment history</w:t>
            </w:r>
          </w:p>
        </w:tc>
        <w:tc>
          <w:tcPr>
            <w:tcW w:type="dxa" w:w="2160"/>
            <w:vAlign w:val="top"/>
          </w:tcPr>
          <w:p>
            <w:pPr>
              <w:spacing w:after="40" w:before="0" w:line="259" w:lineRule="auto"/>
            </w:pPr>
            <w:r>
              <w:rPr>
                <w:rFonts w:ascii="Calibri" w:hAnsi="Calibri"/>
                <w:b w:val="0"/>
                <w:i w:val="0"/>
                <w:color w:val="212121"/>
                <w:sz w:val="19"/>
              </w:rPr>
              <w:t>Survivors of childhood abuse &amp; neglect</w:t>
            </w:r>
          </w:p>
        </w:tc>
        <w:tc>
          <w:tcPr>
            <w:tcW w:type="dxa" w:w="4276"/>
            <w:vAlign w:val="top"/>
          </w:tcPr>
          <w:p>
            <w:pPr>
              <w:spacing w:after="60" w:line="259" w:lineRule="auto"/>
            </w:pPr>
            <w:r>
              <w:rPr>
                <w:rFonts w:ascii="Calibri" w:hAnsi="Calibri"/>
                <w:b w:val="0"/>
                <w:i w:val="0"/>
                <w:color w:val="212121"/>
                <w:sz w:val="19"/>
              </w:rPr>
              <w:t>Early abuse and neglect derail attachment, threat processing and emotion regulation — the developmental scaffold of personality; emotional abuse and neglect carry the largest effects, making trauma-informed assessment mandatory in every suspected PD.</w:t>
            </w:r>
          </w:p>
          <w:p>
            <w:pPr>
              <w:spacing w:after="40" w:before="60" w:line="259" w:lineRule="auto"/>
            </w:pPr>
            <w:r>
              <w:rPr>
                <w:rFonts w:ascii="Calibri" w:hAnsi="Calibri"/>
                <w:b w:val="0"/>
                <w:i w:val="0"/>
                <w:color w:val="212121"/>
                <w:sz w:val="19"/>
              </w:rPr>
              <w:t>Individuals with borderline PD are 13.91× more likely to report childhood adversity than non-clinical controls (97 studies); emotional abuse shows the largest association (OR 38.11), followed by neglect (OR 17.73).</w:t>
            </w:r>
          </w:p>
          <w:p>
            <w:pPr>
              <w:spacing w:after="40" w:line="252" w:lineRule="auto"/>
            </w:pPr>
            <w:hyperlink r:id="rId20">
              <w:r>
                <w:rPr>
                  <w:rFonts w:ascii="Calibri" w:hAnsi="Calibri" w:cs="Calibri"/>
                  <w:sz w:val="18"/>
                  <w:color w:val="1155CC"/>
                  <w:u w:val="single"/>
                </w:rPr>
                <w:t xml:space="preserve">pubmed.ncbi.nlm.nih.gov/31630389 — childhood adversity &amp; BPD meta-analysis</w:t>
              </w:r>
            </w:hyperlink>
          </w:p>
          <w:p>
            <w:pPr>
              <w:spacing w:before="60" w:after="40"/>
            </w:pPr>
            <w:r>
              <w:rPr>
                <w:rFonts w:ascii="Calibri" w:hAnsi="Calibri"/>
                <w:b w:val="0"/>
                <w:i w:val="0"/>
                <w:color w:val="5A5A5A"/>
                <w:sz w:val="18"/>
              </w:rPr>
              <w:t>#childhoodtrauma  #emotionalabuse  #neglect  #traumainformedcare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Childhood conduct disorder / ADHD</w:t>
            </w:r>
          </w:p>
        </w:tc>
        <w:tc>
          <w:tcPr>
            <w:tcW w:type="dxa" w:w="2160"/>
            <w:vAlign w:val="top"/>
          </w:tcPr>
          <w:p>
            <w:pPr>
              <w:spacing w:after="40" w:before="0" w:line="259" w:lineRule="auto"/>
            </w:pPr>
            <w:r>
              <w:rPr>
                <w:rFonts w:ascii="Calibri" w:hAnsi="Calibri"/>
                <w:b w:val="0"/>
                <w:i w:val="0"/>
                <w:color w:val="212121"/>
                <w:sz w:val="19"/>
              </w:rPr>
              <w:t>Children with conduct or attention-deficit problems</w:t>
            </w:r>
          </w:p>
        </w:tc>
        <w:tc>
          <w:tcPr>
            <w:tcW w:type="dxa" w:w="4276"/>
            <w:vAlign w:val="top"/>
          </w:tcPr>
          <w:p>
            <w:pPr>
              <w:spacing w:after="60" w:line="259" w:lineRule="auto"/>
            </w:pPr>
            <w:r>
              <w:rPr>
                <w:rFonts w:ascii="Calibri" w:hAnsi="Calibri"/>
                <w:b w:val="0"/>
                <w:i w:val="0"/>
                <w:color w:val="212121"/>
                <w:sz w:val="19"/>
              </w:rPr>
              <w:t>Conduct disorder before age 15 is a diagnostic prerequisite of antisocial PD, and ADHD-related impulsivity and emotional dysregulation predispose to cluster B pathology in adulthood — making child and adolescent psychiatry the front line of PD prevention.</w:t>
            </w:r>
          </w:p>
          <w:p>
            <w:pPr>
              <w:spacing w:after="40" w:before="60" w:line="259" w:lineRule="auto"/>
            </w:pPr>
            <w:r>
              <w:rPr>
                <w:rFonts w:ascii="Calibri" w:hAnsi="Calibri"/>
                <w:b w:val="0"/>
                <w:i w:val="0"/>
                <w:color w:val="212121"/>
                <w:sz w:val="19"/>
              </w:rPr>
              <w:t>Approximately 80% of people who develop antisocial personality disorder had symptoms evident by age 11.</w:t>
            </w:r>
          </w:p>
          <w:p>
            <w:pPr>
              <w:spacing w:after="40" w:line="252" w:lineRule="auto"/>
            </w:pPr>
            <w:hyperlink r:id="rId21">
              <w:r>
                <w:rPr>
                  <w:rFonts w:ascii="Calibri" w:hAnsi="Calibri" w:cs="Calibri"/>
                  <w:sz w:val="18"/>
                  <w:color w:val="1155CC"/>
                  <w:u w:val="single"/>
                </w:rPr>
                <w:t xml:space="preserve">clevelandclinic.org — personality disorders overview</w:t>
              </w:r>
            </w:hyperlink>
          </w:p>
          <w:p>
            <w:pPr>
              <w:spacing w:before="60" w:after="40"/>
            </w:pPr>
            <w:r>
              <w:rPr>
                <w:rFonts w:ascii="Calibri" w:hAnsi="Calibri"/>
                <w:b w:val="0"/>
                <w:i w:val="0"/>
                <w:color w:val="5A5A5A"/>
                <w:sz w:val="18"/>
              </w:rPr>
              <w:t>#conductdisorder  #ADHD  #earlyintervention  #neurodevelopment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Mood &amp; anxiety disorders</w:t>
            </w:r>
          </w:p>
        </w:tc>
        <w:tc>
          <w:tcPr>
            <w:tcW w:type="dxa" w:w="2160"/>
            <w:vAlign w:val="top"/>
          </w:tcPr>
          <w:p>
            <w:pPr>
              <w:spacing w:after="40" w:before="0" w:line="259" w:lineRule="auto"/>
            </w:pPr>
            <w:r>
              <w:rPr>
                <w:rFonts w:ascii="Calibri" w:hAnsi="Calibri"/>
                <w:b w:val="0"/>
                <w:i w:val="0"/>
                <w:color w:val="212121"/>
                <w:sz w:val="19"/>
              </w:rPr>
              <w:t>Patients with recurrent depression or anxiety</w:t>
            </w:r>
          </w:p>
        </w:tc>
        <w:tc>
          <w:tcPr>
            <w:tcW w:type="dxa" w:w="4276"/>
            <w:vAlign w:val="top"/>
          </w:tcPr>
          <w:p>
            <w:pPr>
              <w:spacing w:after="60" w:line="259" w:lineRule="auto"/>
            </w:pPr>
            <w:r>
              <w:rPr>
                <w:rFonts w:ascii="Calibri" w:hAnsi="Calibri"/>
                <w:b w:val="0"/>
                <w:i w:val="0"/>
                <w:color w:val="212121"/>
                <w:sz w:val="19"/>
              </w:rPr>
              <w:t>Personality pathology and internalizing disorders share negative affectivity and reinforce each other — comorbid PD predicts poorer response to antidepressants and psychotherapy for depression, so treatment-resistant mood or anxiety disorder should always prompt personality assessment.</w:t>
            </w:r>
          </w:p>
          <w:p>
            <w:pPr>
              <w:spacing w:after="40" w:before="60" w:line="259" w:lineRule="auto"/>
            </w:pPr>
            <w:r>
              <w:rPr>
                <w:rFonts w:ascii="Calibri" w:hAnsi="Calibri"/>
                <w:b w:val="0"/>
                <w:i w:val="0"/>
                <w:color w:val="212121"/>
                <w:sz w:val="19"/>
              </w:rPr>
              <w:t>Among adults with borderline PD, 84.8% have a lifetime anxiety disorder and 82.7% a lifetime mood disorder or episode (NESARC, n=34,481).</w:t>
            </w:r>
          </w:p>
          <w:p>
            <w:pPr>
              <w:spacing w:after="40" w:line="252" w:lineRule="auto"/>
            </w:pPr>
            <w:hyperlink r:id="rId15">
              <w:r>
                <w:rPr>
                  <w:rFonts w:ascii="Calibri" w:hAnsi="Calibri" w:cs="Calibri"/>
                  <w:sz w:val="18"/>
                  <w:color w:val="1155CC"/>
                  <w:u w:val="single"/>
                </w:rPr>
                <w:t xml:space="preserve">pubmed.ncbi.nlm.nih.gov/25248122 — BPD comorbidity, NESARC</w:t>
              </w:r>
            </w:hyperlink>
          </w:p>
          <w:p>
            <w:pPr>
              <w:spacing w:before="60" w:after="40"/>
            </w:pPr>
            <w:r>
              <w:rPr>
                <w:rFonts w:ascii="Calibri" w:hAnsi="Calibri"/>
                <w:b w:val="0"/>
                <w:i w:val="0"/>
                <w:color w:val="5A5A5A"/>
                <w:sz w:val="18"/>
              </w:rPr>
              <w:t>#comorbidity  #treatmentresistance  #negativeaffectivity  #depression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Deliberate self-harm</w:t>
            </w:r>
          </w:p>
        </w:tc>
        <w:tc>
          <w:tcPr>
            <w:tcW w:type="dxa" w:w="2160"/>
            <w:vAlign w:val="top"/>
          </w:tcPr>
          <w:p>
            <w:pPr>
              <w:spacing w:after="40" w:before="0" w:line="259" w:lineRule="auto"/>
            </w:pPr>
            <w:r>
              <w:rPr>
                <w:rFonts w:ascii="Calibri" w:hAnsi="Calibri"/>
                <w:b w:val="0"/>
                <w:i w:val="0"/>
                <w:color w:val="212121"/>
                <w:sz w:val="19"/>
              </w:rPr>
              <w:t>Patients presenting after self-harm or attempted suicide</w:t>
            </w:r>
          </w:p>
        </w:tc>
        <w:tc>
          <w:tcPr>
            <w:tcW w:type="dxa" w:w="4276"/>
            <w:vAlign w:val="top"/>
          </w:tcPr>
          <w:p>
            <w:pPr>
              <w:spacing w:after="60" w:line="259" w:lineRule="auto"/>
            </w:pPr>
            <w:r>
              <w:rPr>
                <w:rFonts w:ascii="Calibri" w:hAnsi="Calibri"/>
                <w:b w:val="0"/>
                <w:i w:val="0"/>
                <w:color w:val="212121"/>
                <w:sz w:val="19"/>
              </w:rPr>
              <w:t>Recurrent self-harm is the single strongest clinical marker of borderline pathology in Indian emergency and medical wards; every deliberate self-harm presentation warrants structured personality assessment once the acute crisis settles.</w:t>
            </w:r>
          </w:p>
          <w:p>
            <w:pPr>
              <w:spacing w:after="40" w:before="60" w:line="259" w:lineRule="auto"/>
            </w:pPr>
            <w:r>
              <w:rPr>
                <w:rFonts w:ascii="Calibri" w:hAnsi="Calibri"/>
                <w:b w:val="0"/>
                <w:i w:val="0"/>
                <w:color w:val="212121"/>
                <w:sz w:val="19"/>
              </w:rPr>
              <w:t>58.5% of young (15–24 years) and 64% of older Indian deliberate self-harm inpatients had an ICD-10 personality disorder on IPDE assessment; emotionally unstable PD was the most common type in the young (28.6%).</w:t>
            </w:r>
          </w:p>
          <w:p>
            <w:pPr>
              <w:spacing w:after="40" w:line="252" w:lineRule="auto"/>
            </w:pPr>
            <w:hyperlink r:id="rId10">
              <w:r>
                <w:rPr>
                  <w:rFonts w:ascii="Calibri" w:hAnsi="Calibri" w:cs="Calibri"/>
                  <w:sz w:val="18"/>
                  <w:color w:val="1155CC"/>
                  <w:u w:val="single"/>
                </w:rPr>
                <w:t xml:space="preserve">pubmed.ncbi.nlm.nih.gov/19742186 — PD in deliberate self-harm, two age groups (India)</w:t>
              </w:r>
            </w:hyperlink>
          </w:p>
          <w:p>
            <w:pPr>
              <w:spacing w:before="60" w:after="40"/>
            </w:pPr>
            <w:r>
              <w:rPr>
                <w:rFonts w:ascii="Calibri" w:hAnsi="Calibri"/>
                <w:b w:val="0"/>
                <w:i w:val="0"/>
                <w:color w:val="5A5A5A"/>
                <w:sz w:val="18"/>
              </w:rPr>
              <w:t>#deliberateselfharm  #suicideprevention  #emergencypsychiatry  #IPDE</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Cross-sectional studies in borderline PD associate leisure- and transport-related physical activity with lower depressive symptom burden, and exercise supports emotion regulation, sleep and cardiometabolic health; however, activity effects on core PD severity attenuate once insomnia is accounted for, so evidence is adjunctive rather than primary.</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About half of eating-disorder patients carry a comorbid PD (52% vs 9% of controls); chaotic eating, binge patterns and antipsychotic-related appetite change link personality pathology to obesity and metabolic syndrome (23.3% in BPD, double the comparison rate).</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Meta-analysis of 32 studies shows BPD patients have objectively impaired sleep continuity and architecture plus frequent nightmares and poor subjective quality, independent of depression; insomnia is strongly associated with borderline severity, and sleep disturbance amplifies emotion dysregulation and suicide risk.</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Nicotine dependence is over-represented across paranoid, schizoid, schizotypal, borderline, antisocial and dependent PDs; smoking is used for affect regulation, quit rates are lower, and tobacco contributes to the excess cardiovascular mortality of PD.</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Lifetime substance use disorder affects 78.2% of people with borderline PD, and alcohol intoxication acutely disinhibits impulsivity, aggression and self-harm; integrated dual-diagnosis treatment improves outcomes for both conditions.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Personality disorder is itself a mental-health condition with near-universal psychiatric comorbidity (84.8% lifetime anxiety, 82.7% mood disorders in BPD) and up to 10% suicide mortality in borderline PD; childhood adversity (OR ~14) is the dominant modifiable developmental exposure.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evidence links hydration to personality pathology; adequate water intake supports general wellbeing, and hydration/renal monitoring matters for patients maintained on lithium.</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High caffeine and energy-drink intake can aggravate anxiety, affective instability and insomnia in emotionally dysregulated individuals, but direct evidence in PD is limited; moderation (≤400 mg/day) is a reasonable clinical advice.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Self-neglect of grooming and personal care accompanies severe PD, crises and comorbid depression or substance use; hygiene decline is a useful observable marker of deterioration rather than a causal factor.</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Interpersonal stressors — perceived rejection, abandonment, humiliation, relationship break-up, family conflict, exam or job failure — are the classic precipitants of borderline crises, self-harm and aggressive outbursts; crisis and safety planning is built around them.</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Moderate-to-vigorous activity (min/week)</w:t>
            </w:r>
          </w:p>
        </w:tc>
        <w:tc>
          <w:tcPr>
            <w:tcW w:type="dxa" w:w="1655"/>
            <w:vAlign w:val="top"/>
          </w:tcPr>
          <w:p>
            <w:pPr>
              <w:spacing w:after="40" w:before="0" w:line="259" w:lineRule="auto"/>
            </w:pPr>
            <w:r>
              <w:rPr>
                <w:rFonts w:ascii="Calibri" w:hAnsi="Calibri"/>
                <w:b w:val="0"/>
                <w:i w:val="0"/>
                <w:color w:val="212121"/>
                <w:sz w:val="19"/>
              </w:rPr>
              <w:t>Adults with PD traits</w:t>
            </w:r>
          </w:p>
        </w:tc>
        <w:tc>
          <w:tcPr>
            <w:tcW w:type="dxa" w:w="1512"/>
            <w:vAlign w:val="top"/>
          </w:tcPr>
          <w:p>
            <w:pPr>
              <w:spacing w:after="40" w:before="0" w:line="259" w:lineRule="auto"/>
            </w:pPr>
            <w:r>
              <w:rPr>
                <w:rFonts w:ascii="Calibri" w:hAnsi="Calibri"/>
                <w:b w:val="0"/>
                <w:i w:val="0"/>
                <w:color w:val="212121"/>
                <w:sz w:val="19"/>
              </w:rPr>
              <w:t>≥ 150 min/week</w:t>
            </w:r>
          </w:p>
        </w:tc>
        <w:tc>
          <w:tcPr>
            <w:tcW w:type="dxa" w:w="1512"/>
            <w:vAlign w:val="top"/>
          </w:tcPr>
          <w:p>
            <w:pPr>
              <w:spacing w:after="40" w:before="0" w:line="259" w:lineRule="auto"/>
            </w:pPr>
            <w:r>
              <w:rPr>
                <w:rFonts w:ascii="Calibri" w:hAnsi="Calibri"/>
                <w:b w:val="0"/>
                <w:i w:val="0"/>
                <w:color w:val="212121"/>
                <w:sz w:val="19"/>
              </w:rPr>
              <w:t>&lt; 150 min/week</w:t>
            </w:r>
          </w:p>
        </w:tc>
        <w:tc>
          <w:tcPr>
            <w:tcW w:type="dxa" w:w="1468"/>
            <w:vAlign w:val="top"/>
          </w:tcPr>
          <w:p>
            <w:pPr>
              <w:spacing w:after="40" w:before="0" w:line="259" w:lineRule="auto"/>
            </w:pPr>
            <w:r>
              <w:rPr>
                <w:rFonts w:ascii="Calibri" w:hAnsi="Calibri"/>
                <w:b w:val="0"/>
                <w:i w:val="0"/>
                <w:color w:val="212121"/>
                <w:sz w:val="19"/>
              </w:rPr>
              <w:t>Regular activity supports mood regulation, sleep and cardiometabolic health as an adjunct to psychotherapy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PD patients on antipsychotics/mood stabilizers</w:t>
            </w:r>
          </w:p>
        </w:tc>
        <w:tc>
          <w:tcPr>
            <w:tcW w:type="dxa" w:w="1512"/>
            <w:vAlign w:val="top"/>
          </w:tcPr>
          <w:p>
            <w:pPr>
              <w:spacing w:after="40" w:before="0" w:line="259" w:lineRule="auto"/>
            </w:pPr>
            <w:r>
              <w:rPr>
                <w:rFonts w:ascii="Calibri" w:hAnsi="Calibri"/>
                <w:b w:val="0"/>
                <w:i w:val="0"/>
                <w:color w:val="212121"/>
                <w:sz w:val="19"/>
              </w:rPr>
              <w:t>18.5–24.9 kg/m²</w:t>
            </w:r>
          </w:p>
        </w:tc>
        <w:tc>
          <w:tcPr>
            <w:tcW w:type="dxa" w:w="1512"/>
            <w:vAlign w:val="top"/>
          </w:tcPr>
          <w:p>
            <w:pPr>
              <w:spacing w:after="40" w:before="0" w:line="259" w:lineRule="auto"/>
            </w:pPr>
            <w:r>
              <w:rPr>
                <w:rFonts w:ascii="Calibri" w:hAnsi="Calibri"/>
                <w:b w:val="0"/>
                <w:i w:val="0"/>
                <w:color w:val="212121"/>
                <w:sz w:val="19"/>
              </w:rPr>
              <w:t>≥ 25 (overweight); ≥ 30 (obese)</w:t>
            </w:r>
          </w:p>
        </w:tc>
        <w:tc>
          <w:tcPr>
            <w:tcW w:type="dxa" w:w="1468"/>
            <w:vAlign w:val="top"/>
          </w:tcPr>
          <w:p>
            <w:pPr>
              <w:spacing w:after="60" w:line="259" w:lineRule="auto"/>
            </w:pPr>
            <w:r>
              <w:rPr>
                <w:rFonts w:ascii="Calibri" w:hAnsi="Calibri"/>
                <w:b w:val="0"/>
                <w:i w:val="0"/>
                <w:color w:val="212121"/>
                <w:sz w:val="19"/>
              </w:rPr>
              <w:t>Metabolic syndrome affects 23.3% of BPD patients — about double the primary-care rate</w:t>
            </w:r>
          </w:p>
          <w:p>
            <w:pPr>
              <w:spacing w:after="40" w:line="252" w:lineRule="auto"/>
            </w:pPr>
            <w:hyperlink r:id="rId22">
              <w:r>
                <w:rPr>
                  <w:rFonts w:ascii="Calibri" w:hAnsi="Calibri" w:cs="Calibri"/>
                  <w:sz w:val="18"/>
                  <w:color w:val="1155CC"/>
                  <w:u w:val="single"/>
                </w:rPr>
                <w:t xml:space="preserve">https://pubmed.ncbi.nlm.nih.gov/22777277/</w:t>
              </w:r>
            </w:hyperlink>
          </w:p>
        </w:tc>
      </w:tr>
      <w:tr>
        <w:trPr>
          <w:cantSplit/>
        </w:trPr>
        <w:tc>
          <w:tcPr>
            <w:tcW w:type="dxa" w:w="1512"/>
            <w:vMerge w:val="restart"/>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Adults, especially borderline PD</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 6 h/night or highly irregular schedule</w:t>
            </w:r>
          </w:p>
        </w:tc>
        <w:tc>
          <w:tcPr>
            <w:tcW w:type="dxa" w:w="1468"/>
            <w:vAlign w:val="top"/>
          </w:tcPr>
          <w:p>
            <w:pPr>
              <w:spacing w:after="60" w:line="259" w:lineRule="auto"/>
            </w:pPr>
            <w:r>
              <w:rPr>
                <w:rFonts w:ascii="Calibri" w:hAnsi="Calibri"/>
                <w:b w:val="0"/>
                <w:i w:val="0"/>
                <w:color w:val="212121"/>
                <w:sz w:val="19"/>
              </w:rPr>
              <w:t>Objective sleep continuity and architecture are impaired in BPD independent of depression</w:t>
            </w:r>
          </w:p>
          <w:p>
            <w:pPr>
              <w:spacing w:after="40" w:line="252" w:lineRule="auto"/>
            </w:pPr>
            <w:hyperlink r:id="rId23">
              <w:r>
                <w:rPr>
                  <w:rFonts w:ascii="Calibri" w:hAnsi="Calibri" w:cs="Calibri"/>
                  <w:sz w:val="18"/>
                  <w:color w:val="1155CC"/>
                  <w:u w:val="single"/>
                </w:rPr>
                <w:t xml:space="preserve">https://pubmed.ncbi.nlm.nih.gov/27988314/</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Sleep quality (PSQI score)</w:t>
            </w:r>
          </w:p>
        </w:tc>
        <w:tc>
          <w:tcPr>
            <w:tcW w:type="dxa" w:w="1655"/>
            <w:vAlign w:val="top"/>
          </w:tcPr>
          <w:p>
            <w:pPr>
              <w:spacing w:after="40" w:before="0" w:line="259" w:lineRule="auto"/>
            </w:pPr>
            <w:r>
              <w:rPr>
                <w:rFonts w:ascii="Calibri" w:hAnsi="Calibri"/>
                <w:b w:val="0"/>
                <w:i w:val="0"/>
                <w:color w:val="212121"/>
                <w:sz w:val="19"/>
              </w:rPr>
              <w:t>PD patients with nightmares/insomnia</w:t>
            </w:r>
          </w:p>
        </w:tc>
        <w:tc>
          <w:tcPr>
            <w:tcW w:type="dxa" w:w="1512"/>
            <w:vAlign w:val="top"/>
          </w:tcPr>
          <w:p>
            <w:pPr>
              <w:spacing w:after="40" w:before="0" w:line="259" w:lineRule="auto"/>
            </w:pPr>
            <w:r>
              <w:rPr>
                <w:rFonts w:ascii="Calibri" w:hAnsi="Calibri"/>
                <w:b w:val="0"/>
                <w:i w:val="0"/>
                <w:color w:val="212121"/>
                <w:sz w:val="19"/>
              </w:rPr>
              <w:t>PSQI ≤ 5</w:t>
            </w:r>
          </w:p>
        </w:tc>
        <w:tc>
          <w:tcPr>
            <w:tcW w:type="dxa" w:w="1512"/>
            <w:vAlign w:val="top"/>
          </w:tcPr>
          <w:p>
            <w:pPr>
              <w:spacing w:after="40" w:before="0" w:line="259" w:lineRule="auto"/>
            </w:pPr>
            <w:r>
              <w:rPr>
                <w:rFonts w:ascii="Calibri" w:hAnsi="Calibri"/>
                <w:b w:val="0"/>
                <w:i w:val="0"/>
                <w:color w:val="212121"/>
                <w:sz w:val="19"/>
              </w:rPr>
              <w:t>PSQI &gt; 5, frequent nightmares</w:t>
            </w:r>
          </w:p>
        </w:tc>
        <w:tc>
          <w:tcPr>
            <w:tcW w:type="dxa" w:w="1468"/>
            <w:vAlign w:val="top"/>
          </w:tcPr>
          <w:p>
            <w:pPr>
              <w:spacing w:after="40" w:before="0" w:line="259" w:lineRule="auto"/>
            </w:pPr>
            <w:r>
              <w:rPr>
                <w:rFonts w:ascii="Calibri" w:hAnsi="Calibri"/>
                <w:b w:val="0"/>
                <w:i w:val="0"/>
                <w:color w:val="212121"/>
                <w:sz w:val="19"/>
              </w:rPr>
              <w:t>Sleep disturbance amplifies next-day emotion dysregulation and suicide risk — treat explicitly (CBT-I)</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Cigarettes/bidis or smokeless tobacco use per day</w:t>
            </w:r>
          </w:p>
        </w:tc>
        <w:tc>
          <w:tcPr>
            <w:tcW w:type="dxa" w:w="1655"/>
            <w:vAlign w:val="top"/>
          </w:tcPr>
          <w:p>
            <w:pPr>
              <w:spacing w:after="40" w:before="0" w:line="259" w:lineRule="auto"/>
            </w:pPr>
            <w:r>
              <w:rPr>
                <w:rFonts w:ascii="Calibri" w:hAnsi="Calibri"/>
                <w:b w:val="0"/>
                <w:i w:val="0"/>
                <w:color w:val="212121"/>
                <w:sz w:val="19"/>
              </w:rPr>
              <w:t>Adolescents &amp; adults with PD</w:t>
            </w:r>
          </w:p>
        </w:tc>
        <w:tc>
          <w:tcPr>
            <w:tcW w:type="dxa" w:w="1512"/>
            <w:vAlign w:val="top"/>
          </w:tcPr>
          <w:p>
            <w:pPr>
              <w:spacing w:after="40" w:before="0" w:line="259" w:lineRule="auto"/>
            </w:pPr>
            <w:r>
              <w:rPr>
                <w:rFonts w:ascii="Calibri" w:hAnsi="Calibri"/>
                <w:b w:val="0"/>
                <w:i w:val="0"/>
                <w:color w:val="212121"/>
                <w:sz w:val="19"/>
              </w:rPr>
              <w:t>0 / day</w:t>
            </w:r>
          </w:p>
        </w:tc>
        <w:tc>
          <w:tcPr>
            <w:tcW w:type="dxa" w:w="1512"/>
            <w:vAlign w:val="top"/>
          </w:tcPr>
          <w:p>
            <w:pPr>
              <w:spacing w:after="40" w:before="0" w:line="259" w:lineRule="auto"/>
            </w:pPr>
            <w:r>
              <w:rPr>
                <w:rFonts w:ascii="Calibri" w:hAnsi="Calibri"/>
                <w:b w:val="0"/>
                <w:i w:val="0"/>
                <w:color w:val="212121"/>
                <w:sz w:val="19"/>
              </w:rPr>
              <w:t>≥ 1 / day or any smokeless tobacco</w:t>
            </w:r>
          </w:p>
        </w:tc>
        <w:tc>
          <w:tcPr>
            <w:tcW w:type="dxa" w:w="1468"/>
            <w:vAlign w:val="top"/>
          </w:tcPr>
          <w:p>
            <w:pPr>
              <w:spacing w:after="60" w:line="259" w:lineRule="auto"/>
            </w:pPr>
            <w:r>
              <w:rPr>
                <w:rFonts w:ascii="Calibri" w:hAnsi="Calibri"/>
                <w:b w:val="0"/>
                <w:i w:val="0"/>
                <w:color w:val="212121"/>
                <w:sz w:val="19"/>
              </w:rPr>
              <w:t>Nicotine dependence is linked to borderline, antisocial and dependent PD and to lower quit success</w:t>
            </w:r>
          </w:p>
          <w:p>
            <w:pPr>
              <w:spacing w:after="40" w:line="252" w:lineRule="auto"/>
            </w:pPr>
            <w:hyperlink r:id="rId16">
              <w:r>
                <w:rPr>
                  <w:rFonts w:ascii="Calibri" w:hAnsi="Calibri" w:cs="Calibri"/>
                  <w:sz w:val="18"/>
                  <w:color w:val="1155CC"/>
                  <w:u w:val="single"/>
                </w:rPr>
                <w:t xml:space="preserve">https://pubmed.ncbi.nlm.nih.gov/27448261/</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AUDIT score / standard drinks per week</w:t>
            </w:r>
          </w:p>
        </w:tc>
        <w:tc>
          <w:tcPr>
            <w:tcW w:type="dxa" w:w="1655"/>
            <w:vAlign w:val="top"/>
          </w:tcPr>
          <w:p>
            <w:pPr>
              <w:spacing w:after="40" w:before="0" w:line="259" w:lineRule="auto"/>
            </w:pPr>
            <w:r>
              <w:rPr>
                <w:rFonts w:ascii="Calibri" w:hAnsi="Calibri"/>
                <w:b w:val="0"/>
                <w:i w:val="0"/>
                <w:color w:val="212121"/>
                <w:sz w:val="19"/>
              </w:rPr>
              <w:t>Adults with PD, dual-diagnosis patients</w:t>
            </w:r>
          </w:p>
        </w:tc>
        <w:tc>
          <w:tcPr>
            <w:tcW w:type="dxa" w:w="1512"/>
            <w:vAlign w:val="top"/>
          </w:tcPr>
          <w:p>
            <w:pPr>
              <w:spacing w:after="40" w:before="0" w:line="259" w:lineRule="auto"/>
            </w:pPr>
            <w:r>
              <w:rPr>
                <w:rFonts w:ascii="Calibri" w:hAnsi="Calibri"/>
                <w:b w:val="0"/>
                <w:i w:val="0"/>
                <w:color w:val="212121"/>
                <w:sz w:val="19"/>
              </w:rPr>
              <w:t>AUDIT &lt; 8; ideally abstinence</w:t>
            </w:r>
          </w:p>
        </w:tc>
        <w:tc>
          <w:tcPr>
            <w:tcW w:type="dxa" w:w="1512"/>
            <w:vAlign w:val="top"/>
          </w:tcPr>
          <w:p>
            <w:pPr>
              <w:spacing w:after="40" w:before="0" w:line="259" w:lineRule="auto"/>
            </w:pPr>
            <w:r>
              <w:rPr>
                <w:rFonts w:ascii="Calibri" w:hAnsi="Calibri"/>
                <w:b w:val="0"/>
                <w:i w:val="0"/>
                <w:color w:val="212121"/>
                <w:sz w:val="19"/>
              </w:rPr>
              <w:t>AUDIT ≥ 8, any binge (≥ 5 drinks/occasion)</w:t>
            </w:r>
          </w:p>
        </w:tc>
        <w:tc>
          <w:tcPr>
            <w:tcW w:type="dxa" w:w="1468"/>
            <w:vAlign w:val="top"/>
          </w:tcPr>
          <w:p>
            <w:pPr>
              <w:spacing w:after="60" w:line="259" w:lineRule="auto"/>
            </w:pPr>
            <w:r>
              <w:rPr>
                <w:rFonts w:ascii="Calibri" w:hAnsi="Calibri"/>
                <w:b w:val="0"/>
                <w:i w:val="0"/>
                <w:color w:val="212121"/>
                <w:sz w:val="19"/>
              </w:rPr>
              <w:t>Intoxication acutely disinhibits self-harm and aggression; SUD comorbidity reaches 78.2% in BPD</w:t>
            </w:r>
          </w:p>
          <w:p>
            <w:pPr>
              <w:spacing w:after="40" w:line="252" w:lineRule="auto"/>
            </w:pPr>
            <w:hyperlink r:id="rId24">
              <w:r>
                <w:rPr>
                  <w:rFonts w:ascii="Calibri" w:hAnsi="Calibri" w:cs="Calibri"/>
                  <w:sz w:val="18"/>
                  <w:color w:val="1155CC"/>
                  <w:u w:val="single"/>
                </w:rPr>
                <w:t xml:space="preserve">https://pubmed.ncbi.nlm.nih.gov/30250740/</w:t>
              </w:r>
            </w:hyperlink>
          </w:p>
        </w:tc>
      </w:tr>
      <w:tr>
        <w:trPr>
          <w:cantSplit/>
        </w:trPr>
        <w:tc>
          <w:tcPr>
            <w:tcW w:type="dxa" w:w="1512"/>
            <w:vMerge w:val="restart"/>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MSI-BPD screening score</w:t>
            </w:r>
          </w:p>
        </w:tc>
        <w:tc>
          <w:tcPr>
            <w:tcW w:type="dxa" w:w="1655"/>
            <w:vAlign w:val="top"/>
          </w:tcPr>
          <w:p>
            <w:pPr>
              <w:spacing w:after="40" w:before="0" w:line="259" w:lineRule="auto"/>
            </w:pPr>
            <w:r>
              <w:rPr>
                <w:rFonts w:ascii="Calibri" w:hAnsi="Calibri"/>
                <w:b w:val="0"/>
                <w:i w:val="0"/>
                <w:color w:val="212121"/>
                <w:sz w:val="19"/>
              </w:rPr>
              <w:t>Young adults, self-harm presenters, students</w:t>
            </w:r>
          </w:p>
        </w:tc>
        <w:tc>
          <w:tcPr>
            <w:tcW w:type="dxa" w:w="1512"/>
            <w:vAlign w:val="top"/>
          </w:tcPr>
          <w:p>
            <w:pPr>
              <w:spacing w:after="40" w:before="0" w:line="259" w:lineRule="auto"/>
            </w:pPr>
            <w:r>
              <w:rPr>
                <w:rFonts w:ascii="Calibri" w:hAnsi="Calibri"/>
                <w:b w:val="0"/>
                <w:i w:val="0"/>
                <w:color w:val="212121"/>
                <w:sz w:val="19"/>
              </w:rPr>
              <w:t>&lt; 7 / 10</w:t>
            </w:r>
          </w:p>
        </w:tc>
        <w:tc>
          <w:tcPr>
            <w:tcW w:type="dxa" w:w="1512"/>
            <w:vAlign w:val="top"/>
          </w:tcPr>
          <w:p>
            <w:pPr>
              <w:spacing w:after="40" w:before="0" w:line="259" w:lineRule="auto"/>
            </w:pPr>
            <w:r>
              <w:rPr>
                <w:rFonts w:ascii="Calibri" w:hAnsi="Calibri"/>
                <w:b w:val="0"/>
                <w:i w:val="0"/>
                <w:color w:val="212121"/>
                <w:sz w:val="19"/>
              </w:rPr>
              <w:t>≥ 7 / 10 (positive screen)</w:t>
            </w:r>
          </w:p>
        </w:tc>
        <w:tc>
          <w:tcPr>
            <w:tcW w:type="dxa" w:w="1468"/>
            <w:vAlign w:val="top"/>
          </w:tcPr>
          <w:p>
            <w:pPr>
              <w:spacing w:after="60" w:line="259" w:lineRule="auto"/>
            </w:pPr>
            <w:r>
              <w:rPr>
                <w:rFonts w:ascii="Calibri" w:hAnsi="Calibri"/>
                <w:b w:val="0"/>
                <w:i w:val="0"/>
                <w:color w:val="212121"/>
                <w:sz w:val="19"/>
              </w:rPr>
              <w:t>Used to screen for borderline PD in Indian college populations (5% screened positive in Odisha)</w:t>
            </w:r>
          </w:p>
          <w:p>
            <w:pPr>
              <w:spacing w:after="40" w:line="252" w:lineRule="auto"/>
            </w:pPr>
            <w:hyperlink r:id="rId25">
              <w:r>
                <w:rPr>
                  <w:rFonts w:ascii="Calibri" w:hAnsi="Calibri" w:cs="Calibri"/>
                  <w:sz w:val="18"/>
                  <w:color w:val="1155CC"/>
                  <w:u w:val="single"/>
                </w:rPr>
                <w:t xml:space="preserve">https://pubmed.ncbi.nlm.nih.gov/41503074/</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PHQ-9 depression score</w:t>
            </w:r>
          </w:p>
        </w:tc>
        <w:tc>
          <w:tcPr>
            <w:tcW w:type="dxa" w:w="1655"/>
            <w:vAlign w:val="top"/>
          </w:tcPr>
          <w:p>
            <w:pPr>
              <w:spacing w:after="40" w:before="0" w:line="259" w:lineRule="auto"/>
            </w:pPr>
            <w:r>
              <w:rPr>
                <w:rFonts w:ascii="Calibri" w:hAnsi="Calibri"/>
                <w:b w:val="0"/>
                <w:i w:val="0"/>
                <w:color w:val="212121"/>
                <w:sz w:val="19"/>
              </w:rPr>
              <w:t>PD patients in follow-up</w:t>
            </w:r>
          </w:p>
        </w:tc>
        <w:tc>
          <w:tcPr>
            <w:tcW w:type="dxa" w:w="1512"/>
            <w:vAlign w:val="top"/>
          </w:tcPr>
          <w:p>
            <w:pPr>
              <w:spacing w:after="40" w:before="0" w:line="259" w:lineRule="auto"/>
            </w:pPr>
            <w:r>
              <w:rPr>
                <w:rFonts w:ascii="Calibri" w:hAnsi="Calibri"/>
                <w:b w:val="0"/>
                <w:i w:val="0"/>
                <w:color w:val="212121"/>
                <w:sz w:val="19"/>
              </w:rPr>
              <w:t>&lt; 5</w:t>
            </w:r>
          </w:p>
        </w:tc>
        <w:tc>
          <w:tcPr>
            <w:tcW w:type="dxa" w:w="1512"/>
            <w:vAlign w:val="top"/>
          </w:tcPr>
          <w:p>
            <w:pPr>
              <w:spacing w:after="40" w:before="0" w:line="259" w:lineRule="auto"/>
            </w:pPr>
            <w:r>
              <w:rPr>
                <w:rFonts w:ascii="Calibri" w:hAnsi="Calibri"/>
                <w:b w:val="0"/>
                <w:i w:val="0"/>
                <w:color w:val="212121"/>
                <w:sz w:val="19"/>
              </w:rPr>
              <w:t>≥ 10 (moderate or worse)</w:t>
            </w:r>
          </w:p>
        </w:tc>
        <w:tc>
          <w:tcPr>
            <w:tcW w:type="dxa" w:w="1468"/>
            <w:vAlign w:val="top"/>
          </w:tcPr>
          <w:p>
            <w:pPr>
              <w:spacing w:after="40" w:before="0" w:line="259" w:lineRule="auto"/>
            </w:pPr>
            <w:r>
              <w:rPr>
                <w:rFonts w:ascii="Calibri" w:hAnsi="Calibri"/>
                <w:b w:val="0"/>
                <w:i w:val="0"/>
                <w:color w:val="212121"/>
                <w:sz w:val="19"/>
              </w:rPr>
              <w:t>Mood comorbidity is near-universal; rising scores predict crises and warrant treatment review</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Self-harm episodes (per month)</w:t>
            </w:r>
          </w:p>
        </w:tc>
        <w:tc>
          <w:tcPr>
            <w:tcW w:type="dxa" w:w="1655"/>
            <w:vAlign w:val="top"/>
          </w:tcPr>
          <w:p>
            <w:pPr>
              <w:spacing w:after="40" w:before="0" w:line="259" w:lineRule="auto"/>
            </w:pPr>
            <w:r>
              <w:rPr>
                <w:rFonts w:ascii="Calibri" w:hAnsi="Calibri"/>
                <w:b w:val="0"/>
                <w:i w:val="0"/>
                <w:color w:val="212121"/>
                <w:sz w:val="19"/>
              </w:rPr>
              <w:t>Borderline / emotionally unstable PD</w:t>
            </w:r>
          </w:p>
        </w:tc>
        <w:tc>
          <w:tcPr>
            <w:tcW w:type="dxa" w:w="1512"/>
            <w:vAlign w:val="top"/>
          </w:tcPr>
          <w:p>
            <w:pPr>
              <w:spacing w:after="40" w:before="0" w:line="259" w:lineRule="auto"/>
            </w:pPr>
            <w:r>
              <w:rPr>
                <w:rFonts w:ascii="Calibri" w:hAnsi="Calibri"/>
                <w:b w:val="0"/>
                <w:i w:val="0"/>
                <w:color w:val="212121"/>
                <w:sz w:val="19"/>
              </w:rPr>
              <w:t>0</w:t>
            </w:r>
          </w:p>
        </w:tc>
        <w:tc>
          <w:tcPr>
            <w:tcW w:type="dxa" w:w="1512"/>
            <w:vAlign w:val="top"/>
          </w:tcPr>
          <w:p>
            <w:pPr>
              <w:spacing w:after="40" w:before="0" w:line="259" w:lineRule="auto"/>
            </w:pPr>
            <w:r>
              <w:rPr>
                <w:rFonts w:ascii="Calibri" w:hAnsi="Calibri"/>
                <w:b w:val="0"/>
                <w:i w:val="0"/>
                <w:color w:val="212121"/>
                <w:sz w:val="19"/>
              </w:rPr>
              <w:t>≥ 1 episode or escalating urges</w:t>
            </w:r>
          </w:p>
        </w:tc>
        <w:tc>
          <w:tcPr>
            <w:tcW w:type="dxa" w:w="1468"/>
            <w:vAlign w:val="top"/>
          </w:tcPr>
          <w:p>
            <w:pPr>
              <w:spacing w:after="60" w:line="259" w:lineRule="auto"/>
            </w:pPr>
            <w:r>
              <w:rPr>
                <w:rFonts w:ascii="Calibri" w:hAnsi="Calibri"/>
                <w:b w:val="0"/>
                <w:i w:val="0"/>
                <w:color w:val="212121"/>
                <w:sz w:val="19"/>
              </w:rPr>
              <w:t>Up to 10% of BPD patients eventually die by suicide — every episode mandates risk re-assessment</w:t>
            </w:r>
          </w:p>
          <w:p>
            <w:pPr>
              <w:spacing w:after="40" w:line="252" w:lineRule="auto"/>
            </w:pPr>
            <w:hyperlink r:id="rId26">
              <w:r>
                <w:rPr>
                  <w:rFonts w:ascii="Calibri" w:hAnsi="Calibri" w:cs="Calibri"/>
                  <w:sz w:val="18"/>
                  <w:color w:val="1155CC"/>
                  <w:u w:val="single"/>
                </w:rPr>
                <w:t xml:space="preserve">https://pubmed.ncbi.nlm.nih.gov/31142033/</w:t>
              </w:r>
            </w:hyperlink>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Caffeine intake (mg/day)</w:t>
            </w:r>
          </w:p>
        </w:tc>
        <w:tc>
          <w:tcPr>
            <w:tcW w:type="dxa" w:w="1655"/>
            <w:vAlign w:val="top"/>
          </w:tcPr>
          <w:p>
            <w:pPr>
              <w:spacing w:after="40" w:before="0" w:line="259" w:lineRule="auto"/>
            </w:pPr>
            <w:r>
              <w:rPr>
                <w:rFonts w:ascii="Calibri" w:hAnsi="Calibri"/>
                <w:b w:val="0"/>
                <w:i w:val="0"/>
                <w:color w:val="212121"/>
                <w:sz w:val="19"/>
              </w:rPr>
              <w:t>Students, shift workers with PD traits</w:t>
            </w:r>
          </w:p>
        </w:tc>
        <w:tc>
          <w:tcPr>
            <w:tcW w:type="dxa" w:w="1512"/>
            <w:vAlign w:val="top"/>
          </w:tcPr>
          <w:p>
            <w:pPr>
              <w:spacing w:after="40" w:before="0" w:line="259" w:lineRule="auto"/>
            </w:pPr>
            <w:r>
              <w:rPr>
                <w:rFonts w:ascii="Calibri" w:hAnsi="Calibri"/>
                <w:b w:val="0"/>
                <w:i w:val="0"/>
                <w:color w:val="212121"/>
                <w:sz w:val="19"/>
              </w:rPr>
              <w:t>≤ 400 mg/day (≈ 2–3 cups coffee)</w:t>
            </w:r>
          </w:p>
        </w:tc>
        <w:tc>
          <w:tcPr>
            <w:tcW w:type="dxa" w:w="1512"/>
            <w:vAlign w:val="top"/>
          </w:tcPr>
          <w:p>
            <w:pPr>
              <w:spacing w:after="40" w:before="0" w:line="259" w:lineRule="auto"/>
            </w:pPr>
            <w:r>
              <w:rPr>
                <w:rFonts w:ascii="Calibri" w:hAnsi="Calibri"/>
                <w:b w:val="0"/>
                <w:i w:val="0"/>
                <w:color w:val="212121"/>
                <w:sz w:val="19"/>
              </w:rPr>
              <w:t>&gt; 400 mg/day or energy-drink reliance</w:t>
            </w:r>
          </w:p>
        </w:tc>
        <w:tc>
          <w:tcPr>
            <w:tcW w:type="dxa" w:w="1468"/>
            <w:vAlign w:val="top"/>
          </w:tcPr>
          <w:p>
            <w:pPr>
              <w:spacing w:after="40" w:before="0" w:line="259" w:lineRule="auto"/>
            </w:pPr>
            <w:r>
              <w:rPr>
                <w:rFonts w:ascii="Calibri" w:hAnsi="Calibri"/>
                <w:b w:val="0"/>
                <w:i w:val="0"/>
                <w:color w:val="212121"/>
                <w:sz w:val="19"/>
              </w:rPr>
              <w:t>Excess caffeine aggravates anxiety, irritability and insomnia in emotionally dysregulated individuals</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Thyroid Stimulating Hormone (TSH)</w:t>
            </w:r>
          </w:p>
        </w:tc>
        <w:tc>
          <w:tcPr>
            <w:tcW w:type="dxa" w:w="892"/>
            <w:vAlign w:val="top"/>
          </w:tcPr>
          <w:p>
            <w:pPr>
              <w:spacing w:after="40" w:before="0" w:line="259" w:lineRule="auto"/>
            </w:pPr>
            <w:r>
              <w:rPr>
                <w:rFonts w:ascii="Calibri" w:hAnsi="Calibri"/>
                <w:b w:val="0"/>
                <w:i w:val="0"/>
                <w:color w:val="212121"/>
                <w:sz w:val="16"/>
              </w:rPr>
              <w:t>Thyroid function test</w:t>
            </w:r>
          </w:p>
        </w:tc>
        <w:tc>
          <w:tcPr>
            <w:tcW w:type="dxa" w:w="950"/>
            <w:vAlign w:val="top"/>
          </w:tcPr>
          <w:p>
            <w:pPr>
              <w:spacing w:after="40" w:before="0" w:line="259" w:lineRule="auto"/>
            </w:pPr>
            <w:r>
              <w:rPr>
                <w:rFonts w:ascii="Calibri" w:hAnsi="Calibri"/>
                <w:b w:val="0"/>
                <w:i w:val="0"/>
                <w:color w:val="212121"/>
                <w:sz w:val="16"/>
              </w:rPr>
              <w:t>0.4–4.0 mIU/L</w:t>
            </w:r>
          </w:p>
        </w:tc>
        <w:tc>
          <w:tcPr>
            <w:tcW w:type="dxa" w:w="950"/>
            <w:vAlign w:val="top"/>
          </w:tcPr>
          <w:p>
            <w:pPr>
              <w:spacing w:after="40" w:before="0" w:line="259" w:lineRule="auto"/>
            </w:pPr>
            <w:r>
              <w:rPr>
                <w:rFonts w:ascii="Calibri" w:hAnsi="Calibri"/>
                <w:b w:val="0"/>
                <w:i w:val="0"/>
                <w:color w:val="212121"/>
                <w:sz w:val="16"/>
              </w:rPr>
              <w:t>&lt; 0.4 or &gt; 4.0 mIU/L</w:t>
            </w:r>
          </w:p>
        </w:tc>
        <w:tc>
          <w:tcPr>
            <w:tcW w:type="dxa" w:w="1036"/>
            <w:vAlign w:val="top"/>
          </w:tcPr>
          <w:p>
            <w:pPr>
              <w:spacing w:after="40" w:before="0" w:line="259" w:lineRule="auto"/>
            </w:pPr>
            <w:r>
              <w:rPr>
                <w:rFonts w:ascii="Calibri" w:hAnsi="Calibri"/>
                <w:b w:val="0"/>
                <w:i w:val="0"/>
                <w:color w:val="212121"/>
                <w:sz w:val="16"/>
              </w:rPr>
              <w:t>Excludes hyper-/hypothyroidism masquerading as affective instability, irritability or apathy</w:t>
            </w:r>
          </w:p>
        </w:tc>
        <w:tc>
          <w:tcPr>
            <w:tcW w:type="dxa" w:w="1036"/>
            <w:vAlign w:val="top"/>
          </w:tcPr>
          <w:p>
            <w:pPr>
              <w:spacing w:after="40" w:before="0" w:line="259" w:lineRule="auto"/>
            </w:pPr>
            <w:r>
              <w:rPr>
                <w:rFonts w:ascii="Calibri" w:hAnsi="Calibri"/>
                <w:b w:val="0"/>
                <w:i w:val="0"/>
                <w:color w:val="212121"/>
                <w:sz w:val="16"/>
              </w:rPr>
              <w:t>All patients at first personality assessment</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Rule-out</w:t>
            </w:r>
          </w:p>
        </w:tc>
        <w:tc>
          <w:tcPr>
            <w:tcW w:type="dxa" w:w="720"/>
            <w:vAlign w:val="top"/>
          </w:tcPr>
          <w:p>
            <w:pPr>
              <w:spacing w:after="40" w:before="0" w:line="259" w:lineRule="auto"/>
            </w:pPr>
            <w:r>
              <w:rPr>
                <w:rFonts w:ascii="Calibri" w:hAnsi="Calibri"/>
                <w:b w:val="0"/>
                <w:i w:val="0"/>
                <w:color w:val="212121"/>
                <w:sz w:val="16"/>
              </w:rPr>
              <w:t>No laboratory test is diagnostic of PD — labs exclude mimics and monitor treatment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glucose, lipid profile, HbA1c</w:t>
            </w:r>
          </w:p>
        </w:tc>
        <w:tc>
          <w:tcPr>
            <w:tcW w:type="dxa" w:w="892"/>
            <w:vAlign w:val="top"/>
          </w:tcPr>
          <w:p>
            <w:pPr>
              <w:spacing w:after="40" w:before="0" w:line="259" w:lineRule="auto"/>
            </w:pPr>
            <w:r>
              <w:rPr>
                <w:rFonts w:ascii="Calibri" w:hAnsi="Calibri"/>
                <w:b w:val="0"/>
                <w:i w:val="0"/>
                <w:color w:val="212121"/>
                <w:sz w:val="16"/>
              </w:rPr>
              <w:t>Metabolic panel</w:t>
            </w:r>
          </w:p>
        </w:tc>
        <w:tc>
          <w:tcPr>
            <w:tcW w:type="dxa" w:w="950"/>
            <w:vAlign w:val="top"/>
          </w:tcPr>
          <w:p>
            <w:pPr>
              <w:spacing w:after="40" w:before="0" w:line="259" w:lineRule="auto"/>
            </w:pPr>
            <w:r>
              <w:rPr>
                <w:rFonts w:ascii="Calibri" w:hAnsi="Calibri"/>
                <w:b w:val="0"/>
                <w:i w:val="0"/>
                <w:color w:val="212121"/>
                <w:sz w:val="16"/>
              </w:rPr>
              <w:t>FPG 70–99 mg/dL; TG &lt; 150 mg/dL; HbA1c &lt; 5.7%</w:t>
            </w:r>
          </w:p>
        </w:tc>
        <w:tc>
          <w:tcPr>
            <w:tcW w:type="dxa" w:w="950"/>
            <w:vAlign w:val="top"/>
          </w:tcPr>
          <w:p>
            <w:pPr>
              <w:spacing w:after="40" w:before="0" w:line="259" w:lineRule="auto"/>
            </w:pPr>
            <w:r>
              <w:rPr>
                <w:rFonts w:ascii="Calibri" w:hAnsi="Calibri"/>
                <w:b w:val="0"/>
                <w:i w:val="0"/>
                <w:color w:val="212121"/>
                <w:sz w:val="16"/>
              </w:rPr>
              <w:t>FPG ≥ 100 mg/dL; TG ≥ 150 mg/dL; HbA1c ≥ 5.7%</w:t>
            </w:r>
          </w:p>
        </w:tc>
        <w:tc>
          <w:tcPr>
            <w:tcW w:type="dxa" w:w="1036"/>
            <w:vAlign w:val="top"/>
          </w:tcPr>
          <w:p>
            <w:pPr>
              <w:spacing w:after="40" w:before="0" w:line="259" w:lineRule="auto"/>
            </w:pPr>
            <w:r>
              <w:rPr>
                <w:rFonts w:ascii="Calibri" w:hAnsi="Calibri"/>
                <w:b w:val="0"/>
                <w:i w:val="0"/>
                <w:color w:val="212121"/>
                <w:sz w:val="16"/>
              </w:rPr>
              <w:t>Baseline and periodic metabolic monitoring — metabolic syndrome is doubled in BPD (23.3%), further raised by second-generation antipsychotics</w:t>
            </w:r>
          </w:p>
        </w:tc>
        <w:tc>
          <w:tcPr>
            <w:tcW w:type="dxa" w:w="1036"/>
            <w:vAlign w:val="top"/>
          </w:tcPr>
          <w:p>
            <w:pPr>
              <w:spacing w:after="40" w:before="0" w:line="259" w:lineRule="auto"/>
            </w:pPr>
            <w:r>
              <w:rPr>
                <w:rFonts w:ascii="Calibri" w:hAnsi="Calibri"/>
                <w:b w:val="0"/>
                <w:i w:val="0"/>
                <w:color w:val="212121"/>
                <w:sz w:val="16"/>
              </w:rPr>
              <w:t>PD patients on antipsychotics, obese/binge-eating patients</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Repeat 12-weekly after starting antipsychotics, then annually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Vitamin B12 &amp; Vitamin D</w:t>
            </w:r>
          </w:p>
        </w:tc>
        <w:tc>
          <w:tcPr>
            <w:tcW w:type="dxa" w:w="892"/>
            <w:vAlign w:val="top"/>
          </w:tcPr>
          <w:p>
            <w:pPr>
              <w:spacing w:after="40" w:before="0" w:line="259" w:lineRule="auto"/>
            </w:pPr>
            <w:r>
              <w:rPr>
                <w:rFonts w:ascii="Calibri" w:hAnsi="Calibri"/>
                <w:b w:val="0"/>
                <w:i w:val="0"/>
                <w:color w:val="212121"/>
                <w:sz w:val="16"/>
              </w:rPr>
              <w:t>Micronutrient assay</w:t>
            </w:r>
          </w:p>
        </w:tc>
        <w:tc>
          <w:tcPr>
            <w:tcW w:type="dxa" w:w="950"/>
            <w:vAlign w:val="top"/>
          </w:tcPr>
          <w:p>
            <w:pPr>
              <w:spacing w:after="40" w:before="0" w:line="259" w:lineRule="auto"/>
            </w:pPr>
            <w:r>
              <w:rPr>
                <w:rFonts w:ascii="Calibri" w:hAnsi="Calibri"/>
                <w:b w:val="0"/>
                <w:i w:val="0"/>
                <w:color w:val="212121"/>
                <w:sz w:val="16"/>
              </w:rPr>
              <w:t>B12 ≥ 200 pg/mL; 25(OH)D ≥ 20 ng/mL</w:t>
            </w:r>
          </w:p>
        </w:tc>
        <w:tc>
          <w:tcPr>
            <w:tcW w:type="dxa" w:w="950"/>
            <w:vAlign w:val="top"/>
          </w:tcPr>
          <w:p>
            <w:pPr>
              <w:spacing w:after="40" w:before="0" w:line="259" w:lineRule="auto"/>
            </w:pPr>
            <w:r>
              <w:rPr>
                <w:rFonts w:ascii="Calibri" w:hAnsi="Calibri"/>
                <w:b w:val="0"/>
                <w:i w:val="0"/>
                <w:color w:val="212121"/>
                <w:sz w:val="16"/>
              </w:rPr>
              <w:t>B12 &lt; 200 pg/mL; 25(OH)D &lt; 20 ng/mL</w:t>
            </w:r>
          </w:p>
        </w:tc>
        <w:tc>
          <w:tcPr>
            <w:tcW w:type="dxa" w:w="1036"/>
            <w:vAlign w:val="top"/>
          </w:tcPr>
          <w:p>
            <w:pPr>
              <w:spacing w:after="40" w:before="0" w:line="259" w:lineRule="auto"/>
            </w:pPr>
            <w:r>
              <w:rPr>
                <w:rFonts w:ascii="Calibri" w:hAnsi="Calibri"/>
                <w:b w:val="0"/>
                <w:i w:val="0"/>
                <w:color w:val="212121"/>
                <w:sz w:val="16"/>
              </w:rPr>
              <w:t>Deficiencies — highly prevalent in India — worsen fatigue, low mood and cognitive complaints that muddy personality assessment</w:t>
            </w:r>
          </w:p>
        </w:tc>
        <w:tc>
          <w:tcPr>
            <w:tcW w:type="dxa" w:w="1036"/>
            <w:vAlign w:val="top"/>
          </w:tcPr>
          <w:p>
            <w:pPr>
              <w:spacing w:after="40" w:before="0" w:line="259" w:lineRule="auto"/>
            </w:pPr>
            <w:r>
              <w:rPr>
                <w:rFonts w:ascii="Calibri" w:hAnsi="Calibri"/>
                <w:b w:val="0"/>
                <w:i w:val="0"/>
                <w:color w:val="212121"/>
                <w:sz w:val="16"/>
              </w:rPr>
              <w:t>Vegetarian patients, indoor workers, elderly</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Correcting deficiency clarifies the underlying trait picture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Toxicology</w:t>
            </w:r>
          </w:p>
        </w:tc>
        <w:tc>
          <w:tcPr>
            <w:tcW w:type="dxa" w:w="1036"/>
            <w:vAlign w:val="top"/>
          </w:tcPr>
          <w:p>
            <w:pPr>
              <w:spacing w:after="40" w:before="0" w:line="259" w:lineRule="auto"/>
            </w:pPr>
            <w:r>
              <w:rPr>
                <w:rFonts w:ascii="Calibri" w:hAnsi="Calibri"/>
                <w:b w:val="0"/>
                <w:i w:val="0"/>
                <w:color w:val="212121"/>
                <w:sz w:val="16"/>
              </w:rPr>
              <w:t>Urine drug screen (cannabis, opioids, stimulants, benzodiazepines)</w:t>
            </w:r>
          </w:p>
        </w:tc>
        <w:tc>
          <w:tcPr>
            <w:tcW w:type="dxa" w:w="892"/>
            <w:vAlign w:val="top"/>
          </w:tcPr>
          <w:p>
            <w:pPr>
              <w:spacing w:after="40" w:before="0" w:line="259" w:lineRule="auto"/>
            </w:pPr>
            <w:r>
              <w:rPr>
                <w:rFonts w:ascii="Calibri" w:hAnsi="Calibri"/>
                <w:b w:val="0"/>
                <w:i w:val="0"/>
                <w:color w:val="212121"/>
                <w:sz w:val="16"/>
              </w:rPr>
              <w:t>Substance screen</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 for any substance</w:t>
            </w:r>
          </w:p>
        </w:tc>
        <w:tc>
          <w:tcPr>
            <w:tcW w:type="dxa" w:w="1036"/>
            <w:vAlign w:val="top"/>
          </w:tcPr>
          <w:p>
            <w:pPr>
              <w:spacing w:after="40" w:before="0" w:line="259" w:lineRule="auto"/>
            </w:pPr>
            <w:r>
              <w:rPr>
                <w:rFonts w:ascii="Calibri" w:hAnsi="Calibri"/>
                <w:b w:val="0"/>
                <w:i w:val="0"/>
                <w:color w:val="212121"/>
                <w:sz w:val="16"/>
              </w:rPr>
              <w:t>Detects comorbid substance use (lifetime SUD in 78.2% of BPD) that drives crises and must be co-treated</w:t>
            </w:r>
          </w:p>
        </w:tc>
        <w:tc>
          <w:tcPr>
            <w:tcW w:type="dxa" w:w="1036"/>
            <w:vAlign w:val="top"/>
          </w:tcPr>
          <w:p>
            <w:pPr>
              <w:spacing w:after="40" w:before="0" w:line="259" w:lineRule="auto"/>
            </w:pPr>
            <w:r>
              <w:rPr>
                <w:rFonts w:ascii="Calibri" w:hAnsi="Calibri"/>
                <w:b w:val="0"/>
                <w:i w:val="0"/>
                <w:color w:val="212121"/>
                <w:sz w:val="16"/>
              </w:rPr>
              <w:t>Young adults, self-harm presenters, forensic referrals</w:t>
            </w:r>
          </w:p>
        </w:tc>
        <w:tc>
          <w:tcPr>
            <w:tcW w:type="dxa" w:w="720"/>
            <w:vAlign w:val="top"/>
          </w:tcPr>
          <w:p>
            <w:pPr>
              <w:spacing w:after="40" w:before="0" w:line="259" w:lineRule="auto"/>
            </w:pPr>
            <w:r>
              <w:rPr>
                <w:rFonts w:ascii="Calibri" w:hAnsi="Calibri"/>
                <w:b w:val="0"/>
                <w:i w:val="0"/>
                <w:color w:val="212121"/>
                <w:sz w:val="16"/>
              </w:rPr>
              <w:t>Alcohol; Smoking</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Obtain consent; repeat when presentation changes abruptly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Liver function tests + GGT / CDT</w:t>
            </w:r>
          </w:p>
        </w:tc>
        <w:tc>
          <w:tcPr>
            <w:tcW w:type="dxa" w:w="892"/>
            <w:vAlign w:val="top"/>
          </w:tcPr>
          <w:p>
            <w:pPr>
              <w:spacing w:after="40" w:before="0" w:line="259" w:lineRule="auto"/>
            </w:pPr>
            <w:r>
              <w:rPr>
                <w:rFonts w:ascii="Calibri" w:hAnsi="Calibri"/>
                <w:b w:val="0"/>
                <w:i w:val="0"/>
                <w:color w:val="212121"/>
                <w:sz w:val="16"/>
              </w:rPr>
              <w:t>Hepatic panel</w:t>
            </w:r>
          </w:p>
        </w:tc>
        <w:tc>
          <w:tcPr>
            <w:tcW w:type="dxa" w:w="950"/>
            <w:vAlign w:val="top"/>
          </w:tcPr>
          <w:p>
            <w:pPr>
              <w:spacing w:after="40" w:before="0" w:line="259" w:lineRule="auto"/>
            </w:pPr>
            <w:r>
              <w:rPr>
                <w:rFonts w:ascii="Calibri" w:hAnsi="Calibri"/>
                <w:b w:val="0"/>
                <w:i w:val="0"/>
                <w:color w:val="212121"/>
                <w:sz w:val="16"/>
              </w:rPr>
              <w:t>AST/ALT &lt; 40 U/L; GGT normal</w:t>
            </w:r>
          </w:p>
        </w:tc>
        <w:tc>
          <w:tcPr>
            <w:tcW w:type="dxa" w:w="950"/>
            <w:vAlign w:val="top"/>
          </w:tcPr>
          <w:p>
            <w:pPr>
              <w:spacing w:after="40" w:before="0" w:line="259" w:lineRule="auto"/>
            </w:pPr>
            <w:r>
              <w:rPr>
                <w:rFonts w:ascii="Calibri" w:hAnsi="Calibri"/>
                <w:b w:val="0"/>
                <w:i w:val="0"/>
                <w:color w:val="212121"/>
                <w:sz w:val="16"/>
              </w:rPr>
              <w:t>Raised transaminases, GGT or AST:ALT ≥ 2</w:t>
            </w:r>
          </w:p>
        </w:tc>
        <w:tc>
          <w:tcPr>
            <w:tcW w:type="dxa" w:w="1036"/>
            <w:vAlign w:val="top"/>
          </w:tcPr>
          <w:p>
            <w:pPr>
              <w:spacing w:after="40" w:before="0" w:line="259" w:lineRule="auto"/>
            </w:pPr>
            <w:r>
              <w:rPr>
                <w:rFonts w:ascii="Calibri" w:hAnsi="Calibri"/>
                <w:b w:val="0"/>
                <w:i w:val="0"/>
                <w:color w:val="212121"/>
                <w:sz w:val="16"/>
              </w:rPr>
              <w:t>Flags harmful alcohol use and baseline hepatic status before valproate or other hepatically cleared drugs</w:t>
            </w:r>
          </w:p>
        </w:tc>
        <w:tc>
          <w:tcPr>
            <w:tcW w:type="dxa" w:w="1036"/>
            <w:vAlign w:val="top"/>
          </w:tcPr>
          <w:p>
            <w:pPr>
              <w:spacing w:after="40" w:before="0" w:line="259" w:lineRule="auto"/>
            </w:pPr>
            <w:r>
              <w:rPr>
                <w:rFonts w:ascii="Calibri" w:hAnsi="Calibri"/>
                <w:b w:val="0"/>
                <w:i w:val="0"/>
                <w:color w:val="212121"/>
                <w:sz w:val="16"/>
              </w:rPr>
              <w:t>PD patients with alcohol comorbidity</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Also screen HBV/HCV/HIV in injecting drug users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Therapeutic drug monitoring</w:t>
            </w:r>
          </w:p>
        </w:tc>
        <w:tc>
          <w:tcPr>
            <w:tcW w:type="dxa" w:w="1036"/>
            <w:vAlign w:val="top"/>
          </w:tcPr>
          <w:p>
            <w:pPr>
              <w:spacing w:after="40" w:before="0" w:line="259" w:lineRule="auto"/>
            </w:pPr>
            <w:r>
              <w:rPr>
                <w:rFonts w:ascii="Calibri" w:hAnsi="Calibri"/>
                <w:b w:val="0"/>
                <w:i w:val="0"/>
                <w:color w:val="212121"/>
                <w:sz w:val="16"/>
              </w:rPr>
              <w:t>Serum lithium / valproate level</w:t>
            </w:r>
          </w:p>
        </w:tc>
        <w:tc>
          <w:tcPr>
            <w:tcW w:type="dxa" w:w="892"/>
            <w:vAlign w:val="top"/>
          </w:tcPr>
          <w:p>
            <w:pPr>
              <w:spacing w:after="40" w:before="0" w:line="259" w:lineRule="auto"/>
            </w:pPr>
            <w:r>
              <w:rPr>
                <w:rFonts w:ascii="Calibri" w:hAnsi="Calibri"/>
                <w:b w:val="0"/>
                <w:i w:val="0"/>
                <w:color w:val="212121"/>
                <w:sz w:val="16"/>
              </w:rPr>
              <w:t>Drug level assay</w:t>
            </w:r>
          </w:p>
        </w:tc>
        <w:tc>
          <w:tcPr>
            <w:tcW w:type="dxa" w:w="950"/>
            <w:vAlign w:val="top"/>
          </w:tcPr>
          <w:p>
            <w:pPr>
              <w:spacing w:after="40" w:before="0" w:line="259" w:lineRule="auto"/>
            </w:pPr>
            <w:r>
              <w:rPr>
                <w:rFonts w:ascii="Calibri" w:hAnsi="Calibri"/>
                <w:b w:val="0"/>
                <w:i w:val="0"/>
                <w:color w:val="212121"/>
                <w:sz w:val="16"/>
              </w:rPr>
              <w:t>Lithium 0.6–0.8 mmol/L; valproate 50–100 µg/mL</w:t>
            </w:r>
          </w:p>
        </w:tc>
        <w:tc>
          <w:tcPr>
            <w:tcW w:type="dxa" w:w="950"/>
            <w:vAlign w:val="top"/>
          </w:tcPr>
          <w:p>
            <w:pPr>
              <w:spacing w:after="40" w:before="0" w:line="259" w:lineRule="auto"/>
            </w:pPr>
            <w:r>
              <w:rPr>
                <w:rFonts w:ascii="Calibri" w:hAnsi="Calibri"/>
                <w:b w:val="0"/>
                <w:i w:val="0"/>
                <w:color w:val="212121"/>
                <w:sz w:val="16"/>
              </w:rPr>
              <w:t>Sub-therapeutic or toxic levels</w:t>
            </w:r>
          </w:p>
        </w:tc>
        <w:tc>
          <w:tcPr>
            <w:tcW w:type="dxa" w:w="1036"/>
            <w:vAlign w:val="top"/>
          </w:tcPr>
          <w:p>
            <w:pPr>
              <w:spacing w:after="40" w:before="0" w:line="259" w:lineRule="auto"/>
            </w:pPr>
            <w:r>
              <w:rPr>
                <w:rFonts w:ascii="Calibri" w:hAnsi="Calibri"/>
                <w:b w:val="0"/>
                <w:i w:val="0"/>
                <w:color w:val="212121"/>
                <w:sz w:val="16"/>
              </w:rPr>
              <w:t>Guides safe adjunctive mood-stabilizer use; overdose risk is high in impulsive patients — dispense small quantities</w:t>
            </w:r>
          </w:p>
        </w:tc>
        <w:tc>
          <w:tcPr>
            <w:tcW w:type="dxa" w:w="1036"/>
            <w:vAlign w:val="top"/>
          </w:tcPr>
          <w:p>
            <w:pPr>
              <w:spacing w:after="40" w:before="0" w:line="259" w:lineRule="auto"/>
            </w:pPr>
            <w:r>
              <w:rPr>
                <w:rFonts w:ascii="Calibri" w:hAnsi="Calibri"/>
                <w:b w:val="0"/>
                <w:i w:val="0"/>
                <w:color w:val="212121"/>
                <w:sz w:val="16"/>
              </w:rPr>
              <w:t>PD patients on adjunctive mood stabilizers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Safety</w:t>
            </w:r>
          </w:p>
        </w:tc>
        <w:tc>
          <w:tcPr>
            <w:tcW w:type="dxa" w:w="720"/>
            <w:vAlign w:val="top"/>
          </w:tcPr>
          <w:p>
            <w:pPr>
              <w:spacing w:after="40" w:before="0" w:line="259" w:lineRule="auto"/>
            </w:pPr>
            <w:r>
              <w:rPr>
                <w:rFonts w:ascii="Calibri" w:hAnsi="Calibri"/>
                <w:b w:val="0"/>
                <w:i w:val="0"/>
                <w:color w:val="212121"/>
                <w:sz w:val="16"/>
              </w:rPr>
              <w:t>Check renal/thyroid function with lithium; avoid valproate in women of child-bearing potential where possible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 / Neurophysiology</w:t>
            </w:r>
          </w:p>
        </w:tc>
        <w:tc>
          <w:tcPr>
            <w:tcW w:type="dxa" w:w="1036"/>
            <w:vAlign w:val="top"/>
          </w:tcPr>
          <w:p>
            <w:pPr>
              <w:spacing w:after="40" w:before="0" w:line="259" w:lineRule="auto"/>
            </w:pPr>
            <w:r>
              <w:rPr>
                <w:rFonts w:ascii="Calibri" w:hAnsi="Calibri"/>
                <w:b w:val="0"/>
                <w:i w:val="0"/>
                <w:color w:val="212121"/>
                <w:sz w:val="16"/>
              </w:rPr>
              <w:t>MRI brain / EEG (selected cases)</w:t>
            </w:r>
          </w:p>
        </w:tc>
        <w:tc>
          <w:tcPr>
            <w:tcW w:type="dxa" w:w="892"/>
            <w:vAlign w:val="top"/>
          </w:tcPr>
          <w:p>
            <w:pPr>
              <w:spacing w:after="40" w:before="0" w:line="259" w:lineRule="auto"/>
            </w:pPr>
            <w:r>
              <w:rPr>
                <w:rFonts w:ascii="Calibri" w:hAnsi="Calibri"/>
                <w:b w:val="0"/>
                <w:i w:val="0"/>
                <w:color w:val="212121"/>
                <w:sz w:val="16"/>
              </w:rPr>
              <w:t>Structural &amp; electrophysiological studies</w:t>
            </w:r>
          </w:p>
        </w:tc>
        <w:tc>
          <w:tcPr>
            <w:tcW w:type="dxa" w:w="950"/>
            <w:vAlign w:val="top"/>
          </w:tcPr>
          <w:p>
            <w:pPr>
              <w:spacing w:after="40" w:before="0" w:line="259" w:lineRule="auto"/>
            </w:pPr>
            <w:r>
              <w:rPr>
                <w:rFonts w:ascii="Calibri" w:hAnsi="Calibri"/>
                <w:b w:val="0"/>
                <w:i w:val="0"/>
                <w:color w:val="212121"/>
                <w:sz w:val="16"/>
              </w:rPr>
              <w:t>No structural lesion; no epileptiform activity</w:t>
            </w:r>
          </w:p>
        </w:tc>
        <w:tc>
          <w:tcPr>
            <w:tcW w:type="dxa" w:w="950"/>
            <w:vAlign w:val="top"/>
          </w:tcPr>
          <w:p>
            <w:pPr>
              <w:spacing w:after="40" w:before="0" w:line="259" w:lineRule="auto"/>
            </w:pPr>
            <w:r>
              <w:rPr>
                <w:rFonts w:ascii="Calibri" w:hAnsi="Calibri"/>
                <w:b w:val="0"/>
                <w:i w:val="0"/>
                <w:color w:val="212121"/>
                <w:sz w:val="16"/>
              </w:rPr>
              <w:t>Frontal/temporal lesion, atrophy, epileptiform discharges</w:t>
            </w:r>
          </w:p>
        </w:tc>
        <w:tc>
          <w:tcPr>
            <w:tcW w:type="dxa" w:w="1036"/>
            <w:vAlign w:val="top"/>
          </w:tcPr>
          <w:p>
            <w:pPr>
              <w:spacing w:after="40" w:before="0" w:line="259" w:lineRule="auto"/>
            </w:pPr>
            <w:r>
              <w:rPr>
                <w:rFonts w:ascii="Calibri" w:hAnsi="Calibri"/>
                <w:b w:val="0"/>
                <w:i w:val="0"/>
                <w:color w:val="212121"/>
                <w:sz w:val="16"/>
              </w:rPr>
              <w:t>Excludes organic personality change (frontal tumour, head injury, temporal lobe epilepsy, early frontotemporal dementia) when onset is late or atypical</w:t>
            </w:r>
          </w:p>
        </w:tc>
        <w:tc>
          <w:tcPr>
            <w:tcW w:type="dxa" w:w="1036"/>
            <w:vAlign w:val="top"/>
          </w:tcPr>
          <w:p>
            <w:pPr>
              <w:spacing w:after="40" w:before="0" w:line="259" w:lineRule="auto"/>
            </w:pPr>
            <w:r>
              <w:rPr>
                <w:rFonts w:ascii="Calibri" w:hAnsi="Calibri"/>
                <w:b w:val="0"/>
                <w:i w:val="0"/>
                <w:color w:val="212121"/>
                <w:sz w:val="16"/>
              </w:rPr>
              <w:t>Late-onset or abrupt personality change, neurological signs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Rule-out</w:t>
            </w:r>
          </w:p>
        </w:tc>
        <w:tc>
          <w:tcPr>
            <w:tcW w:type="dxa" w:w="720"/>
            <w:vAlign w:val="top"/>
          </w:tcPr>
          <w:p>
            <w:pPr>
              <w:spacing w:after="40" w:before="0" w:line="259" w:lineRule="auto"/>
            </w:pPr>
            <w:r>
              <w:rPr>
                <w:rFonts w:ascii="Calibri" w:hAnsi="Calibri"/>
                <w:b w:val="0"/>
                <w:i w:val="0"/>
                <w:color w:val="212121"/>
                <w:sz w:val="16"/>
              </w:rPr>
              <w:t>Not indicated in typical adolescent/young-adult onset</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 &amp; longitudinal course</w:t>
            </w:r>
          </w:p>
        </w:tc>
        <w:tc>
          <w:tcPr>
            <w:tcW w:type="dxa" w:w="979"/>
            <w:vAlign w:val="top"/>
          </w:tcPr>
          <w:p>
            <w:pPr>
              <w:spacing w:after="40" w:before="0" w:line="259" w:lineRule="auto"/>
            </w:pPr>
            <w:r>
              <w:rPr>
                <w:rFonts w:ascii="Calibri" w:hAnsi="Calibri"/>
                <w:b w:val="0"/>
                <w:i w:val="0"/>
                <w:color w:val="212121"/>
                <w:sz w:val="16"/>
              </w:rPr>
              <w:t>Pervasive pattern of interpersonal, emotional or impulse-control dysfunction since adolescence</w:t>
            </w:r>
          </w:p>
        </w:tc>
        <w:tc>
          <w:tcPr>
            <w:tcW w:type="dxa" w:w="950"/>
            <w:vAlign w:val="top"/>
          </w:tcPr>
          <w:p>
            <w:pPr>
              <w:spacing w:after="40" w:before="0" w:line="259" w:lineRule="auto"/>
            </w:pPr>
            <w:r>
              <w:rPr>
                <w:rFonts w:ascii="Calibri" w:hAnsi="Calibri"/>
                <w:b w:val="0"/>
                <w:i w:val="0"/>
                <w:color w:val="212121"/>
                <w:sz w:val="16"/>
              </w:rPr>
              <w:t>Age-appropriate, flexible functioning</w:t>
            </w:r>
          </w:p>
        </w:tc>
        <w:tc>
          <w:tcPr>
            <w:tcW w:type="dxa" w:w="950"/>
            <w:vAlign w:val="top"/>
          </w:tcPr>
          <w:p>
            <w:pPr>
              <w:spacing w:after="40" w:before="0" w:line="259" w:lineRule="auto"/>
            </w:pPr>
            <w:r>
              <w:rPr>
                <w:rFonts w:ascii="Calibri" w:hAnsi="Calibri"/>
                <w:b w:val="0"/>
                <w:i w:val="0"/>
                <w:color w:val="212121"/>
                <w:sz w:val="16"/>
              </w:rPr>
              <w:t>Enduring, inflexible maladaptive pattern across contexts (home, work, relationships)</w:t>
            </w:r>
          </w:p>
        </w:tc>
        <w:tc>
          <w:tcPr>
            <w:tcW w:type="dxa" w:w="1036"/>
            <w:vAlign w:val="top"/>
          </w:tcPr>
          <w:p>
            <w:pPr>
              <w:spacing w:after="40" w:before="0" w:line="259" w:lineRule="auto"/>
            </w:pPr>
            <w:r>
              <w:rPr>
                <w:rFonts w:ascii="Calibri" w:hAnsi="Calibri"/>
                <w:b w:val="0"/>
                <w:i w:val="0"/>
                <w:color w:val="212121"/>
                <w:sz w:val="16"/>
              </w:rPr>
              <w:t>Core diagnostic requirement — the pattern must be traceable to adolescence/early adulthood and stable ≥ 2 years</w:t>
            </w:r>
          </w:p>
        </w:tc>
        <w:tc>
          <w:tcPr>
            <w:tcW w:type="dxa" w:w="1036"/>
            <w:vAlign w:val="top"/>
          </w:tcPr>
          <w:p>
            <w:pPr>
              <w:spacing w:after="40" w:before="0" w:line="259" w:lineRule="auto"/>
            </w:pPr>
            <w:r>
              <w:rPr>
                <w:rFonts w:ascii="Calibri" w:hAnsi="Calibri"/>
                <w:b w:val="0"/>
                <w:i w:val="0"/>
                <w:color w:val="212121"/>
                <w:sz w:val="16"/>
              </w:rPr>
              <w:t>All suspected PD, self-harm presenters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Episodic illnesses (depression, bipolar, psychosis) must be distinguished from trait patterns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Structured interview</w:t>
            </w:r>
          </w:p>
        </w:tc>
        <w:tc>
          <w:tcPr>
            <w:tcW w:type="dxa" w:w="950"/>
            <w:vAlign w:val="top"/>
          </w:tcPr>
          <w:p>
            <w:pPr>
              <w:spacing w:after="40" w:before="0" w:line="259" w:lineRule="auto"/>
            </w:pPr>
            <w:r>
              <w:rPr>
                <w:rFonts w:ascii="Calibri" w:hAnsi="Calibri"/>
                <w:b w:val="0"/>
                <w:i w:val="0"/>
                <w:color w:val="212121"/>
                <w:sz w:val="16"/>
              </w:rPr>
              <w:t>IPDE / SCID-5-PD</w:t>
            </w:r>
          </w:p>
        </w:tc>
        <w:tc>
          <w:tcPr>
            <w:tcW w:type="dxa" w:w="979"/>
            <w:vAlign w:val="top"/>
          </w:tcPr>
          <w:p>
            <w:pPr>
              <w:spacing w:after="40" w:before="0" w:line="259" w:lineRule="auto"/>
            </w:pPr>
            <w:r>
              <w:rPr>
                <w:rFonts w:ascii="Calibri" w:hAnsi="Calibri"/>
                <w:b w:val="0"/>
                <w:i w:val="0"/>
                <w:color w:val="212121"/>
                <w:sz w:val="16"/>
              </w:rPr>
              <w:t>Criterion-based personality assessment</w:t>
            </w:r>
          </w:p>
        </w:tc>
        <w:tc>
          <w:tcPr>
            <w:tcW w:type="dxa" w:w="950"/>
            <w:vAlign w:val="top"/>
          </w:tcPr>
          <w:p>
            <w:pPr>
              <w:spacing w:after="40" w:before="0" w:line="259" w:lineRule="auto"/>
            </w:pPr>
            <w:r>
              <w:rPr>
                <w:rFonts w:ascii="Calibri" w:hAnsi="Calibri"/>
                <w:b w:val="0"/>
                <w:i w:val="0"/>
                <w:color w:val="212121"/>
                <w:sz w:val="16"/>
              </w:rPr>
              <w:t>Criteria not met (may note 'personality difficulty')</w:t>
            </w:r>
          </w:p>
        </w:tc>
        <w:tc>
          <w:tcPr>
            <w:tcW w:type="dxa" w:w="950"/>
            <w:vAlign w:val="top"/>
          </w:tcPr>
          <w:p>
            <w:pPr>
              <w:spacing w:after="40" w:before="0" w:line="259" w:lineRule="auto"/>
            </w:pPr>
            <w:r>
              <w:rPr>
                <w:rFonts w:ascii="Calibri" w:hAnsi="Calibri"/>
                <w:b w:val="0"/>
                <w:i w:val="0"/>
                <w:color w:val="212121"/>
                <w:sz w:val="16"/>
              </w:rPr>
              <w:t>Meets criteria for one or more PDs / ICD-11 severity level</w:t>
            </w:r>
          </w:p>
        </w:tc>
        <w:tc>
          <w:tcPr>
            <w:tcW w:type="dxa" w:w="1036"/>
            <w:vAlign w:val="top"/>
          </w:tcPr>
          <w:p>
            <w:pPr>
              <w:spacing w:after="40" w:before="0" w:line="259" w:lineRule="auto"/>
            </w:pPr>
            <w:r>
              <w:rPr>
                <w:rFonts w:ascii="Calibri" w:hAnsi="Calibri"/>
                <w:b w:val="0"/>
                <w:i w:val="0"/>
                <w:color w:val="212121"/>
                <w:sz w:val="16"/>
              </w:rPr>
              <w:t>Semi-structured interviews are the reliability standard — Indian work shows unstructured clinical diagnosis is unreliable and grossly under-detects PD</w:t>
            </w:r>
          </w:p>
        </w:tc>
        <w:tc>
          <w:tcPr>
            <w:tcW w:type="dxa" w:w="1036"/>
            <w:vAlign w:val="top"/>
          </w:tcPr>
          <w:p>
            <w:pPr>
              <w:spacing w:after="40" w:before="0" w:line="259" w:lineRule="auto"/>
            </w:pPr>
            <w:r>
              <w:rPr>
                <w:rFonts w:ascii="Calibri" w:hAnsi="Calibri"/>
                <w:b w:val="0"/>
                <w:i w:val="0"/>
                <w:color w:val="212121"/>
                <w:sz w:val="16"/>
              </w:rPr>
              <w:t>All suspected PD, research &amp; medicolegal evaluations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WHO IPDE has been feasibility-tested in Indian settings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Screening questionnaire</w:t>
            </w:r>
          </w:p>
        </w:tc>
        <w:tc>
          <w:tcPr>
            <w:tcW w:type="dxa" w:w="950"/>
            <w:vAlign w:val="top"/>
          </w:tcPr>
          <w:p>
            <w:pPr>
              <w:spacing w:after="40" w:before="0" w:line="259" w:lineRule="auto"/>
            </w:pPr>
            <w:r>
              <w:rPr>
                <w:rFonts w:ascii="Calibri" w:hAnsi="Calibri"/>
                <w:b w:val="0"/>
                <w:i w:val="0"/>
                <w:color w:val="212121"/>
                <w:sz w:val="16"/>
              </w:rPr>
              <w:t>MSI-BPD / SAPAS / PDQ</w:t>
            </w:r>
          </w:p>
        </w:tc>
        <w:tc>
          <w:tcPr>
            <w:tcW w:type="dxa" w:w="979"/>
            <w:vAlign w:val="top"/>
          </w:tcPr>
          <w:p>
            <w:pPr>
              <w:spacing w:after="40" w:before="0" w:line="259" w:lineRule="auto"/>
            </w:pPr>
            <w:r>
              <w:rPr>
                <w:rFonts w:ascii="Calibri" w:hAnsi="Calibri"/>
                <w:b w:val="0"/>
                <w:i w:val="0"/>
                <w:color w:val="212121"/>
                <w:sz w:val="16"/>
              </w:rPr>
              <w:t>Personality pathology screen</w:t>
            </w:r>
          </w:p>
        </w:tc>
        <w:tc>
          <w:tcPr>
            <w:tcW w:type="dxa" w:w="950"/>
            <w:vAlign w:val="top"/>
          </w:tcPr>
          <w:p>
            <w:pPr>
              <w:spacing w:after="40" w:before="0" w:line="259" w:lineRule="auto"/>
            </w:pPr>
            <w:r>
              <w:rPr>
                <w:rFonts w:ascii="Calibri" w:hAnsi="Calibri"/>
                <w:b w:val="0"/>
                <w:i w:val="0"/>
                <w:color w:val="212121"/>
                <w:sz w:val="16"/>
              </w:rPr>
              <w:t>Below cutoff (MSI-BPD &lt; 7)</w:t>
            </w:r>
          </w:p>
        </w:tc>
        <w:tc>
          <w:tcPr>
            <w:tcW w:type="dxa" w:w="950"/>
            <w:vAlign w:val="top"/>
          </w:tcPr>
          <w:p>
            <w:pPr>
              <w:spacing w:after="40" w:before="0" w:line="259" w:lineRule="auto"/>
            </w:pPr>
            <w:r>
              <w:rPr>
                <w:rFonts w:ascii="Calibri" w:hAnsi="Calibri"/>
                <w:b w:val="0"/>
                <w:i w:val="0"/>
                <w:color w:val="212121"/>
                <w:sz w:val="16"/>
              </w:rPr>
              <w:t>At/above cutoff (MSI-BPD ≥ 7; SAPAS ≥ 3)</w:t>
            </w:r>
          </w:p>
        </w:tc>
        <w:tc>
          <w:tcPr>
            <w:tcW w:type="dxa" w:w="1036"/>
            <w:vAlign w:val="top"/>
          </w:tcPr>
          <w:p>
            <w:pPr>
              <w:spacing w:after="40" w:before="0" w:line="259" w:lineRule="auto"/>
            </w:pPr>
            <w:r>
              <w:rPr>
                <w:rFonts w:ascii="Calibri" w:hAnsi="Calibri"/>
                <w:b w:val="0"/>
                <w:i w:val="0"/>
                <w:color w:val="212121"/>
                <w:sz w:val="16"/>
              </w:rPr>
              <w:t>Efficient case-finding in colleges, primary care and de-addiction clinics; positives need full interview confirmation</w:t>
            </w:r>
          </w:p>
        </w:tc>
        <w:tc>
          <w:tcPr>
            <w:tcW w:type="dxa" w:w="1036"/>
            <w:vAlign w:val="top"/>
          </w:tcPr>
          <w:p>
            <w:pPr>
              <w:spacing w:after="40" w:before="0" w:line="259" w:lineRule="auto"/>
            </w:pPr>
            <w:r>
              <w:rPr>
                <w:rFonts w:ascii="Calibri" w:hAnsi="Calibri"/>
                <w:b w:val="0"/>
                <w:i w:val="0"/>
                <w:color w:val="212121"/>
                <w:sz w:val="16"/>
              </w:rPr>
              <w:t>Students, primary-care attendees, SUD patients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Screens over-identify — never diagnose from a questionnaire alone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Childhood adversity &amp; developmental history</w:t>
            </w:r>
          </w:p>
        </w:tc>
        <w:tc>
          <w:tcPr>
            <w:tcW w:type="dxa" w:w="979"/>
            <w:vAlign w:val="top"/>
          </w:tcPr>
          <w:p>
            <w:pPr>
              <w:spacing w:after="40" w:before="0" w:line="259" w:lineRule="auto"/>
            </w:pPr>
            <w:r>
              <w:rPr>
                <w:rFonts w:ascii="Calibri" w:hAnsi="Calibri"/>
                <w:b w:val="0"/>
                <w:i w:val="0"/>
                <w:color w:val="212121"/>
                <w:sz w:val="16"/>
              </w:rPr>
              <w:t>Abuse (physical/sexual/emotional), neglect, attachment disruption, conduct/ADHD symptoms</w:t>
            </w:r>
          </w:p>
        </w:tc>
        <w:tc>
          <w:tcPr>
            <w:tcW w:type="dxa" w:w="950"/>
            <w:vAlign w:val="top"/>
          </w:tcPr>
          <w:p>
            <w:pPr>
              <w:spacing w:after="40" w:before="0" w:line="259" w:lineRule="auto"/>
            </w:pPr>
            <w:r>
              <w:rPr>
                <w:rFonts w:ascii="Calibri" w:hAnsi="Calibri"/>
                <w:b w:val="0"/>
                <w:i w:val="0"/>
                <w:color w:val="212121"/>
                <w:sz w:val="16"/>
              </w:rPr>
              <w:t>No significant adversity</w:t>
            </w:r>
          </w:p>
        </w:tc>
        <w:tc>
          <w:tcPr>
            <w:tcW w:type="dxa" w:w="950"/>
            <w:vAlign w:val="top"/>
          </w:tcPr>
          <w:p>
            <w:pPr>
              <w:spacing w:after="40" w:before="0" w:line="259" w:lineRule="auto"/>
            </w:pPr>
            <w:r>
              <w:rPr>
                <w:rFonts w:ascii="Calibri" w:hAnsi="Calibri"/>
                <w:b w:val="0"/>
                <w:i w:val="0"/>
                <w:color w:val="212121"/>
                <w:sz w:val="16"/>
              </w:rPr>
              <w:t>Documented maltreatment, institutional care, conduct disorder before 15</w:t>
            </w:r>
          </w:p>
        </w:tc>
        <w:tc>
          <w:tcPr>
            <w:tcW w:type="dxa" w:w="1036"/>
            <w:vAlign w:val="top"/>
          </w:tcPr>
          <w:p>
            <w:pPr>
              <w:spacing w:after="40" w:before="0" w:line="259" w:lineRule="auto"/>
            </w:pPr>
            <w:r>
              <w:rPr>
                <w:rFonts w:ascii="Calibri" w:hAnsi="Calibri"/>
                <w:b w:val="0"/>
                <w:i w:val="0"/>
                <w:color w:val="212121"/>
                <w:sz w:val="16"/>
              </w:rPr>
              <w:t>Childhood adversity is ~14-fold more likely in BPD; conduct disorder before age 15 is required for antisocial PD</w:t>
            </w:r>
          </w:p>
        </w:tc>
        <w:tc>
          <w:tcPr>
            <w:tcW w:type="dxa" w:w="1036"/>
            <w:vAlign w:val="top"/>
          </w:tcPr>
          <w:p>
            <w:pPr>
              <w:spacing w:after="40" w:before="0" w:line="259" w:lineRule="auto"/>
            </w:pPr>
            <w:r>
              <w:rPr>
                <w:rFonts w:ascii="Calibri" w:hAnsi="Calibri"/>
                <w:b w:val="0"/>
                <w:i w:val="0"/>
                <w:color w:val="212121"/>
                <w:sz w:val="16"/>
              </w:rPr>
              <w:t>Young adults, forensic cases, self-harm presenters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&amp; prognostic</w:t>
            </w:r>
          </w:p>
        </w:tc>
        <w:tc>
          <w:tcPr>
            <w:tcW w:type="dxa" w:w="720"/>
            <w:vAlign w:val="top"/>
          </w:tcPr>
          <w:p>
            <w:pPr>
              <w:spacing w:after="40" w:before="0" w:line="259" w:lineRule="auto"/>
            </w:pPr>
            <w:r>
              <w:rPr>
                <w:rFonts w:ascii="Calibri" w:hAnsi="Calibri"/>
                <w:b w:val="0"/>
                <w:i w:val="0"/>
                <w:color w:val="212121"/>
                <w:sz w:val="16"/>
              </w:rPr>
              <w:t>Use trauma-informed, non-judgemental inquiry; document verbatim</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Risk assessment</w:t>
            </w:r>
          </w:p>
        </w:tc>
        <w:tc>
          <w:tcPr>
            <w:tcW w:type="dxa" w:w="950"/>
            <w:vAlign w:val="top"/>
          </w:tcPr>
          <w:p>
            <w:pPr>
              <w:spacing w:after="40" w:before="0" w:line="259" w:lineRule="auto"/>
            </w:pPr>
            <w:r>
              <w:rPr>
                <w:rFonts w:ascii="Calibri" w:hAnsi="Calibri"/>
                <w:b w:val="0"/>
                <w:i w:val="0"/>
                <w:color w:val="212121"/>
                <w:sz w:val="16"/>
              </w:rPr>
              <w:t>Suicidality, self-harm &amp; violence risk</w:t>
            </w:r>
          </w:p>
        </w:tc>
        <w:tc>
          <w:tcPr>
            <w:tcW w:type="dxa" w:w="979"/>
            <w:vAlign w:val="top"/>
          </w:tcPr>
          <w:p>
            <w:pPr>
              <w:spacing w:after="40" w:before="0" w:line="259" w:lineRule="auto"/>
            </w:pPr>
            <w:r>
              <w:rPr>
                <w:rFonts w:ascii="Calibri" w:hAnsi="Calibri"/>
                <w:b w:val="0"/>
                <w:i w:val="0"/>
                <w:color w:val="212121"/>
                <w:sz w:val="16"/>
              </w:rPr>
              <w:t>Ideation, plans, access to means, past attempts, aggression history</w:t>
            </w:r>
          </w:p>
        </w:tc>
        <w:tc>
          <w:tcPr>
            <w:tcW w:type="dxa" w:w="950"/>
            <w:vAlign w:val="top"/>
          </w:tcPr>
          <w:p>
            <w:pPr>
              <w:spacing w:after="40" w:before="0" w:line="259" w:lineRule="auto"/>
            </w:pPr>
            <w:r>
              <w:rPr>
                <w:rFonts w:ascii="Calibri" w:hAnsi="Calibri"/>
                <w:b w:val="0"/>
                <w:i w:val="0"/>
                <w:color w:val="212121"/>
                <w:sz w:val="16"/>
              </w:rPr>
              <w:t>No current risk indicators</w:t>
            </w:r>
          </w:p>
        </w:tc>
        <w:tc>
          <w:tcPr>
            <w:tcW w:type="dxa" w:w="950"/>
            <w:vAlign w:val="top"/>
          </w:tcPr>
          <w:p>
            <w:pPr>
              <w:spacing w:after="40" w:before="0" w:line="259" w:lineRule="auto"/>
            </w:pPr>
            <w:r>
              <w:rPr>
                <w:rFonts w:ascii="Calibri" w:hAnsi="Calibri"/>
                <w:b w:val="0"/>
                <w:i w:val="0"/>
                <w:color w:val="212121"/>
                <w:sz w:val="16"/>
              </w:rPr>
              <w:t>Active ideation/plan, recent self-harm, escalating aggression</w:t>
            </w:r>
          </w:p>
        </w:tc>
        <w:tc>
          <w:tcPr>
            <w:tcW w:type="dxa" w:w="1036"/>
            <w:vAlign w:val="top"/>
          </w:tcPr>
          <w:p>
            <w:pPr>
              <w:spacing w:after="40" w:before="0" w:line="259" w:lineRule="auto"/>
            </w:pPr>
            <w:r>
              <w:rPr>
                <w:rFonts w:ascii="Calibri" w:hAnsi="Calibri"/>
                <w:b w:val="0"/>
                <w:i w:val="0"/>
                <w:color w:val="212121"/>
                <w:sz w:val="16"/>
              </w:rPr>
              <w:t>Up to 10% of borderline PD patients die by suicide — structured risk assessment and crisis planning at every contact</w:t>
            </w:r>
          </w:p>
        </w:tc>
        <w:tc>
          <w:tcPr>
            <w:tcW w:type="dxa" w:w="1036"/>
            <w:vAlign w:val="top"/>
          </w:tcPr>
          <w:p>
            <w:pPr>
              <w:spacing w:after="40" w:before="0" w:line="259" w:lineRule="auto"/>
            </w:pPr>
            <w:r>
              <w:rPr>
                <w:rFonts w:ascii="Calibri" w:hAnsi="Calibri"/>
                <w:b w:val="0"/>
                <w:i w:val="0"/>
                <w:color w:val="212121"/>
                <w:sz w:val="16"/>
              </w:rPr>
              <w:t>Borderline/antisocial PD, recent discharges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Critical</w:t>
            </w:r>
          </w:p>
        </w:tc>
        <w:tc>
          <w:tcPr>
            <w:tcW w:type="dxa" w:w="720"/>
            <w:vAlign w:val="top"/>
          </w:tcPr>
          <w:p>
            <w:pPr>
              <w:spacing w:after="40" w:before="0" w:line="259" w:lineRule="auto"/>
            </w:pPr>
            <w:r>
              <w:rPr>
                <w:rFonts w:ascii="Calibri" w:hAnsi="Calibri"/>
                <w:b w:val="0"/>
                <w:i w:val="0"/>
                <w:color w:val="212121"/>
                <w:sz w:val="16"/>
              </w:rPr>
              <w:t>Means restriction (pesticides, medicines) is central in the Indian context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Collateral history</w:t>
            </w:r>
          </w:p>
        </w:tc>
        <w:tc>
          <w:tcPr>
            <w:tcW w:type="dxa" w:w="950"/>
            <w:vAlign w:val="top"/>
          </w:tcPr>
          <w:p>
            <w:pPr>
              <w:spacing w:after="40" w:before="0" w:line="259" w:lineRule="auto"/>
            </w:pPr>
            <w:r>
              <w:rPr>
                <w:rFonts w:ascii="Calibri" w:hAnsi="Calibri"/>
                <w:b w:val="0"/>
                <w:i w:val="0"/>
                <w:color w:val="212121"/>
                <w:sz w:val="16"/>
              </w:rPr>
              <w:t>Informant account (family, spouse, employer records)</w:t>
            </w:r>
          </w:p>
        </w:tc>
        <w:tc>
          <w:tcPr>
            <w:tcW w:type="dxa" w:w="979"/>
            <w:vAlign w:val="top"/>
          </w:tcPr>
          <w:p>
            <w:pPr>
              <w:spacing w:after="40" w:before="0" w:line="259" w:lineRule="auto"/>
            </w:pPr>
            <w:r>
              <w:rPr>
                <w:rFonts w:ascii="Calibri" w:hAnsi="Calibri"/>
                <w:b w:val="0"/>
                <w:i w:val="0"/>
                <w:color w:val="212121"/>
                <w:sz w:val="16"/>
              </w:rPr>
              <w:t>Corroboration of long-standing traits and functioning</w:t>
            </w:r>
          </w:p>
        </w:tc>
        <w:tc>
          <w:tcPr>
            <w:tcW w:type="dxa" w:w="950"/>
            <w:vAlign w:val="top"/>
          </w:tcPr>
          <w:p>
            <w:pPr>
              <w:spacing w:after="40" w:before="0" w:line="259" w:lineRule="auto"/>
            </w:pPr>
            <w:r>
              <w:rPr>
                <w:rFonts w:ascii="Calibri" w:hAnsi="Calibri"/>
                <w:b w:val="0"/>
                <w:i w:val="0"/>
                <w:color w:val="212121"/>
                <w:sz w:val="16"/>
              </w:rPr>
              <w:t>Consistent adaptive functioning reported</w:t>
            </w:r>
          </w:p>
        </w:tc>
        <w:tc>
          <w:tcPr>
            <w:tcW w:type="dxa" w:w="950"/>
            <w:vAlign w:val="top"/>
          </w:tcPr>
          <w:p>
            <w:pPr>
              <w:spacing w:after="40" w:before="0" w:line="259" w:lineRule="auto"/>
            </w:pPr>
            <w:r>
              <w:rPr>
                <w:rFonts w:ascii="Calibri" w:hAnsi="Calibri"/>
                <w:b w:val="0"/>
                <w:i w:val="0"/>
                <w:color w:val="212121"/>
                <w:sz w:val="16"/>
              </w:rPr>
              <w:t>Corroborated pervasive dysfunction across settings and years</w:t>
            </w:r>
          </w:p>
        </w:tc>
        <w:tc>
          <w:tcPr>
            <w:tcW w:type="dxa" w:w="1036"/>
            <w:vAlign w:val="top"/>
          </w:tcPr>
          <w:p>
            <w:pPr>
              <w:spacing w:after="40" w:before="0" w:line="259" w:lineRule="auto"/>
            </w:pPr>
            <w:r>
              <w:rPr>
                <w:rFonts w:ascii="Calibri" w:hAnsi="Calibri"/>
                <w:b w:val="0"/>
                <w:i w:val="0"/>
                <w:color w:val="212121"/>
                <w:sz w:val="16"/>
              </w:rPr>
              <w:t>Self-report alone is distorted by state effects and limited insight; collateral data anchor the longitudinal diagnosis</w:t>
            </w:r>
          </w:p>
        </w:tc>
        <w:tc>
          <w:tcPr>
            <w:tcW w:type="dxa" w:w="1036"/>
            <w:vAlign w:val="top"/>
          </w:tcPr>
          <w:p>
            <w:pPr>
              <w:spacing w:after="40" w:before="0" w:line="259" w:lineRule="auto"/>
            </w:pPr>
            <w:r>
              <w:rPr>
                <w:rFonts w:ascii="Calibri" w:hAnsi="Calibri"/>
                <w:b w:val="0"/>
                <w:i w:val="0"/>
                <w:color w:val="212121"/>
                <w:sz w:val="16"/>
              </w:rPr>
              <w:t>All suspected PD, medicolegal evaluations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In India, family members usually accompany patients — use this systematically (68.7% of Indian PD outpatients were family-referred)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Mental status examination</w:t>
            </w:r>
          </w:p>
        </w:tc>
        <w:tc>
          <w:tcPr>
            <w:tcW w:type="dxa" w:w="950"/>
            <w:vAlign w:val="top"/>
          </w:tcPr>
          <w:p>
            <w:pPr>
              <w:spacing w:after="40" w:before="0" w:line="259" w:lineRule="auto"/>
            </w:pPr>
            <w:r>
              <w:rPr>
                <w:rFonts w:ascii="Calibri" w:hAnsi="Calibri"/>
                <w:b w:val="0"/>
                <w:i w:val="0"/>
                <w:color w:val="212121"/>
                <w:sz w:val="16"/>
              </w:rPr>
              <w:t>Observation of affect, relatedness &amp; behaviour</w:t>
            </w:r>
          </w:p>
        </w:tc>
        <w:tc>
          <w:tcPr>
            <w:tcW w:type="dxa" w:w="979"/>
            <w:vAlign w:val="top"/>
          </w:tcPr>
          <w:p>
            <w:pPr>
              <w:spacing w:after="40" w:before="0" w:line="259" w:lineRule="auto"/>
            </w:pPr>
            <w:r>
              <w:rPr>
                <w:rFonts w:ascii="Calibri" w:hAnsi="Calibri"/>
                <w:b w:val="0"/>
                <w:i w:val="0"/>
                <w:color w:val="212121"/>
                <w:sz w:val="16"/>
              </w:rPr>
              <w:t>Affective lability, guardedness, dramatic or detached style, self-harm marks</w:t>
            </w:r>
          </w:p>
        </w:tc>
        <w:tc>
          <w:tcPr>
            <w:tcW w:type="dxa" w:w="950"/>
            <w:vAlign w:val="top"/>
          </w:tcPr>
          <w:p>
            <w:pPr>
              <w:spacing w:after="40" w:before="0" w:line="259" w:lineRule="auto"/>
            </w:pPr>
            <w:r>
              <w:rPr>
                <w:rFonts w:ascii="Calibri" w:hAnsi="Calibri"/>
                <w:b w:val="0"/>
                <w:i w:val="0"/>
                <w:color w:val="212121"/>
                <w:sz w:val="16"/>
              </w:rPr>
              <w:t>Euthymic, cooperative, stable relatedness</w:t>
            </w:r>
          </w:p>
        </w:tc>
        <w:tc>
          <w:tcPr>
            <w:tcW w:type="dxa" w:w="950"/>
            <w:vAlign w:val="top"/>
          </w:tcPr>
          <w:p>
            <w:pPr>
              <w:spacing w:after="40" w:before="0" w:line="259" w:lineRule="auto"/>
            </w:pPr>
            <w:r>
              <w:rPr>
                <w:rFonts w:ascii="Calibri" w:hAnsi="Calibri"/>
                <w:b w:val="0"/>
                <w:i w:val="0"/>
                <w:color w:val="212121"/>
                <w:sz w:val="16"/>
              </w:rPr>
              <w:t>Lability, hostility, seductiveness, suspiciousness, scars of self-harm</w:t>
            </w:r>
          </w:p>
        </w:tc>
        <w:tc>
          <w:tcPr>
            <w:tcW w:type="dxa" w:w="1036"/>
            <w:vAlign w:val="top"/>
          </w:tcPr>
          <w:p>
            <w:pPr>
              <w:spacing w:after="40" w:before="0" w:line="259" w:lineRule="auto"/>
            </w:pPr>
            <w:r>
              <w:rPr>
                <w:rFonts w:ascii="Calibri" w:hAnsi="Calibri"/>
                <w:b w:val="0"/>
                <w:i w:val="0"/>
                <w:color w:val="212121"/>
                <w:sz w:val="16"/>
              </w:rPr>
              <w:t>Interview behaviour often reproduces the interpersonal pattern (e.g., idealization–devaluation, splitting of staff)</w:t>
            </w:r>
          </w:p>
        </w:tc>
        <w:tc>
          <w:tcPr>
            <w:tcW w:type="dxa" w:w="1036"/>
            <w:vAlign w:val="top"/>
          </w:tcPr>
          <w:p>
            <w:pPr>
              <w:spacing w:after="40" w:before="0" w:line="259" w:lineRule="auto"/>
            </w:pPr>
            <w:r>
              <w:rPr>
                <w:rFonts w:ascii="Calibri" w:hAnsi="Calibri"/>
                <w:b w:val="0"/>
                <w:i w:val="0"/>
                <w:color w:val="212121"/>
                <w:sz w:val="16"/>
              </w:rPr>
              <w:t>All psychiatric evaluations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Serial observations across visits are more informative than a single interview</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Unstable, intense interpersonal relationships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Alternation between idealization and devaluation ('splitting'); repeated stormy break-ups and reconciliations — hallmark of borderline PD.</w:t>
            </w:r>
          </w:p>
        </w:tc>
      </w:tr>
      <w:tr>
        <w:trPr>
          <w:cantSplit/>
        </w:trPr>
        <w:tc>
          <w:tcPr>
            <w:tcW w:type="dxa" w:w="2304"/>
            <w:vAlign w:val="top"/>
          </w:tcPr>
          <w:p>
            <w:pPr>
              <w:spacing w:after="40" w:before="0" w:line="259" w:lineRule="auto"/>
            </w:pPr>
            <w:r>
              <w:rPr>
                <w:rFonts w:ascii="Calibri" w:hAnsi="Calibri"/>
                <w:b/>
                <w:i w:val="0"/>
                <w:color w:val="212121"/>
                <w:sz w:val="19"/>
              </w:rPr>
              <w:t>Fear of abandonment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Frantic efforts to avoid real or imagined abandonment; clinging, testing behaviour and crises when separations loom.</w:t>
            </w:r>
          </w:p>
        </w:tc>
      </w:tr>
      <w:tr>
        <w:trPr>
          <w:cantSplit/>
        </w:trPr>
        <w:tc>
          <w:tcPr>
            <w:tcW w:type="dxa" w:w="2304"/>
            <w:vAlign w:val="top"/>
          </w:tcPr>
          <w:p>
            <w:pPr>
              <w:spacing w:after="40" w:before="0" w:line="259" w:lineRule="auto"/>
            </w:pPr>
            <w:r>
              <w:rPr>
                <w:rFonts w:ascii="Calibri" w:hAnsi="Calibri"/>
                <w:b/>
                <w:i w:val="0"/>
                <w:color w:val="212121"/>
                <w:sz w:val="19"/>
              </w:rPr>
              <w:t>Affective instability / rapid mood swings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Marked reactivity of mood — intense dysphoria, irritability or anxiety lasting hours, rarely more than a few days.</w:t>
            </w:r>
          </w:p>
        </w:tc>
      </w:tr>
      <w:tr>
        <w:trPr>
          <w:cantSplit/>
        </w:trPr>
        <w:tc>
          <w:tcPr>
            <w:tcW w:type="dxa" w:w="2304"/>
            <w:vAlign w:val="top"/>
          </w:tcPr>
          <w:p>
            <w:pPr>
              <w:spacing w:after="40" w:before="0" w:line="259" w:lineRule="auto"/>
            </w:pPr>
            <w:r>
              <w:rPr>
                <w:rFonts w:ascii="Calibri" w:hAnsi="Calibri"/>
                <w:b/>
                <w:i w:val="0"/>
                <w:color w:val="212121"/>
                <w:sz w:val="19"/>
              </w:rPr>
              <w:t>Chronic feelings of emptiness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Persistent inner void and boredom driving sensation-seeking, substance use or self-harm.</w:t>
            </w:r>
          </w:p>
        </w:tc>
      </w:tr>
      <w:tr>
        <w:trPr>
          <w:cantSplit/>
        </w:trPr>
        <w:tc>
          <w:tcPr>
            <w:tcW w:type="dxa" w:w="2304"/>
            <w:vAlign w:val="top"/>
          </w:tcPr>
          <w:p>
            <w:pPr>
              <w:spacing w:after="40" w:before="0" w:line="259" w:lineRule="auto"/>
            </w:pPr>
            <w:r>
              <w:rPr>
                <w:rFonts w:ascii="Calibri" w:hAnsi="Calibri"/>
                <w:b/>
                <w:i w:val="0"/>
                <w:color w:val="212121"/>
                <w:sz w:val="19"/>
              </w:rPr>
              <w:t>Impulsivity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Potentially self-damaging acts — reckless spending, driving, sexual behaviour, binge eating, substance use — across cluster B disorders.</w:t>
            </w:r>
          </w:p>
        </w:tc>
      </w:tr>
      <w:tr>
        <w:trPr>
          <w:cantSplit/>
        </w:trPr>
        <w:tc>
          <w:tcPr>
            <w:tcW w:type="dxa" w:w="2304"/>
            <w:vAlign w:val="top"/>
          </w:tcPr>
          <w:p>
            <w:pPr>
              <w:spacing w:after="40" w:before="0" w:line="259" w:lineRule="auto"/>
            </w:pPr>
            <w:r>
              <w:rPr>
                <w:rFonts w:ascii="Calibri" w:hAnsi="Calibri"/>
                <w:b/>
                <w:i w:val="0"/>
                <w:color w:val="212121"/>
                <w:sz w:val="19"/>
              </w:rPr>
              <w:t>Inappropriate, intense anger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Frequent temper outbursts, recurrent physical fights, difficulty controlling anger; strains family and workplace.</w:t>
            </w:r>
          </w:p>
        </w:tc>
      </w:tr>
      <w:tr>
        <w:trPr>
          <w:cantSplit/>
        </w:trPr>
        <w:tc>
          <w:tcPr>
            <w:tcW w:type="dxa" w:w="2304"/>
            <w:vAlign w:val="top"/>
          </w:tcPr>
          <w:p>
            <w:pPr>
              <w:spacing w:after="40" w:before="0" w:line="259" w:lineRule="auto"/>
            </w:pPr>
            <w:r>
              <w:rPr>
                <w:rFonts w:ascii="Calibri" w:hAnsi="Calibri"/>
                <w:b/>
                <w:i w:val="0"/>
                <w:color w:val="212121"/>
                <w:sz w:val="19"/>
              </w:rPr>
              <w:t>Identity disturbance / unstable self-image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Shifting goals, values, career plans and sense of self; prominent in adolescence-onset borderline pathology.</w:t>
            </w:r>
          </w:p>
        </w:tc>
      </w:tr>
      <w:tr>
        <w:trPr>
          <w:cantSplit/>
        </w:trPr>
        <w:tc>
          <w:tcPr>
            <w:tcW w:type="dxa" w:w="2304"/>
            <w:vAlign w:val="top"/>
          </w:tcPr>
          <w:p>
            <w:pPr>
              <w:spacing w:after="40" w:before="0" w:line="259" w:lineRule="auto"/>
            </w:pPr>
            <w:r>
              <w:rPr>
                <w:rFonts w:ascii="Calibri" w:hAnsi="Calibri"/>
                <w:b/>
                <w:i w:val="0"/>
                <w:color w:val="212121"/>
                <w:sz w:val="19"/>
              </w:rPr>
              <w:t>Pervasive distrust and suspiciousness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Reads hidden demeaning meanings into benign remarks; bears grudges — paranoid (cluster A) pattern.</w:t>
            </w:r>
          </w:p>
        </w:tc>
      </w:tr>
      <w:tr>
        <w:trPr>
          <w:cantSplit/>
        </w:trPr>
        <w:tc>
          <w:tcPr>
            <w:tcW w:type="dxa" w:w="2304"/>
            <w:vAlign w:val="top"/>
          </w:tcPr>
          <w:p>
            <w:pPr>
              <w:spacing w:after="40" w:before="0" w:line="259" w:lineRule="auto"/>
            </w:pPr>
            <w:r>
              <w:rPr>
                <w:rFonts w:ascii="Calibri" w:hAnsi="Calibri"/>
                <w:b/>
                <w:i w:val="0"/>
                <w:color w:val="212121"/>
                <w:sz w:val="19"/>
              </w:rPr>
              <w:t>Social avoidance with fear of criticism</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Avoids occupational and social activities involving interpersonal contact for fear of rejection/ridicule — avoidant (cluster C) pattern.</w:t>
            </w:r>
          </w:p>
        </w:tc>
      </w:tr>
      <w:tr>
        <w:trPr>
          <w:cantSplit/>
        </w:trPr>
        <w:tc>
          <w:tcPr>
            <w:tcW w:type="dxa" w:w="2304"/>
            <w:vAlign w:val="top"/>
          </w:tcPr>
          <w:p>
            <w:pPr>
              <w:spacing w:after="40" w:before="0" w:line="259" w:lineRule="auto"/>
            </w:pPr>
            <w:r>
              <w:rPr>
                <w:rFonts w:ascii="Calibri" w:hAnsi="Calibri"/>
                <w:b/>
                <w:i w:val="0"/>
                <w:color w:val="212121"/>
                <w:sz w:val="19"/>
              </w:rPr>
              <w:t>Perfectionism, rigidity and preoccupation with control</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Orderliness and rules at the expense of flexibility and task completion — anankastic pattern; the commonest PD in elderly Indian self-harm patients.</w:t>
            </w:r>
          </w:p>
        </w:tc>
      </w:tr>
      <w:tr>
        <w:trPr>
          <w:cantSplit/>
        </w:trPr>
        <w:tc>
          <w:tcPr>
            <w:tcW w:type="dxa" w:w="2304"/>
            <w:vAlign w:val="top"/>
          </w:tcPr>
          <w:p>
            <w:pPr>
              <w:spacing w:after="40" w:before="0" w:line="259" w:lineRule="auto"/>
            </w:pPr>
            <w:r>
              <w:rPr>
                <w:rFonts w:ascii="Calibri" w:hAnsi="Calibri"/>
                <w:b/>
                <w:i w:val="0"/>
                <w:color w:val="212121"/>
                <w:sz w:val="19"/>
              </w:rPr>
              <w:t>Disregard for others' rights with lack of remorse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Deceitfulness, aggression, violation of social norms since adolescence — antisocial/dissocial PD.</w:t>
            </w:r>
          </w:p>
        </w:tc>
      </w:tr>
      <w:tr>
        <w:trPr>
          <w:cantSplit/>
        </w:trPr>
        <w:tc>
          <w:tcPr>
            <w:tcW w:type="dxa" w:w="2304"/>
            <w:vAlign w:val="top"/>
          </w:tcPr>
          <w:p>
            <w:pPr>
              <w:spacing w:after="40" w:before="0" w:line="259" w:lineRule="auto"/>
            </w:pPr>
            <w:r>
              <w:rPr>
                <w:rFonts w:ascii="Calibri" w:hAnsi="Calibri"/>
                <w:b/>
                <w:i w:val="0"/>
                <w:color w:val="212121"/>
                <w:sz w:val="19"/>
              </w:rPr>
              <w:t>Grandiosity and excessive need for admiration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Inflated self-importance, entitlement and lack of empathy — narcissistic pattern; presents when status is threatened.</w:t>
            </w:r>
          </w:p>
        </w:tc>
      </w:tr>
      <w:tr>
        <w:trPr>
          <w:cantSplit/>
        </w:trPr>
        <w:tc>
          <w:tcPr>
            <w:tcW w:type="dxa" w:w="2304"/>
            <w:vAlign w:val="top"/>
          </w:tcPr>
          <w:p>
            <w:pPr>
              <w:spacing w:after="40" w:before="0" w:line="259" w:lineRule="auto"/>
            </w:pPr>
            <w:r>
              <w:rPr>
                <w:rFonts w:ascii="Calibri" w:hAnsi="Calibri"/>
                <w:b/>
                <w:i w:val="0"/>
                <w:color w:val="212121"/>
                <w:sz w:val="19"/>
              </w:rPr>
              <w:t>Excessive dependence and inability to decide alone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Needs others to assume responsibility for major life areas; fears of being left to fend for oneself — dependent PD.</w:t>
            </w:r>
          </w:p>
        </w:tc>
      </w:tr>
      <w:tr>
        <w:trPr>
          <w:cantSplit/>
        </w:trPr>
        <w:tc>
          <w:tcPr>
            <w:tcW w:type="dxa" w:w="2304"/>
            <w:vAlign w:val="top"/>
          </w:tcPr>
          <w:p>
            <w:pPr>
              <w:spacing w:after="40" w:before="0" w:line="259" w:lineRule="auto"/>
            </w:pPr>
            <w:r>
              <w:rPr>
                <w:rFonts w:ascii="Calibri" w:hAnsi="Calibri"/>
                <w:b/>
                <w:i w:val="0"/>
                <w:color w:val="212121"/>
                <w:sz w:val="19"/>
              </w:rPr>
              <w:t>Transient stress-related paranoid ideation or dissociation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Brief quasi-psychotic or dissociative episodes under interpersonal stress in borderline PD; resolve within hours to days.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Self-harm marks (healed cuts, burns on forearms/thighs)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Repeated superficial injuries of varying age strongly suggest emotionally unstable/borderline PD — inspect sensitively.</w:t>
            </w:r>
          </w:p>
        </w:tc>
      </w:tr>
      <w:tr>
        <w:trPr>
          <w:cantSplit/>
        </w:trPr>
        <w:tc>
          <w:tcPr>
            <w:tcW w:type="dxa" w:w="3456"/>
            <w:vAlign w:val="top"/>
          </w:tcPr>
          <w:p>
            <w:pPr>
              <w:spacing w:after="40" w:before="0" w:line="259" w:lineRule="auto"/>
            </w:pPr>
            <w:r>
              <w:rPr>
                <w:rFonts w:ascii="Calibri" w:hAnsi="Calibri"/>
                <w:b/>
                <w:i w:val="0"/>
                <w:color w:val="212121"/>
                <w:sz w:val="19"/>
              </w:rPr>
              <w:t>Affective lability and irritability observable in interview</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Rapid shifts from cooperation to anger or tears within a single session; low frustration tolerance.</w:t>
            </w:r>
          </w:p>
        </w:tc>
      </w:tr>
      <w:tr>
        <w:trPr>
          <w:cantSplit/>
        </w:trPr>
        <w:tc>
          <w:tcPr>
            <w:tcW w:type="dxa" w:w="3456"/>
            <w:vAlign w:val="top"/>
          </w:tcPr>
          <w:p>
            <w:pPr>
              <w:spacing w:after="40" w:before="0" w:line="259" w:lineRule="auto"/>
            </w:pPr>
            <w:r>
              <w:rPr>
                <w:rFonts w:ascii="Calibri" w:hAnsi="Calibri"/>
                <w:b/>
                <w:i w:val="0"/>
                <w:color w:val="212121"/>
                <w:sz w:val="19"/>
              </w:rPr>
              <w:t>Guarded, suspicious or hostile interview manner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Reluctance to confide, querying the interviewer's motives — cluster A presentation.</w:t>
            </w:r>
          </w:p>
        </w:tc>
      </w:tr>
      <w:tr>
        <w:trPr>
          <w:cantSplit/>
        </w:trPr>
        <w:tc>
          <w:tcPr>
            <w:tcW w:type="dxa" w:w="3456"/>
            <w:vAlign w:val="top"/>
          </w:tcPr>
          <w:p>
            <w:pPr>
              <w:spacing w:after="40" w:before="0" w:line="259" w:lineRule="auto"/>
            </w:pPr>
            <w:r>
              <w:rPr>
                <w:rFonts w:ascii="Calibri" w:hAnsi="Calibri"/>
                <w:b/>
                <w:i w:val="0"/>
                <w:color w:val="212121"/>
                <w:sz w:val="19"/>
              </w:rPr>
              <w:t>Constricted affect with social detachment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Flat emotional range, indifference to praise or criticism, solitary preferences — schizoid pattern.</w:t>
            </w:r>
          </w:p>
        </w:tc>
      </w:tr>
      <w:tr>
        <w:trPr>
          <w:cantSplit/>
        </w:trPr>
        <w:tc>
          <w:tcPr>
            <w:tcW w:type="dxa" w:w="3456"/>
            <w:vAlign w:val="top"/>
          </w:tcPr>
          <w:p>
            <w:pPr>
              <w:spacing w:after="40" w:before="0" w:line="259" w:lineRule="auto"/>
            </w:pPr>
            <w:r>
              <w:rPr>
                <w:rFonts w:ascii="Calibri" w:hAnsi="Calibri"/>
                <w:b/>
                <w:i w:val="0"/>
                <w:color w:val="212121"/>
                <w:sz w:val="19"/>
              </w:rPr>
              <w:t>Dramatic, seductive or attention-seeking behaviour</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Theatrical, shifting shallow emotionality; uses appearance to draw attention — histrionic pattern.</w:t>
            </w:r>
          </w:p>
        </w:tc>
      </w:tr>
      <w:tr>
        <w:trPr>
          <w:cantSplit/>
        </w:trPr>
        <w:tc>
          <w:tcPr>
            <w:tcW w:type="dxa" w:w="3456"/>
            <w:vAlign w:val="top"/>
          </w:tcPr>
          <w:p>
            <w:pPr>
              <w:spacing w:after="40" w:before="0" w:line="259" w:lineRule="auto"/>
            </w:pPr>
            <w:r>
              <w:rPr>
                <w:rFonts w:ascii="Calibri" w:hAnsi="Calibri"/>
                <w:b/>
                <w:i w:val="0"/>
                <w:color w:val="212121"/>
                <w:sz w:val="19"/>
              </w:rPr>
              <w:t>Idealization–devaluation of treating staff ('splitting')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Team members alternately experienced as all-good or all-bad; generates staff conflict — a bedside diagnostic clue.</w:t>
            </w:r>
          </w:p>
        </w:tc>
      </w:tr>
      <w:tr>
        <w:trPr>
          <w:cantSplit/>
        </w:trPr>
        <w:tc>
          <w:tcPr>
            <w:tcW w:type="dxa" w:w="3456"/>
            <w:vAlign w:val="top"/>
          </w:tcPr>
          <w:p>
            <w:pPr>
              <w:spacing w:after="40" w:before="0" w:line="259" w:lineRule="auto"/>
            </w:pPr>
            <w:r>
              <w:rPr>
                <w:rFonts w:ascii="Calibri" w:hAnsi="Calibri"/>
                <w:b/>
                <w:i w:val="0"/>
                <w:color w:val="212121"/>
                <w:sz w:val="19"/>
              </w:rPr>
              <w:t>Stigmata of substance use (alcohol odour, injection marks, tobacco staining)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Reflects the very high SUD comorbidity; triggers toxicology screening and dual-diagnosis planning.</w:t>
            </w:r>
          </w:p>
        </w:tc>
      </w:tr>
      <w:tr>
        <w:trPr>
          <w:cantSplit/>
        </w:trPr>
        <w:tc>
          <w:tcPr>
            <w:tcW w:type="dxa" w:w="3456"/>
            <w:vAlign w:val="top"/>
          </w:tcPr>
          <w:p>
            <w:pPr>
              <w:spacing w:after="40" w:before="0" w:line="259" w:lineRule="auto"/>
            </w:pPr>
            <w:r>
              <w:rPr>
                <w:rFonts w:ascii="Calibri" w:hAnsi="Calibri"/>
                <w:b/>
                <w:i w:val="0"/>
                <w:color w:val="212121"/>
                <w:sz w:val="19"/>
              </w:rPr>
              <w:t>Frequent unscheduled crisis presentations / recurrent emergency visits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Pattern of repeated brief admissions after interpersonal crises; visible in records more than in any single exam.</w:t>
            </w:r>
          </w:p>
        </w:tc>
      </w:tr>
      <w:tr>
        <w:trPr>
          <w:cantSplit/>
        </w:trPr>
        <w:tc>
          <w:tcPr>
            <w:tcW w:type="dxa" w:w="3456"/>
            <w:vAlign w:val="top"/>
          </w:tcPr>
          <w:p>
            <w:pPr>
              <w:spacing w:after="40" w:before="0" w:line="259" w:lineRule="auto"/>
            </w:pPr>
            <w:r>
              <w:rPr>
                <w:rFonts w:ascii="Calibri" w:hAnsi="Calibri"/>
                <w:b/>
                <w:i w:val="0"/>
                <w:color w:val="212121"/>
                <w:sz w:val="19"/>
              </w:rPr>
              <w:t>Interpersonal provocation or rule-testing on the ward</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Boundary violations, manipulation of passes/medication — common in antisocial and severe borderline PD.</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deliberate self-harm and suicide attempts (up to 10% of borderline PD patients die by suicide)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Interpersonal crises — broken relationships, family conflict, divorce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Aggression, violence and impulsive rule-breaking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Academic and occupational failure, frequent job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High-risk impulsive behaviour (reckless driving, unsafe sex, overdose)</w:t>
            </w:r>
          </w:p>
        </w:tc>
        <w:tc>
          <w:tcPr>
            <w:tcW w:type="dxa" w:w="2980"/>
            <w:vAlign w:val="top"/>
          </w:tcPr>
          <w:p>
            <w:pPr>
              <w:spacing w:after="40" w:before="0" w:line="259" w:lineRule="auto"/>
            </w:pPr>
            <w:r>
              <w:rPr>
                <w:rFonts w:ascii="Calibri" w:hAnsi="Calibri"/>
                <w:b w:val="0"/>
                <w:i w:val="0"/>
                <w:color w:val="212121"/>
                <w:sz w:val="19"/>
              </w:rPr>
              <w:t>Direct behavioural consequences of trait impulsivity, affect dysregulation and interpersonal dysfunction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Comorbid depression, anxiety and PTSD (lifetime mood disorder 82.7%, anxiety 84.8% in BPD)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Substance use disorders (78.2% lifetime in BPD) and nicotine 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Eating disorders and obesity/metabolic syndrome (23.3% in BPD)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Legal problems, incarceration (47% of male prisoners have antisocial PD)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Sexually transmitted infections and unplanned pregnancy from impulsive sexual behaviour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 exclusion, unemployment and financial ruin</w:t>
            </w:r>
          </w:p>
        </w:tc>
        <w:tc>
          <w:tcPr>
            <w:tcW w:type="dxa" w:w="2980"/>
            <w:vAlign w:val="top"/>
          </w:tcPr>
          <w:p>
            <w:pPr>
              <w:spacing w:after="40" w:before="0" w:line="259" w:lineRule="auto"/>
            </w:pPr>
            <w:r>
              <w:rPr>
                <w:rFonts w:ascii="Calibri" w:hAnsi="Calibri"/>
                <w:b w:val="0"/>
                <w:i w:val="0"/>
                <w:color w:val="212121"/>
                <w:sz w:val="19"/>
              </w:rPr>
              <w:t>Consequences of the disorder's collision with health behaviour, law and society — most are bidirectional amplifiers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Premature mortality — life expectancy shortened by about 17.7 years in men and 18.7 years in women with PD (SMR 4.2)</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Completed suicide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disability, long-term institutionalization or repeated imprisonment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Cardiovascular disease and type 2 diabetes from cumulative metabolic and tobacco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Intergenerational transmission of adversity to offspring (parenting disruption, maltreatment risk)</w:t>
            </w:r>
          </w:p>
        </w:tc>
        <w:tc>
          <w:tcPr>
            <w:tcW w:type="dxa" w:w="2980"/>
            <w:vAlign w:val="top"/>
          </w:tcPr>
          <w:p>
            <w:pPr>
              <w:spacing w:after="40" w:before="0" w:line="259" w:lineRule="auto"/>
            </w:pPr>
            <w:r>
              <w:rPr>
                <w:rFonts w:ascii="Calibri" w:hAnsi="Calibri"/>
                <w:b w:val="0"/>
                <w:i w:val="0"/>
                <w:color w:val="212121"/>
                <w:sz w:val="19"/>
              </w:rPr>
              <w:t>Irreversible end-stage outcomes of decades of untreated personality pathology and its comorbidities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Anxiety disorders (incl. PTSD, social anxiety)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Lifetime anxiety disorder in borderline PD (NESARC); PTSD is especially frequent given shared roots in childhood trauma.</w:t>
            </w:r>
          </w:p>
          <w:p>
            <w:pPr>
              <w:spacing w:after="40" w:before="0" w:line="259" w:lineRule="auto"/>
            </w:pPr>
            <w:r>
              <w:rPr>
                <w:rFonts w:ascii="Calibri" w:hAnsi="Calibri"/>
                <w:b/>
                <w:i w:val="0"/>
                <w:color w:val="212121"/>
                <w:sz w:val="19"/>
              </w:rPr>
              <w:t>Up to 84.8%</w:t>
            </w:r>
          </w:p>
        </w:tc>
      </w:tr>
      <w:tr>
        <w:trPr>
          <w:cantSplit/>
        </w:trPr>
        <w:tc>
          <w:tcPr>
            <w:tcW w:type="dxa" w:w="2232"/>
            <w:vAlign w:val="top"/>
          </w:tcPr>
          <w:p>
            <w:pPr>
              <w:spacing w:after="40" w:before="0" w:line="259" w:lineRule="auto"/>
            </w:pPr>
            <w:r>
              <w:rPr>
                <w:rFonts w:ascii="Calibri" w:hAnsi="Calibri"/>
                <w:b/>
                <w:i w:val="0"/>
                <w:color w:val="212121"/>
                <w:sz w:val="19"/>
              </w:rPr>
              <w:t>Mood disorders (major depression, dysthymia)</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Lifetime mood disorder/episode in borderline PD; comorbid PD predicts poorer antidepressant and psychotherapy response.</w:t>
            </w:r>
          </w:p>
          <w:p>
            <w:pPr>
              <w:spacing w:after="40" w:before="0" w:line="259" w:lineRule="auto"/>
            </w:pPr>
            <w:r>
              <w:rPr>
                <w:rFonts w:ascii="Calibri" w:hAnsi="Calibri"/>
                <w:b/>
                <w:i w:val="0"/>
                <w:color w:val="212121"/>
                <w:sz w:val="19"/>
              </w:rPr>
              <w:t>Up to 82.7%</w:t>
            </w:r>
          </w:p>
        </w:tc>
      </w:tr>
      <w:tr>
        <w:trPr>
          <w:cantSplit/>
        </w:trPr>
        <w:tc>
          <w:tcPr>
            <w:tcW w:type="dxa" w:w="2232"/>
            <w:vAlign w:val="top"/>
          </w:tcPr>
          <w:p>
            <w:pPr>
              <w:spacing w:after="40" w:before="0" w:line="259" w:lineRule="auto"/>
            </w:pPr>
            <w:r>
              <w:rPr>
                <w:rFonts w:ascii="Calibri" w:hAnsi="Calibri"/>
                <w:b/>
                <w:i w:val="0"/>
                <w:color w:val="212121"/>
                <w:sz w:val="19"/>
              </w:rPr>
              <w:t>Substance use disorders (alcohol, tobacco, cannabis, opioids)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Lifetime SUD in borderline PD; intoxication disinhibits self-harm and aggression — integrated dual-diagnosis care is required.</w:t>
            </w:r>
          </w:p>
          <w:p>
            <w:pPr>
              <w:spacing w:after="40" w:before="0" w:line="259" w:lineRule="auto"/>
            </w:pPr>
            <w:r>
              <w:rPr>
                <w:rFonts w:ascii="Calibri" w:hAnsi="Calibri"/>
                <w:b/>
                <w:i w:val="0"/>
                <w:color w:val="212121"/>
                <w:sz w:val="19"/>
              </w:rPr>
              <w:t>Up to 78.2%</w:t>
            </w:r>
          </w:p>
        </w:tc>
      </w:tr>
      <w:tr>
        <w:trPr>
          <w:cantSplit/>
        </w:trPr>
        <w:tc>
          <w:tcPr>
            <w:tcW w:type="dxa" w:w="2232"/>
            <w:vAlign w:val="top"/>
          </w:tcPr>
          <w:p>
            <w:pPr>
              <w:spacing w:after="40" w:before="0" w:line="259" w:lineRule="auto"/>
            </w:pPr>
            <w:r>
              <w:rPr>
                <w:rFonts w:ascii="Calibri" w:hAnsi="Calibri"/>
                <w:b/>
                <w:i w:val="0"/>
                <w:color w:val="212121"/>
                <w:sz w:val="19"/>
              </w:rPr>
              <w:t>Attention-deficit/hyperactivity disorder (ADHD)</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Adult ADHD screen-positivity among severe borderline PD patients; shared impulsivity — stimulant treatment can improve both when carefully monitored.</w:t>
            </w:r>
          </w:p>
          <w:p>
            <w:pPr>
              <w:spacing w:after="40" w:before="0" w:line="259" w:lineRule="auto"/>
            </w:pPr>
            <w:r>
              <w:rPr>
                <w:rFonts w:ascii="Calibri" w:hAnsi="Calibri"/>
                <w:b/>
                <w:i w:val="0"/>
                <w:color w:val="212121"/>
                <w:sz w:val="19"/>
              </w:rPr>
              <w:t>Up to 60.7%</w:t>
            </w:r>
          </w:p>
        </w:tc>
      </w:tr>
      <w:tr>
        <w:trPr>
          <w:cantSplit/>
        </w:trPr>
        <w:tc>
          <w:tcPr>
            <w:tcW w:type="dxa" w:w="2232"/>
            <w:vAlign w:val="top"/>
          </w:tcPr>
          <w:p>
            <w:pPr>
              <w:spacing w:after="40" w:before="0" w:line="259" w:lineRule="auto"/>
            </w:pPr>
            <w:r>
              <w:rPr>
                <w:rFonts w:ascii="Calibri" w:hAnsi="Calibri"/>
                <w:b/>
                <w:i w:val="0"/>
                <w:color w:val="212121"/>
                <w:sz w:val="19"/>
              </w:rPr>
              <w:t>Eating disorders (bulimia, binge eating, anorexia)</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Proportion of eating-disorder patients with a comorbid PD (vs 9% of controls); borderline and avoidant PDs predominate.</w:t>
            </w:r>
          </w:p>
          <w:p>
            <w:pPr>
              <w:spacing w:after="40" w:before="0" w:line="259" w:lineRule="auto"/>
            </w:pPr>
            <w:r>
              <w:rPr>
                <w:rFonts w:ascii="Calibri" w:hAnsi="Calibri"/>
                <w:b/>
                <w:i w:val="0"/>
                <w:color w:val="212121"/>
                <w:sz w:val="19"/>
              </w:rPr>
              <w:t>~52%</w:t>
            </w:r>
          </w:p>
        </w:tc>
      </w:tr>
      <w:tr>
        <w:trPr>
          <w:cantSplit/>
        </w:trPr>
        <w:tc>
          <w:tcPr>
            <w:tcW w:type="dxa" w:w="2232"/>
            <w:vAlign w:val="top"/>
          </w:tcPr>
          <w:p>
            <w:pPr>
              <w:spacing w:after="40" w:before="0" w:line="259" w:lineRule="auto"/>
            </w:pPr>
            <w:r>
              <w:rPr>
                <w:rFonts w:ascii="Calibri" w:hAnsi="Calibri"/>
                <w:b/>
                <w:i w:val="0"/>
                <w:color w:val="212121"/>
                <w:sz w:val="19"/>
              </w:rPr>
              <w:t>Metabolic syndrome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Age-standardized prevalence in borderline PD — about double the primary-care comparison (10.6%); amplified by second-generation antipsychotics and binge eating.</w:t>
            </w:r>
          </w:p>
          <w:p>
            <w:pPr>
              <w:spacing w:after="40" w:before="0" w:line="259" w:lineRule="auto"/>
            </w:pPr>
            <w:r>
              <w:rPr>
                <w:rFonts w:ascii="Calibri" w:hAnsi="Calibri"/>
                <w:b/>
                <w:i w:val="0"/>
                <w:color w:val="212121"/>
                <w:sz w:val="19"/>
              </w:rPr>
              <w:t>23.3%</w:t>
            </w:r>
          </w:p>
        </w:tc>
      </w:tr>
      <w:tr>
        <w:trPr>
          <w:cantSplit/>
        </w:trPr>
        <w:tc>
          <w:tcPr>
            <w:tcW w:type="dxa" w:w="2232"/>
            <w:vAlign w:val="top"/>
          </w:tcPr>
          <w:p>
            <w:pPr>
              <w:spacing w:after="40" w:before="0" w:line="259" w:lineRule="auto"/>
            </w:pPr>
            <w:r>
              <w:rPr>
                <w:rFonts w:ascii="Calibri" w:hAnsi="Calibri"/>
                <w:b/>
                <w:i w:val="0"/>
                <w:color w:val="212121"/>
                <w:sz w:val="19"/>
              </w:rPr>
              <w:t>Cardiovascular disease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PD carries excess cardiovascular risk via smoking, obesity, autonomic dysregulation and endothelial dysfunction; contributes to a 4-fold standardized mortality ratio.</w:t>
            </w:r>
          </w:p>
        </w:tc>
      </w:tr>
      <w:tr>
        <w:trPr>
          <w:cantSplit/>
        </w:trPr>
        <w:tc>
          <w:tcPr>
            <w:tcW w:type="dxa" w:w="2232"/>
            <w:vAlign w:val="top"/>
          </w:tcPr>
          <w:p>
            <w:pPr>
              <w:spacing w:after="40" w:before="0" w:line="259" w:lineRule="auto"/>
            </w:pPr>
            <w:r>
              <w:rPr>
                <w:rFonts w:ascii="Calibri" w:hAnsi="Calibri"/>
                <w:b/>
                <w:i w:val="0"/>
                <w:color w:val="212121"/>
                <w:sz w:val="19"/>
              </w:rPr>
              <w:t>Bipolar affective disorder</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Key differential of borderline PD (episodic vs reactive mood shifts) and a frequent comorbidity; misdiagnosis in either direction leads to wrong treatment.</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Educate families, teachers and primary-care staff that persistent adolescent emotional dysregulation, self-harm or conduct problems are treatable clinical signals — not 'bad character' or moral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Promote school-based social-emotional learning, anti-bullying programmes and life-skills training to build emotion-regulation capacity in at-risk youth.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Train medical and nursing staff to respond non-judgementally to self-harm presentations — punitive responses drive patients away from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Raise awareness of India's mental-health access points: Tele-MANAS (14416), District Mental Health Programme clinics and college counselling cells.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family psychoeducation on the nature, course and heritability of personality disorders to reduce blame, expressed emotion and relapse.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Counter stigma: personality disorders are associated with childhood adversity and heritable temperament, and meaningful recovery is common with structured psychotherapy.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&amp; 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&amp; teachers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Primary-care and emergency staff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of affected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College counsellors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Prescribe ≥150 minutes/week of moderate aerobic activity (brisk walking, cycling, swimming) as an adjunct to psychotherapy — activity is associated with lower depressive burden in borderline PD.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group activities (team sports, group yoga, trekking clubs) to combine exercise with graded social-skills practice.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yoga and mindfulness-based movement, which dovetail with the mindfulness module of dialectical behaviour therapy (DBT).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Schedule activity at fixed times to anchor daily routine and circadian rhythm, especially in patients with chaotic schedules.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Monitor weight, BMI and waist circumference in patients on antipsychotics; pair exercise with dietary counselling to prevent metabolic syndrome.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Borderline/EUPD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PD patients on antipsychotics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comorbid depression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Establish regular meal timing — skipped meals and glucose dips aggravate irritability and impulsivity in emotionally unstable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routinely for binge eating, purging and restrictive patterns (about half of eating-disorder patients have a comorbid PD) and refer early.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a balanced Indian diet rich in whole grains, pulses, vegetables and omega-3 sources (fish, flaxseed, walnuts); small trials suggest omega-3 supplementation may modestly reduce affective instability.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energy drinks and very high caffeine intake (&gt; 400 mg/day), which worsen anxiety and insomnia.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vitamin B12 and vitamin D deficiency — common in India — which otherwise compound fatigue and low mood.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Counsel on alcohol-calorie and junk-food patterns during crises, when impulsive eating typically escalates.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adults with PD traits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Eating-disorder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 &amp; hostel residents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antipsychotics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sleep as a core target: BPD shows objectively impaired sleep continuity, more nightmares and poorer quality independent of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Deliver sleep-hygiene counselling — fixed sleep/wake times, dark cool bedroom, no screens 1 hour before bed, no late caffeine.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cognitive behavioural therapy for insomnia (CBT-I) over hypnotics; avoid long-term benzodiazepines given the high addiction liability in PD.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Assess and treat nightmares (imagery-rehearsal therapy) — nocturnal distress amplifies next-day emotion dysregulation and suicide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obstructive sleep apnoea in obese patients on sedating antipsychotics.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Review sedating and activating medication timing to protect sleep architecture.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Borderline/EUPD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PD patients with insomnia or nightmares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comorbid depression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every PD patient for smoked and smokeless tobacco — nicotine dependence clusters with borderline, antisocial and dependent PD.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combined behavioural support plus pharmacotherapy (nicotine replacement, bupropion or varenicline) since quit rates are lower with comorbid PD.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Time quit attempts to clinically stable phases and integrate them into the psychotherapy plan (e.g., DBT skills for craving-surfing).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Prevent initiation: target adolescents with conduct problems or ADHD, the highest-risk group for both tobacco and adult personality pathology.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Monitor for transient mood worsening during cessation and pre-plan crisis coping strategies.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with conduct/ADHD problems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Nicotine-dependent PD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De-addiction clinic attendees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with AUDIT at intake and periodically — lifetime substance use disorder affects about three-quarters of borderline PD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Advise abstinence or strict limits: intoxication acutely disinhibits self-harm, aggression and overdose in impulsive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PD and alcohol use disorder together (integrated dual-diagnosis care) rather than sequentially — each destabilizes the other.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motivational interviewing and relapse-prevention skills; involve family in monitoring where feasible.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Prescribe cautiously: avoid large take-home quantities of any sedative; consider anti-craving agents (naltrexone, acamprosate) with hepatic monitoring.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alcohol availability and drinking networks as modifiable provoking factors in the crisis plan.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Dual-diagnosis (PD + AUD)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men with antisocial traits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Self-harm presenters with alcohol use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Intervene early in at-risk children: treat conduct disorder and ADHD, and deliver parenting-skills programmes — 80% of antisocial PD shows symptoms by age 11.</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Prevent and detect childhood maltreatment (the dominant modifiable exposure — ~14-fold adversity excess in BPD); ensure child-protection referral pathways.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trauma-informed care and counselling for abuse survivors before maladaptive traits consolidate.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college students and self-harm presenters with brief tools (MSI-BPD, SAPAS) and link positives to confirmation and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Build crisis access: publicize Tele-MANAS 14416 and local helplines; restrict access to lethal means (pesticides, medication stockpiles) in at-risk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families to reduce hostile/critical communication, which precipitates relapse and self-harm.</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conduct/ADHD problems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Abuse &amp; neglect survivors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College 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of at-risk youth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Primary-care attendees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Refer for structured evidence-based psychotherapy — dialectical behaviour therapy (DBT), mentalization-based therapy (MBT), schema-focused therapy or transference-focused psychotherapy — the primary treatment for personality disorders.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Where specialist programmes are unavailable (most Indian districts), use structured clinical management: scheduled reviews, a written crisis plan, single care coordinator and problem-solving focus.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medication only as targeted adjuncts (SSRIs for comorbid depression/anxiety, low-dose antipsychotics or mood stabilizers for severe dysregulation) — no drug is approved for PD itself; avoid polypharmacy and benzodiazepines.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Perform structured suicide-risk assessment at every contact; up to 10% of borderline PD patients die by suicide — prefer brief crisis admissions over long hospitalizations.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comorbidities in parallel (depression, PTSD, ADHD, substance use, eating disorders) since they drive most acute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Engage the family as co-therapists — most Indian patients present through family referral — with explicit boundaries and psychoeducation.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Plan long-term follow-up: symptomatic remission is common over 10 years, but functional recovery needs sustained vocational and social rehabilitation.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diagnosed PD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Borderline/EUPD patients with self-harm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Antisocial PD in forensic settings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Dual-diagnosis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Families/caregivers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21177705/" TargetMode="External"/><Relationship Id="rId10" Type="http://schemas.openxmlformats.org/officeDocument/2006/relationships/hyperlink" Target="https://pubmed.ncbi.nlm.nih.gov/19742186/" TargetMode="External"/><Relationship Id="rId11" Type="http://schemas.openxmlformats.org/officeDocument/2006/relationships/hyperlink" Target="https://pubmed.ncbi.nlm.nih.gov/15960559/" TargetMode="External"/><Relationship Id="rId12" Type="http://schemas.openxmlformats.org/officeDocument/2006/relationships/hyperlink" Target="https://pubmed.ncbi.nlm.nih.gov/18426259/" TargetMode="External"/><Relationship Id="rId13" Type="http://schemas.openxmlformats.org/officeDocument/2006/relationships/hyperlink" Target="https://www.cambridge.org/core/journals/the-british-journal-of-psychiatry/article/prevalence-of-personality-disorders-in-the-community-a-global-systematic-review-and-metaanalysis/360C242E0AE8E6010D43AC2941964DE4" TargetMode="External"/><Relationship Id="rId14" Type="http://schemas.openxmlformats.org/officeDocument/2006/relationships/hyperlink" Target="https://pubmed.ncbi.nlm.nih.gov/32126902/" TargetMode="External"/><Relationship Id="rId15" Type="http://schemas.openxmlformats.org/officeDocument/2006/relationships/hyperlink" Target="https://pubmed.ncbi.nlm.nih.gov/25248122/" TargetMode="External"/><Relationship Id="rId16" Type="http://schemas.openxmlformats.org/officeDocument/2006/relationships/hyperlink" Target="https://pubmed.ncbi.nlm.nih.gov/27448261/" TargetMode="External"/><Relationship Id="rId17" Type="http://schemas.openxmlformats.org/officeDocument/2006/relationships/hyperlink" Target="https://pubmed.ncbi.nlm.nih.gov/11867106/" TargetMode="External"/><Relationship Id="rId18" Type="http://schemas.openxmlformats.org/officeDocument/2006/relationships/hyperlink" Target="https://pubmed.ncbi.nlm.nih.gov/27995489/" TargetMode="External"/><Relationship Id="rId19" Type="http://schemas.openxmlformats.org/officeDocument/2006/relationships/hyperlink" Target="https://pubmed.ncbi.nlm.nih.gov/31160693/" TargetMode="External"/><Relationship Id="rId20" Type="http://schemas.openxmlformats.org/officeDocument/2006/relationships/hyperlink" Target="https://pubmed.ncbi.nlm.nih.gov/31630389/" TargetMode="External"/><Relationship Id="rId21" Type="http://schemas.openxmlformats.org/officeDocument/2006/relationships/hyperlink" Target="https://my.clevelandclinic.org/health/diseases/9636-personality-disorders-overview" TargetMode="External"/><Relationship Id="rId22" Type="http://schemas.openxmlformats.org/officeDocument/2006/relationships/hyperlink" Target="https://pubmed.ncbi.nlm.nih.gov/22777277/" TargetMode="External"/><Relationship Id="rId23" Type="http://schemas.openxmlformats.org/officeDocument/2006/relationships/hyperlink" Target="https://pubmed.ncbi.nlm.nih.gov/27988314/" TargetMode="External"/><Relationship Id="rId24" Type="http://schemas.openxmlformats.org/officeDocument/2006/relationships/hyperlink" Target="https://pubmed.ncbi.nlm.nih.gov/30250740/" TargetMode="External"/><Relationship Id="rId25" Type="http://schemas.openxmlformats.org/officeDocument/2006/relationships/hyperlink" Target="https://pubmed.ncbi.nlm.nih.gov/41503074/" TargetMode="External"/><Relationship Id="rId26" Type="http://schemas.openxmlformats.org/officeDocument/2006/relationships/hyperlink" Target="https://pubmed.ncbi.nlm.nih.gov/311420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