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Tinea Corporis</w:t>
      </w:r>
    </w:p>
    <w:p>
      <w:pPr>
        <w:spacing w:before="0" w:after="160"/>
      </w:pPr>
      <w:r>
        <w:rPr>
          <w:rFonts w:ascii="Calibri" w:hAnsi="Calibri"/>
          <w:b/>
          <w:i w:val="0"/>
          <w:color w:val="212121"/>
          <w:sz w:val="22"/>
        </w:rPr>
        <w:t xml:space="preserve">AKA </w:t>
      </w:r>
      <w:r>
        <w:rPr>
          <w:rFonts w:ascii="Calibri" w:hAnsi="Calibri"/>
          <w:b w:val="0"/>
          <w:i w:val="0"/>
          <w:color w:val="212121"/>
          <w:sz w:val="22"/>
        </w:rPr>
        <w:t>i.e., Ringworm of the body, Ringworm, Ringworm of the trunk and limbs, Dermatophytosis of glabrous (hairless) skin, Tinea circinata, Daad / Dadru / Daddi (Hindi), Padama (regional); a member of the dermatophytosis (tinea) family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Tinea corporis is a superficial fungal (dermatophyte) infection of the glabrous, hair-bearing-free skin of the trunk and limbs, excluding the scalp, beard, face, palms, soles, groin and nails. It is caused by keratinophilic dermatophyte moulds of the genera Trichophyton, Microsporum and Epidermophyton, which invade and digest the dead keratin of the outermost skin layer (stratum corneum). The classic lesion is an itchy, annular (ring-shaped) plaque with a raised, scaly, erythematous, centrifugally advancing border and comparative central clearing, hence the lay name ringworm (daad). It is contagious and, in present-day India, has become notoriously widespread, chronic, recurrent and treatment-resistant.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Dermatophytoses are among the commonest skin infections worldwide, with cutaneous mycoses affecting roughly 20-25% of the world's population and up to 1 in 4 people experiencing ringworm at some point in life. In India, tinea corporis (usually together with tinea cruris) is now one of the leading reasons for dermatology out-patient visits, and since around 2015 the country has faced an unprecedented epidemic of chronic, recurrent, recalcitrant and steroid-modified tinea. The dominant organism has shifted from Trichophyton rubrum to the emerging, highly transmissible, terbinafine-resistant Trichophyton indotineae (formerly T. mentagrophytes ITS genotype VIII): in one multicentre Indian study it accounted for 138 of 149 culture-positive isolates (92.62%), versus only 7.38% for T. rubrum. India's hot, humid tropical climate, heavy sweating, occlusive clothing and the rampant over-the-counter use of potent steroid-antifungal combination creams underpin this burden.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Tinea corporis is primarily a clinical diagnosis supported by simple bedside mycology; investigations confirm the fungus, identify resistant species and exclude steroid-modified or mimicking conditions: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clinical morphology: one or more itchy, annular or polycyclic plaques on the trunk or limbs with a raised, scaly, erythematous, actively advancing border and relative central clearing; in the Indian epidemic lesions are frequently multiple, extensive, confluent and involve the groin, buttocks, abdomen and face.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KOH (potassium hydroxide) direct microscopy of skin scrapings taken from the active scaly border: demonstration of septate, branching, refractile hyphae confirms dermatophytosis. It is the key bedside test, though false negatives occur in roughly 15% of cases, so a negative KOH does not exclude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Fungal culture on Sabouraud dextrose agar (or dermatophyte test medium): grows and speciates the organism over about 5 days to 4 weeks, distinguishing T. indotineae, T. rubrum, Microsporum and Epidermophyton and guiding therapy in resistant or chronic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Dermoscopy (dermatoscopy): supportive features such as peripheral white scaling, follicular micropustules and broken/translucent hairs help distinguish tinea from eczema, psoriasis and pityriasis rosea, and reveal steroid changes.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Wood's lamp examination: most Trichophyton species causing tinea corporis do NOT fluoresce; some Microsporum species show green fluorescence. A negative lamp does not exclude tinea corporis and it is used mainly to screen for certain infections.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Recognition of steroid-modified tinea (tinea incognito): a history of over-the-counter steroid or fixed-dose combination cream use with ill-defined, extensive, less-scaly, pustular or atrophic lesions should prompt withholding the steroid and re-scraping, because the classic ring is masked.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extensive, recalcitrant or treatment-resistant disease: molecular ITS sequencing/PCR to identify T. indotineae (genotype VIII) and squalene-epoxidase (SQLE) mutations, antifungal susceptibility testing (terbinafine MIC), and screening for predisposing diabetes mellitus, HIV or other immunosuppression.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Tinea corporis is one member of the dermatophytosis (tinea) family and can be classified by anatomical site, clinical variant, chronicity and causative organism:</w:t>
      </w:r>
    </w:p>
    <w:p>
      <w:pPr>
        <w:spacing w:before="0" w:after="80"/>
      </w:pPr>
      <w:r>
        <w:rPr>
          <w:rFonts w:ascii="Calibri" w:hAnsi="Calibri"/>
          <w:b w:val="0"/>
          <w:i w:val="0"/>
          <w:color w:val="212121"/>
          <w:sz w:val="21"/>
        </w:rPr>
        <w:t>(1) By body site within the tinea family: tinea corporis denotes infection of the trunk and limbs; related sites are tinea capitis (scalp), tinea faciei (face), tinea barbae (beard), tinea manuum (hands), tinea cruris (groin), tinea pedis (feet) and tinea unguium / onychomycosis (nails). Multiple sites frequently coexist and act as reservoirs for one another.</w:t>
      </w:r>
    </w:p>
    <w:p>
      <w:pPr>
        <w:spacing w:before="0" w:after="80"/>
      </w:pPr>
      <w:r>
        <w:rPr>
          <w:rFonts w:ascii="Calibri" w:hAnsi="Calibri"/>
          <w:b w:val="0"/>
          <w:i w:val="0"/>
          <w:color w:val="212121"/>
          <w:sz w:val="21"/>
        </w:rPr>
        <w:t>(2) By clinical variant: classic annular tinea circinata; tinea corporis gladiatorum (from skin-to-skin contact sports such as wrestling); tinea imbricata / pseudo-imbricata with concentric rings (the pseudo-imbricata pattern is increasingly seen in India with steroid abuse); Majocchi granuloma (deep follicular/dermal invasion); and tinea incognito (steroid-modified tinea) with an atypical, masked appearance.</w:t>
      </w:r>
    </w:p>
    <w:p>
      <w:pPr>
        <w:spacing w:before="0" w:after="80"/>
      </w:pPr>
      <w:r>
        <w:rPr>
          <w:rFonts w:ascii="Calibri" w:hAnsi="Calibri"/>
          <w:b w:val="0"/>
          <w:i w:val="0"/>
          <w:color w:val="212121"/>
          <w:sz w:val="21"/>
        </w:rPr>
        <w:t>(3) By chronicity and course: acute (recent, localised, treatment-naive); chronic (persisting more than 6 months despite treatment); recurrent / relapsing (repeated episodes after apparent clearance); and recalcitrant (failing adequate antifungal therapy, often terbinafine-resistant) - the last three now dominate the Indian scenario.</w:t>
      </w:r>
    </w:p>
    <w:p>
      <w:pPr>
        <w:spacing w:before="0" w:after="80"/>
      </w:pPr>
      <w:r>
        <w:rPr>
          <w:rFonts w:ascii="Calibri" w:hAnsi="Calibri"/>
          <w:b w:val="0"/>
          <w:i w:val="0"/>
          <w:color w:val="212121"/>
          <w:sz w:val="21"/>
        </w:rPr>
        <w:t>(4) By causative organism and its ecology: anthropophilic (human-adapted) dermatophytes such as T. rubrum and T. indotineae cause chronic, often less-inflammatory, person-to-person tinea; zoophilic species (Microsporum canis, T. verrucosum, T. mentagrophytes from animals) cause more inflammatory lesions acquired from pets and livestock; and geophilic species (e.g., Microsporum gypseum) are acquired from soil.</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Dermatophyte infection: Invasion of the stratum corneum by keratinophilic dermatophytes - chiefly Trichophyton rubrum worldwide, but now overwhelmingly the terbinafine-resistant Trichophyton indotineae in India, with Microsporum and Epidermophyton also implicated.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Heat, humidity and sweating: A warm, humid tropical climate with profuse sweating macerates the skin and provides the moisture and warmth dermatophytes need to germinate and spread - a core driver of India's high burden.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Occlusion and clothing: Tight, synthetic, non-breathable garments and occlusive footwear or uniforms trap sweat against the skin, creating an ideal fungal microclimate, especially in body folds.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Topical steroid and combination-cream abuse: Freely available fixed-dose creams combining a potent corticosteroid (e.g., clobetasol) with an antifungal and antibiotic suppress local immunity, allowing wider, atypical, chronic, steroid-modified disease (tinea incognito).</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Antifungal resistance: Squalene-epoxidase (SQLE) gene mutations (e.g., L393F, F397L) in T. indotineae confer high-level terbinafine resistance, so standard first-line therapy often fails and infection persists.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susceptibility and comorbidity: Diabetes mellitus, obesity, immunosuppression (HIV, transplantation, chemotherapy, chronic steroids), hyperhidrosis, atopy/ichthyosis and an inherited individual susceptibility (notably to chronic T. rubrum) increase risk and chronicity.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Transmission, fomites and reservoirs: Spread occurs by direct skin-to-skin contact, from animals (zoophilic species) or soil, and via shared towels, clothing, combs, bedding and floors; untreated tinea pedis and onychomycosis and untreated household contacts re-seed infection.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and working-age adults</w:t>
            </w:r>
          </w:p>
        </w:tc>
        <w:tc>
          <w:tcPr>
            <w:tcW w:type="dxa" w:w="4276"/>
            <w:vAlign w:val="top"/>
          </w:tcPr>
          <w:p>
            <w:pPr>
              <w:spacing w:after="60" w:line="259" w:lineRule="auto"/>
            </w:pPr>
            <w:r>
              <w:rPr>
                <w:rFonts w:ascii="Calibri" w:hAnsi="Calibri"/>
                <w:b w:val="0"/>
                <w:i w:val="0"/>
                <w:color w:val="212121"/>
                <w:sz w:val="19"/>
              </w:rPr>
              <w:t>Since about 2015 the Indian tinea epidemic has centred on adolescents and young/working-age adults, who present with widespread, intensely itchy, chronic and recurrent tinea corporis-cruris; heat, sweat, tight clothing and rampant over-the-counter steroid-combination creams drive it in this economically active group.</w:t>
            </w:r>
          </w:p>
          <w:p>
            <w:pPr>
              <w:spacing w:after="40" w:before="60" w:line="259" w:lineRule="auto"/>
            </w:pPr>
            <w:r>
              <w:rPr>
                <w:rFonts w:ascii="Calibri" w:hAnsi="Calibri"/>
                <w:b w:val="0"/>
                <w:i w:val="0"/>
                <w:color w:val="212121"/>
                <w:sz w:val="19"/>
              </w:rPr>
              <w:t>In the Indian Trichophyton indotineae epidemic, patients of all ages and both sexes are affected, with extensive involvement of the trunk, groin and face.</w:t>
            </w:r>
          </w:p>
          <w:p>
            <w:pPr>
              <w:spacing w:after="40" w:line="252" w:lineRule="auto"/>
            </w:pPr>
            <w:hyperlink r:id="rId9">
              <w:r>
                <w:rPr>
                  <w:rFonts w:ascii="Calibri" w:hAnsi="Calibri" w:cs="Calibri"/>
                  <w:sz w:val="18"/>
                  <w:color w:val="1155CC"/>
                  <w:u w:val="single"/>
                </w:rPr>
                <w:t xml:space="preserve">mdpi.com - J Fungi: Trichophyton indotineae (recalcitrant tinea, India)</w:t>
              </w:r>
            </w:hyperlink>
          </w:p>
          <w:p>
            <w:pPr>
              <w:spacing w:before="60" w:after="40"/>
            </w:pPr>
            <w:r>
              <w:rPr>
                <w:rFonts w:ascii="Calibri" w:hAnsi="Calibri"/>
                <w:b w:val="0"/>
                <w:i w:val="0"/>
                <w:color w:val="5A5A5A"/>
                <w:sz w:val="18"/>
              </w:rPr>
              <w:t>#adults  #epidemic  #chronictinea  #Tindotineae  #steroidmisuse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(prepubertal)</w:t>
            </w:r>
          </w:p>
        </w:tc>
        <w:tc>
          <w:tcPr>
            <w:tcW w:type="dxa" w:w="4276"/>
            <w:vAlign w:val="top"/>
          </w:tcPr>
          <w:p>
            <w:pPr>
              <w:spacing w:after="60" w:line="259" w:lineRule="auto"/>
            </w:pPr>
            <w:r>
              <w:rPr>
                <w:rFonts w:ascii="Calibri" w:hAnsi="Calibri"/>
                <w:b w:val="0"/>
                <w:i w:val="0"/>
                <w:color w:val="212121"/>
                <w:sz w:val="19"/>
              </w:rPr>
              <w:t>Tinea corporis is classically common in prepubertal children through close skin contact at home and school, sharing of clothing and towels, and contact with pets; zoophilic species such as Microsporum canis tend to cause more inflammatory lesions in this age group.</w:t>
            </w:r>
          </w:p>
          <w:p>
            <w:pPr>
              <w:spacing w:after="40" w:before="60" w:line="259" w:lineRule="auto"/>
            </w:pPr>
            <w:r>
              <w:rPr>
                <w:rFonts w:ascii="Calibri" w:hAnsi="Calibri"/>
                <w:b w:val="0"/>
                <w:i w:val="0"/>
                <w:color w:val="212121"/>
                <w:sz w:val="19"/>
              </w:rPr>
              <w:t>Tinea corporis is more common in children and in individuals with compromised immunity, with risk increasing with heat, humidity and fitted clothing.</w:t>
            </w:r>
          </w:p>
          <w:p>
            <w:pPr>
              <w:spacing w:after="40" w:line="252" w:lineRule="auto"/>
            </w:pPr>
            <w:hyperlink r:id="rId10">
              <w:r>
                <w:rPr>
                  <w:rFonts w:ascii="Calibri" w:hAnsi="Calibri" w:cs="Calibri"/>
                  <w:sz w:val="18"/>
                  <w:color w:val="1155CC"/>
                  <w:u w:val="single"/>
                </w:rPr>
                <w:t xml:space="preserve">ncbi.nlm.nih.gov - StatPearls: Tinea Corporis</w:t>
              </w:r>
            </w:hyperlink>
          </w:p>
          <w:p>
            <w:pPr>
              <w:spacing w:before="60" w:after="40"/>
            </w:pPr>
            <w:r>
              <w:rPr>
                <w:rFonts w:ascii="Calibri" w:hAnsi="Calibri"/>
                <w:b w:val="0"/>
                <w:i w:val="0"/>
                <w:color w:val="5A5A5A"/>
                <w:sz w:val="18"/>
              </w:rPr>
              <w:t>#children  #zoophilic  #Mcanis  #pets  #schools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are predisposed by higher rates of diabetes, immunosenescence, dry and fragile skin, reduced mobility and self-care, and coexisting tinea pedis and onychomycosis that act as persistent reservoirs re-seeding the body skin.</w:t>
            </w:r>
          </w:p>
          <w:p>
            <w:pPr>
              <w:spacing w:after="40" w:before="60" w:line="259" w:lineRule="auto"/>
            </w:pPr>
            <w:r>
              <w:rPr>
                <w:rFonts w:ascii="Calibri" w:hAnsi="Calibri"/>
                <w:b w:val="0"/>
                <w:i w:val="0"/>
                <w:color w:val="212121"/>
                <w:sz w:val="19"/>
              </w:rPr>
              <w:t>Diabetes mellitus, immunocompromise and advanced age are recognised predisposing factors for dermatophyte infection.</w:t>
            </w:r>
          </w:p>
          <w:p>
            <w:pPr>
              <w:spacing w:after="40" w:line="252" w:lineRule="auto"/>
            </w:pPr>
            <w:hyperlink r:id="rId10">
              <w:r>
                <w:rPr>
                  <w:rFonts w:ascii="Calibri" w:hAnsi="Calibri" w:cs="Calibri"/>
                  <w:sz w:val="18"/>
                  <w:color w:val="1155CC"/>
                  <w:u w:val="single"/>
                </w:rPr>
                <w:t xml:space="preserve">ncbi.nlm.nih.gov - StatPearls: Tinea Corporis</w:t>
              </w:r>
            </w:hyperlink>
          </w:p>
          <w:p>
            <w:pPr>
              <w:spacing w:before="60" w:after="40"/>
            </w:pPr>
            <w:r>
              <w:rPr>
                <w:rFonts w:ascii="Calibri" w:hAnsi="Calibri"/>
                <w:b w:val="0"/>
                <w:i w:val="0"/>
                <w:color w:val="5A5A5A"/>
                <w:sz w:val="18"/>
              </w:rPr>
              <w:t>#elderly  #diabetes  #onychomycosis  #immunosenescence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Males are affected more often, reflecting greater outdoor and manual work, heavier sweating, occlusive clothing and participation in contact sports; tinea corporis and tinea cruris frequently coexist in men.</w:t>
            </w:r>
          </w:p>
          <w:p>
            <w:pPr>
              <w:spacing w:after="40" w:before="60" w:line="259" w:lineRule="auto"/>
            </w:pPr>
            <w:r>
              <w:rPr>
                <w:rFonts w:ascii="Calibri" w:hAnsi="Calibri"/>
                <w:b w:val="0"/>
                <w:i w:val="0"/>
                <w:color w:val="212121"/>
                <w:sz w:val="19"/>
              </w:rPr>
              <w:t>Adolescent and adult males represent the majority of patients with tinea cruris and corporis.</w:t>
            </w:r>
          </w:p>
          <w:p>
            <w:pPr>
              <w:spacing w:after="40" w:line="252" w:lineRule="auto"/>
            </w:pPr>
            <w:hyperlink r:id="rId11">
              <w:r>
                <w:rPr>
                  <w:rFonts w:ascii="Calibri" w:hAnsi="Calibri" w:cs="Calibri"/>
                  <w:sz w:val="18"/>
                  <w:color w:val="1155CC"/>
                  <w:u w:val="single"/>
                </w:rPr>
                <w:t xml:space="preserve">ncbi.nlm.nih.gov - StatPearls: Tinea Cruris</w:t>
              </w:r>
            </w:hyperlink>
          </w:p>
          <w:p>
            <w:pPr>
              <w:spacing w:before="60" w:after="40"/>
            </w:pPr>
            <w:r>
              <w:rPr>
                <w:rFonts w:ascii="Calibri" w:hAnsi="Calibri"/>
                <w:b w:val="0"/>
                <w:i w:val="0"/>
                <w:color w:val="5A5A5A"/>
                <w:sz w:val="18"/>
              </w:rPr>
              <w:t>#male  #sweat  #occupational  #tineacruris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and crowded households</w:t>
            </w:r>
          </w:p>
        </w:tc>
        <w:tc>
          <w:tcPr>
            <w:tcW w:type="dxa" w:w="4276"/>
            <w:vAlign w:val="top"/>
          </w:tcPr>
          <w:p>
            <w:pPr>
              <w:spacing w:after="60" w:line="259" w:lineRule="auto"/>
            </w:pPr>
            <w:r>
              <w:rPr>
                <w:rFonts w:ascii="Calibri" w:hAnsi="Calibri"/>
                <w:b w:val="0"/>
                <w:i w:val="0"/>
                <w:color w:val="212121"/>
                <w:sz w:val="19"/>
              </w:rPr>
              <w:t>Overcrowding, shared beds, towels and clothing, limited access to laundry and hot water, and cheap over-the-counter purchase of potent steroid-combination creams promote transmission, persistence of spores (arthroconidia) on fomites, and steroid-modified chronic disease.</w:t>
            </w:r>
          </w:p>
          <w:p>
            <w:pPr>
              <w:spacing w:after="40" w:before="60" w:line="259" w:lineRule="auto"/>
            </w:pPr>
            <w:r>
              <w:rPr>
                <w:rFonts w:ascii="Calibri" w:hAnsi="Calibri"/>
                <w:b w:val="0"/>
                <w:i w:val="0"/>
                <w:color w:val="212121"/>
                <w:sz w:val="19"/>
              </w:rPr>
              <w:t>Lower socioeconomic status, poor hygiene and occlusive clothing are recognised risk factors, and triple/quadruple steroid-combination creams are among the highest-selling creams in India.</w:t>
            </w:r>
          </w:p>
          <w:p>
            <w:pPr>
              <w:spacing w:after="40" w:line="252" w:lineRule="auto"/>
            </w:pPr>
            <w:hyperlink r:id="rId12">
              <w:r>
                <w:rPr>
                  <w:rFonts w:ascii="Calibri" w:hAnsi="Calibri" w:cs="Calibri"/>
                  <w:sz w:val="18"/>
                  <w:color w:val="1155CC"/>
                  <w:u w:val="single"/>
                </w:rPr>
                <w:t xml:space="preserve">ijdvl.com - The menace of dermatophytosis in India</w:t>
              </w:r>
            </w:hyperlink>
          </w:p>
          <w:p>
            <w:pPr>
              <w:spacing w:before="60" w:after="40"/>
            </w:pPr>
            <w:r>
              <w:rPr>
                <w:rFonts w:ascii="Calibri" w:hAnsi="Calibri"/>
                <w:b w:val="0"/>
                <w:i w:val="0"/>
                <w:color w:val="5A5A5A"/>
                <w:sz w:val="18"/>
              </w:rPr>
              <w:t>#crowding  #fomites  #sharing  #steroidcombos  #lowSES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Climate</w:t>
            </w:r>
          </w:p>
        </w:tc>
        <w:tc>
          <w:tcPr>
            <w:tcW w:type="dxa" w:w="2160"/>
            <w:vAlign w:val="top"/>
          </w:tcPr>
          <w:p>
            <w:pPr>
              <w:spacing w:after="40" w:before="0" w:line="259" w:lineRule="auto"/>
            </w:pPr>
            <w:r>
              <w:rPr>
                <w:rFonts w:ascii="Calibri" w:hAnsi="Calibri"/>
                <w:b w:val="0"/>
                <w:i w:val="0"/>
                <w:color w:val="212121"/>
                <w:sz w:val="19"/>
              </w:rPr>
              <w:t>Hot-humid tropical and coastal residents (India)</w:t>
            </w:r>
          </w:p>
        </w:tc>
        <w:tc>
          <w:tcPr>
            <w:tcW w:type="dxa" w:w="4276"/>
            <w:vAlign w:val="top"/>
          </w:tcPr>
          <w:p>
            <w:pPr>
              <w:spacing w:after="60" w:line="259" w:lineRule="auto"/>
            </w:pPr>
            <w:r>
              <w:rPr>
                <w:rFonts w:ascii="Calibri" w:hAnsi="Calibri"/>
                <w:b w:val="0"/>
                <w:i w:val="0"/>
                <w:color w:val="212121"/>
                <w:sz w:val="19"/>
              </w:rPr>
              <w:t>India's hot, humid tropical climate promotes sweating, skin maceration and dermatophyte growth; warmth and trapped moisture in body folds and under clothing create an ideal environment for fungal proliferation.</w:t>
            </w:r>
          </w:p>
          <w:p>
            <w:pPr>
              <w:spacing w:after="40" w:before="60" w:line="259" w:lineRule="auto"/>
            </w:pPr>
            <w:r>
              <w:rPr>
                <w:rFonts w:ascii="Calibri" w:hAnsi="Calibri"/>
                <w:b w:val="0"/>
                <w:i w:val="0"/>
                <w:color w:val="212121"/>
                <w:sz w:val="19"/>
              </w:rPr>
              <w:t>Developing and tropical countries show increased prevalence of dermatophytosis because of high temperatures and humidity.</w:t>
            </w:r>
          </w:p>
          <w:p>
            <w:pPr>
              <w:spacing w:after="40" w:line="252" w:lineRule="auto"/>
            </w:pPr>
            <w:hyperlink r:id="rId11">
              <w:r>
                <w:rPr>
                  <w:rFonts w:ascii="Calibri" w:hAnsi="Calibri" w:cs="Calibri"/>
                  <w:sz w:val="18"/>
                  <w:color w:val="1155CC"/>
                  <w:u w:val="single"/>
                </w:rPr>
                <w:t xml:space="preserve">ncbi.nlm.nih.gov - StatPearls: Tinea Cruris</w:t>
              </w:r>
            </w:hyperlink>
          </w:p>
          <w:p>
            <w:pPr>
              <w:spacing w:before="60" w:after="40"/>
            </w:pPr>
            <w:r>
              <w:rPr>
                <w:rFonts w:ascii="Calibri" w:hAnsi="Calibri"/>
                <w:b w:val="0"/>
                <w:i w:val="0"/>
                <w:color w:val="5A5A5A"/>
                <w:sz w:val="18"/>
              </w:rPr>
              <w:t>#tropical  #humidity  #sweat  #maceration  #coastal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Indian species shift to Trichophyton indotineae</w:t>
            </w:r>
          </w:p>
        </w:tc>
        <w:tc>
          <w:tcPr>
            <w:tcW w:type="dxa" w:w="4276"/>
            <w:vAlign w:val="top"/>
          </w:tcPr>
          <w:p>
            <w:pPr>
              <w:spacing w:after="60" w:line="259" w:lineRule="auto"/>
            </w:pPr>
            <w:r>
              <w:rPr>
                <w:rFonts w:ascii="Calibri" w:hAnsi="Calibri"/>
                <w:b w:val="0"/>
                <w:i w:val="0"/>
                <w:color w:val="212121"/>
                <w:sz w:val="19"/>
              </w:rPr>
              <w:t>India is the epicentre of an emerging, highly transmissible, terbinafine-resistant dermatophyte, Trichophyton indotineae (formerly T. mentagrophytes ITS genotype VIII), which has largely displaced T. rubrum as the cause of body and groin tinea and spreads readily within households.</w:t>
            </w:r>
          </w:p>
          <w:p>
            <w:pPr>
              <w:spacing w:after="40" w:before="60" w:line="259" w:lineRule="auto"/>
            </w:pPr>
            <w:r>
              <w:rPr>
                <w:rFonts w:ascii="Calibri" w:hAnsi="Calibri"/>
                <w:b w:val="0"/>
                <w:i w:val="0"/>
                <w:color w:val="212121"/>
                <w:sz w:val="19"/>
              </w:rPr>
              <w:t>In a multicentre Indian study, T. indotineae was detected in 138 of 149 culture-positive samples (92.62%) versus T. rubrum in only 11 samples (7.38%).</w:t>
            </w:r>
          </w:p>
          <w:p>
            <w:pPr>
              <w:spacing w:after="40" w:line="252" w:lineRule="auto"/>
            </w:pPr>
            <w:hyperlink r:id="rId9">
              <w:r>
                <w:rPr>
                  <w:rFonts w:ascii="Calibri" w:hAnsi="Calibri" w:cs="Calibri"/>
                  <w:sz w:val="18"/>
                  <w:color w:val="1155CC"/>
                  <w:u w:val="single"/>
                </w:rPr>
                <w:t xml:space="preserve">mdpi.com - J Fungi: Trichophyton indotineae review</w:t>
              </w:r>
            </w:hyperlink>
          </w:p>
          <w:p>
            <w:pPr>
              <w:spacing w:before="60" w:after="40"/>
            </w:pPr>
            <w:r>
              <w:rPr>
                <w:rFonts w:ascii="Calibri" w:hAnsi="Calibri"/>
                <w:b w:val="0"/>
                <w:i w:val="0"/>
                <w:color w:val="5A5A5A"/>
                <w:sz w:val="18"/>
              </w:rPr>
              <w:t>#Tindotineae  #genotypeVIII  #speciesshift  #India  #resistant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Season</w:t>
            </w:r>
          </w:p>
        </w:tc>
        <w:tc>
          <w:tcPr>
            <w:tcW w:type="dxa" w:w="2160"/>
            <w:vAlign w:val="top"/>
          </w:tcPr>
          <w:p>
            <w:pPr>
              <w:spacing w:after="40" w:before="0" w:line="259" w:lineRule="auto"/>
            </w:pPr>
            <w:r>
              <w:rPr>
                <w:rFonts w:ascii="Calibri" w:hAnsi="Calibri"/>
                <w:b w:val="0"/>
                <w:i w:val="0"/>
                <w:color w:val="212121"/>
                <w:sz w:val="19"/>
              </w:rPr>
              <w:t>Summer and monsoon exposure</w:t>
            </w:r>
          </w:p>
        </w:tc>
        <w:tc>
          <w:tcPr>
            <w:tcW w:type="dxa" w:w="4276"/>
            <w:vAlign w:val="top"/>
          </w:tcPr>
          <w:p>
            <w:pPr>
              <w:spacing w:after="60" w:line="259" w:lineRule="auto"/>
            </w:pPr>
            <w:r>
              <w:rPr>
                <w:rFonts w:ascii="Calibri" w:hAnsi="Calibri"/>
                <w:b w:val="0"/>
                <w:i w:val="0"/>
                <w:color w:val="212121"/>
                <w:sz w:val="19"/>
              </w:rPr>
              <w:t>Incidence peaks during the hot summer and humid monsoon months, when sweating, occlusion and ambient humidity are greatest; lesions often partially improve in cooler, drier weather and flare again with heat.</w:t>
            </w:r>
          </w:p>
          <w:p>
            <w:pPr>
              <w:spacing w:after="40" w:before="60" w:line="259" w:lineRule="auto"/>
            </w:pPr>
            <w:r>
              <w:rPr>
                <w:rFonts w:ascii="Calibri" w:hAnsi="Calibri"/>
                <w:b w:val="0"/>
                <w:i w:val="0"/>
                <w:color w:val="212121"/>
                <w:sz w:val="19"/>
              </w:rPr>
              <w:t>Excessive heat, humidity and sweating, together with fitted clothing, are established aggravators of tinea corporis.</w:t>
            </w:r>
          </w:p>
          <w:p>
            <w:pPr>
              <w:spacing w:after="40" w:line="252" w:lineRule="auto"/>
            </w:pPr>
            <w:hyperlink r:id="rId10">
              <w:r>
                <w:rPr>
                  <w:rFonts w:ascii="Calibri" w:hAnsi="Calibri" w:cs="Calibri"/>
                  <w:sz w:val="18"/>
                  <w:color w:val="1155CC"/>
                  <w:u w:val="single"/>
                </w:rPr>
                <w:t xml:space="preserve">ncbi.nlm.nih.gov - StatPearls: Tinea Corporis</w:t>
              </w:r>
            </w:hyperlink>
          </w:p>
          <w:p>
            <w:pPr>
              <w:spacing w:before="60" w:after="40"/>
            </w:pPr>
            <w:r>
              <w:rPr>
                <w:rFonts w:ascii="Calibri" w:hAnsi="Calibri"/>
                <w:b w:val="0"/>
                <w:i w:val="0"/>
                <w:color w:val="5A5A5A"/>
                <w:sz w:val="18"/>
              </w:rPr>
              <w:t>#summer  #monsoon  #seasonal  #humidity  #sweating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Manual, outdoor, uniformed and food-handling workers</w:t>
            </w:r>
          </w:p>
        </w:tc>
        <w:tc>
          <w:tcPr>
            <w:tcW w:type="dxa" w:w="4276"/>
            <w:vAlign w:val="top"/>
          </w:tcPr>
          <w:p>
            <w:pPr>
              <w:spacing w:after="60" w:line="259" w:lineRule="auto"/>
            </w:pPr>
            <w:r>
              <w:rPr>
                <w:rFonts w:ascii="Calibri" w:hAnsi="Calibri"/>
                <w:b w:val="0"/>
                <w:i w:val="0"/>
                <w:color w:val="212121"/>
                <w:sz w:val="19"/>
              </w:rPr>
              <w:t>Occupations involving heavy sweating, occlusive uniforms or boots, or close skin contact raise risk; an Indian study specifically linked food-preparation work, alongside diabetes and family history, to chronic and relapsing dermatophytosis.</w:t>
            </w:r>
          </w:p>
          <w:p>
            <w:pPr>
              <w:spacing w:after="40" w:before="60" w:line="259" w:lineRule="auto"/>
            </w:pPr>
            <w:r>
              <w:rPr>
                <w:rFonts w:ascii="Calibri" w:hAnsi="Calibri"/>
                <w:b w:val="0"/>
                <w:i w:val="0"/>
                <w:color w:val="212121"/>
                <w:sz w:val="19"/>
              </w:rPr>
              <w:t>An Indian study found diabetes, family history of tinea and food-preparation work positively associated with chronic/relapsing disease, and excessive perspiration is the single most influential variable.</w:t>
            </w:r>
          </w:p>
          <w:p>
            <w:pPr>
              <w:spacing w:after="40" w:line="252" w:lineRule="auto"/>
            </w:pPr>
            <w:hyperlink r:id="rId11">
              <w:r>
                <w:rPr>
                  <w:rFonts w:ascii="Calibri" w:hAnsi="Calibri" w:cs="Calibri"/>
                  <w:sz w:val="18"/>
                  <w:color w:val="1155CC"/>
                  <w:u w:val="single"/>
                </w:rPr>
                <w:t xml:space="preserve">ncbi.nlm.nih.gov - StatPearls: Tinea Cruris</w:t>
              </w:r>
            </w:hyperlink>
          </w:p>
          <w:p>
            <w:pPr>
              <w:spacing w:before="60" w:after="40"/>
            </w:pPr>
            <w:r>
              <w:rPr>
                <w:rFonts w:ascii="Calibri" w:hAnsi="Calibri"/>
                <w:b w:val="0"/>
                <w:i w:val="0"/>
                <w:color w:val="5A5A5A"/>
                <w:sz w:val="18"/>
              </w:rPr>
              <w:t>#occupational  #sweat  #uniforms  #foodhandlers  #chronictinea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w:t>
            </w:r>
          </w:p>
        </w:tc>
        <w:tc>
          <w:tcPr>
            <w:tcW w:type="dxa" w:w="2160"/>
            <w:vAlign w:val="top"/>
          </w:tcPr>
          <w:p>
            <w:pPr>
              <w:spacing w:after="40" w:before="0" w:line="259" w:lineRule="auto"/>
            </w:pPr>
            <w:r>
              <w:rPr>
                <w:rFonts w:ascii="Calibri" w:hAnsi="Calibri"/>
                <w:b w:val="0"/>
                <w:i w:val="0"/>
                <w:color w:val="212121"/>
                <w:sz w:val="19"/>
              </w:rPr>
              <w:t>Infrequent bathing, damp skin and shared linen</w:t>
            </w:r>
          </w:p>
        </w:tc>
        <w:tc>
          <w:tcPr>
            <w:tcW w:type="dxa" w:w="4276"/>
            <w:vAlign w:val="top"/>
          </w:tcPr>
          <w:p>
            <w:pPr>
              <w:spacing w:after="60" w:line="259" w:lineRule="auto"/>
            </w:pPr>
            <w:r>
              <w:rPr>
                <w:rFonts w:ascii="Calibri" w:hAnsi="Calibri"/>
                <w:b w:val="0"/>
                <w:i w:val="0"/>
                <w:color w:val="212121"/>
                <w:sz w:val="19"/>
              </w:rPr>
              <w:t>Not bathing after sweating, failing to dry skin folds, wearing damp or sweaty clothes and sharing towels, combs, razors and bedding allow dermatophytes and their spores to persist and spread from person to person and site to site.</w:t>
            </w:r>
          </w:p>
          <w:p>
            <w:pPr>
              <w:spacing w:after="40" w:before="60" w:line="259" w:lineRule="auto"/>
            </w:pPr>
            <w:r>
              <w:rPr>
                <w:rFonts w:ascii="Calibri" w:hAnsi="Calibri"/>
                <w:b w:val="0"/>
                <w:i w:val="0"/>
                <w:color w:val="212121"/>
                <w:sz w:val="19"/>
              </w:rPr>
              <w:t>Ringworm spreads through shared personal items such as towels and bedsheets and contact with contaminated surfaces, in addition to direct skin contact.</w:t>
            </w:r>
          </w:p>
          <w:p>
            <w:pPr>
              <w:spacing w:after="40" w:line="252" w:lineRule="auto"/>
            </w:pPr>
            <w:hyperlink r:id="rId13">
              <w:r>
                <w:rPr>
                  <w:rFonts w:ascii="Calibri" w:hAnsi="Calibri" w:cs="Calibri"/>
                  <w:sz w:val="18"/>
                  <w:color w:val="1155CC"/>
                  <w:u w:val="single"/>
                </w:rPr>
                <w:t xml:space="preserve">cdc.gov - About Ringworm</w:t>
              </w:r>
            </w:hyperlink>
          </w:p>
          <w:p>
            <w:pPr>
              <w:spacing w:before="60" w:after="40"/>
            </w:pPr>
            <w:r>
              <w:rPr>
                <w:rFonts w:ascii="Calibri" w:hAnsi="Calibri"/>
                <w:b w:val="0"/>
                <w:i w:val="0"/>
                <w:color w:val="5A5A5A"/>
                <w:sz w:val="18"/>
              </w:rPr>
              <w:t>#hygiene  #sharedtowels  #fomites  #dampskin  #arthroconidia</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Provoking factors</w:t>
            </w:r>
          </w:p>
        </w:tc>
        <w:tc>
          <w:tcPr>
            <w:tcW w:type="dxa" w:w="2160"/>
            <w:vAlign w:val="top"/>
          </w:tcPr>
          <w:p>
            <w:pPr>
              <w:spacing w:after="40" w:before="0" w:line="259" w:lineRule="auto"/>
            </w:pPr>
            <w:r>
              <w:rPr>
                <w:rFonts w:ascii="Calibri" w:hAnsi="Calibri"/>
                <w:b w:val="0"/>
                <w:i w:val="0"/>
                <w:color w:val="212121"/>
                <w:sz w:val="19"/>
              </w:rPr>
              <w:t>Tight, synthetic, occlusive clothing</w:t>
            </w:r>
          </w:p>
        </w:tc>
        <w:tc>
          <w:tcPr>
            <w:tcW w:type="dxa" w:w="4276"/>
            <w:vAlign w:val="top"/>
          </w:tcPr>
          <w:p>
            <w:pPr>
              <w:spacing w:after="60" w:line="259" w:lineRule="auto"/>
            </w:pPr>
            <w:r>
              <w:rPr>
                <w:rFonts w:ascii="Calibri" w:hAnsi="Calibri"/>
                <w:b w:val="0"/>
                <w:i w:val="0"/>
                <w:color w:val="212121"/>
                <w:sz w:val="19"/>
              </w:rPr>
              <w:t>Tight, non-breathable synthetic garments trap heat and sweat against the skin and macerate the stratum corneum, creating the warm, moist microclimate that dermatophytes need to invade and spread, especially over the waistband, thighs and back.</w:t>
            </w:r>
          </w:p>
          <w:p>
            <w:pPr>
              <w:spacing w:after="40" w:before="60" w:line="259" w:lineRule="auto"/>
            </w:pPr>
            <w:r>
              <w:rPr>
                <w:rFonts w:ascii="Calibri" w:hAnsi="Calibri"/>
                <w:b w:val="0"/>
                <w:i w:val="0"/>
                <w:color w:val="212121"/>
                <w:sz w:val="19"/>
              </w:rPr>
              <w:t>Occlusive clothing and excessive perspiration are among the most influential modifiable risk factors for tinea.</w:t>
            </w:r>
          </w:p>
          <w:p>
            <w:pPr>
              <w:spacing w:after="40" w:line="252" w:lineRule="auto"/>
            </w:pPr>
            <w:hyperlink r:id="rId11">
              <w:r>
                <w:rPr>
                  <w:rFonts w:ascii="Calibri" w:hAnsi="Calibri" w:cs="Calibri"/>
                  <w:sz w:val="18"/>
                  <w:color w:val="1155CC"/>
                  <w:u w:val="single"/>
                </w:rPr>
                <w:t xml:space="preserve">ncbi.nlm.nih.gov - StatPearls: Tinea Cruris</w:t>
              </w:r>
            </w:hyperlink>
          </w:p>
          <w:p>
            <w:pPr>
              <w:spacing w:before="60" w:after="40"/>
            </w:pPr>
            <w:r>
              <w:rPr>
                <w:rFonts w:ascii="Calibri" w:hAnsi="Calibri"/>
                <w:b w:val="0"/>
                <w:i w:val="0"/>
                <w:color w:val="5A5A5A"/>
                <w:sz w:val="18"/>
              </w:rPr>
              <w:t>#occlusion  #synthetic  #tightclothing  #maceration  #sweat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Contact-sport athletes (tinea corporis gladiatorum)</w:t>
            </w:r>
          </w:p>
        </w:tc>
        <w:tc>
          <w:tcPr>
            <w:tcW w:type="dxa" w:w="4276"/>
            <w:vAlign w:val="top"/>
          </w:tcPr>
          <w:p>
            <w:pPr>
              <w:spacing w:after="60" w:line="259" w:lineRule="auto"/>
            </w:pPr>
            <w:r>
              <w:rPr>
                <w:rFonts w:ascii="Calibri" w:hAnsi="Calibri"/>
                <w:b w:val="0"/>
                <w:i w:val="0"/>
                <w:color w:val="212121"/>
                <w:sz w:val="19"/>
              </w:rPr>
              <w:t>Skin-to-skin contact sports such as wrestling, and shared mats, towels and equipment, transmit dermatophytes efficiently, producing tinea corporis gladiatorum, characteristically on the head, neck, trunk and arms.</w:t>
            </w:r>
          </w:p>
          <w:p>
            <w:pPr>
              <w:spacing w:after="40" w:before="60" w:line="259" w:lineRule="auto"/>
            </w:pPr>
            <w:r>
              <w:rPr>
                <w:rFonts w:ascii="Calibri" w:hAnsi="Calibri"/>
                <w:b w:val="0"/>
                <w:i w:val="0"/>
                <w:color w:val="212121"/>
                <w:sz w:val="19"/>
              </w:rPr>
              <w:t>Athletes are at elevated risk because of excessive sweating, high skin-to-skin contact and bare feet in locker rooms; wrestling is specifically implicated.</w:t>
            </w:r>
          </w:p>
          <w:p>
            <w:pPr>
              <w:spacing w:after="40" w:line="252" w:lineRule="auto"/>
            </w:pPr>
            <w:hyperlink r:id="rId14">
              <w:r>
                <w:rPr>
                  <w:rFonts w:ascii="Calibri" w:hAnsi="Calibri" w:cs="Calibri"/>
                  <w:sz w:val="18"/>
                  <w:color w:val="1155CC"/>
                  <w:u w:val="single"/>
                </w:rPr>
                <w:t xml:space="preserve">cdc.gov - Ringworm Causes and Spread</w:t>
              </w:r>
            </w:hyperlink>
          </w:p>
          <w:p>
            <w:pPr>
              <w:spacing w:before="60" w:after="40"/>
            </w:pPr>
            <w:r>
              <w:rPr>
                <w:rFonts w:ascii="Calibri" w:hAnsi="Calibri"/>
                <w:b w:val="0"/>
                <w:i w:val="0"/>
                <w:color w:val="5A5A5A"/>
                <w:sz w:val="18"/>
              </w:rPr>
              <w:t>#gladiatorum  #wrestling  #contactsports  #skincontact  #mats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Self-medication with OTC steroid-combination creams</w:t>
            </w:r>
          </w:p>
        </w:tc>
        <w:tc>
          <w:tcPr>
            <w:tcW w:type="dxa" w:w="4276"/>
            <w:vAlign w:val="top"/>
          </w:tcPr>
          <w:p>
            <w:pPr>
              <w:spacing w:after="60" w:line="259" w:lineRule="auto"/>
            </w:pPr>
            <w:r>
              <w:rPr>
                <w:rFonts w:ascii="Calibri" w:hAnsi="Calibri"/>
                <w:b w:val="0"/>
                <w:i w:val="0"/>
                <w:color w:val="212121"/>
                <w:sz w:val="19"/>
              </w:rPr>
              <w:t>Freely available fixed-dose creams combining a potent steroid with an antifungal and antibiotic briefly relieve itch but suppress local skin immunity, so the fungus spreads widely and the infection becomes chronic, atypical (tinea incognito) and difficult to treat - a hallmark driver of India's epidemic.</w:t>
            </w:r>
          </w:p>
          <w:p>
            <w:pPr>
              <w:spacing w:after="40" w:before="60" w:line="259" w:lineRule="auto"/>
            </w:pPr>
            <w:r>
              <w:rPr>
                <w:rFonts w:ascii="Calibri" w:hAnsi="Calibri"/>
                <w:b w:val="0"/>
                <w:i w:val="0"/>
                <w:color w:val="212121"/>
                <w:sz w:val="19"/>
              </w:rPr>
              <w:t>Widely misused combination creams contain clobetasol propionate with clotrimazole/miconazole and gentamicin/neomycin; one patient reported using over 100 tubes across more than a year, contributing to extensive disease.</w:t>
            </w:r>
          </w:p>
          <w:p>
            <w:pPr>
              <w:spacing w:after="40" w:line="252" w:lineRule="auto"/>
            </w:pPr>
            <w:hyperlink r:id="rId9">
              <w:r>
                <w:rPr>
                  <w:rFonts w:ascii="Calibri" w:hAnsi="Calibri" w:cs="Calibri"/>
                  <w:sz w:val="18"/>
                  <w:color w:val="1155CC"/>
                  <w:u w:val="single"/>
                </w:rPr>
                <w:t xml:space="preserve">mdpi.com - J Fungi: combination-cream abuse &amp; T. indotineae</w:t>
              </w:r>
            </w:hyperlink>
          </w:p>
          <w:p>
            <w:pPr>
              <w:spacing w:before="60" w:after="40"/>
            </w:pPr>
            <w:r>
              <w:rPr>
                <w:rFonts w:ascii="Calibri" w:hAnsi="Calibri"/>
                <w:b w:val="0"/>
                <w:i w:val="0"/>
                <w:color w:val="5A5A5A"/>
                <w:sz w:val="18"/>
              </w:rPr>
              <w:t>#steroidmisuse  #clobetasol  #combinationcream  #tineaincognito  #OTC</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High-glycaemic, obesogenic diets in diabetics</w:t>
            </w:r>
          </w:p>
        </w:tc>
        <w:tc>
          <w:tcPr>
            <w:tcW w:type="dxa" w:w="4276"/>
            <w:vAlign w:val="top"/>
          </w:tcPr>
          <w:p>
            <w:pPr>
              <w:spacing w:after="60" w:line="259" w:lineRule="auto"/>
            </w:pPr>
            <w:r>
              <w:rPr>
                <w:rFonts w:ascii="Calibri" w:hAnsi="Calibri"/>
                <w:b w:val="0"/>
                <w:i w:val="0"/>
                <w:color w:val="212121"/>
                <w:sz w:val="19"/>
              </w:rPr>
              <w:t>Diet has no direct role in dermatophyte infection, but energy-dense, high-glycaemic eating that drives obesity and poor glycaemic control indirectly raises susceptibility and chronicity through diabetes, deeper skin folds and greater fold maceration.</w:t>
            </w:r>
          </w:p>
          <w:p>
            <w:pPr>
              <w:spacing w:after="40" w:before="60" w:line="259" w:lineRule="auto"/>
            </w:pPr>
            <w:r>
              <w:rPr>
                <w:rFonts w:ascii="Calibri" w:hAnsi="Calibri"/>
                <w:b w:val="0"/>
                <w:i w:val="0"/>
                <w:color w:val="212121"/>
                <w:sz w:val="19"/>
              </w:rPr>
              <w:t>Diabetes mellitus is a consistently recognised predisposing and chronicity factor for dermatophytosis; there is no diet that directly prevents or cures tinea.</w:t>
            </w:r>
          </w:p>
          <w:p>
            <w:pPr>
              <w:spacing w:before="60" w:after="40"/>
            </w:pPr>
            <w:r>
              <w:rPr>
                <w:rFonts w:ascii="Calibri" w:hAnsi="Calibri"/>
                <w:b w:val="0"/>
                <w:i w:val="0"/>
                <w:color w:val="5A5A5A"/>
                <w:sz w:val="18"/>
              </w:rPr>
              <w:t>#diet  #glycaemic  #diabetes  #obesity  #indirect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Household clustering and inherited susceptibility</w:t>
            </w:r>
          </w:p>
        </w:tc>
        <w:tc>
          <w:tcPr>
            <w:tcW w:type="dxa" w:w="4276"/>
            <w:vAlign w:val="top"/>
          </w:tcPr>
          <w:p>
            <w:pPr>
              <w:spacing w:after="60" w:line="259" w:lineRule="auto"/>
            </w:pPr>
            <w:r>
              <w:rPr>
                <w:rFonts w:ascii="Calibri" w:hAnsi="Calibri"/>
                <w:b w:val="0"/>
                <w:i w:val="0"/>
                <w:color w:val="212121"/>
                <w:sz w:val="19"/>
              </w:rPr>
              <w:t>Tinea clusters in families through shared environment and fomites and through an inherited individual susceptibility (notably to chronic T. rubrum), so several household members are frequently affected together and untreated contacts sustain reinfection.</w:t>
            </w:r>
          </w:p>
          <w:p>
            <w:pPr>
              <w:spacing w:after="40" w:before="60" w:line="259" w:lineRule="auto"/>
            </w:pPr>
            <w:r>
              <w:rPr>
                <w:rFonts w:ascii="Calibri" w:hAnsi="Calibri"/>
                <w:b w:val="0"/>
                <w:i w:val="0"/>
                <w:color w:val="212121"/>
                <w:sz w:val="19"/>
              </w:rPr>
              <w:t>An Indian study found a family history of tinea positively associated with chronic/relapsing dermatophytosis, and untreated family members and contaminated fomites are key drivers of recurrence.</w:t>
            </w:r>
          </w:p>
          <w:p>
            <w:pPr>
              <w:spacing w:after="40" w:line="252" w:lineRule="auto"/>
            </w:pPr>
            <w:hyperlink r:id="rId11">
              <w:r>
                <w:rPr>
                  <w:rFonts w:ascii="Calibri" w:hAnsi="Calibri" w:cs="Calibri"/>
                  <w:sz w:val="18"/>
                  <w:color w:val="1155CC"/>
                  <w:u w:val="single"/>
                </w:rPr>
                <w:t xml:space="preserve">ncbi.nlm.nih.gov - StatPearls: Tinea Cruris</w:t>
              </w:r>
            </w:hyperlink>
          </w:p>
          <w:p>
            <w:pPr>
              <w:spacing w:before="60" w:after="40"/>
            </w:pPr>
            <w:r>
              <w:rPr>
                <w:rFonts w:ascii="Calibri" w:hAnsi="Calibri"/>
                <w:b w:val="0"/>
                <w:i w:val="0"/>
                <w:color w:val="5A5A5A"/>
                <w:sz w:val="18"/>
              </w:rPr>
              <w:t>#familyhistory  #householdclustering  #susceptibility  #reinfection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Diabetes impairs neutrophil function and cell-mediated immunity, raises skin surface glucose and promotes sweating and fold maceration, making dermatophyte infection more frequent, extensive, chronic and recurrent, and complicating coexisting onychomycosis.</w:t>
            </w:r>
          </w:p>
          <w:p>
            <w:pPr>
              <w:spacing w:after="40" w:before="60" w:line="259" w:lineRule="auto"/>
            </w:pPr>
            <w:r>
              <w:rPr>
                <w:rFonts w:ascii="Calibri" w:hAnsi="Calibri"/>
                <w:b w:val="0"/>
                <w:i w:val="0"/>
                <w:color w:val="212121"/>
                <w:sz w:val="19"/>
              </w:rPr>
              <w:t>People with diabetes are at elevated risk for fungal skin and nail infections, and diabetes is positively associated with chronic/relapsing tinea in Indian data.</w:t>
            </w:r>
          </w:p>
          <w:p>
            <w:pPr>
              <w:spacing w:after="40" w:line="252" w:lineRule="auto"/>
            </w:pPr>
            <w:hyperlink r:id="rId15">
              <w:r>
                <w:rPr>
                  <w:rFonts w:ascii="Calibri" w:hAnsi="Calibri" w:cs="Calibri"/>
                  <w:sz w:val="18"/>
                  <w:color w:val="1155CC"/>
                  <w:u w:val="single"/>
                </w:rPr>
                <w:t xml:space="preserve">cdc.gov - Ringworm Clinical Overview (diabetes risk)</w:t>
              </w:r>
            </w:hyperlink>
          </w:p>
          <w:p>
            <w:pPr>
              <w:spacing w:before="60" w:after="40"/>
            </w:pPr>
            <w:r>
              <w:rPr>
                <w:rFonts w:ascii="Calibri" w:hAnsi="Calibri"/>
                <w:b w:val="0"/>
                <w:i w:val="0"/>
                <w:color w:val="5A5A5A"/>
                <w:sz w:val="18"/>
              </w:rPr>
              <w:t>#diabetes  #immunity  #recurrent  #maceration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HIV/AIDS, transplant, chemotherapy, chronic steroid users</w:t>
            </w:r>
          </w:p>
        </w:tc>
        <w:tc>
          <w:tcPr>
            <w:tcW w:type="dxa" w:w="4276"/>
            <w:vAlign w:val="top"/>
          </w:tcPr>
          <w:p>
            <w:pPr>
              <w:spacing w:after="60" w:line="259" w:lineRule="auto"/>
            </w:pPr>
            <w:r>
              <w:rPr>
                <w:rFonts w:ascii="Calibri" w:hAnsi="Calibri"/>
                <w:b w:val="0"/>
                <w:i w:val="0"/>
                <w:color w:val="212121"/>
                <w:sz w:val="19"/>
              </w:rPr>
              <w:t>Cell-mediated immunity normally contains dermatophytes, so HIV/AIDS, organ transplantation, chemotherapy, lymphoma and systemic or potent topical corticosteroids predispose to extensive, atypical, deep (Majocchi granuloma) and treatment-resistant tinea, and rarely disseminated infection.</w:t>
            </w:r>
          </w:p>
          <w:p>
            <w:pPr>
              <w:spacing w:after="40" w:before="60" w:line="259" w:lineRule="auto"/>
            </w:pPr>
            <w:r>
              <w:rPr>
                <w:rFonts w:ascii="Calibri" w:hAnsi="Calibri"/>
                <w:b w:val="0"/>
                <w:i w:val="0"/>
                <w:color w:val="212121"/>
                <w:sz w:val="19"/>
              </w:rPr>
              <w:t>Immunocompromised states, lymphoma, Cushing syndrome and long-term steroid use are recognised risk factors, and disseminated infection can occur in the immunosuppressed.</w:t>
            </w:r>
          </w:p>
          <w:p>
            <w:pPr>
              <w:spacing w:after="40" w:line="252" w:lineRule="auto"/>
            </w:pPr>
            <w:hyperlink r:id="rId10">
              <w:r>
                <w:rPr>
                  <w:rFonts w:ascii="Calibri" w:hAnsi="Calibri" w:cs="Calibri"/>
                  <w:sz w:val="18"/>
                  <w:color w:val="1155CC"/>
                  <w:u w:val="single"/>
                </w:rPr>
                <w:t xml:space="preserve">ncbi.nlm.nih.gov - StatPearls: Tinea Corporis</w:t>
              </w:r>
            </w:hyperlink>
          </w:p>
          <w:p>
            <w:pPr>
              <w:spacing w:before="60" w:after="40"/>
            </w:pPr>
            <w:r>
              <w:rPr>
                <w:rFonts w:ascii="Calibri" w:hAnsi="Calibri"/>
                <w:b w:val="0"/>
                <w:i w:val="0"/>
                <w:color w:val="5A5A5A"/>
                <w:sz w:val="18"/>
              </w:rPr>
              <w:t>#HIV  #immunosuppression  #Majocchi  #disseminated  #transplant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Individuals with obesity</w:t>
            </w:r>
          </w:p>
        </w:tc>
        <w:tc>
          <w:tcPr>
            <w:tcW w:type="dxa" w:w="4276"/>
            <w:vAlign w:val="top"/>
          </w:tcPr>
          <w:p>
            <w:pPr>
              <w:spacing w:after="60" w:line="259" w:lineRule="auto"/>
            </w:pPr>
            <w:r>
              <w:rPr>
                <w:rFonts w:ascii="Calibri" w:hAnsi="Calibri"/>
                <w:b w:val="0"/>
                <w:i w:val="0"/>
                <w:color w:val="212121"/>
                <w:sz w:val="19"/>
              </w:rPr>
              <w:t>Obesity creates deep, moist, occluded skin folds (inframammary, abdominal apron, groin) that stay warm and macerated, favouring dermatophyte colonisation and coexisting candidal intertrigo, and making treatment penetration and hygiene harder.</w:t>
            </w:r>
          </w:p>
          <w:p>
            <w:pPr>
              <w:spacing w:after="40" w:before="60" w:line="259" w:lineRule="auto"/>
            </w:pPr>
            <w:r>
              <w:rPr>
                <w:rFonts w:ascii="Calibri" w:hAnsi="Calibri"/>
                <w:b w:val="0"/>
                <w:i w:val="0"/>
                <w:color w:val="212121"/>
                <w:sz w:val="19"/>
              </w:rPr>
              <w:t>Obesity, hyperhidrosis and occlusion are recognised predisposing factors for cutaneous dermatophytosis.</w:t>
            </w:r>
          </w:p>
          <w:p>
            <w:pPr>
              <w:spacing w:after="40" w:line="252" w:lineRule="auto"/>
            </w:pPr>
            <w:hyperlink r:id="rId11">
              <w:r>
                <w:rPr>
                  <w:rFonts w:ascii="Calibri" w:hAnsi="Calibri" w:cs="Calibri"/>
                  <w:sz w:val="18"/>
                  <w:color w:val="1155CC"/>
                  <w:u w:val="single"/>
                </w:rPr>
                <w:t xml:space="preserve">ncbi.nlm.nih.gov - StatPearls: Tinea Cruris</w:t>
              </w:r>
            </w:hyperlink>
          </w:p>
          <w:p>
            <w:pPr>
              <w:spacing w:before="60" w:after="40"/>
            </w:pPr>
            <w:r>
              <w:rPr>
                <w:rFonts w:ascii="Calibri" w:hAnsi="Calibri"/>
                <w:b w:val="0"/>
                <w:i w:val="0"/>
                <w:color w:val="5A5A5A"/>
                <w:sz w:val="18"/>
              </w:rPr>
              <w:t>#obesity  #skinfolds  #intertrigo  #maceration  #hyperhidrosis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Coexisting tinea / onychomycosis</w:t>
            </w:r>
          </w:p>
        </w:tc>
        <w:tc>
          <w:tcPr>
            <w:tcW w:type="dxa" w:w="2160"/>
            <w:vAlign w:val="top"/>
          </w:tcPr>
          <w:p>
            <w:pPr>
              <w:spacing w:after="40" w:before="0" w:line="259" w:lineRule="auto"/>
            </w:pPr>
            <w:r>
              <w:rPr>
                <w:rFonts w:ascii="Calibri" w:hAnsi="Calibri"/>
                <w:b w:val="0"/>
                <w:i w:val="0"/>
                <w:color w:val="212121"/>
                <w:sz w:val="19"/>
              </w:rPr>
              <w:t>Untreated tinea pedis, cruris and nail infection</w:t>
            </w:r>
          </w:p>
        </w:tc>
        <w:tc>
          <w:tcPr>
            <w:tcW w:type="dxa" w:w="4276"/>
            <w:vAlign w:val="top"/>
          </w:tcPr>
          <w:p>
            <w:pPr>
              <w:spacing w:after="60" w:line="259" w:lineRule="auto"/>
            </w:pPr>
            <w:r>
              <w:rPr>
                <w:rFonts w:ascii="Calibri" w:hAnsi="Calibri"/>
                <w:b w:val="0"/>
                <w:i w:val="0"/>
                <w:color w:val="212121"/>
                <w:sz w:val="19"/>
              </w:rPr>
              <w:t>Untreated tinea pedis, cruris, capitis and especially nail infection (onychomycosis) act as persistent reservoirs that repeatedly re-seed the body skin through autoinoculation, driving recurrence unless every affected site is treated simultaneously.</w:t>
            </w:r>
          </w:p>
          <w:p>
            <w:pPr>
              <w:spacing w:after="40" w:before="60" w:line="259" w:lineRule="auto"/>
            </w:pPr>
            <w:r>
              <w:rPr>
                <w:rFonts w:ascii="Calibri" w:hAnsi="Calibri"/>
                <w:b w:val="0"/>
                <w:i w:val="0"/>
                <w:color w:val="212121"/>
                <w:sz w:val="19"/>
              </w:rPr>
              <w:t>Onychomycosis affects roughly 14% of the general population and is a common reservoir; chronic dermatophytosis has traditionally been attributed largely to T. rubrum (about 90% of chronic cases).</w:t>
            </w:r>
          </w:p>
          <w:p>
            <w:pPr>
              <w:spacing w:after="40" w:line="252" w:lineRule="auto"/>
            </w:pPr>
            <w:hyperlink r:id="rId15">
              <w:r>
                <w:rPr>
                  <w:rFonts w:ascii="Calibri" w:hAnsi="Calibri" w:cs="Calibri"/>
                  <w:sz w:val="18"/>
                  <w:color w:val="1155CC"/>
                  <w:u w:val="single"/>
                </w:rPr>
                <w:t xml:space="preserve">cdc.gov - Ringworm Clinical Overview (onychomycosis ~14%)</w:t>
              </w:r>
            </w:hyperlink>
          </w:p>
          <w:p>
            <w:pPr>
              <w:spacing w:before="60" w:after="40"/>
            </w:pPr>
            <w:r>
              <w:rPr>
                <w:rFonts w:ascii="Calibri" w:hAnsi="Calibri"/>
                <w:b w:val="0"/>
                <w:i w:val="0"/>
                <w:color w:val="5A5A5A"/>
                <w:sz w:val="18"/>
              </w:rPr>
              <w:t>#onychomycosis  #tineapedis  #reservoir  #recurrence  #autoinoculation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Exercise itself does not cause tinea, but the profuse sweating and occlusive sportswear it involves macerate the skin and favour dermatophytes; skin-to-skin contact sports such as wrestling directly transmit infection (tinea corporis gladiatorum). Prompt showering, drying and clean kit offset the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has no direct effect on dermatophyte infection; any influence is indirect, through diets that promote obesity and poor glycaemic control (diabetes), which increase susceptibility and chronicity.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between sleep and tinea; chronic sleep loss may modestly impair immunity, and severe nocturnal itch from extensive tinea can itself disturb sleep.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an established direct risk factor for tinea corporis; any contribution is indirect via impaired immunity and vascular/skin health.</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direct role; heavy use may act indirectly through impaired immunity, poor hygiene and diabetes/liver disease, which can worsen chronic infection.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visible, itchy and recurrent tinea in the Indian epidemic causes considerable distress, stigma, embarrassment and impaired quality of life; distress and frustration also drive steroid-cream misuse and poor treatment adherence, sustaining a vicious cycle.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direct effect on tinea; what matters is keeping the skin surface dry, since surface moisture and sweat, not systemic water intake, favour the fungus.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Hygiene is central: bathing after sweating, thoroughly drying skin folds, wearing clean dry clothes, not sharing towels, combs, razors or bedding, and washing and hot-ironing clothing and linen reduce fungal load, fomite spread and reinfection. Poor hygiene and shared items are established transmission routes.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Heat, humidity, sweating, occlusive clothing, contact with infected people, animals or soil, contaminated fomites, and above all misuse of topical steroid/combination creams provoke, spread and chronicise tinea corporis; steroid abuse produces steroid-modified tinea (tinea incognito).</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Bathing and thorough skin-fold drying</w:t>
            </w:r>
          </w:p>
        </w:tc>
        <w:tc>
          <w:tcPr>
            <w:tcW w:type="dxa" w:w="1655"/>
            <w:vAlign w:val="top"/>
          </w:tcPr>
          <w:p>
            <w:pPr>
              <w:spacing w:after="40" w:before="0" w:line="259" w:lineRule="auto"/>
            </w:pPr>
            <w:r>
              <w:rPr>
                <w:rFonts w:ascii="Calibri" w:hAnsi="Calibri"/>
                <w:b w:val="0"/>
                <w:i w:val="0"/>
                <w:color w:val="212121"/>
                <w:sz w:val="19"/>
              </w:rPr>
              <w:t>All, especially sweaty/obese</w:t>
            </w:r>
          </w:p>
        </w:tc>
        <w:tc>
          <w:tcPr>
            <w:tcW w:type="dxa" w:w="1512"/>
            <w:vAlign w:val="top"/>
          </w:tcPr>
          <w:p>
            <w:pPr>
              <w:spacing w:after="40" w:before="0" w:line="259" w:lineRule="auto"/>
            </w:pPr>
            <w:r>
              <w:rPr>
                <w:rFonts w:ascii="Calibri" w:hAnsi="Calibri"/>
                <w:b w:val="0"/>
                <w:i w:val="0"/>
                <w:color w:val="212121"/>
                <w:sz w:val="19"/>
              </w:rPr>
              <w:t>Daily bath; skin and folds dried completely, promptly after sweating</w:t>
            </w:r>
          </w:p>
        </w:tc>
        <w:tc>
          <w:tcPr>
            <w:tcW w:type="dxa" w:w="1512"/>
            <w:vAlign w:val="top"/>
          </w:tcPr>
          <w:p>
            <w:pPr>
              <w:spacing w:after="40" w:before="0" w:line="259" w:lineRule="auto"/>
            </w:pPr>
            <w:r>
              <w:rPr>
                <w:rFonts w:ascii="Calibri" w:hAnsi="Calibri"/>
                <w:b w:val="0"/>
                <w:i w:val="0"/>
                <w:color w:val="212121"/>
                <w:sz w:val="19"/>
              </w:rPr>
              <w:t>Infrequent bathing; staying in damp/sweaty clothes; moist undried folds</w:t>
            </w:r>
          </w:p>
        </w:tc>
        <w:tc>
          <w:tcPr>
            <w:tcW w:type="dxa" w:w="1468"/>
            <w:vAlign w:val="top"/>
          </w:tcPr>
          <w:p>
            <w:pPr>
              <w:spacing w:after="60" w:line="259" w:lineRule="auto"/>
            </w:pPr>
            <w:r>
              <w:rPr>
                <w:rFonts w:ascii="Calibri" w:hAnsi="Calibri"/>
                <w:b w:val="0"/>
                <w:i w:val="0"/>
                <w:color w:val="212121"/>
                <w:sz w:val="19"/>
              </w:rPr>
              <w:t>Surface moisture and maceration favour dermatophyte growth</w:t>
            </w:r>
          </w:p>
          <w:p>
            <w:pPr>
              <w:spacing w:after="40" w:line="252" w:lineRule="auto"/>
            </w:pPr>
            <w:hyperlink r:id="rId11">
              <w:r>
                <w:rPr>
                  <w:rFonts w:ascii="Calibri" w:hAnsi="Calibri" w:cs="Calibri"/>
                  <w:sz w:val="18"/>
                  <w:color w:val="1155CC"/>
                  <w:u w:val="single"/>
                </w:rPr>
                <w:t xml:space="preserve">https://www.ncbi.nlm.nih.gov/books/NBK554602/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Sharing of towels, clothing, combs, bedding</w:t>
            </w:r>
          </w:p>
        </w:tc>
        <w:tc>
          <w:tcPr>
            <w:tcW w:type="dxa" w:w="1655"/>
            <w:vAlign w:val="top"/>
          </w:tcPr>
          <w:p>
            <w:pPr>
              <w:spacing w:after="40" w:before="0" w:line="259" w:lineRule="auto"/>
            </w:pPr>
            <w:r>
              <w:rPr>
                <w:rFonts w:ascii="Calibri" w:hAnsi="Calibri"/>
                <w:b w:val="0"/>
                <w:i w:val="0"/>
                <w:color w:val="212121"/>
                <w:sz w:val="19"/>
              </w:rPr>
              <w:t>Household contacts, hostels</w:t>
            </w:r>
          </w:p>
        </w:tc>
        <w:tc>
          <w:tcPr>
            <w:tcW w:type="dxa" w:w="1512"/>
            <w:vAlign w:val="top"/>
          </w:tcPr>
          <w:p>
            <w:pPr>
              <w:spacing w:after="40" w:before="0" w:line="259" w:lineRule="auto"/>
            </w:pPr>
            <w:r>
              <w:rPr>
                <w:rFonts w:ascii="Calibri" w:hAnsi="Calibri"/>
                <w:b w:val="0"/>
                <w:i w:val="0"/>
                <w:color w:val="212121"/>
                <w:sz w:val="19"/>
              </w:rPr>
              <w:t>No sharing; personal items only; linen washed and hot-ironed</w:t>
            </w:r>
          </w:p>
        </w:tc>
        <w:tc>
          <w:tcPr>
            <w:tcW w:type="dxa" w:w="1512"/>
            <w:vAlign w:val="top"/>
          </w:tcPr>
          <w:p>
            <w:pPr>
              <w:spacing w:after="40" w:before="0" w:line="259" w:lineRule="auto"/>
            </w:pPr>
            <w:r>
              <w:rPr>
                <w:rFonts w:ascii="Calibri" w:hAnsi="Calibri"/>
                <w:b w:val="0"/>
                <w:i w:val="0"/>
                <w:color w:val="212121"/>
                <w:sz w:val="19"/>
              </w:rPr>
              <w:t>Shared towels/clothing/bedding; contaminated surfaces</w:t>
            </w:r>
          </w:p>
        </w:tc>
        <w:tc>
          <w:tcPr>
            <w:tcW w:type="dxa" w:w="1468"/>
            <w:vAlign w:val="top"/>
          </w:tcPr>
          <w:p>
            <w:pPr>
              <w:spacing w:after="60" w:line="259" w:lineRule="auto"/>
            </w:pPr>
            <w:r>
              <w:rPr>
                <w:rFonts w:ascii="Calibri" w:hAnsi="Calibri"/>
                <w:b w:val="0"/>
                <w:i w:val="0"/>
                <w:color w:val="212121"/>
                <w:sz w:val="19"/>
              </w:rPr>
              <w:t>Fomites and arthroconidia transmit and re-seed infection</w:t>
            </w:r>
          </w:p>
          <w:p>
            <w:pPr>
              <w:spacing w:after="40" w:line="252" w:lineRule="auto"/>
            </w:pPr>
            <w:hyperlink r:id="rId13">
              <w:r>
                <w:rPr>
                  <w:rFonts w:ascii="Calibri" w:hAnsi="Calibri" w:cs="Calibri"/>
                  <w:sz w:val="18"/>
                  <w:color w:val="1155CC"/>
                  <w:u w:val="single"/>
                </w:rPr>
                <w:t xml:space="preserve">https://www.cdc.gov/ringworm/about/index.html</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Clothing type</w:t>
            </w:r>
          </w:p>
        </w:tc>
        <w:tc>
          <w:tcPr>
            <w:tcW w:type="dxa" w:w="1655"/>
            <w:vAlign w:val="top"/>
          </w:tcPr>
          <w:p>
            <w:pPr>
              <w:spacing w:after="40" w:before="0" w:line="259" w:lineRule="auto"/>
            </w:pPr>
            <w:r>
              <w:rPr>
                <w:rFonts w:ascii="Calibri" w:hAnsi="Calibri"/>
                <w:b w:val="0"/>
                <w:i w:val="0"/>
                <w:color w:val="212121"/>
                <w:sz w:val="19"/>
              </w:rPr>
              <w:t>All</w:t>
            </w:r>
          </w:p>
        </w:tc>
        <w:tc>
          <w:tcPr>
            <w:tcW w:type="dxa" w:w="1512"/>
            <w:vAlign w:val="top"/>
          </w:tcPr>
          <w:p>
            <w:pPr>
              <w:spacing w:after="40" w:before="0" w:line="259" w:lineRule="auto"/>
            </w:pPr>
            <w:r>
              <w:rPr>
                <w:rFonts w:ascii="Calibri" w:hAnsi="Calibri"/>
                <w:b w:val="0"/>
                <w:i w:val="0"/>
                <w:color w:val="212121"/>
                <w:sz w:val="19"/>
              </w:rPr>
              <w:t>Loose, breathable cotton</w:t>
            </w:r>
          </w:p>
        </w:tc>
        <w:tc>
          <w:tcPr>
            <w:tcW w:type="dxa" w:w="1512"/>
            <w:vAlign w:val="top"/>
          </w:tcPr>
          <w:p>
            <w:pPr>
              <w:spacing w:after="40" w:before="0" w:line="259" w:lineRule="auto"/>
            </w:pPr>
            <w:r>
              <w:rPr>
                <w:rFonts w:ascii="Calibri" w:hAnsi="Calibri"/>
                <w:b w:val="0"/>
                <w:i w:val="0"/>
                <w:color w:val="212121"/>
                <w:sz w:val="19"/>
              </w:rPr>
              <w:t>Tight, synthetic, occlusive garments</w:t>
            </w:r>
          </w:p>
        </w:tc>
        <w:tc>
          <w:tcPr>
            <w:tcW w:type="dxa" w:w="1468"/>
            <w:vAlign w:val="top"/>
          </w:tcPr>
          <w:p>
            <w:pPr>
              <w:spacing w:after="60" w:line="259" w:lineRule="auto"/>
            </w:pPr>
            <w:r>
              <w:rPr>
                <w:rFonts w:ascii="Calibri" w:hAnsi="Calibri"/>
                <w:b w:val="0"/>
                <w:i w:val="0"/>
                <w:color w:val="212121"/>
                <w:sz w:val="19"/>
              </w:rPr>
              <w:t>Occlusion traps sweat and macerates skin</w:t>
            </w:r>
          </w:p>
          <w:p>
            <w:pPr>
              <w:spacing w:after="40" w:line="252" w:lineRule="auto"/>
            </w:pPr>
            <w:hyperlink r:id="rId11">
              <w:r>
                <w:rPr>
                  <w:rFonts w:ascii="Calibri" w:hAnsi="Calibri" w:cs="Calibri"/>
                  <w:sz w:val="18"/>
                  <w:color w:val="1155CC"/>
                  <w:u w:val="single"/>
                </w:rPr>
                <w:t xml:space="preserve">https://www.ncbi.nlm.nih.gov/books/NBK554602/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Ambient temperature and humidity</w:t>
            </w:r>
          </w:p>
        </w:tc>
        <w:tc>
          <w:tcPr>
            <w:tcW w:type="dxa" w:w="1655"/>
            <w:vAlign w:val="top"/>
          </w:tcPr>
          <w:p>
            <w:pPr>
              <w:spacing w:after="40" w:before="0" w:line="259" w:lineRule="auto"/>
            </w:pPr>
            <w:r>
              <w:rPr>
                <w:rFonts w:ascii="Calibri" w:hAnsi="Calibri"/>
                <w:b w:val="0"/>
                <w:i w:val="0"/>
                <w:color w:val="212121"/>
                <w:sz w:val="19"/>
              </w:rPr>
              <w:t>Tropical/coastal, summer-monsoon</w:t>
            </w:r>
          </w:p>
        </w:tc>
        <w:tc>
          <w:tcPr>
            <w:tcW w:type="dxa" w:w="1512"/>
            <w:vAlign w:val="top"/>
          </w:tcPr>
          <w:p>
            <w:pPr>
              <w:spacing w:after="40" w:before="0" w:line="259" w:lineRule="auto"/>
            </w:pPr>
            <w:r>
              <w:rPr>
                <w:rFonts w:ascii="Calibri" w:hAnsi="Calibri"/>
                <w:b w:val="0"/>
                <w:i w:val="0"/>
                <w:color w:val="212121"/>
                <w:sz w:val="19"/>
              </w:rPr>
              <w:t>Cool, dry, ventilated skin</w:t>
            </w:r>
          </w:p>
        </w:tc>
        <w:tc>
          <w:tcPr>
            <w:tcW w:type="dxa" w:w="1512"/>
            <w:vAlign w:val="top"/>
          </w:tcPr>
          <w:p>
            <w:pPr>
              <w:spacing w:after="40" w:before="0" w:line="259" w:lineRule="auto"/>
            </w:pPr>
            <w:r>
              <w:rPr>
                <w:rFonts w:ascii="Calibri" w:hAnsi="Calibri"/>
                <w:b w:val="0"/>
                <w:i w:val="0"/>
                <w:color w:val="212121"/>
                <w:sz w:val="19"/>
              </w:rPr>
              <w:t>Hot, humid, sweaty conditions</w:t>
            </w:r>
          </w:p>
        </w:tc>
        <w:tc>
          <w:tcPr>
            <w:tcW w:type="dxa" w:w="1468"/>
            <w:vAlign w:val="top"/>
          </w:tcPr>
          <w:p>
            <w:pPr>
              <w:spacing w:after="60" w:line="259" w:lineRule="auto"/>
            </w:pPr>
            <w:r>
              <w:rPr>
                <w:rFonts w:ascii="Calibri" w:hAnsi="Calibri"/>
                <w:b w:val="0"/>
                <w:i w:val="0"/>
                <w:color w:val="212121"/>
                <w:sz w:val="19"/>
              </w:rPr>
              <w:t>Warmth and humidity drive dermatophyte proliferation</w:t>
            </w:r>
          </w:p>
          <w:p>
            <w:pPr>
              <w:spacing w:after="40" w:line="252" w:lineRule="auto"/>
            </w:pPr>
            <w:hyperlink r:id="rId10">
              <w:r>
                <w:rPr>
                  <w:rFonts w:ascii="Calibri" w:hAnsi="Calibri" w:cs="Calibri"/>
                  <w:sz w:val="18"/>
                  <w:color w:val="1155CC"/>
                  <w:u w:val="single"/>
                </w:rPr>
                <w:t xml:space="preserve">https://www.ncbi.nlm.nih.gov/books/NBK544360/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Topical steroid / combination-cream use</w:t>
            </w:r>
          </w:p>
        </w:tc>
        <w:tc>
          <w:tcPr>
            <w:tcW w:type="dxa" w:w="1655"/>
            <w:vAlign w:val="top"/>
          </w:tcPr>
          <w:p>
            <w:pPr>
              <w:spacing w:after="40" w:before="0" w:line="259" w:lineRule="auto"/>
            </w:pPr>
            <w:r>
              <w:rPr>
                <w:rFonts w:ascii="Calibri" w:hAnsi="Calibri"/>
                <w:b w:val="0"/>
                <w:i w:val="0"/>
                <w:color w:val="212121"/>
                <w:sz w:val="19"/>
              </w:rPr>
              <w:t>Self-medicating patients</w:t>
            </w:r>
          </w:p>
        </w:tc>
        <w:tc>
          <w:tcPr>
            <w:tcW w:type="dxa" w:w="1512"/>
            <w:vAlign w:val="top"/>
          </w:tcPr>
          <w:p>
            <w:pPr>
              <w:spacing w:after="40" w:before="0" w:line="259" w:lineRule="auto"/>
            </w:pPr>
            <w:r>
              <w:rPr>
                <w:rFonts w:ascii="Calibri" w:hAnsi="Calibri"/>
                <w:b w:val="0"/>
                <w:i w:val="0"/>
                <w:color w:val="212121"/>
                <w:sz w:val="19"/>
              </w:rPr>
              <w:t>None on suspected ringworm</w:t>
            </w:r>
          </w:p>
        </w:tc>
        <w:tc>
          <w:tcPr>
            <w:tcW w:type="dxa" w:w="1512"/>
            <w:vAlign w:val="top"/>
          </w:tcPr>
          <w:p>
            <w:pPr>
              <w:spacing w:after="40" w:before="0" w:line="259" w:lineRule="auto"/>
            </w:pPr>
            <w:r>
              <w:rPr>
                <w:rFonts w:ascii="Calibri" w:hAnsi="Calibri"/>
                <w:b w:val="0"/>
                <w:i w:val="0"/>
                <w:color w:val="212121"/>
                <w:sz w:val="19"/>
              </w:rPr>
              <w:t>OTC clobetasol combination creams (any use; heavy use = many tubes)</w:t>
            </w:r>
          </w:p>
        </w:tc>
        <w:tc>
          <w:tcPr>
            <w:tcW w:type="dxa" w:w="1468"/>
            <w:vAlign w:val="top"/>
          </w:tcPr>
          <w:p>
            <w:pPr>
              <w:spacing w:after="60" w:line="259" w:lineRule="auto"/>
            </w:pPr>
            <w:r>
              <w:rPr>
                <w:rFonts w:ascii="Calibri" w:hAnsi="Calibri"/>
                <w:b w:val="0"/>
                <w:i w:val="0"/>
                <w:color w:val="212121"/>
                <w:sz w:val="19"/>
              </w:rPr>
              <w:t>Steroids cause steroid-modified, extensive, chronic tinea</w:t>
            </w:r>
          </w:p>
          <w:p>
            <w:pPr>
              <w:spacing w:after="40" w:line="252" w:lineRule="auto"/>
            </w:pPr>
            <w:hyperlink r:id="rId9">
              <w:r>
                <w:rPr>
                  <w:rFonts w:ascii="Calibri" w:hAnsi="Calibri" w:cs="Calibri"/>
                  <w:sz w:val="18"/>
                  <w:color w:val="1155CC"/>
                  <w:u w:val="single"/>
                </w:rPr>
                <w:t xml:space="preserve">https://www.mdpi.com/2309-608X/8/7/757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Extent of skin involvement</w:t>
            </w:r>
          </w:p>
        </w:tc>
        <w:tc>
          <w:tcPr>
            <w:tcW w:type="dxa" w:w="1655"/>
            <w:vAlign w:val="top"/>
          </w:tcPr>
          <w:p>
            <w:pPr>
              <w:spacing w:after="40" w:before="0" w:line="259" w:lineRule="auto"/>
            </w:pPr>
            <w:r>
              <w:rPr>
                <w:rFonts w:ascii="Calibri" w:hAnsi="Calibri"/>
                <w:b w:val="0"/>
                <w:i w:val="0"/>
                <w:color w:val="212121"/>
                <w:sz w:val="19"/>
              </w:rPr>
              <w:t>Epidemic/recalcitrant cases</w:t>
            </w:r>
          </w:p>
        </w:tc>
        <w:tc>
          <w:tcPr>
            <w:tcW w:type="dxa" w:w="1512"/>
            <w:vAlign w:val="top"/>
          </w:tcPr>
          <w:p>
            <w:pPr>
              <w:spacing w:after="40" w:before="0" w:line="259" w:lineRule="auto"/>
            </w:pPr>
            <w:r>
              <w:rPr>
                <w:rFonts w:ascii="Calibri" w:hAnsi="Calibri"/>
                <w:b w:val="0"/>
                <w:i w:val="0"/>
                <w:color w:val="212121"/>
                <w:sz w:val="19"/>
              </w:rPr>
              <w:t>Single localised lesion</w:t>
            </w:r>
          </w:p>
        </w:tc>
        <w:tc>
          <w:tcPr>
            <w:tcW w:type="dxa" w:w="1512"/>
            <w:vAlign w:val="top"/>
          </w:tcPr>
          <w:p>
            <w:pPr>
              <w:spacing w:after="40" w:before="0" w:line="259" w:lineRule="auto"/>
            </w:pPr>
            <w:r>
              <w:rPr>
                <w:rFonts w:ascii="Calibri" w:hAnsi="Calibri"/>
                <w:b w:val="0"/>
                <w:i w:val="0"/>
                <w:color w:val="212121"/>
                <w:sz w:val="19"/>
              </w:rPr>
              <w:t>Multiple, confluent, extensive lesions; &gt;6 months' duration</w:t>
            </w:r>
          </w:p>
        </w:tc>
        <w:tc>
          <w:tcPr>
            <w:tcW w:type="dxa" w:w="1468"/>
            <w:vAlign w:val="top"/>
          </w:tcPr>
          <w:p>
            <w:pPr>
              <w:spacing w:after="60" w:line="259" w:lineRule="auto"/>
            </w:pPr>
            <w:r>
              <w:rPr>
                <w:rFonts w:ascii="Calibri" w:hAnsi="Calibri"/>
                <w:b w:val="0"/>
                <w:i w:val="0"/>
                <w:color w:val="212121"/>
                <w:sz w:val="19"/>
              </w:rPr>
              <w:t>Extensive/chronic disease flags recalcitrant, often resistant tinea</w:t>
            </w:r>
          </w:p>
          <w:p>
            <w:pPr>
              <w:spacing w:after="40" w:line="252" w:lineRule="auto"/>
            </w:pPr>
            <w:hyperlink r:id="rId9">
              <w:r>
                <w:rPr>
                  <w:rFonts w:ascii="Calibri" w:hAnsi="Calibri" w:cs="Calibri"/>
                  <w:sz w:val="18"/>
                  <w:color w:val="1155CC"/>
                  <w:u w:val="single"/>
                </w:rPr>
                <w:t xml:space="preserve">https://www.mdpi.com/2309-608X/8/7/757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Affected close/household contacts</w:t>
            </w:r>
          </w:p>
        </w:tc>
        <w:tc>
          <w:tcPr>
            <w:tcW w:type="dxa" w:w="1655"/>
            <w:vAlign w:val="top"/>
          </w:tcPr>
          <w:p>
            <w:pPr>
              <w:spacing w:after="40" w:before="0" w:line="259" w:lineRule="auto"/>
            </w:pPr>
            <w:r>
              <w:rPr>
                <w:rFonts w:ascii="Calibri" w:hAnsi="Calibri"/>
                <w:b w:val="0"/>
                <w:i w:val="0"/>
                <w:color w:val="212121"/>
                <w:sz w:val="19"/>
              </w:rPr>
              <w:t>Families, hostels</w:t>
            </w:r>
          </w:p>
        </w:tc>
        <w:tc>
          <w:tcPr>
            <w:tcW w:type="dxa" w:w="1512"/>
            <w:vAlign w:val="top"/>
          </w:tcPr>
          <w:p>
            <w:pPr>
              <w:spacing w:after="40" w:before="0" w:line="259" w:lineRule="auto"/>
            </w:pPr>
            <w:r>
              <w:rPr>
                <w:rFonts w:ascii="Calibri" w:hAnsi="Calibri"/>
                <w:b w:val="0"/>
                <w:i w:val="0"/>
                <w:color w:val="212121"/>
                <w:sz w:val="19"/>
              </w:rPr>
              <w:t>No affected contacts</w:t>
            </w:r>
          </w:p>
        </w:tc>
        <w:tc>
          <w:tcPr>
            <w:tcW w:type="dxa" w:w="1512"/>
            <w:vAlign w:val="top"/>
          </w:tcPr>
          <w:p>
            <w:pPr>
              <w:spacing w:after="40" w:before="0" w:line="259" w:lineRule="auto"/>
            </w:pPr>
            <w:r>
              <w:rPr>
                <w:rFonts w:ascii="Calibri" w:hAnsi="Calibri"/>
                <w:b w:val="0"/>
                <w:i w:val="0"/>
                <w:color w:val="212121"/>
                <w:sz w:val="19"/>
              </w:rPr>
              <w:t>Multiple household members affected</w:t>
            </w:r>
          </w:p>
        </w:tc>
        <w:tc>
          <w:tcPr>
            <w:tcW w:type="dxa" w:w="1468"/>
            <w:vAlign w:val="top"/>
          </w:tcPr>
          <w:p>
            <w:pPr>
              <w:spacing w:after="60" w:line="259" w:lineRule="auto"/>
            </w:pPr>
            <w:r>
              <w:rPr>
                <w:rFonts w:ascii="Calibri" w:hAnsi="Calibri"/>
                <w:b w:val="0"/>
                <w:i w:val="0"/>
                <w:color w:val="212121"/>
                <w:sz w:val="19"/>
              </w:rPr>
              <w:t>Untreated contacts sustain reinfection; T. indotineae shows household spread</w:t>
            </w:r>
          </w:p>
          <w:p>
            <w:pPr>
              <w:spacing w:after="40" w:line="252" w:lineRule="auto"/>
            </w:pPr>
            <w:hyperlink r:id="rId16">
              <w:r>
                <w:rPr>
                  <w:rFonts w:ascii="Calibri" w:hAnsi="Calibri" w:cs="Calibri"/>
                  <w:sz w:val="18"/>
                  <w:color w:val="1155CC"/>
                  <w:u w:val="single"/>
                </w:rPr>
                <w:t xml:space="preserve">https://www.cdc.gov/mmwr/volumes/72/wr/mm7219a4.htm</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Skin-to-skin contact sports</w:t>
            </w:r>
          </w:p>
        </w:tc>
        <w:tc>
          <w:tcPr>
            <w:tcW w:type="dxa" w:w="1655"/>
            <w:vAlign w:val="top"/>
          </w:tcPr>
          <w:p>
            <w:pPr>
              <w:spacing w:after="40" w:before="0" w:line="259" w:lineRule="auto"/>
            </w:pPr>
            <w:r>
              <w:rPr>
                <w:rFonts w:ascii="Calibri" w:hAnsi="Calibri"/>
                <w:b w:val="0"/>
                <w:i w:val="0"/>
                <w:color w:val="212121"/>
                <w:sz w:val="19"/>
              </w:rPr>
              <w:t>Wrestlers, athletes</w:t>
            </w:r>
          </w:p>
        </w:tc>
        <w:tc>
          <w:tcPr>
            <w:tcW w:type="dxa" w:w="1512"/>
            <w:vAlign w:val="top"/>
          </w:tcPr>
          <w:p>
            <w:pPr>
              <w:spacing w:after="40" w:before="0" w:line="259" w:lineRule="auto"/>
            </w:pPr>
            <w:r>
              <w:rPr>
                <w:rFonts w:ascii="Calibri" w:hAnsi="Calibri"/>
                <w:b w:val="0"/>
                <w:i w:val="0"/>
                <w:color w:val="212121"/>
                <w:sz w:val="19"/>
              </w:rPr>
              <w:t>Clean kit/mats; shower and dry after play</w:t>
            </w:r>
          </w:p>
        </w:tc>
        <w:tc>
          <w:tcPr>
            <w:tcW w:type="dxa" w:w="1512"/>
            <w:vAlign w:val="top"/>
          </w:tcPr>
          <w:p>
            <w:pPr>
              <w:spacing w:after="40" w:before="0" w:line="259" w:lineRule="auto"/>
            </w:pPr>
            <w:r>
              <w:rPr>
                <w:rFonts w:ascii="Calibri" w:hAnsi="Calibri"/>
                <w:b w:val="0"/>
                <w:i w:val="0"/>
                <w:color w:val="212121"/>
                <w:sz w:val="19"/>
              </w:rPr>
              <w:t>Contact sports with shared mats/equipment</w:t>
            </w:r>
          </w:p>
        </w:tc>
        <w:tc>
          <w:tcPr>
            <w:tcW w:type="dxa" w:w="1468"/>
            <w:vAlign w:val="top"/>
          </w:tcPr>
          <w:p>
            <w:pPr>
              <w:spacing w:after="60" w:line="259" w:lineRule="auto"/>
            </w:pPr>
            <w:r>
              <w:rPr>
                <w:rFonts w:ascii="Calibri" w:hAnsi="Calibri"/>
                <w:b w:val="0"/>
                <w:i w:val="0"/>
                <w:color w:val="212121"/>
                <w:sz w:val="19"/>
              </w:rPr>
              <w:t>Direct transmission (tinea corporis gladiatorum)</w:t>
            </w:r>
          </w:p>
          <w:p>
            <w:pPr>
              <w:spacing w:after="40" w:line="252" w:lineRule="auto"/>
            </w:pPr>
            <w:hyperlink r:id="rId14">
              <w:r>
                <w:rPr>
                  <w:rFonts w:ascii="Calibri" w:hAnsi="Calibri" w:cs="Calibri"/>
                  <w:sz w:val="18"/>
                  <w:color w:val="1155CC"/>
                  <w:u w:val="single"/>
                </w:rPr>
                <w:t xml:space="preserve">https://www.cdc.gov/ringworm/causes/index.html</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control (HbA1c) in diabetics</w:t>
            </w:r>
          </w:p>
        </w:tc>
        <w:tc>
          <w:tcPr>
            <w:tcW w:type="dxa" w:w="1655"/>
            <w:vAlign w:val="top"/>
          </w:tcPr>
          <w:p>
            <w:pPr>
              <w:spacing w:after="40" w:before="0" w:line="259" w:lineRule="auto"/>
            </w:pPr>
            <w:r>
              <w:rPr>
                <w:rFonts w:ascii="Calibri" w:hAnsi="Calibri"/>
                <w:b w:val="0"/>
                <w:i w:val="0"/>
                <w:color w:val="212121"/>
                <w:sz w:val="19"/>
              </w:rPr>
              <w:t>Diabetic patients</w:t>
            </w:r>
          </w:p>
        </w:tc>
        <w:tc>
          <w:tcPr>
            <w:tcW w:type="dxa" w:w="1512"/>
            <w:vAlign w:val="top"/>
          </w:tcPr>
          <w:p>
            <w:pPr>
              <w:spacing w:after="40" w:before="0" w:line="259" w:lineRule="auto"/>
            </w:pPr>
            <w:r>
              <w:rPr>
                <w:rFonts w:ascii="Calibri" w:hAnsi="Calibri"/>
                <w:b w:val="0"/>
                <w:i w:val="0"/>
                <w:color w:val="212121"/>
                <w:sz w:val="19"/>
              </w:rPr>
              <w:t>HbA1c &lt; 7% (individualised)</w:t>
            </w:r>
          </w:p>
        </w:tc>
        <w:tc>
          <w:tcPr>
            <w:tcW w:type="dxa" w:w="1512"/>
            <w:vAlign w:val="top"/>
          </w:tcPr>
          <w:p>
            <w:pPr>
              <w:spacing w:after="40" w:before="0" w:line="259" w:lineRule="auto"/>
            </w:pPr>
            <w:r>
              <w:rPr>
                <w:rFonts w:ascii="Calibri" w:hAnsi="Calibri"/>
                <w:b w:val="0"/>
                <w:i w:val="0"/>
                <w:color w:val="212121"/>
                <w:sz w:val="19"/>
              </w:rPr>
              <w:t>Poorly controlled / high HbA1c</w:t>
            </w:r>
          </w:p>
        </w:tc>
        <w:tc>
          <w:tcPr>
            <w:tcW w:type="dxa" w:w="1468"/>
            <w:vAlign w:val="top"/>
          </w:tcPr>
          <w:p>
            <w:pPr>
              <w:spacing w:after="60" w:line="259" w:lineRule="auto"/>
            </w:pPr>
            <w:r>
              <w:rPr>
                <w:rFonts w:ascii="Calibri" w:hAnsi="Calibri"/>
                <w:b w:val="0"/>
                <w:i w:val="0"/>
                <w:color w:val="212121"/>
                <w:sz w:val="19"/>
              </w:rPr>
              <w:t>Uncontrolled diabetes predisposes to chronic, recurrent tinea</w:t>
            </w:r>
          </w:p>
          <w:p>
            <w:pPr>
              <w:spacing w:after="40" w:line="252" w:lineRule="auto"/>
            </w:pPr>
            <w:hyperlink r:id="rId11">
              <w:r>
                <w:rPr>
                  <w:rFonts w:ascii="Calibri" w:hAnsi="Calibri" w:cs="Calibri"/>
                  <w:sz w:val="18"/>
                  <w:color w:val="1155CC"/>
                  <w:u w:val="single"/>
                </w:rPr>
                <w:t xml:space="preserve">https://www.ncbi.nlm.nih.gov/books/NBK554602/</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Treatment of nail/foot reservoirs</w:t>
            </w:r>
          </w:p>
        </w:tc>
        <w:tc>
          <w:tcPr>
            <w:tcW w:type="dxa" w:w="1655"/>
            <w:vAlign w:val="top"/>
          </w:tcPr>
          <w:p>
            <w:pPr>
              <w:spacing w:after="40" w:before="0" w:line="259" w:lineRule="auto"/>
            </w:pPr>
            <w:r>
              <w:rPr>
                <w:rFonts w:ascii="Calibri" w:hAnsi="Calibri"/>
                <w:b w:val="0"/>
                <w:i w:val="0"/>
                <w:color w:val="212121"/>
                <w:sz w:val="19"/>
              </w:rPr>
              <w:t>Recurrent tinea, elderly</w:t>
            </w:r>
          </w:p>
        </w:tc>
        <w:tc>
          <w:tcPr>
            <w:tcW w:type="dxa" w:w="1512"/>
            <w:vAlign w:val="top"/>
          </w:tcPr>
          <w:p>
            <w:pPr>
              <w:spacing w:after="40" w:before="0" w:line="259" w:lineRule="auto"/>
            </w:pPr>
            <w:r>
              <w:rPr>
                <w:rFonts w:ascii="Calibri" w:hAnsi="Calibri"/>
                <w:b w:val="0"/>
                <w:i w:val="0"/>
                <w:color w:val="212121"/>
                <w:sz w:val="19"/>
              </w:rPr>
              <w:t>Coexisting tinea pedis and onychomycosis treated</w:t>
            </w:r>
          </w:p>
        </w:tc>
        <w:tc>
          <w:tcPr>
            <w:tcW w:type="dxa" w:w="1512"/>
            <w:vAlign w:val="top"/>
          </w:tcPr>
          <w:p>
            <w:pPr>
              <w:spacing w:after="40" w:before="0" w:line="259" w:lineRule="auto"/>
            </w:pPr>
            <w:r>
              <w:rPr>
                <w:rFonts w:ascii="Calibri" w:hAnsi="Calibri"/>
                <w:b w:val="0"/>
                <w:i w:val="0"/>
                <w:color w:val="212121"/>
                <w:sz w:val="19"/>
              </w:rPr>
              <w:t>Untreated athlete's foot / nail fungus</w:t>
            </w:r>
          </w:p>
        </w:tc>
        <w:tc>
          <w:tcPr>
            <w:tcW w:type="dxa" w:w="1468"/>
            <w:vAlign w:val="top"/>
          </w:tcPr>
          <w:p>
            <w:pPr>
              <w:spacing w:after="60" w:line="259" w:lineRule="auto"/>
            </w:pPr>
            <w:r>
              <w:rPr>
                <w:rFonts w:ascii="Calibri" w:hAnsi="Calibri"/>
                <w:b w:val="0"/>
                <w:i w:val="0"/>
                <w:color w:val="212121"/>
                <w:sz w:val="19"/>
              </w:rPr>
              <w:t>Nail and foot infection re-seed body tinea</w:t>
            </w:r>
          </w:p>
          <w:p>
            <w:pPr>
              <w:spacing w:after="40" w:line="252" w:lineRule="auto"/>
            </w:pPr>
            <w:hyperlink r:id="rId15">
              <w:r>
                <w:rPr>
                  <w:rFonts w:ascii="Calibri" w:hAnsi="Calibri" w:cs="Calibri"/>
                  <w:sz w:val="18"/>
                  <w:color w:val="1155CC"/>
                  <w:u w:val="single"/>
                </w:rPr>
                <w:t xml:space="preserve">https://www.cdc.gov/ringworm/hcp/clinical-overview/index.html</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KOH microscopy of skin scrapings (active border)</w:t>
            </w:r>
          </w:p>
        </w:tc>
        <w:tc>
          <w:tcPr>
            <w:tcW w:type="dxa" w:w="892"/>
            <w:vAlign w:val="top"/>
          </w:tcPr>
          <w:p>
            <w:pPr>
              <w:spacing w:after="40" w:before="0" w:line="259" w:lineRule="auto"/>
            </w:pPr>
            <w:r>
              <w:rPr>
                <w:rFonts w:ascii="Calibri" w:hAnsi="Calibri"/>
                <w:b w:val="0"/>
                <w:i w:val="0"/>
                <w:color w:val="212121"/>
                <w:sz w:val="16"/>
              </w:rPr>
              <w:t>Direct microscopy</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Septate, branching, refractile hyphae</w:t>
            </w:r>
          </w:p>
        </w:tc>
        <w:tc>
          <w:tcPr>
            <w:tcW w:type="dxa" w:w="1036"/>
            <w:vAlign w:val="top"/>
          </w:tcPr>
          <w:p>
            <w:pPr>
              <w:spacing w:after="40" w:before="0" w:line="259" w:lineRule="auto"/>
            </w:pPr>
            <w:r>
              <w:rPr>
                <w:rFonts w:ascii="Calibri" w:hAnsi="Calibri"/>
                <w:b w:val="0"/>
                <w:i w:val="0"/>
                <w:color w:val="212121"/>
                <w:sz w:val="16"/>
              </w:rPr>
              <w:t>Confirms dermatophytosis; key bedside test</w:t>
            </w:r>
          </w:p>
        </w:tc>
        <w:tc>
          <w:tcPr>
            <w:tcW w:type="dxa" w:w="1036"/>
            <w:vAlign w:val="top"/>
          </w:tcPr>
          <w:p>
            <w:pPr>
              <w:spacing w:after="40" w:before="0" w:line="259" w:lineRule="auto"/>
            </w:pPr>
            <w:r>
              <w:rPr>
                <w:rFonts w:ascii="Calibri" w:hAnsi="Calibri"/>
                <w:b w:val="0"/>
                <w:i w:val="0"/>
                <w:color w:val="212121"/>
                <w:sz w:val="16"/>
              </w:rPr>
              <w:t>All suspected tinea corporis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False negatives in about 15%; scrape the leading scaly edge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Fungal culture (Sabouraud dextrose agar / DTM)</w:t>
            </w:r>
          </w:p>
        </w:tc>
        <w:tc>
          <w:tcPr>
            <w:tcW w:type="dxa" w:w="892"/>
            <w:vAlign w:val="top"/>
          </w:tcPr>
          <w:p>
            <w:pPr>
              <w:spacing w:after="40" w:before="0" w:line="259" w:lineRule="auto"/>
            </w:pPr>
            <w:r>
              <w:rPr>
                <w:rFonts w:ascii="Calibri" w:hAnsi="Calibri"/>
                <w:b w:val="0"/>
                <w:i w:val="0"/>
                <w:color w:val="212121"/>
                <w:sz w:val="16"/>
              </w:rPr>
              <w:t>Culture and speciation</w:t>
            </w:r>
          </w:p>
        </w:tc>
        <w:tc>
          <w:tcPr>
            <w:tcW w:type="dxa" w:w="950"/>
            <w:vAlign w:val="top"/>
          </w:tcPr>
          <w:p>
            <w:pPr>
              <w:spacing w:after="40" w:before="0" w:line="259" w:lineRule="auto"/>
            </w:pPr>
            <w:r>
              <w:rPr>
                <w:rFonts w:ascii="Calibri" w:hAnsi="Calibri"/>
                <w:b w:val="0"/>
                <w:i w:val="0"/>
                <w:color w:val="212121"/>
                <w:sz w:val="16"/>
              </w:rPr>
              <w:t>No dermatophyte growth</w:t>
            </w:r>
          </w:p>
        </w:tc>
        <w:tc>
          <w:tcPr>
            <w:tcW w:type="dxa" w:w="950"/>
            <w:vAlign w:val="top"/>
          </w:tcPr>
          <w:p>
            <w:pPr>
              <w:spacing w:after="40" w:before="0" w:line="259" w:lineRule="auto"/>
            </w:pPr>
            <w:r>
              <w:rPr>
                <w:rFonts w:ascii="Calibri" w:hAnsi="Calibri"/>
                <w:b w:val="0"/>
                <w:i w:val="0"/>
                <w:color w:val="212121"/>
                <w:sz w:val="16"/>
              </w:rPr>
              <w:t>Growth of T. indotineae, T. rubrum, Microsporum or Epidermophyton</w:t>
            </w:r>
          </w:p>
        </w:tc>
        <w:tc>
          <w:tcPr>
            <w:tcW w:type="dxa" w:w="1036"/>
            <w:vAlign w:val="top"/>
          </w:tcPr>
          <w:p>
            <w:pPr>
              <w:spacing w:after="40" w:before="0" w:line="259" w:lineRule="auto"/>
            </w:pPr>
            <w:r>
              <w:rPr>
                <w:rFonts w:ascii="Calibri" w:hAnsi="Calibri"/>
                <w:b w:val="0"/>
                <w:i w:val="0"/>
                <w:color w:val="212121"/>
                <w:sz w:val="16"/>
              </w:rPr>
              <w:t>Confirms and speciates the organism; guides resistant/chronic cases</w:t>
            </w:r>
          </w:p>
        </w:tc>
        <w:tc>
          <w:tcPr>
            <w:tcW w:type="dxa" w:w="1036"/>
            <w:vAlign w:val="top"/>
          </w:tcPr>
          <w:p>
            <w:pPr>
              <w:spacing w:after="40" w:before="0" w:line="259" w:lineRule="auto"/>
            </w:pPr>
            <w:r>
              <w:rPr>
                <w:rFonts w:ascii="Calibri" w:hAnsi="Calibri"/>
                <w:b w:val="0"/>
                <w:i w:val="0"/>
                <w:color w:val="212121"/>
                <w:sz w:val="16"/>
              </w:rPr>
              <w:t>Chronic, recurrent, atypical or resistant tinea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Growth takes about 5 days to 4 weeks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ITS sequencing / PCR and SQLE mutation analysis</w:t>
            </w:r>
          </w:p>
        </w:tc>
        <w:tc>
          <w:tcPr>
            <w:tcW w:type="dxa" w:w="892"/>
            <w:vAlign w:val="top"/>
          </w:tcPr>
          <w:p>
            <w:pPr>
              <w:spacing w:after="40" w:before="0" w:line="259" w:lineRule="auto"/>
            </w:pPr>
            <w:r>
              <w:rPr>
                <w:rFonts w:ascii="Calibri" w:hAnsi="Calibri"/>
                <w:b w:val="0"/>
                <w:i w:val="0"/>
                <w:color w:val="212121"/>
                <w:sz w:val="16"/>
              </w:rPr>
              <w:t>Genotyping</w:t>
            </w:r>
          </w:p>
        </w:tc>
        <w:tc>
          <w:tcPr>
            <w:tcW w:type="dxa" w:w="950"/>
            <w:vAlign w:val="top"/>
          </w:tcPr>
          <w:p>
            <w:pPr>
              <w:spacing w:after="40" w:before="0" w:line="259" w:lineRule="auto"/>
            </w:pPr>
            <w:r>
              <w:rPr>
                <w:rFonts w:ascii="Calibri" w:hAnsi="Calibri"/>
                <w:b w:val="0"/>
                <w:i w:val="0"/>
                <w:color w:val="212121"/>
                <w:sz w:val="16"/>
              </w:rPr>
              <w:t>No resistance mutation</w:t>
            </w:r>
          </w:p>
        </w:tc>
        <w:tc>
          <w:tcPr>
            <w:tcW w:type="dxa" w:w="950"/>
            <w:vAlign w:val="top"/>
          </w:tcPr>
          <w:p>
            <w:pPr>
              <w:spacing w:after="40" w:before="0" w:line="259" w:lineRule="auto"/>
            </w:pPr>
            <w:r>
              <w:rPr>
                <w:rFonts w:ascii="Calibri" w:hAnsi="Calibri"/>
                <w:b w:val="0"/>
                <w:i w:val="0"/>
                <w:color w:val="212121"/>
                <w:sz w:val="16"/>
              </w:rPr>
              <w:t>T. indotineae genotype VIII; SQLE mutation (e.g., L393F, F397L)</w:t>
            </w:r>
          </w:p>
        </w:tc>
        <w:tc>
          <w:tcPr>
            <w:tcW w:type="dxa" w:w="1036"/>
            <w:vAlign w:val="top"/>
          </w:tcPr>
          <w:p>
            <w:pPr>
              <w:spacing w:after="40" w:before="0" w:line="259" w:lineRule="auto"/>
            </w:pPr>
            <w:r>
              <w:rPr>
                <w:rFonts w:ascii="Calibri" w:hAnsi="Calibri"/>
                <w:b w:val="0"/>
                <w:i w:val="0"/>
                <w:color w:val="212121"/>
                <w:sz w:val="16"/>
              </w:rPr>
              <w:t>Identifies emerging terbinafine-resistant species and mechanism</w:t>
            </w:r>
          </w:p>
        </w:tc>
        <w:tc>
          <w:tcPr>
            <w:tcW w:type="dxa" w:w="1036"/>
            <w:vAlign w:val="top"/>
          </w:tcPr>
          <w:p>
            <w:pPr>
              <w:spacing w:after="40" w:before="0" w:line="259" w:lineRule="auto"/>
            </w:pPr>
            <w:r>
              <w:rPr>
                <w:rFonts w:ascii="Calibri" w:hAnsi="Calibri"/>
                <w:b w:val="0"/>
                <w:i w:val="0"/>
                <w:color w:val="212121"/>
                <w:sz w:val="16"/>
              </w:rPr>
              <w:t>Recalcitrant/terbinafine-failing tinea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Research</w:t>
            </w:r>
          </w:p>
        </w:tc>
        <w:tc>
          <w:tcPr>
            <w:tcW w:type="dxa" w:w="720"/>
            <w:vAlign w:val="top"/>
          </w:tcPr>
          <w:p>
            <w:pPr>
              <w:spacing w:after="40" w:before="0" w:line="259" w:lineRule="auto"/>
            </w:pPr>
            <w:r>
              <w:rPr>
                <w:rFonts w:ascii="Calibri" w:hAnsi="Calibri"/>
                <w:b w:val="0"/>
                <w:i w:val="0"/>
                <w:color w:val="212121"/>
                <w:sz w:val="16"/>
              </w:rPr>
              <w:t>Explains terbinafine failure; increasingly used in reference labs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Susceptibility</w:t>
            </w:r>
          </w:p>
        </w:tc>
        <w:tc>
          <w:tcPr>
            <w:tcW w:type="dxa" w:w="1036"/>
            <w:vAlign w:val="top"/>
          </w:tcPr>
          <w:p>
            <w:pPr>
              <w:spacing w:after="40" w:before="0" w:line="259" w:lineRule="auto"/>
            </w:pPr>
            <w:r>
              <w:rPr>
                <w:rFonts w:ascii="Calibri" w:hAnsi="Calibri"/>
                <w:b w:val="0"/>
                <w:i w:val="0"/>
                <w:color w:val="212121"/>
                <w:sz w:val="16"/>
              </w:rPr>
              <w:t>Antifungal susceptibility testing (terbinafine MIC)</w:t>
            </w:r>
          </w:p>
        </w:tc>
        <w:tc>
          <w:tcPr>
            <w:tcW w:type="dxa" w:w="892"/>
            <w:vAlign w:val="top"/>
          </w:tcPr>
          <w:p>
            <w:pPr>
              <w:spacing w:after="40" w:before="0" w:line="259" w:lineRule="auto"/>
            </w:pPr>
            <w:r>
              <w:rPr>
                <w:rFonts w:ascii="Calibri" w:hAnsi="Calibri"/>
                <w:b w:val="0"/>
                <w:i w:val="0"/>
                <w:color w:val="212121"/>
                <w:sz w:val="16"/>
              </w:rPr>
              <w:t>MIC testing</w:t>
            </w:r>
          </w:p>
        </w:tc>
        <w:tc>
          <w:tcPr>
            <w:tcW w:type="dxa" w:w="950"/>
            <w:vAlign w:val="top"/>
          </w:tcPr>
          <w:p>
            <w:pPr>
              <w:spacing w:after="40" w:before="0" w:line="259" w:lineRule="auto"/>
            </w:pPr>
            <w:r>
              <w:rPr>
                <w:rFonts w:ascii="Calibri" w:hAnsi="Calibri"/>
                <w:b w:val="0"/>
                <w:i w:val="0"/>
                <w:color w:val="212121"/>
                <w:sz w:val="16"/>
              </w:rPr>
              <w:t>Low MIC (susceptible)</w:t>
            </w:r>
          </w:p>
        </w:tc>
        <w:tc>
          <w:tcPr>
            <w:tcW w:type="dxa" w:w="950"/>
            <w:vAlign w:val="top"/>
          </w:tcPr>
          <w:p>
            <w:pPr>
              <w:spacing w:after="40" w:before="0" w:line="259" w:lineRule="auto"/>
            </w:pPr>
            <w:r>
              <w:rPr>
                <w:rFonts w:ascii="Calibri" w:hAnsi="Calibri"/>
                <w:b w:val="0"/>
                <w:i w:val="0"/>
                <w:color w:val="212121"/>
                <w:sz w:val="16"/>
              </w:rPr>
              <w:t>High terbinafine MIC (resistant)</w:t>
            </w:r>
          </w:p>
        </w:tc>
        <w:tc>
          <w:tcPr>
            <w:tcW w:type="dxa" w:w="1036"/>
            <w:vAlign w:val="top"/>
          </w:tcPr>
          <w:p>
            <w:pPr>
              <w:spacing w:after="40" w:before="0" w:line="259" w:lineRule="auto"/>
            </w:pPr>
            <w:r>
              <w:rPr>
                <w:rFonts w:ascii="Calibri" w:hAnsi="Calibri"/>
                <w:b w:val="0"/>
                <w:i w:val="0"/>
                <w:color w:val="212121"/>
                <w:sz w:val="16"/>
              </w:rPr>
              <w:t>Confirms in-vitro resistance and directs therapy to itraconazole</w:t>
            </w:r>
          </w:p>
        </w:tc>
        <w:tc>
          <w:tcPr>
            <w:tcW w:type="dxa" w:w="1036"/>
            <w:vAlign w:val="top"/>
          </w:tcPr>
          <w:p>
            <w:pPr>
              <w:spacing w:after="40" w:before="0" w:line="259" w:lineRule="auto"/>
            </w:pPr>
            <w:r>
              <w:rPr>
                <w:rFonts w:ascii="Calibri" w:hAnsi="Calibri"/>
                <w:b w:val="0"/>
                <w:i w:val="0"/>
                <w:color w:val="212121"/>
                <w:sz w:val="16"/>
              </w:rPr>
              <w:t>Non-responders to terbinafine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Up to 76% of T. indotineae and &gt;=57.1% of T. rubrum isolates were terbinafine-resistant in an Indian multicentre study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w:t>
            </w:r>
          </w:p>
        </w:tc>
        <w:tc>
          <w:tcPr>
            <w:tcW w:type="dxa" w:w="1036"/>
            <w:vAlign w:val="top"/>
          </w:tcPr>
          <w:p>
            <w:pPr>
              <w:spacing w:after="40" w:before="0" w:line="259" w:lineRule="auto"/>
            </w:pPr>
            <w:r>
              <w:rPr>
                <w:rFonts w:ascii="Calibri" w:hAnsi="Calibri"/>
                <w:b w:val="0"/>
                <w:i w:val="0"/>
                <w:color w:val="212121"/>
                <w:sz w:val="16"/>
              </w:rPr>
              <w:t>Dermoscopy / Wood's lamp</w:t>
            </w:r>
          </w:p>
        </w:tc>
        <w:tc>
          <w:tcPr>
            <w:tcW w:type="dxa" w:w="892"/>
            <w:vAlign w:val="top"/>
          </w:tcPr>
          <w:p>
            <w:pPr>
              <w:spacing w:after="40" w:before="0" w:line="259" w:lineRule="auto"/>
            </w:pPr>
            <w:r>
              <w:rPr>
                <w:rFonts w:ascii="Calibri" w:hAnsi="Calibri"/>
                <w:b w:val="0"/>
                <w:i w:val="0"/>
                <w:color w:val="212121"/>
                <w:sz w:val="16"/>
              </w:rPr>
              <w:t>Dermatoscopic &amp; UV examination</w:t>
            </w:r>
          </w:p>
        </w:tc>
        <w:tc>
          <w:tcPr>
            <w:tcW w:type="dxa" w:w="950"/>
            <w:vAlign w:val="top"/>
          </w:tcPr>
          <w:p>
            <w:pPr>
              <w:spacing w:after="40" w:before="0" w:line="259" w:lineRule="auto"/>
            </w:pPr>
            <w:r>
              <w:rPr>
                <w:rFonts w:ascii="Calibri" w:hAnsi="Calibri"/>
                <w:b w:val="0"/>
                <w:i w:val="0"/>
                <w:color w:val="212121"/>
                <w:sz w:val="16"/>
              </w:rPr>
              <w:t>Normal skin; most Trichophyton non-fluorescent</w:t>
            </w:r>
          </w:p>
        </w:tc>
        <w:tc>
          <w:tcPr>
            <w:tcW w:type="dxa" w:w="950"/>
            <w:vAlign w:val="top"/>
          </w:tcPr>
          <w:p>
            <w:pPr>
              <w:spacing w:after="40" w:before="0" w:line="259" w:lineRule="auto"/>
            </w:pPr>
            <w:r>
              <w:rPr>
                <w:rFonts w:ascii="Calibri" w:hAnsi="Calibri"/>
                <w:b w:val="0"/>
                <w:i w:val="0"/>
                <w:color w:val="212121"/>
                <w:sz w:val="16"/>
              </w:rPr>
              <w:t>Peripheral white scale, follicular micropustules, broken hairs; green fluorescence with some Microsporum</w:t>
            </w:r>
          </w:p>
        </w:tc>
        <w:tc>
          <w:tcPr>
            <w:tcW w:type="dxa" w:w="1036"/>
            <w:vAlign w:val="top"/>
          </w:tcPr>
          <w:p>
            <w:pPr>
              <w:spacing w:after="40" w:before="0" w:line="259" w:lineRule="auto"/>
            </w:pPr>
            <w:r>
              <w:rPr>
                <w:rFonts w:ascii="Calibri" w:hAnsi="Calibri"/>
                <w:b w:val="0"/>
                <w:i w:val="0"/>
                <w:color w:val="212121"/>
                <w:sz w:val="16"/>
              </w:rPr>
              <w:t>Supports diagnosis and distinguishes mimics; screens for certain species</w:t>
            </w:r>
          </w:p>
        </w:tc>
        <w:tc>
          <w:tcPr>
            <w:tcW w:type="dxa" w:w="1036"/>
            <w:vAlign w:val="top"/>
          </w:tcPr>
          <w:p>
            <w:pPr>
              <w:spacing w:after="40" w:before="0" w:line="259" w:lineRule="auto"/>
            </w:pPr>
            <w:r>
              <w:rPr>
                <w:rFonts w:ascii="Calibri" w:hAnsi="Calibri"/>
                <w:b w:val="0"/>
                <w:i w:val="0"/>
                <w:color w:val="212121"/>
                <w:sz w:val="16"/>
              </w:rPr>
              <w:t>Atypical or steroid-modified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Tinea corporis Trichophyton usually does not fluoresce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Skin biopsy with PAS stain</w:t>
            </w:r>
          </w:p>
        </w:tc>
        <w:tc>
          <w:tcPr>
            <w:tcW w:type="dxa" w:w="892"/>
            <w:vAlign w:val="top"/>
          </w:tcPr>
          <w:p>
            <w:pPr>
              <w:spacing w:after="40" w:before="0" w:line="259" w:lineRule="auto"/>
            </w:pPr>
            <w:r>
              <w:rPr>
                <w:rFonts w:ascii="Calibri" w:hAnsi="Calibri"/>
                <w:b w:val="0"/>
                <w:i w:val="0"/>
                <w:color w:val="212121"/>
                <w:sz w:val="16"/>
              </w:rPr>
              <w:t>Histopathological examination</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PAS-positive hyphae in stratum corneum; follicular/dermal invasion in Majocchi granuloma</w:t>
            </w:r>
          </w:p>
        </w:tc>
        <w:tc>
          <w:tcPr>
            <w:tcW w:type="dxa" w:w="1036"/>
            <w:vAlign w:val="top"/>
          </w:tcPr>
          <w:p>
            <w:pPr>
              <w:spacing w:after="40" w:before="0" w:line="259" w:lineRule="auto"/>
            </w:pPr>
            <w:r>
              <w:rPr>
                <w:rFonts w:ascii="Calibri" w:hAnsi="Calibri"/>
                <w:b w:val="0"/>
                <w:i w:val="0"/>
                <w:color w:val="212121"/>
                <w:sz w:val="16"/>
              </w:rPr>
              <w:t>Reserved for deep, atypical or diagnostically uncertain disease</w:t>
            </w:r>
          </w:p>
        </w:tc>
        <w:tc>
          <w:tcPr>
            <w:tcW w:type="dxa" w:w="1036"/>
            <w:vAlign w:val="top"/>
          </w:tcPr>
          <w:p>
            <w:pPr>
              <w:spacing w:after="40" w:before="0" w:line="259" w:lineRule="auto"/>
            </w:pPr>
            <w:r>
              <w:rPr>
                <w:rFonts w:ascii="Calibri" w:hAnsi="Calibri"/>
                <w:b w:val="0"/>
                <w:i w:val="0"/>
                <w:color w:val="212121"/>
                <w:sz w:val="16"/>
              </w:rPr>
              <w:t>Majocchi granuloma, refractory or atypical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PAS/GMS stains highlight fungi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Serological</w:t>
            </w:r>
          </w:p>
        </w:tc>
        <w:tc>
          <w:tcPr>
            <w:tcW w:type="dxa" w:w="1036"/>
            <w:vAlign w:val="top"/>
          </w:tcPr>
          <w:p>
            <w:pPr>
              <w:spacing w:after="40" w:before="0" w:line="259" w:lineRule="auto"/>
            </w:pPr>
            <w:r>
              <w:rPr>
                <w:rFonts w:ascii="Calibri" w:hAnsi="Calibri"/>
                <w:b w:val="0"/>
                <w:i w:val="0"/>
                <w:color w:val="212121"/>
                <w:sz w:val="16"/>
              </w:rPr>
              <w:t>Blood glucose / HbA1c and HIV screen</w:t>
            </w:r>
          </w:p>
        </w:tc>
        <w:tc>
          <w:tcPr>
            <w:tcW w:type="dxa" w:w="892"/>
            <w:vAlign w:val="top"/>
          </w:tcPr>
          <w:p>
            <w:pPr>
              <w:spacing w:after="40" w:before="0" w:line="259" w:lineRule="auto"/>
            </w:pPr>
            <w:r>
              <w:rPr>
                <w:rFonts w:ascii="Calibri" w:hAnsi="Calibri"/>
                <w:b w:val="0"/>
                <w:i w:val="0"/>
                <w:color w:val="212121"/>
                <w:sz w:val="16"/>
              </w:rPr>
              <w:t>Comorbidity screen</w:t>
            </w:r>
          </w:p>
        </w:tc>
        <w:tc>
          <w:tcPr>
            <w:tcW w:type="dxa" w:w="950"/>
            <w:vAlign w:val="top"/>
          </w:tcPr>
          <w:p>
            <w:pPr>
              <w:spacing w:after="40" w:before="0" w:line="259" w:lineRule="auto"/>
            </w:pPr>
            <w:r>
              <w:rPr>
                <w:rFonts w:ascii="Calibri" w:hAnsi="Calibri"/>
                <w:b w:val="0"/>
                <w:i w:val="0"/>
                <w:color w:val="212121"/>
                <w:sz w:val="16"/>
              </w:rPr>
              <w:t>Normal glucose; HIV non-reactive</w:t>
            </w:r>
          </w:p>
        </w:tc>
        <w:tc>
          <w:tcPr>
            <w:tcW w:type="dxa" w:w="950"/>
            <w:vAlign w:val="top"/>
          </w:tcPr>
          <w:p>
            <w:pPr>
              <w:spacing w:after="40" w:before="0" w:line="259" w:lineRule="auto"/>
            </w:pPr>
            <w:r>
              <w:rPr>
                <w:rFonts w:ascii="Calibri" w:hAnsi="Calibri"/>
                <w:b w:val="0"/>
                <w:i w:val="0"/>
                <w:color w:val="212121"/>
                <w:sz w:val="16"/>
              </w:rPr>
              <w:t>Hyperglycaemia/diabetes; HIV-reactive or other immunosuppression</w:t>
            </w:r>
          </w:p>
        </w:tc>
        <w:tc>
          <w:tcPr>
            <w:tcW w:type="dxa" w:w="1036"/>
            <w:vAlign w:val="top"/>
          </w:tcPr>
          <w:p>
            <w:pPr>
              <w:spacing w:after="40" w:before="0" w:line="259" w:lineRule="auto"/>
            </w:pPr>
            <w:r>
              <w:rPr>
                <w:rFonts w:ascii="Calibri" w:hAnsi="Calibri"/>
                <w:b w:val="0"/>
                <w:i w:val="0"/>
                <w:color w:val="212121"/>
                <w:sz w:val="16"/>
              </w:rPr>
              <w:t>Identifies predisposing conditions in extensive/recalcitrant tinea</w:t>
            </w:r>
          </w:p>
        </w:tc>
        <w:tc>
          <w:tcPr>
            <w:tcW w:type="dxa" w:w="1036"/>
            <w:vAlign w:val="top"/>
          </w:tcPr>
          <w:p>
            <w:pPr>
              <w:spacing w:after="40" w:before="0" w:line="259" w:lineRule="auto"/>
            </w:pPr>
            <w:r>
              <w:rPr>
                <w:rFonts w:ascii="Calibri" w:hAnsi="Calibri"/>
                <w:b w:val="0"/>
                <w:i w:val="0"/>
                <w:color w:val="212121"/>
                <w:sz w:val="16"/>
              </w:rPr>
              <w:t>Widespread, chronic or recurrent tinea</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Treating the comorbidity improves cure and reduces relapse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Itchy, spreading ring-shaped rash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Pruritic annular scaly plaques enlarging over weeks</w:t>
            </w:r>
          </w:p>
        </w:tc>
        <w:tc>
          <w:tcPr>
            <w:tcW w:type="dxa" w:w="1036"/>
            <w:vAlign w:val="top"/>
          </w:tcPr>
          <w:p>
            <w:pPr>
              <w:spacing w:after="40" w:before="0" w:line="259" w:lineRule="auto"/>
            </w:pPr>
            <w:r>
              <w:rPr>
                <w:rFonts w:ascii="Calibri" w:hAnsi="Calibri"/>
                <w:b w:val="0"/>
                <w:i w:val="0"/>
                <w:color w:val="212121"/>
                <w:sz w:val="16"/>
              </w:rPr>
              <w:t>Cardinal presentation of tinea corporis</w:t>
            </w:r>
          </w:p>
        </w:tc>
        <w:tc>
          <w:tcPr>
            <w:tcW w:type="dxa" w:w="1036"/>
            <w:vAlign w:val="top"/>
          </w:tcPr>
          <w:p>
            <w:pPr>
              <w:spacing w:after="40" w:before="0" w:line="259" w:lineRule="auto"/>
            </w:pPr>
            <w:r>
              <w:rPr>
                <w:rFonts w:ascii="Calibri" w:hAnsi="Calibri"/>
                <w:b w:val="0"/>
                <w:i w:val="0"/>
                <w:color w:val="212121"/>
                <w:sz w:val="16"/>
              </w:rPr>
              <w:t>All ages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Itch often intense and worse with sweating/heat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Topical steroid / cream history</w:t>
            </w:r>
          </w:p>
        </w:tc>
        <w:tc>
          <w:tcPr>
            <w:tcW w:type="dxa" w:w="979"/>
            <w:vAlign w:val="top"/>
          </w:tcPr>
          <w:p>
            <w:pPr>
              <w:spacing w:after="40" w:before="0" w:line="259" w:lineRule="auto"/>
            </w:pPr>
            <w:r>
              <w:rPr>
                <w:rFonts w:ascii="Calibri" w:hAnsi="Calibri"/>
                <w:b w:val="0"/>
                <w:i w:val="0"/>
                <w:color w:val="212121"/>
                <w:sz w:val="16"/>
              </w:rPr>
              <w:t>Prior use of OTC steroid or combination creams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Repeated use of clobetasol combination creams</w:t>
            </w:r>
          </w:p>
        </w:tc>
        <w:tc>
          <w:tcPr>
            <w:tcW w:type="dxa" w:w="1036"/>
            <w:vAlign w:val="top"/>
          </w:tcPr>
          <w:p>
            <w:pPr>
              <w:spacing w:after="40" w:before="0" w:line="259" w:lineRule="auto"/>
            </w:pPr>
            <w:r>
              <w:rPr>
                <w:rFonts w:ascii="Calibri" w:hAnsi="Calibri"/>
                <w:b w:val="0"/>
                <w:i w:val="0"/>
                <w:color w:val="212121"/>
                <w:sz w:val="16"/>
              </w:rPr>
              <w:t>Points to steroid-modified tinea (tinea incognito) and chronicity</w:t>
            </w:r>
          </w:p>
        </w:tc>
        <w:tc>
          <w:tcPr>
            <w:tcW w:type="dxa" w:w="1036"/>
            <w:vAlign w:val="top"/>
          </w:tcPr>
          <w:p>
            <w:pPr>
              <w:spacing w:after="40" w:before="0" w:line="259" w:lineRule="auto"/>
            </w:pPr>
            <w:r>
              <w:rPr>
                <w:rFonts w:ascii="Calibri" w:hAnsi="Calibri"/>
                <w:b w:val="0"/>
                <w:i w:val="0"/>
                <w:color w:val="212121"/>
                <w:sz w:val="16"/>
              </w:rPr>
              <w:t>Self-medicating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Key India-specific counselling and history point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Chronicity and treatment history</w:t>
            </w:r>
          </w:p>
        </w:tc>
        <w:tc>
          <w:tcPr>
            <w:tcW w:type="dxa" w:w="979"/>
            <w:vAlign w:val="top"/>
          </w:tcPr>
          <w:p>
            <w:pPr>
              <w:spacing w:after="40" w:before="0" w:line="259" w:lineRule="auto"/>
            </w:pPr>
            <w:r>
              <w:rPr>
                <w:rFonts w:ascii="Calibri" w:hAnsi="Calibri"/>
                <w:b w:val="0"/>
                <w:i w:val="0"/>
                <w:color w:val="212121"/>
                <w:sz w:val="16"/>
              </w:rPr>
              <w:t>Duration, relapses, prior antifungals</w:t>
            </w:r>
          </w:p>
        </w:tc>
        <w:tc>
          <w:tcPr>
            <w:tcW w:type="dxa" w:w="950"/>
            <w:vAlign w:val="top"/>
          </w:tcPr>
          <w:p>
            <w:pPr>
              <w:spacing w:after="40" w:before="0" w:line="259" w:lineRule="auto"/>
            </w:pPr>
            <w:r>
              <w:rPr>
                <w:rFonts w:ascii="Calibri" w:hAnsi="Calibri"/>
                <w:b w:val="0"/>
                <w:i w:val="0"/>
                <w:color w:val="212121"/>
                <w:sz w:val="16"/>
              </w:rPr>
              <w:t>Recent, treatment-naive</w:t>
            </w:r>
          </w:p>
        </w:tc>
        <w:tc>
          <w:tcPr>
            <w:tcW w:type="dxa" w:w="950"/>
            <w:vAlign w:val="top"/>
          </w:tcPr>
          <w:p>
            <w:pPr>
              <w:spacing w:after="40" w:before="0" w:line="259" w:lineRule="auto"/>
            </w:pPr>
            <w:r>
              <w:rPr>
                <w:rFonts w:ascii="Calibri" w:hAnsi="Calibri"/>
                <w:b w:val="0"/>
                <w:i w:val="0"/>
                <w:color w:val="212121"/>
                <w:sz w:val="16"/>
              </w:rPr>
              <w:t>&gt;6 months, recurrent, or terbinafine failure</w:t>
            </w:r>
          </w:p>
        </w:tc>
        <w:tc>
          <w:tcPr>
            <w:tcW w:type="dxa" w:w="1036"/>
            <w:vAlign w:val="top"/>
          </w:tcPr>
          <w:p>
            <w:pPr>
              <w:spacing w:after="40" w:before="0" w:line="259" w:lineRule="auto"/>
            </w:pPr>
            <w:r>
              <w:rPr>
                <w:rFonts w:ascii="Calibri" w:hAnsi="Calibri"/>
                <w:b w:val="0"/>
                <w:i w:val="0"/>
                <w:color w:val="212121"/>
                <w:sz w:val="16"/>
              </w:rPr>
              <w:t>Defines chronic/recurrent/recalcitrant disease and resistance risk</w:t>
            </w:r>
          </w:p>
        </w:tc>
        <w:tc>
          <w:tcPr>
            <w:tcW w:type="dxa" w:w="1036"/>
            <w:vAlign w:val="top"/>
          </w:tcPr>
          <w:p>
            <w:pPr>
              <w:spacing w:after="40" w:before="0" w:line="259" w:lineRule="auto"/>
            </w:pPr>
            <w:r>
              <w:rPr>
                <w:rFonts w:ascii="Calibri" w:hAnsi="Calibri"/>
                <w:b w:val="0"/>
                <w:i w:val="0"/>
                <w:color w:val="212121"/>
                <w:sz w:val="16"/>
              </w:rPr>
              <w:t>Recalcitrant tinea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choice of oral itraconazole and duration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Contact and exposure history</w:t>
            </w:r>
          </w:p>
        </w:tc>
        <w:tc>
          <w:tcPr>
            <w:tcW w:type="dxa" w:w="979"/>
            <w:vAlign w:val="top"/>
          </w:tcPr>
          <w:p>
            <w:pPr>
              <w:spacing w:after="40" w:before="0" w:line="259" w:lineRule="auto"/>
            </w:pPr>
            <w:r>
              <w:rPr>
                <w:rFonts w:ascii="Calibri" w:hAnsi="Calibri"/>
                <w:b w:val="0"/>
                <w:i w:val="0"/>
                <w:color w:val="212121"/>
                <w:sz w:val="16"/>
              </w:rPr>
              <w:t>Affected family/contacts, pets, sport, fomites</w:t>
            </w:r>
          </w:p>
        </w:tc>
        <w:tc>
          <w:tcPr>
            <w:tcW w:type="dxa" w:w="950"/>
            <w:vAlign w:val="top"/>
          </w:tcPr>
          <w:p>
            <w:pPr>
              <w:spacing w:after="40" w:before="0" w:line="259" w:lineRule="auto"/>
            </w:pPr>
            <w:r>
              <w:rPr>
                <w:rFonts w:ascii="Calibri" w:hAnsi="Calibri"/>
                <w:b w:val="0"/>
                <w:i w:val="0"/>
                <w:color w:val="212121"/>
                <w:sz w:val="16"/>
              </w:rPr>
              <w:t>No known source</w:t>
            </w:r>
          </w:p>
        </w:tc>
        <w:tc>
          <w:tcPr>
            <w:tcW w:type="dxa" w:w="950"/>
            <w:vAlign w:val="top"/>
          </w:tcPr>
          <w:p>
            <w:pPr>
              <w:spacing w:after="40" w:before="0" w:line="259" w:lineRule="auto"/>
            </w:pPr>
            <w:r>
              <w:rPr>
                <w:rFonts w:ascii="Calibri" w:hAnsi="Calibri"/>
                <w:b w:val="0"/>
                <w:i w:val="0"/>
                <w:color w:val="212121"/>
                <w:sz w:val="16"/>
              </w:rPr>
              <w:t>Affected household members, pets, contact sport, shared items</w:t>
            </w:r>
          </w:p>
        </w:tc>
        <w:tc>
          <w:tcPr>
            <w:tcW w:type="dxa" w:w="1036"/>
            <w:vAlign w:val="top"/>
          </w:tcPr>
          <w:p>
            <w:pPr>
              <w:spacing w:after="40" w:before="0" w:line="259" w:lineRule="auto"/>
            </w:pPr>
            <w:r>
              <w:rPr>
                <w:rFonts w:ascii="Calibri" w:hAnsi="Calibri"/>
                <w:b w:val="0"/>
                <w:i w:val="0"/>
                <w:color w:val="212121"/>
                <w:sz w:val="16"/>
              </w:rPr>
              <w:t>Identifies reservoir and transmission for source control</w:t>
            </w:r>
          </w:p>
        </w:tc>
        <w:tc>
          <w:tcPr>
            <w:tcW w:type="dxa" w:w="1036"/>
            <w:vAlign w:val="top"/>
          </w:tcPr>
          <w:p>
            <w:pPr>
              <w:spacing w:after="40" w:before="0" w:line="259" w:lineRule="auto"/>
            </w:pPr>
            <w:r>
              <w:rPr>
                <w:rFonts w:ascii="Calibri" w:hAnsi="Calibri"/>
                <w:b w:val="0"/>
                <w:i w:val="0"/>
                <w:color w:val="212121"/>
                <w:sz w:val="16"/>
              </w:rPr>
              <w:t>Household clusters, athletes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Treat contacts and fomites to prevent reinfection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Lesion morphology</w:t>
            </w:r>
          </w:p>
        </w:tc>
        <w:tc>
          <w:tcPr>
            <w:tcW w:type="dxa" w:w="979"/>
            <w:vAlign w:val="top"/>
          </w:tcPr>
          <w:p>
            <w:pPr>
              <w:spacing w:after="40" w:before="0" w:line="259" w:lineRule="auto"/>
            </w:pPr>
            <w:r>
              <w:rPr>
                <w:rFonts w:ascii="Calibri" w:hAnsi="Calibri"/>
                <w:b w:val="0"/>
                <w:i w:val="0"/>
                <w:color w:val="212121"/>
                <w:sz w:val="16"/>
              </w:rPr>
              <w:t>Annular plaque, raised scaly active border, central clearing</w:t>
            </w:r>
          </w:p>
        </w:tc>
        <w:tc>
          <w:tcPr>
            <w:tcW w:type="dxa" w:w="950"/>
            <w:vAlign w:val="top"/>
          </w:tcPr>
          <w:p>
            <w:pPr>
              <w:spacing w:after="40" w:before="0" w:line="259" w:lineRule="auto"/>
            </w:pPr>
            <w:r>
              <w:rPr>
                <w:rFonts w:ascii="Calibri" w:hAnsi="Calibri"/>
                <w:b w:val="0"/>
                <w:i w:val="0"/>
                <w:color w:val="212121"/>
                <w:sz w:val="16"/>
              </w:rPr>
              <w:t>Normal skin</w:t>
            </w:r>
          </w:p>
        </w:tc>
        <w:tc>
          <w:tcPr>
            <w:tcW w:type="dxa" w:w="950"/>
            <w:vAlign w:val="top"/>
          </w:tcPr>
          <w:p>
            <w:pPr>
              <w:spacing w:after="40" w:before="0" w:line="259" w:lineRule="auto"/>
            </w:pPr>
            <w:r>
              <w:rPr>
                <w:rFonts w:ascii="Calibri" w:hAnsi="Calibri"/>
                <w:b w:val="0"/>
                <w:i w:val="0"/>
                <w:color w:val="212121"/>
                <w:sz w:val="16"/>
              </w:rPr>
              <w:t>Ring-shaped plaque with advancing scaly erythematous edge</w:t>
            </w:r>
          </w:p>
        </w:tc>
        <w:tc>
          <w:tcPr>
            <w:tcW w:type="dxa" w:w="1036"/>
            <w:vAlign w:val="top"/>
          </w:tcPr>
          <w:p>
            <w:pPr>
              <w:spacing w:after="40" w:before="0" w:line="259" w:lineRule="auto"/>
            </w:pPr>
            <w:r>
              <w:rPr>
                <w:rFonts w:ascii="Calibri" w:hAnsi="Calibri"/>
                <w:b w:val="0"/>
                <w:i w:val="0"/>
                <w:color w:val="212121"/>
                <w:sz w:val="16"/>
              </w:rPr>
              <w:t>Hallmark clinical sign of tinea corporis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Border is the best site for scraping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Distribution and extent</w:t>
            </w:r>
          </w:p>
        </w:tc>
        <w:tc>
          <w:tcPr>
            <w:tcW w:type="dxa" w:w="979"/>
            <w:vAlign w:val="top"/>
          </w:tcPr>
          <w:p>
            <w:pPr>
              <w:spacing w:after="40" w:before="0" w:line="259" w:lineRule="auto"/>
            </w:pPr>
            <w:r>
              <w:rPr>
                <w:rFonts w:ascii="Calibri" w:hAnsi="Calibri"/>
                <w:b w:val="0"/>
                <w:i w:val="0"/>
                <w:color w:val="212121"/>
                <w:sz w:val="16"/>
              </w:rPr>
              <w:t>Number of lesions and body-surface area</w:t>
            </w:r>
          </w:p>
        </w:tc>
        <w:tc>
          <w:tcPr>
            <w:tcW w:type="dxa" w:w="950"/>
            <w:vAlign w:val="top"/>
          </w:tcPr>
          <w:p>
            <w:pPr>
              <w:spacing w:after="40" w:before="0" w:line="259" w:lineRule="auto"/>
            </w:pPr>
            <w:r>
              <w:rPr>
                <w:rFonts w:ascii="Calibri" w:hAnsi="Calibri"/>
                <w:b w:val="0"/>
                <w:i w:val="0"/>
                <w:color w:val="212121"/>
                <w:sz w:val="16"/>
              </w:rPr>
              <w:t>Single localised lesion</w:t>
            </w:r>
          </w:p>
        </w:tc>
        <w:tc>
          <w:tcPr>
            <w:tcW w:type="dxa" w:w="950"/>
            <w:vAlign w:val="top"/>
          </w:tcPr>
          <w:p>
            <w:pPr>
              <w:spacing w:after="40" w:before="0" w:line="259" w:lineRule="auto"/>
            </w:pPr>
            <w:r>
              <w:rPr>
                <w:rFonts w:ascii="Calibri" w:hAnsi="Calibri"/>
                <w:b w:val="0"/>
                <w:i w:val="0"/>
                <w:color w:val="212121"/>
                <w:sz w:val="16"/>
              </w:rPr>
              <w:t>Multiple, confluent, extensive, multi-site involvement</w:t>
            </w:r>
          </w:p>
        </w:tc>
        <w:tc>
          <w:tcPr>
            <w:tcW w:type="dxa" w:w="1036"/>
            <w:vAlign w:val="top"/>
          </w:tcPr>
          <w:p>
            <w:pPr>
              <w:spacing w:after="40" w:before="0" w:line="259" w:lineRule="auto"/>
            </w:pPr>
            <w:r>
              <w:rPr>
                <w:rFonts w:ascii="Calibri" w:hAnsi="Calibri"/>
                <w:b w:val="0"/>
                <w:i w:val="0"/>
                <w:color w:val="212121"/>
                <w:sz w:val="16"/>
              </w:rPr>
              <w:t>Extensive disease indicates severe/epidemic-type tinea needing oral therapy</w:t>
            </w:r>
          </w:p>
        </w:tc>
        <w:tc>
          <w:tcPr>
            <w:tcW w:type="dxa" w:w="1036"/>
            <w:vAlign w:val="top"/>
          </w:tcPr>
          <w:p>
            <w:pPr>
              <w:spacing w:after="40" w:before="0" w:line="259" w:lineRule="auto"/>
            </w:pPr>
            <w:r>
              <w:rPr>
                <w:rFonts w:ascii="Calibri" w:hAnsi="Calibri"/>
                <w:b w:val="0"/>
                <w:i w:val="0"/>
                <w:color w:val="212121"/>
                <w:sz w:val="16"/>
              </w:rPr>
              <w:t>Epidemic/recalcitrant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Assess groin, buttocks, trunk and face together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Steroid-modification signs</w:t>
            </w:r>
          </w:p>
        </w:tc>
        <w:tc>
          <w:tcPr>
            <w:tcW w:type="dxa" w:w="979"/>
            <w:vAlign w:val="top"/>
          </w:tcPr>
          <w:p>
            <w:pPr>
              <w:spacing w:after="40" w:before="0" w:line="259" w:lineRule="auto"/>
            </w:pPr>
            <w:r>
              <w:rPr>
                <w:rFonts w:ascii="Calibri" w:hAnsi="Calibri"/>
                <w:b w:val="0"/>
                <w:i w:val="0"/>
                <w:color w:val="212121"/>
                <w:sz w:val="16"/>
              </w:rPr>
              <w:t>Atrophy, striae, telangiectasia, loss of scale, pustules, ill-defined edge</w:t>
            </w:r>
          </w:p>
        </w:tc>
        <w:tc>
          <w:tcPr>
            <w:tcW w:type="dxa" w:w="950"/>
            <w:vAlign w:val="top"/>
          </w:tcPr>
          <w:p>
            <w:pPr>
              <w:spacing w:after="40" w:before="0" w:line="259" w:lineRule="auto"/>
            </w:pPr>
            <w:r>
              <w:rPr>
                <w:rFonts w:ascii="Calibri" w:hAnsi="Calibri"/>
                <w:b w:val="0"/>
                <w:i w:val="0"/>
                <w:color w:val="212121"/>
                <w:sz w:val="16"/>
              </w:rPr>
              <w:t>Classic scaly ring</w:t>
            </w:r>
          </w:p>
        </w:tc>
        <w:tc>
          <w:tcPr>
            <w:tcW w:type="dxa" w:w="950"/>
            <w:vAlign w:val="top"/>
          </w:tcPr>
          <w:p>
            <w:pPr>
              <w:spacing w:after="40" w:before="0" w:line="259" w:lineRule="auto"/>
            </w:pPr>
            <w:r>
              <w:rPr>
                <w:rFonts w:ascii="Calibri" w:hAnsi="Calibri"/>
                <w:b w:val="0"/>
                <w:i w:val="0"/>
                <w:color w:val="212121"/>
                <w:sz w:val="16"/>
              </w:rPr>
              <w:t>Masked, atypical, pustular or atrophic lesions</w:t>
            </w:r>
          </w:p>
        </w:tc>
        <w:tc>
          <w:tcPr>
            <w:tcW w:type="dxa" w:w="1036"/>
            <w:vAlign w:val="top"/>
          </w:tcPr>
          <w:p>
            <w:pPr>
              <w:spacing w:after="40" w:before="0" w:line="259" w:lineRule="auto"/>
            </w:pPr>
            <w:r>
              <w:rPr>
                <w:rFonts w:ascii="Calibri" w:hAnsi="Calibri"/>
                <w:b w:val="0"/>
                <w:i w:val="0"/>
                <w:color w:val="212121"/>
                <w:sz w:val="16"/>
              </w:rPr>
              <w:t>Confirms tinea incognito from steroid abuse</w:t>
            </w:r>
          </w:p>
        </w:tc>
        <w:tc>
          <w:tcPr>
            <w:tcW w:type="dxa" w:w="1036"/>
            <w:vAlign w:val="top"/>
          </w:tcPr>
          <w:p>
            <w:pPr>
              <w:spacing w:after="40" w:before="0" w:line="259" w:lineRule="auto"/>
            </w:pPr>
            <w:r>
              <w:rPr>
                <w:rFonts w:ascii="Calibri" w:hAnsi="Calibri"/>
                <w:b w:val="0"/>
                <w:i w:val="0"/>
                <w:color w:val="212121"/>
                <w:sz w:val="16"/>
              </w:rPr>
              <w:t>Combination-cream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Withhold steroid and re-scrape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 immune status</w:t>
            </w:r>
          </w:p>
        </w:tc>
        <w:tc>
          <w:tcPr>
            <w:tcW w:type="dxa" w:w="979"/>
            <w:vAlign w:val="top"/>
          </w:tcPr>
          <w:p>
            <w:pPr>
              <w:spacing w:after="40" w:before="0" w:line="259" w:lineRule="auto"/>
            </w:pPr>
            <w:r>
              <w:rPr>
                <w:rFonts w:ascii="Calibri" w:hAnsi="Calibri"/>
                <w:b w:val="0"/>
                <w:i w:val="0"/>
                <w:color w:val="212121"/>
                <w:sz w:val="16"/>
              </w:rPr>
              <w:t>Diabetes, HIV, immunosuppression, obesity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Diabetes, immunosuppression or obesity present</w:t>
            </w:r>
          </w:p>
        </w:tc>
        <w:tc>
          <w:tcPr>
            <w:tcW w:type="dxa" w:w="1036"/>
            <w:vAlign w:val="top"/>
          </w:tcPr>
          <w:p>
            <w:pPr>
              <w:spacing w:after="40" w:before="0" w:line="259" w:lineRule="auto"/>
            </w:pPr>
            <w:r>
              <w:rPr>
                <w:rFonts w:ascii="Calibri" w:hAnsi="Calibri"/>
                <w:b w:val="0"/>
                <w:i w:val="0"/>
                <w:color w:val="212121"/>
                <w:sz w:val="16"/>
              </w:rPr>
              <w:t>Explains extensive, chronic or recurrent disease</w:t>
            </w:r>
          </w:p>
        </w:tc>
        <w:tc>
          <w:tcPr>
            <w:tcW w:type="dxa" w:w="1036"/>
            <w:vAlign w:val="top"/>
          </w:tcPr>
          <w:p>
            <w:pPr>
              <w:spacing w:after="40" w:before="0" w:line="259" w:lineRule="auto"/>
            </w:pPr>
            <w:r>
              <w:rPr>
                <w:rFonts w:ascii="Calibri" w:hAnsi="Calibri"/>
                <w:b w:val="0"/>
                <w:i w:val="0"/>
                <w:color w:val="212121"/>
                <w:sz w:val="16"/>
              </w:rPr>
              <w:t>Severe or recurrent tinea</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Optimise comorbidity to improve cure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Itching (pruritus), often intense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predominant symptom; typically worse with heat and sweating.</w:t>
            </w:r>
          </w:p>
        </w:tc>
      </w:tr>
      <w:tr>
        <w:trPr>
          <w:cantSplit/>
        </w:trPr>
        <w:tc>
          <w:tcPr>
            <w:tcW w:type="dxa" w:w="2304"/>
            <w:vAlign w:val="top"/>
          </w:tcPr>
          <w:p>
            <w:pPr>
              <w:spacing w:after="40" w:before="0" w:line="259" w:lineRule="auto"/>
            </w:pPr>
            <w:r>
              <w:rPr>
                <w:rFonts w:ascii="Calibri" w:hAnsi="Calibri"/>
                <w:b/>
                <w:i w:val="0"/>
                <w:color w:val="212121"/>
                <w:sz w:val="19"/>
              </w:rPr>
              <w:t>Ring-shaped red (or gray-brown on dark skin) rash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Annular lesion with a well-defined, raised, active edge; appears gray or brown on darker skin.</w:t>
            </w:r>
          </w:p>
        </w:tc>
      </w:tr>
      <w:tr>
        <w:trPr>
          <w:cantSplit/>
        </w:trPr>
        <w:tc>
          <w:tcPr>
            <w:tcW w:type="dxa" w:w="2304"/>
            <w:vAlign w:val="top"/>
          </w:tcPr>
          <w:p>
            <w:pPr>
              <w:spacing w:after="40" w:before="0" w:line="259" w:lineRule="auto"/>
            </w:pPr>
            <w:r>
              <w:rPr>
                <w:rFonts w:ascii="Calibri" w:hAnsi="Calibri"/>
                <w:b/>
                <w:i w:val="0"/>
                <w:color w:val="212121"/>
                <w:sz w:val="19"/>
              </w:rPr>
              <w:t>Scaling and flaking at the lesion edge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Fine peripheral scale on the advancing border - the site to scrape for KOH.</w:t>
            </w:r>
          </w:p>
        </w:tc>
      </w:tr>
      <w:tr>
        <w:trPr>
          <w:cantSplit/>
        </w:trPr>
        <w:tc>
          <w:tcPr>
            <w:tcW w:type="dxa" w:w="2304"/>
            <w:vAlign w:val="top"/>
          </w:tcPr>
          <w:p>
            <w:pPr>
              <w:spacing w:after="40" w:before="0" w:line="259" w:lineRule="auto"/>
            </w:pPr>
            <w:r>
              <w:rPr>
                <w:rFonts w:ascii="Calibri" w:hAnsi="Calibri"/>
                <w:b/>
                <w:i w:val="0"/>
                <w:color w:val="212121"/>
                <w:sz w:val="19"/>
              </w:rPr>
              <w:t>Enlarging / centrifugally spreading lesions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Lesions expand outward over days to weeks with relative central clearing.</w:t>
            </w:r>
          </w:p>
        </w:tc>
      </w:tr>
      <w:tr>
        <w:trPr>
          <w:cantSplit/>
        </w:trPr>
        <w:tc>
          <w:tcPr>
            <w:tcW w:type="dxa" w:w="2304"/>
            <w:vAlign w:val="top"/>
          </w:tcPr>
          <w:p>
            <w:pPr>
              <w:spacing w:after="40" w:before="0" w:line="259" w:lineRule="auto"/>
            </w:pPr>
            <w:r>
              <w:rPr>
                <w:rFonts w:ascii="Calibri" w:hAnsi="Calibri"/>
                <w:b/>
                <w:i w:val="0"/>
                <w:color w:val="212121"/>
                <w:sz w:val="19"/>
              </w:rPr>
              <w:t>Multiple or widespread lesions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Characteristic of the Indian epidemic; trunk, groin, buttocks and face often involved together.</w:t>
            </w:r>
          </w:p>
        </w:tc>
      </w:tr>
      <w:tr>
        <w:trPr>
          <w:cantSplit/>
        </w:trPr>
        <w:tc>
          <w:tcPr>
            <w:tcW w:type="dxa" w:w="2304"/>
            <w:vAlign w:val="top"/>
          </w:tcPr>
          <w:p>
            <w:pPr>
              <w:spacing w:after="40" w:before="0" w:line="259" w:lineRule="auto"/>
            </w:pPr>
            <w:r>
              <w:rPr>
                <w:rFonts w:ascii="Calibri" w:hAnsi="Calibri"/>
                <w:b/>
                <w:i w:val="0"/>
                <w:color w:val="212121"/>
                <w:sz w:val="19"/>
              </w:rPr>
              <w:t>Worsening with sweat, heat and humidity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Symptoms flare in summer/monsoon and under occlusive clothing.</w:t>
            </w:r>
          </w:p>
        </w:tc>
      </w:tr>
      <w:tr>
        <w:trPr>
          <w:cantSplit/>
        </w:trPr>
        <w:tc>
          <w:tcPr>
            <w:tcW w:type="dxa" w:w="2304"/>
            <w:vAlign w:val="top"/>
          </w:tcPr>
          <w:p>
            <w:pPr>
              <w:spacing w:after="40" w:before="0" w:line="259" w:lineRule="auto"/>
            </w:pPr>
            <w:r>
              <w:rPr>
                <w:rFonts w:ascii="Calibri" w:hAnsi="Calibri"/>
                <w:b/>
                <w:i w:val="0"/>
                <w:color w:val="212121"/>
                <w:sz w:val="19"/>
              </w:rPr>
              <w:t>Burning or stinging of the affected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Especially with inflamed, macerated or secondarily infected lesions.</w:t>
            </w:r>
          </w:p>
        </w:tc>
      </w:tr>
      <w:tr>
        <w:trPr>
          <w:cantSplit/>
        </w:trPr>
        <w:tc>
          <w:tcPr>
            <w:tcW w:type="dxa" w:w="2304"/>
            <w:vAlign w:val="top"/>
          </w:tcPr>
          <w:p>
            <w:pPr>
              <w:spacing w:after="40" w:before="0" w:line="259" w:lineRule="auto"/>
            </w:pPr>
            <w:r>
              <w:rPr>
                <w:rFonts w:ascii="Calibri" w:hAnsi="Calibri"/>
                <w:b/>
                <w:i w:val="0"/>
                <w:color w:val="212121"/>
                <w:sz w:val="19"/>
              </w:rPr>
              <w:t>Recurrence soon after stopping treatment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Hallmark of chronic/recurrent and terbinafine-resistant disease and untreated reservoirs.</w:t>
            </w:r>
          </w:p>
        </w:tc>
      </w:tr>
      <w:tr>
        <w:trPr>
          <w:cantSplit/>
        </w:trPr>
        <w:tc>
          <w:tcPr>
            <w:tcW w:type="dxa" w:w="2304"/>
            <w:vAlign w:val="top"/>
          </w:tcPr>
          <w:p>
            <w:pPr>
              <w:spacing w:after="40" w:before="0" w:line="259" w:lineRule="auto"/>
            </w:pPr>
            <w:r>
              <w:rPr>
                <w:rFonts w:ascii="Calibri" w:hAnsi="Calibri"/>
                <w:b/>
                <w:i w:val="0"/>
                <w:color w:val="212121"/>
                <w:sz w:val="19"/>
              </w:rPr>
              <w:t>Post-inflammatory darkening after healing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Residual hyperpigmentation, prominent in Indian skin, that fades slowly.</w:t>
            </w:r>
          </w:p>
        </w:tc>
      </w:tr>
      <w:tr>
        <w:trPr>
          <w:cantSplit/>
        </w:trPr>
        <w:tc>
          <w:tcPr>
            <w:tcW w:type="dxa" w:w="2304"/>
            <w:vAlign w:val="top"/>
          </w:tcPr>
          <w:p>
            <w:pPr>
              <w:spacing w:after="40" w:before="0" w:line="259" w:lineRule="auto"/>
            </w:pPr>
            <w:r>
              <w:rPr>
                <w:rFonts w:ascii="Calibri" w:hAnsi="Calibri"/>
                <w:b/>
                <w:i w:val="0"/>
                <w:color w:val="212121"/>
                <w:sz w:val="19"/>
              </w:rPr>
              <w:t>Tender deep bumps or nodules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 Majocchi granuloma (deep follicular/dermal invasion), often after shaving or steroid use.</w:t>
            </w:r>
          </w:p>
        </w:tc>
      </w:tr>
      <w:tr>
        <w:trPr>
          <w:cantSplit/>
        </w:trPr>
        <w:tc>
          <w:tcPr>
            <w:tcW w:type="dxa" w:w="2304"/>
            <w:vAlign w:val="top"/>
          </w:tcPr>
          <w:p>
            <w:pPr>
              <w:spacing w:after="40" w:before="0" w:line="259" w:lineRule="auto"/>
            </w:pPr>
            <w:r>
              <w:rPr>
                <w:rFonts w:ascii="Calibri" w:hAnsi="Calibri"/>
                <w:b/>
                <w:i w:val="0"/>
                <w:color w:val="212121"/>
                <w:sz w:val="19"/>
              </w:rPr>
              <w:t>Itchy blistering rash on hands/elsewhere without fungus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Dermatophytid (id) reaction - an immune response at a distant site.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Annular plaque with raised, scaly, erythematous active border and central clearing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defining sign of tinea corporis; margin may be papular or vesicular.</w:t>
            </w:r>
          </w:p>
        </w:tc>
      </w:tr>
      <w:tr>
        <w:trPr>
          <w:cantSplit/>
        </w:trPr>
        <w:tc>
          <w:tcPr>
            <w:tcW w:type="dxa" w:w="3456"/>
            <w:vAlign w:val="top"/>
          </w:tcPr>
          <w:p>
            <w:pPr>
              <w:spacing w:after="40" w:before="0" w:line="259" w:lineRule="auto"/>
            </w:pPr>
            <w:r>
              <w:rPr>
                <w:rFonts w:ascii="Calibri" w:hAnsi="Calibri"/>
                <w:b/>
                <w:i w:val="0"/>
                <w:color w:val="212121"/>
                <w:sz w:val="19"/>
              </w:rPr>
              <w:t>Peripheral (edge) scaling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Scale concentrated at the advancing rim; best yield for KOH scraping.</w:t>
            </w:r>
          </w:p>
        </w:tc>
      </w:tr>
      <w:tr>
        <w:trPr>
          <w:cantSplit/>
        </w:trPr>
        <w:tc>
          <w:tcPr>
            <w:tcW w:type="dxa" w:w="3456"/>
            <w:vAlign w:val="top"/>
          </w:tcPr>
          <w:p>
            <w:pPr>
              <w:spacing w:after="40" w:before="0" w:line="259" w:lineRule="auto"/>
            </w:pPr>
            <w:r>
              <w:rPr>
                <w:rFonts w:ascii="Calibri" w:hAnsi="Calibri"/>
                <w:b/>
                <w:i w:val="0"/>
                <w:color w:val="212121"/>
                <w:sz w:val="19"/>
              </w:rPr>
              <w:t>Well-demarcated, sharply marginated lesion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Sharp margin helps distinguish tinea from eczema and psoriasis.</w:t>
            </w:r>
          </w:p>
        </w:tc>
      </w:tr>
      <w:tr>
        <w:trPr>
          <w:cantSplit/>
        </w:trPr>
        <w:tc>
          <w:tcPr>
            <w:tcW w:type="dxa" w:w="3456"/>
            <w:vAlign w:val="top"/>
          </w:tcPr>
          <w:p>
            <w:pPr>
              <w:spacing w:after="40" w:before="0" w:line="259" w:lineRule="auto"/>
            </w:pPr>
            <w:r>
              <w:rPr>
                <w:rFonts w:ascii="Calibri" w:hAnsi="Calibri"/>
                <w:b/>
                <w:i w:val="0"/>
                <w:color w:val="212121"/>
                <w:sz w:val="19"/>
              </w:rPr>
              <w:t>Multiple, confluent, polycyclic lesions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Coalescing rings producing large map-like areas in extensive Indian cases.</w:t>
            </w:r>
          </w:p>
        </w:tc>
      </w:tr>
      <w:tr>
        <w:trPr>
          <w:cantSplit/>
        </w:trPr>
        <w:tc>
          <w:tcPr>
            <w:tcW w:type="dxa" w:w="3456"/>
            <w:vAlign w:val="top"/>
          </w:tcPr>
          <w:p>
            <w:pPr>
              <w:spacing w:after="40" w:before="0" w:line="259" w:lineRule="auto"/>
            </w:pPr>
            <w:r>
              <w:rPr>
                <w:rFonts w:ascii="Calibri" w:hAnsi="Calibri"/>
                <w:b/>
                <w:i w:val="0"/>
                <w:color w:val="212121"/>
                <w:sz w:val="19"/>
              </w:rPr>
              <w:t>Excoriation marks from scratching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intense pruritus; may bleed and predispose to secondary infection.</w:t>
            </w:r>
          </w:p>
        </w:tc>
      </w:tr>
      <w:tr>
        <w:trPr>
          <w:cantSplit/>
        </w:trPr>
        <w:tc>
          <w:tcPr>
            <w:tcW w:type="dxa" w:w="3456"/>
            <w:vAlign w:val="top"/>
          </w:tcPr>
          <w:p>
            <w:pPr>
              <w:spacing w:after="40" w:before="0" w:line="259" w:lineRule="auto"/>
            </w:pPr>
            <w:r>
              <w:rPr>
                <w:rFonts w:ascii="Calibri" w:hAnsi="Calibri"/>
                <w:b/>
                <w:i w:val="0"/>
                <w:color w:val="212121"/>
                <w:sz w:val="19"/>
              </w:rPr>
              <w:t>Positive KOH microscopy (branching septate hyphae)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Bedside confirmation of dermatophyte hyphae in skin scrapings.</w:t>
            </w:r>
          </w:p>
        </w:tc>
      </w:tr>
      <w:tr>
        <w:trPr>
          <w:cantSplit/>
        </w:trPr>
        <w:tc>
          <w:tcPr>
            <w:tcW w:type="dxa" w:w="3456"/>
            <w:vAlign w:val="top"/>
          </w:tcPr>
          <w:p>
            <w:pPr>
              <w:spacing w:after="40" w:before="0" w:line="259" w:lineRule="auto"/>
            </w:pPr>
            <w:r>
              <w:rPr>
                <w:rFonts w:ascii="Calibri" w:hAnsi="Calibri"/>
                <w:b/>
                <w:i w:val="0"/>
                <w:color w:val="212121"/>
                <w:sz w:val="19"/>
              </w:rPr>
              <w:t>Steroid-modified (tinea incognito) appearance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Ill-defined edge, reduced scale, pustules, wider spread, plus atrophy, striae and telangiectasia from steroid use.</w:t>
            </w:r>
          </w:p>
        </w:tc>
      </w:tr>
      <w:tr>
        <w:trPr>
          <w:cantSplit/>
        </w:trPr>
        <w:tc>
          <w:tcPr>
            <w:tcW w:type="dxa" w:w="3456"/>
            <w:vAlign w:val="top"/>
          </w:tcPr>
          <w:p>
            <w:pPr>
              <w:spacing w:after="40" w:before="0" w:line="259" w:lineRule="auto"/>
            </w:pPr>
            <w:r>
              <w:rPr>
                <w:rFonts w:ascii="Calibri" w:hAnsi="Calibri"/>
                <w:b/>
                <w:i w:val="0"/>
                <w:color w:val="212121"/>
                <w:sz w:val="19"/>
              </w:rPr>
              <w:t>Follicular papules and pustules at the border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 follicular involvement or steroid modification.</w:t>
            </w:r>
          </w:p>
        </w:tc>
      </w:tr>
      <w:tr>
        <w:trPr>
          <w:cantSplit/>
        </w:trPr>
        <w:tc>
          <w:tcPr>
            <w:tcW w:type="dxa" w:w="3456"/>
            <w:vAlign w:val="top"/>
          </w:tcPr>
          <w:p>
            <w:pPr>
              <w:spacing w:after="40" w:before="0" w:line="259" w:lineRule="auto"/>
            </w:pPr>
            <w:r>
              <w:rPr>
                <w:rFonts w:ascii="Calibri" w:hAnsi="Calibri"/>
                <w:b/>
                <w:i w:val="0"/>
                <w:color w:val="212121"/>
                <w:sz w:val="19"/>
              </w:rPr>
              <w:t>Concentric-ring (pseudo-imbricata) pattern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Multiple concentric scaly rings, increasingly seen with steroid abuse in India.</w:t>
            </w:r>
          </w:p>
        </w:tc>
      </w:tr>
      <w:tr>
        <w:trPr>
          <w:cantSplit/>
        </w:trPr>
        <w:tc>
          <w:tcPr>
            <w:tcW w:type="dxa" w:w="3456"/>
            <w:vAlign w:val="top"/>
          </w:tcPr>
          <w:p>
            <w:pPr>
              <w:spacing w:after="40" w:before="0" w:line="259" w:lineRule="auto"/>
            </w:pPr>
            <w:r>
              <w:rPr>
                <w:rFonts w:ascii="Calibri" w:hAnsi="Calibri"/>
                <w:b/>
                <w:i w:val="0"/>
                <w:color w:val="212121"/>
                <w:sz w:val="19"/>
              </w:rPr>
              <w:t>Boggy nodules / Majocchi granuloma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Deep dermal dermatophyte infection presenting as erythematous nodules or plaques.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Centrifugal enlargement and spread of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Autoinoculation to other body sites (groin, feet, nails, scalp, face)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Contagious spread to household members, close contacts and (in athletes) team-mates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Intense pruritus with excoriation and sleep disturbance</w:t>
            </w:r>
          </w:p>
        </w:tc>
        <w:tc>
          <w:tcPr>
            <w:tcW w:type="dxa" w:w="2980"/>
            <w:vAlign w:val="top"/>
          </w:tcPr>
          <w:p>
            <w:pPr>
              <w:spacing w:after="40" w:before="0" w:line="259" w:lineRule="auto"/>
            </w:pPr>
            <w:r>
              <w:rPr>
                <w:rFonts w:ascii="Calibri" w:hAnsi="Calibri"/>
                <w:b w:val="0"/>
                <w:i w:val="0"/>
                <w:color w:val="212121"/>
                <w:sz w:val="19"/>
              </w:rPr>
              <w:t>Direct consequences of an untreated, spreading, contagious dermatophyte infection.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recurrent and recalcitrant (often terbinafine-resistant) tinea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Steroid-modified tinea (tinea incognito) from topical steroid/combination-cream abuse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(e.g., Staphylococcus aureus) of excoriated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Majocchi granuloma (deep follicular/dermal invasion)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Dermatophytid (id) reaction at distant sites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Post-inflammatory hyperpigmentation, prominent in Indian skin</w:t>
            </w:r>
          </w:p>
        </w:tc>
        <w:tc>
          <w:tcPr>
            <w:tcW w:type="dxa" w:w="2980"/>
            <w:vAlign w:val="top"/>
          </w:tcPr>
          <w:p>
            <w:pPr>
              <w:spacing w:after="40" w:before="0" w:line="259" w:lineRule="auto"/>
            </w:pPr>
            <w:r>
              <w:rPr>
                <w:rFonts w:ascii="Calibri" w:hAnsi="Calibri"/>
                <w:b w:val="0"/>
                <w:i w:val="0"/>
                <w:color w:val="212121"/>
                <w:sz w:val="19"/>
              </w:rPr>
              <w:t>Result from persistence, immune suppression by steroids, scratching and deeper or immune-mediated spread.</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 disfiguring, treatment-resistant disease requiring prolonged oral itraconazole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 steroid side effects from combination-cream abuse (skin atrophy, striae, telangiectasia; rarely systemic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 psychosocial impact - stigma, embarrassment, anxiety and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Disseminated or deep infection in immunocompromised hosts</w:t>
            </w:r>
          </w:p>
        </w:tc>
        <w:tc>
          <w:tcPr>
            <w:tcW w:type="dxa" w:w="2980"/>
            <w:vAlign w:val="top"/>
          </w:tcPr>
          <w:p>
            <w:pPr>
              <w:spacing w:after="40" w:before="0" w:line="259" w:lineRule="auto"/>
            </w:pPr>
            <w:r>
              <w:rPr>
                <w:rFonts w:ascii="Calibri" w:hAnsi="Calibri"/>
                <w:b w:val="0"/>
                <w:i w:val="0"/>
                <w:color w:val="212121"/>
                <w:sz w:val="19"/>
              </w:rPr>
              <w:t>Long-term, disabling or systemic outcomes of chronic, recalcitrant, steroid-modified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Impaired immunity, higher skin glucose and fold maceration make tinea more frequent, extensive and recurrent; positively associated with chronic/relapsing disease in Indian data.</w:t>
            </w:r>
          </w:p>
        </w:tc>
      </w:tr>
      <w:tr>
        <w:trPr>
          <w:cantSplit/>
        </w:trPr>
        <w:tc>
          <w:tcPr>
            <w:tcW w:type="dxa" w:w="2232"/>
            <w:vAlign w:val="top"/>
          </w:tcPr>
          <w:p>
            <w:pPr>
              <w:spacing w:after="40" w:before="0" w:line="259" w:lineRule="auto"/>
            </w:pPr>
            <w:r>
              <w:rPr>
                <w:rFonts w:ascii="Calibri" w:hAnsi="Calibri"/>
                <w:b/>
                <w:i w:val="0"/>
                <w:color w:val="212121"/>
                <w:sz w:val="19"/>
              </w:rPr>
              <w:t>Other tinea (cruris, pedis, capitis, faciei, barbae)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Frequently coexist and act as reservoirs; all affected sites must be treated together to prevent re-seeding.</w:t>
            </w:r>
          </w:p>
        </w:tc>
      </w:tr>
      <w:tr>
        <w:trPr>
          <w:cantSplit/>
        </w:trPr>
        <w:tc>
          <w:tcPr>
            <w:tcW w:type="dxa" w:w="2232"/>
            <w:vAlign w:val="top"/>
          </w:tcPr>
          <w:p>
            <w:pPr>
              <w:spacing w:after="40" w:before="0" w:line="259" w:lineRule="auto"/>
            </w:pPr>
            <w:r>
              <w:rPr>
                <w:rFonts w:ascii="Calibri" w:hAnsi="Calibri"/>
                <w:b/>
                <w:i w:val="0"/>
                <w:color w:val="212121"/>
                <w:sz w:val="19"/>
              </w:rPr>
              <w:t>Onychomycosis (dermatophyte nail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common, hard-to-eradicate reservoir that repeatedly re-seeds body tinea; affects roughly 14% of the population.</w:t>
            </w:r>
          </w:p>
          <w:p>
            <w:pPr>
              <w:spacing w:after="40" w:before="0" w:line="259" w:lineRule="auto"/>
            </w:pPr>
            <w:r>
              <w:rPr>
                <w:rFonts w:ascii="Calibri" w:hAnsi="Calibri"/>
                <w:b/>
                <w:i w:val="0"/>
                <w:color w:val="212121"/>
                <w:sz w:val="19"/>
              </w:rPr>
              <w:t>~14%</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Deep, moist, occluded folds favour dermatophytes and coexisting candidal intertrigo.</w:t>
            </w:r>
          </w:p>
        </w:tc>
      </w:tr>
      <w:tr>
        <w:trPr>
          <w:cantSplit/>
        </w:trPr>
        <w:tc>
          <w:tcPr>
            <w:tcW w:type="dxa" w:w="2232"/>
            <w:vAlign w:val="top"/>
          </w:tcPr>
          <w:p>
            <w:pPr>
              <w:spacing w:after="40" w:before="0" w:line="259" w:lineRule="auto"/>
            </w:pPr>
            <w:r>
              <w:rPr>
                <w:rFonts w:ascii="Calibri" w:hAnsi="Calibri"/>
                <w:b/>
                <w:i w:val="0"/>
                <w:color w:val="212121"/>
                <w:sz w:val="19"/>
              </w:rPr>
              <w:t>HIV/AIDS and other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Predispose to extensive, atypical, deep and treatment-resistant tinea, occasionally disseminated.</w:t>
            </w:r>
          </w:p>
        </w:tc>
      </w:tr>
      <w:tr>
        <w:trPr>
          <w:cantSplit/>
        </w:trPr>
        <w:tc>
          <w:tcPr>
            <w:tcW w:type="dxa" w:w="2232"/>
            <w:vAlign w:val="top"/>
          </w:tcPr>
          <w:p>
            <w:pPr>
              <w:spacing w:after="40" w:before="0" w:line="259" w:lineRule="auto"/>
            </w:pPr>
            <w:r>
              <w:rPr>
                <w:rFonts w:ascii="Calibri" w:hAnsi="Calibri"/>
                <w:b/>
                <w:i w:val="0"/>
                <w:color w:val="212121"/>
                <w:sz w:val="19"/>
              </w:rPr>
              <w:t>Hyperhidrosis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Excessive sweating is among the most influential predisposing factors for cutaneous dermatophytosis.</w:t>
            </w:r>
          </w:p>
        </w:tc>
      </w:tr>
      <w:tr>
        <w:trPr>
          <w:cantSplit/>
        </w:trPr>
        <w:tc>
          <w:tcPr>
            <w:tcW w:type="dxa" w:w="2232"/>
            <w:vAlign w:val="top"/>
          </w:tcPr>
          <w:p>
            <w:pPr>
              <w:spacing w:after="40" w:before="0" w:line="259" w:lineRule="auto"/>
            </w:pPr>
            <w:r>
              <w:rPr>
                <w:rFonts w:ascii="Calibri" w:hAnsi="Calibri"/>
                <w:b/>
                <w:i w:val="0"/>
                <w:color w:val="212121"/>
                <w:sz w:val="19"/>
              </w:rPr>
              <w:t>Atopic dermatitis, ichthyosis and xerosis</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Impaired skin barrier and frequent topical steroid use increase susceptibility and steroid-modified presentations.</w:t>
            </w:r>
          </w:p>
        </w:tc>
      </w:tr>
      <w:tr>
        <w:trPr>
          <w:cantSplit/>
        </w:trPr>
        <w:tc>
          <w:tcPr>
            <w:tcW w:type="dxa" w:w="2232"/>
            <w:vAlign w:val="top"/>
          </w:tcPr>
          <w:p>
            <w:pPr>
              <w:spacing w:after="40" w:before="0" w:line="259" w:lineRule="auto"/>
            </w:pPr>
            <w:r>
              <w:rPr>
                <w:rFonts w:ascii="Calibri" w:hAnsi="Calibri"/>
                <w:b/>
                <w:i w:val="0"/>
                <w:color w:val="212121"/>
                <w:sz w:val="19"/>
              </w:rPr>
              <w:t>Chronic corticosteroid use / Cushing syndrome</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Systemic or potent topical steroids suppress local immunity, driving extensive, chronic, steroid-modified tinea.</w:t>
            </w:r>
          </w:p>
        </w:tc>
      </w:tr>
      <w:tr>
        <w:trPr>
          <w:cantSplit/>
        </w:trPr>
        <w:tc>
          <w:tcPr>
            <w:tcW w:type="dxa" w:w="2232"/>
            <w:vAlign w:val="top"/>
          </w:tcPr>
          <w:p>
            <w:pPr>
              <w:spacing w:after="40" w:before="0" w:line="259" w:lineRule="auto"/>
            </w:pPr>
            <w:r>
              <w:rPr>
                <w:rFonts w:ascii="Calibri" w:hAnsi="Calibri"/>
                <w:b/>
                <w:i w:val="0"/>
                <w:color w:val="212121"/>
                <w:sz w:val="19"/>
              </w:rPr>
              <w:t>Secondary bacterial skin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Excoriated or macerated tinea can become impetiginised, especially with Staphylococcus aureus.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ringworm (daad) is a contagious fungal infection, not a heat rash or allergy, and that it spreads to other body parts and to family members if untreated.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buy or apply over-the-counter steroid or combination creams (such as clobetasol combinations) on a ring-like rash - they give brief relief but make the fungus spread widely, become chronic and hard to treat.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course of antifungal treatment and do not stop when itching settles; treat all affected sites (body, groin, feet, nails) at the same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and treat affected household members and pets simultaneously, and disinfect fomites (wash and hot-iron clothes, towels and bedding) to prevent reinfection.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a dermatologist for extensive, spreading, recurrent or steroid-modified rashes rather than repeating the same failed creams, as many strains in India are now terbinafine-resistant and need oral itraconazole.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and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Self-medicating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recurrent tinea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and immunocompromised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Bathe daily and, crucially, dry the skin and body folds thoroughly - especially after sweating, bathing or exercise - since dampness feeds the fungus.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loose, breathable cotton clothing and change out of sweaty or damp clothes promptly; avoid tight synthetic garments.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share towels, clothes, combs, razors or bedding; wash them in hot water and hot-iron or sun-dry to kill spores.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topical antifungal cream (e.g., clotrimazole, ketoconazole, terbinafine) beyond the visible edge of the lesion, and continue for the full duration advised, usually well past clearance.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athlete's foot and fungal nails, and keep nails short, to remove reservoirs that cause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extensive, chronic or resistant disease, use oral antifungals (itraconazole is preferred in India given terbinafine resistance) exactly as prescribed and for the full course.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tinea corporis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Sweaty and 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Recurrent/recalcitrant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Shower and dry the skin thoroughly immediately after exercise or sport to remove sweat and fungal spores.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clean personal kit and a personal towel; wipe down shared mats and equipment, and avoid skin-to-skin contact sports while a lesion is active (tinea corporis gladiatorum).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moisture-wicking, breathable clothing and change out of sweaty gym wear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walk barefoot in communal showers, locker rooms or pool areas to avoid picking up or spreading dermatophytes.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and gym-goers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Wrestlers and contact-sport players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Hostel and shared-facility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glycaemic control if diabetic - a balanced, lower-glycaemic diet reduces the diabetes-driven susceptibility to chronic, recurrent tinea.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toward a healthy weight to reduce deep, moist skin folds where fungus thrives.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supporting immune function; note that no specific food prevents or cures ringworm.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treatment and hygiene over any dietary remedy, as diet alone will not clear the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Individuals with 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recurrent tinea</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adequate, regular sleep to support immune function and treatment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severe night-time itch with prescribed antifungals and, if advised, an antihistamine, so sleep is not disrupted.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and change bedding and night-clothes regularly to reduce spore contact.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itch-disturbed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for overall skin, immune and vascular health, which supports recovery from chronic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or approved medication)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or recurrent tinea</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heavy alcohol intake, which can impair immunity and worsen glycaemic control and hygiene, indirectly sustaining chronic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moderate, sensible drinking pattern.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which is associated with poorer self-care and more refractory skin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diabetes or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tinea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chronic, visible, itchy ringworm commonly causes embarrassment, stigma and frustration; reassurance that it is treatable helps.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the vicious cycle of reaching for quick-fix steroid creams out of frustration, which worsens the disease - stick to proper antifungal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treatment adherence through counselling and reminders, since completing long or repeated courses is essential for cure.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if the condition is causing anxiety, low mood or social withdrawal.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chronic/recurrent tinea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distressed by visible lesions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dpi.com/2309-608X/8/7/757" TargetMode="External"/><Relationship Id="rId10" Type="http://schemas.openxmlformats.org/officeDocument/2006/relationships/hyperlink" Target="https://www.ncbi.nlm.nih.gov/books/NBK544360/" TargetMode="External"/><Relationship Id="rId11" Type="http://schemas.openxmlformats.org/officeDocument/2006/relationships/hyperlink" Target="https://www.ncbi.nlm.nih.gov/books/NBK554602/" TargetMode="External"/><Relationship Id="rId12" Type="http://schemas.openxmlformats.org/officeDocument/2006/relationships/hyperlink" Target="https://ijdvl.com/the-menace-of-dermatophytosis-in-india-the-evidence-that-we-need/" TargetMode="External"/><Relationship Id="rId13" Type="http://schemas.openxmlformats.org/officeDocument/2006/relationships/hyperlink" Target="https://www.cdc.gov/ringworm/about/index.html" TargetMode="External"/><Relationship Id="rId14" Type="http://schemas.openxmlformats.org/officeDocument/2006/relationships/hyperlink" Target="https://www.cdc.gov/ringworm/causes/index.html" TargetMode="External"/><Relationship Id="rId15" Type="http://schemas.openxmlformats.org/officeDocument/2006/relationships/hyperlink" Target="https://www.cdc.gov/ringworm/hcp/clinical-overview/index.html" TargetMode="External"/><Relationship Id="rId16" Type="http://schemas.openxmlformats.org/officeDocument/2006/relationships/hyperlink" Target="https://www.cdc.gov/mmwr/volumes/72/wr/mm7219a4.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