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Seborrheic Dermatitis</w:t>
      </w:r>
    </w:p>
    <w:p>
      <w:pPr>
        <w:spacing w:before="0" w:after="160"/>
      </w:pPr>
      <w:r>
        <w:rPr>
          <w:rFonts w:ascii="Calibri" w:hAnsi="Calibri"/>
          <w:b/>
          <w:i w:val="0"/>
          <w:color w:val="212121"/>
          <w:sz w:val="22"/>
        </w:rPr>
        <w:t xml:space="preserve">AKA </w:t>
      </w:r>
      <w:r>
        <w:rPr>
          <w:rFonts w:ascii="Calibri" w:hAnsi="Calibri"/>
          <w:b w:val="0"/>
          <w:i w:val="0"/>
          <w:color w:val="212121"/>
          <w:sz w:val="22"/>
        </w:rPr>
        <w:t>i.e., Seborrhoeic eczema, Seborrhea, Dandruff / Pityriasis capitis (mild scalp form), Cradle cap (infantile form), Sebopsoriasis (psoriasis overlap)</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Seborrheic dermatitis (SD) is a common, chronic, relapsing-remitting inflammatory skin disease with a papulosquamous morphology that affects sebum-rich (seborrhoeic) areas - the scalp, eyebrows, nasolabial folds, ears, central face and upper chest. It arises from an abnormal inflammatory response to the commensal lipophilic yeast Malassezia acting on sebum, combined with skin-barrier dysfunction and host immune factors, rather than from infection or poor hygiene alone. It exists as a self-limiting infantile form (cradle cap) and a persistent adult form, with severity ranging from simple dandruff to widespread, occasionally erythrodermic disease in the immunosuppressed.</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Clinically evident seborrheic dermatitis affects roughly 3-5% of the general population worldwide; a 2024 systematic review and meta-analysis of 121 studies (over 1.26 million people) pooled the global prevalence at 4.38% (95% CI 3.58-5.17%), with the India-specific estimate at 2.62% (95% CI 1.33-3.92%). Prevalence rises from about 0.23% in neonates to 3.70% in children and 5.64% in adults, peaking in middle-aged and older adults. The mild scalp variant (dandruff) is far commoner, affecting up to about half of all adults at some time. It is consistently more frequent and more severe in males and in immunosuppressed or neurologically impaired Indians.</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Seborrheic dermatitis is essentially a clinical diagnosis based on the morphology and distribution of lesions and the chronic relapsing course; investigations are used mainly to exclude mimics or to detect an underlying immunosuppressive or neurological driver:</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Characteristic lesions - poorly demarcated erythematous patches and thin plaques with fine, greasy, yellowish scale - in a symmetrical seborrhoeic distribution (scalp, eyebrows, glabella, nasolabial folds, retroauricular folds, external ear canal and presternal chest);</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 chronic, relapsing-remitting course with pruritus, often worsening in cold, dry weather and with stress, and improving with sunlight;</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Dermoscopy / trichoscopy showing fine yellowish greasy scales, patchy dotted and arborizing vessels and featureless areas - useful to distinguish SD from the regular red dots and silvery scale of scalp psoriasis;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Potassium hydroxide (KOH) mount and, where relevant, Wood's-lamp examination to exclude tinea capitis, tinea faciei and pityriasis versicolor;</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Skin biopsy reserved for atypical, refractory or diagnostically uncertain cases - histology shows superficial perivascular lymphocytic infiltrate, spongiosis, psoriasiform acanthosis and characteristic parakeratosis at follicular ostia ('shoulder parakeratosis');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HIV serology (with CD4 count) in sudden-onset, unusually severe, extensive or treatment-resistant SD, as florid disease can be an early cutaneous marker of HIV/AIDS;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Severity and impact assessment using tools such as the Seborrhoeic Dermatitis Area and Severity Index (SDASI) / Investigator Global Assessment and the Dermatology Life Quality Index (DLQI).</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Seborrheic dermatitis is classified by age of onset, by anatomical site and by severity, a framework that guides both prognosis and treatment intensity:</w:t>
      </w:r>
    </w:p>
    <w:p>
      <w:pPr>
        <w:spacing w:before="0" w:after="80"/>
      </w:pPr>
      <w:r>
        <w:rPr>
          <w:rFonts w:ascii="Calibri" w:hAnsi="Calibri"/>
          <w:b w:val="0"/>
          <w:i w:val="0"/>
          <w:color w:val="212121"/>
          <w:sz w:val="21"/>
        </w:rPr>
        <w:t>(1) Infantile seborrheic dermatitis (ISD) - appears in the first weeks to months of life as 'cradle cap' (greasy yellow scale-crust on the vertex) and may involve the face, neck folds, axillae and napkin area; it is usually asymptomatic, self-limiting over weeks to a few months, and may overlap with atopic dermatitis;</w:t>
      </w:r>
    </w:p>
    <w:p>
      <w:pPr>
        <w:spacing w:before="0" w:after="80"/>
      </w:pPr>
      <w:r>
        <w:rPr>
          <w:rFonts w:ascii="Calibri" w:hAnsi="Calibri"/>
          <w:b w:val="0"/>
          <w:i w:val="0"/>
          <w:color w:val="212121"/>
          <w:sz w:val="21"/>
        </w:rPr>
        <w:t>(2) Adolescent and adult seborrheic dermatitis (ASD) - a chronic, relapsing-remitting disorder beginning around puberty and peaking between 40 and 60 years, following the distribution of sebaceous activity;</w:t>
      </w:r>
    </w:p>
    <w:p>
      <w:pPr>
        <w:spacing w:before="0" w:after="80"/>
      </w:pPr>
      <w:r>
        <w:rPr>
          <w:rFonts w:ascii="Calibri" w:hAnsi="Calibri"/>
          <w:b w:val="0"/>
          <w:i w:val="0"/>
          <w:color w:val="212121"/>
          <w:sz w:val="21"/>
        </w:rPr>
        <w:t>(3) By site - scalp SD (a spectrum from simple dandruff/pityriasis capitis to inflamed scaly plaques), facial SD (eyebrows, glabella, nasolabial folds and eyelid-margin blepharitis), truncal SD (petaloid or pityriasiform presternal patches) and flexural/intertriginous SD (retroauricular, axillary, inframammary and inguinal folds);</w:t>
      </w:r>
    </w:p>
    <w:p>
      <w:pPr>
        <w:spacing w:before="0" w:after="80"/>
      </w:pPr>
      <w:r>
        <w:rPr>
          <w:rFonts w:ascii="Calibri" w:hAnsi="Calibri"/>
          <w:b w:val="0"/>
          <w:i w:val="0"/>
          <w:color w:val="212121"/>
          <w:sz w:val="21"/>
        </w:rPr>
        <w:t>(4) By severity and special forms - mild (dandruff) through moderate to severe disease, including the extensive, refractory or erythrodermic HIV-associated form seen with advanced immunosuppression, and 'sebopsoriasis' where features overlap with psoriasis.</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Malassezia yeast overgrowth: The lipophilic commensals Malassezia globosa and M. restricta hydrolyse sebum with lipases, releasing irritant unsaturated free fatty acids (notably oleic acid) that breach the stratum corneum and provoke inflammation - it is the host response, not yeast quantity alone, that determines disease.</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Sebaceous gland activity and androgens: Lesions map onto sebum-rich sites, and disease peaks when sebaceous output is high - infancy (maternal androgens), puberty and adulthood - explaining the male predominance driven by androgenic stimulation of sebum.</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Immune dysregulation: An abnormal innate and Th1/Th17/Th22-skewed response to Malassezia, with inflammasome activation and raised IL-1beta, TNF-alpha, IL-17 and IL-23, amplifies inflammation and scaling.</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Skin-barrier dysfunction: Reduced ceramides and sphingolipids, altered keratins, raised surface pH and increased transepidermal water loss both favour Malassezia growth and perpetuate irritation.</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Neurological disease: Parkinson's disease, stroke, Alzheimer's dementia and facial nerve palsy predispose to SD through sebum stasis from immobility/hypomimia and autonomic dysfunction.</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Immunosuppression: HIV/AIDS, lymphoma, solid-organ transplantation and chemotherapy produce severe, extensive or atypical SD, making florid disease a marker of impaired immunity.</w:t>
      </w:r>
    </w:p>
    <w:p>
      <w:pPr>
        <w:spacing w:after="60"/>
        <w:ind w:left="432" w:hanging="288"/>
      </w:pPr>
      <w:r>
        <w:rPr>
          <w:rFonts w:ascii="Calibri" w:hAnsi="Calibri"/>
          <w:b/>
          <w:i w:val="0"/>
          <w:color w:val="212121"/>
          <w:sz w:val="21"/>
        </w:rPr>
        <w:t xml:space="preserve">7. </w:t>
      </w:r>
      <w:r>
        <w:rPr>
          <w:rFonts w:ascii="Calibri" w:hAnsi="Calibri"/>
          <w:b w:val="0"/>
          <w:i w:val="0"/>
          <w:color w:val="212121"/>
          <w:sz w:val="21"/>
        </w:rPr>
        <w:t>Environmental and drug triggers: Cold, dry (winter) climates, psychological stress, alcohol excess and drugs such as lithium, dopamine antagonists, PUVA and immunosuppressants precipitate or worsen flares.</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Adults (adolescence to middle age)</w:t>
            </w:r>
          </w:p>
        </w:tc>
        <w:tc>
          <w:tcPr>
            <w:tcW w:type="dxa" w:w="4276"/>
            <w:vAlign w:val="top"/>
          </w:tcPr>
          <w:p>
            <w:pPr>
              <w:spacing w:after="60" w:line="259" w:lineRule="auto"/>
            </w:pPr>
            <w:r>
              <w:rPr>
                <w:rFonts w:ascii="Calibri" w:hAnsi="Calibri"/>
                <w:b w:val="0"/>
                <w:i w:val="0"/>
                <w:color w:val="212121"/>
                <w:sz w:val="19"/>
              </w:rPr>
              <w:t>Androgen-driven sebaceous activity peaks from puberty into the 40s-50s, providing the sebum substrate for Malassezia and the inflammatory response that defines adult SD.</w:t>
            </w:r>
          </w:p>
          <w:p>
            <w:pPr>
              <w:spacing w:after="40" w:before="60" w:line="259" w:lineRule="auto"/>
            </w:pPr>
            <w:r>
              <w:rPr>
                <w:rFonts w:ascii="Calibri" w:hAnsi="Calibri"/>
                <w:b w:val="0"/>
                <w:i w:val="0"/>
                <w:color w:val="212121"/>
                <w:sz w:val="19"/>
              </w:rPr>
              <w:t>Pooled adult prevalence is 5.64% (95% CI 4.01-7.27%), higher than in children (3.70%) or neonates (0.23%).</w:t>
            </w:r>
          </w:p>
          <w:p>
            <w:pPr>
              <w:spacing w:after="40" w:line="252" w:lineRule="auto"/>
            </w:pPr>
            <w:hyperlink r:id="rId9">
              <w:r>
                <w:rPr>
                  <w:rFonts w:ascii="Calibri" w:hAnsi="Calibri" w:cs="Calibri"/>
                  <w:sz w:val="18"/>
                  <w:color w:val="1155CC"/>
                  <w:u w:val="single"/>
                </w:rPr>
                <w:t xml:space="preserve">hcplive.com - global SD prevalence meta-analysis</w:t>
              </w:r>
            </w:hyperlink>
          </w:p>
          <w:p>
            <w:pPr>
              <w:spacing w:before="60" w:after="40"/>
            </w:pPr>
            <w:r>
              <w:rPr>
                <w:rFonts w:ascii="Calibri" w:hAnsi="Calibri"/>
                <w:b w:val="0"/>
                <w:i w:val="0"/>
                <w:color w:val="5A5A5A"/>
                <w:sz w:val="18"/>
              </w:rPr>
              <w:t>#seborrheicdermatitis  #sebum  #androgens  #malassezia  #youngadults</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w:t>
            </w:r>
          </w:p>
        </w:tc>
        <w:tc>
          <w:tcPr>
            <w:tcW w:type="dxa" w:w="4276"/>
            <w:vAlign w:val="top"/>
          </w:tcPr>
          <w:p>
            <w:pPr>
              <w:spacing w:after="60" w:line="259" w:lineRule="auto"/>
            </w:pPr>
            <w:r>
              <w:rPr>
                <w:rFonts w:ascii="Calibri" w:hAnsi="Calibri"/>
                <w:b w:val="0"/>
                <w:i w:val="0"/>
                <w:color w:val="212121"/>
                <w:sz w:val="19"/>
              </w:rPr>
              <w:t>Rising age brings a second prevalence peak as immobility, neurological disease, polypharmacy and immune senescence promote sebum stasis and impaired clearance of Malassezia.</w:t>
            </w:r>
          </w:p>
          <w:p>
            <w:pPr>
              <w:spacing w:after="40" w:before="60" w:line="259" w:lineRule="auto"/>
            </w:pPr>
            <w:r>
              <w:rPr>
                <w:rFonts w:ascii="Calibri" w:hAnsi="Calibri"/>
                <w:b w:val="0"/>
                <w:i w:val="0"/>
                <w:color w:val="212121"/>
                <w:sz w:val="19"/>
              </w:rPr>
              <w:t>Prevalence is higher in those aged 65 and over (about 4.4%) than at 35-64 (3.6%) or under 35 (2.0%), and reaches up to ~23% in some elderly cohorts.</w:t>
            </w:r>
          </w:p>
          <w:p>
            <w:pPr>
              <w:spacing w:after="40" w:line="252" w:lineRule="auto"/>
            </w:pPr>
            <w:hyperlink r:id="rId10">
              <w:r>
                <w:rPr>
                  <w:rFonts w:ascii="Calibri" w:hAnsi="Calibri" w:cs="Calibri"/>
                  <w:sz w:val="18"/>
                  <w:color w:val="1155CC"/>
                  <w:u w:val="single"/>
                </w:rPr>
                <w:t xml:space="preserve">journals.sagepub.com - SD epidemiology &amp; burden review</w:t>
              </w:r>
            </w:hyperlink>
          </w:p>
          <w:p>
            <w:pPr>
              <w:spacing w:before="60" w:after="40"/>
            </w:pPr>
            <w:r>
              <w:rPr>
                <w:rFonts w:ascii="Calibri" w:hAnsi="Calibri"/>
                <w:b w:val="0"/>
                <w:i w:val="0"/>
                <w:color w:val="5A5A5A"/>
                <w:sz w:val="18"/>
              </w:rPr>
              <w:t>#ageing  #neurodegeneration  #immobility  #immunosenescence  #elderly</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Infants / neonates</w:t>
            </w:r>
          </w:p>
        </w:tc>
        <w:tc>
          <w:tcPr>
            <w:tcW w:type="dxa" w:w="4276"/>
            <w:vAlign w:val="top"/>
          </w:tcPr>
          <w:p>
            <w:pPr>
              <w:spacing w:after="60" w:line="259" w:lineRule="auto"/>
            </w:pPr>
            <w:r>
              <w:rPr>
                <w:rFonts w:ascii="Calibri" w:hAnsi="Calibri"/>
                <w:b w:val="0"/>
                <w:i w:val="0"/>
                <w:color w:val="212121"/>
                <w:sz w:val="19"/>
              </w:rPr>
              <w:t>Residual maternal androgens transiently stimulate the newborn's sebaceous glands, producing self-limiting infantile SD (cradle cap) in the first weeks to months of life.</w:t>
            </w:r>
          </w:p>
          <w:p>
            <w:pPr>
              <w:spacing w:after="40" w:before="60" w:line="259" w:lineRule="auto"/>
            </w:pPr>
            <w:r>
              <w:rPr>
                <w:rFonts w:ascii="Calibri" w:hAnsi="Calibri"/>
                <w:b w:val="0"/>
                <w:i w:val="0"/>
                <w:color w:val="212121"/>
                <w:sz w:val="19"/>
              </w:rPr>
              <w:t>Infantile SD is common in early infancy (reported up to ~70% at around 3 months in some cohorts) and typically resolves within 4-6 months.</w:t>
            </w:r>
          </w:p>
          <w:p>
            <w:pPr>
              <w:spacing w:after="40" w:line="252" w:lineRule="auto"/>
            </w:pPr>
            <w:hyperlink r:id="rId11">
              <w:r>
                <w:rPr>
                  <w:rFonts w:ascii="Calibri" w:hAnsi="Calibri" w:cs="Calibri"/>
                  <w:sz w:val="18"/>
                  <w:color w:val="1155CC"/>
                  <w:u w:val="single"/>
                </w:rPr>
                <w:t xml:space="preserve">ncbi.nlm.nih.gov - StatPearls, Seborrheic Dermatitis</w:t>
              </w:r>
            </w:hyperlink>
          </w:p>
          <w:p>
            <w:pPr>
              <w:spacing w:before="60" w:after="40"/>
            </w:pPr>
            <w:r>
              <w:rPr>
                <w:rFonts w:ascii="Calibri" w:hAnsi="Calibri"/>
                <w:b w:val="0"/>
                <w:i w:val="0"/>
                <w:color w:val="5A5A5A"/>
                <w:sz w:val="18"/>
              </w:rPr>
              <w:t>#cradlecap  #infantileSD  #maternalandrogens  #selflimiting  #napkinarea</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Male</w:t>
            </w:r>
          </w:p>
        </w:tc>
        <w:tc>
          <w:tcPr>
            <w:tcW w:type="dxa" w:w="4276"/>
            <w:vAlign w:val="top"/>
          </w:tcPr>
          <w:p>
            <w:pPr>
              <w:spacing w:after="60" w:line="259" w:lineRule="auto"/>
            </w:pPr>
            <w:r>
              <w:rPr>
                <w:rFonts w:ascii="Calibri" w:hAnsi="Calibri"/>
                <w:b w:val="0"/>
                <w:i w:val="0"/>
                <w:color w:val="212121"/>
                <w:sz w:val="19"/>
              </w:rPr>
              <w:t>Androgens drive greater sebaceous gland activity and lipid production in men, favouring Malassezia growth; SD is consistently more common and more severe in males across all age bands.</w:t>
            </w:r>
          </w:p>
          <w:p>
            <w:pPr>
              <w:spacing w:after="40" w:before="60" w:line="259" w:lineRule="auto"/>
            </w:pPr>
            <w:r>
              <w:rPr>
                <w:rFonts w:ascii="Calibri" w:hAnsi="Calibri"/>
                <w:b w:val="0"/>
                <w:i w:val="0"/>
                <w:color w:val="212121"/>
                <w:sz w:val="19"/>
              </w:rPr>
              <w:t>Male-to-female prevalence gaps are seen worldwide (e.g. Germany 4.6% vs 1.4%; Netherlands 8.5% vs 5.8%; Greece 6.4% vs 3.9%).</w:t>
            </w:r>
          </w:p>
          <w:p>
            <w:pPr>
              <w:spacing w:after="40" w:line="252" w:lineRule="auto"/>
            </w:pPr>
            <w:hyperlink r:id="rId10">
              <w:r>
                <w:rPr>
                  <w:rFonts w:ascii="Calibri" w:hAnsi="Calibri" w:cs="Calibri"/>
                  <w:sz w:val="18"/>
                  <w:color w:val="1155CC"/>
                  <w:u w:val="single"/>
                </w:rPr>
                <w:t xml:space="preserve">journals.sagepub.com - sex differences in SD</w:t>
              </w:r>
            </w:hyperlink>
          </w:p>
          <w:p>
            <w:pPr>
              <w:spacing w:before="60" w:after="40"/>
            </w:pPr>
            <w:r>
              <w:rPr>
                <w:rFonts w:ascii="Calibri" w:hAnsi="Calibri"/>
                <w:b w:val="0"/>
                <w:i w:val="0"/>
                <w:color w:val="5A5A5A"/>
                <w:sz w:val="18"/>
              </w:rPr>
              <w:t>#male  #androgens  #sebumproduction  #hormonal  #malepredominance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Low-income / crowded households / limited care access</w:t>
            </w:r>
          </w:p>
        </w:tc>
        <w:tc>
          <w:tcPr>
            <w:tcW w:type="dxa" w:w="4276"/>
            <w:vAlign w:val="top"/>
          </w:tcPr>
          <w:p>
            <w:pPr>
              <w:spacing w:after="60" w:line="259" w:lineRule="auto"/>
            </w:pPr>
            <w:r>
              <w:rPr>
                <w:rFonts w:ascii="Calibri" w:hAnsi="Calibri"/>
                <w:b w:val="0"/>
                <w:i w:val="0"/>
                <w:color w:val="212121"/>
                <w:sz w:val="19"/>
              </w:rPr>
              <w:t>Restricted access to dermatological care, cost of antifungal products, crowding and delayed treatment allow mild disease to persist and flare, and increase secondary infection risk.</w:t>
            </w:r>
          </w:p>
          <w:p>
            <w:pPr>
              <w:spacing w:after="40" w:before="60" w:line="259" w:lineRule="auto"/>
            </w:pPr>
            <w:r>
              <w:rPr>
                <w:rFonts w:ascii="Calibri" w:hAnsi="Calibri"/>
                <w:b w:val="0"/>
                <w:i w:val="0"/>
                <w:color w:val="212121"/>
                <w:sz w:val="19"/>
              </w:rPr>
              <w:t>In India much SD is self-managed or under-treated; only a minority of affected people reach specialist dermatology care, allowing chronic relapsing disease.</w:t>
            </w:r>
          </w:p>
          <w:p>
            <w:pPr>
              <w:spacing w:before="60" w:after="40"/>
            </w:pPr>
            <w:r>
              <w:rPr>
                <w:rFonts w:ascii="Calibri" w:hAnsi="Calibri"/>
                <w:b w:val="0"/>
                <w:i w:val="0"/>
                <w:color w:val="5A5A5A"/>
                <w:sz w:val="18"/>
              </w:rPr>
              <w:t>#poverty  #accesstocare  #undertreated  #healthequity  #outofpocket</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Region / climate</w:t>
            </w:r>
          </w:p>
        </w:tc>
        <w:tc>
          <w:tcPr>
            <w:tcW w:type="dxa" w:w="2160"/>
            <w:vAlign w:val="top"/>
          </w:tcPr>
          <w:p>
            <w:pPr>
              <w:spacing w:after="40" w:before="0" w:line="259" w:lineRule="auto"/>
            </w:pPr>
            <w:r>
              <w:rPr>
                <w:rFonts w:ascii="Calibri" w:hAnsi="Calibri"/>
                <w:b w:val="0"/>
                <w:i w:val="0"/>
                <w:color w:val="212121"/>
                <w:sz w:val="19"/>
              </w:rPr>
              <w:t>North Indian / cold-dry-winter belts</w:t>
            </w:r>
          </w:p>
        </w:tc>
        <w:tc>
          <w:tcPr>
            <w:tcW w:type="dxa" w:w="4276"/>
            <w:vAlign w:val="top"/>
          </w:tcPr>
          <w:p>
            <w:pPr>
              <w:spacing w:after="60" w:line="259" w:lineRule="auto"/>
            </w:pPr>
            <w:r>
              <w:rPr>
                <w:rFonts w:ascii="Calibri" w:hAnsi="Calibri"/>
                <w:b w:val="0"/>
                <w:i w:val="0"/>
                <w:color w:val="212121"/>
                <w:sz w:val="19"/>
              </w:rPr>
              <w:t>Cold, low-humidity winters impair the skin barrier and worsen scaling, so SD flares seasonally in northern and hill regions, while hot-humid conditions can drive fungal overgrowth.</w:t>
            </w:r>
          </w:p>
          <w:p>
            <w:pPr>
              <w:spacing w:after="40" w:before="60" w:line="259" w:lineRule="auto"/>
            </w:pPr>
            <w:r>
              <w:rPr>
                <w:rFonts w:ascii="Calibri" w:hAnsi="Calibri"/>
                <w:b w:val="0"/>
                <w:i w:val="0"/>
                <w:color w:val="212121"/>
                <w:sz w:val="19"/>
              </w:rPr>
              <w:t>The India-specific pooled prevalence is 2.62% (95% CI 1.33-3.92%), against a global figure of 4.38%; disease characteristically worsens in the dry winter months.</w:t>
            </w:r>
          </w:p>
          <w:p>
            <w:pPr>
              <w:spacing w:after="40" w:line="252" w:lineRule="auto"/>
            </w:pPr>
            <w:hyperlink r:id="rId9">
              <w:r>
                <w:rPr>
                  <w:rFonts w:ascii="Calibri" w:hAnsi="Calibri" w:cs="Calibri"/>
                  <w:sz w:val="18"/>
                  <w:color w:val="1155CC"/>
                  <w:u w:val="single"/>
                </w:rPr>
                <w:t xml:space="preserve">hcplive.com - India-specific SD prevalence (meta-analysis)</w:t>
              </w:r>
            </w:hyperlink>
          </w:p>
          <w:p>
            <w:pPr>
              <w:spacing w:before="60" w:after="40"/>
            </w:pPr>
            <w:r>
              <w:rPr>
                <w:rFonts w:ascii="Calibri" w:hAnsi="Calibri"/>
                <w:b w:val="0"/>
                <w:i w:val="0"/>
                <w:color w:val="5A5A5A"/>
                <w:sz w:val="18"/>
              </w:rPr>
              <w:t>#india  #winterflare  #lowhumidity  #climate  #seasonal</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Ethnicity / skin phototype</w:t>
            </w:r>
          </w:p>
        </w:tc>
        <w:tc>
          <w:tcPr>
            <w:tcW w:type="dxa" w:w="2160"/>
            <w:vAlign w:val="top"/>
          </w:tcPr>
          <w:p>
            <w:pPr>
              <w:spacing w:after="40" w:before="0" w:line="259" w:lineRule="auto"/>
            </w:pPr>
            <w:r>
              <w:rPr>
                <w:rFonts w:ascii="Calibri" w:hAnsi="Calibri"/>
                <w:b w:val="0"/>
                <w:i w:val="0"/>
                <w:color w:val="212121"/>
                <w:sz w:val="19"/>
              </w:rPr>
              <w:t>Skin of colour (Fitzpatrick IV-VI)</w:t>
            </w:r>
          </w:p>
        </w:tc>
        <w:tc>
          <w:tcPr>
            <w:tcW w:type="dxa" w:w="4276"/>
            <w:vAlign w:val="top"/>
          </w:tcPr>
          <w:p>
            <w:pPr>
              <w:spacing w:after="60" w:line="259" w:lineRule="auto"/>
            </w:pPr>
            <w:r>
              <w:rPr>
                <w:rFonts w:ascii="Calibri" w:hAnsi="Calibri"/>
                <w:b w:val="0"/>
                <w:i w:val="0"/>
                <w:color w:val="212121"/>
                <w:sz w:val="19"/>
              </w:rPr>
              <w:t>In darker Indian skin SD may show violaceous or hyperpigmented rather than bright-red patches, petaloid or arcuate scaling and prominent post-inflammatory pigment change, risking under-recognition and a heavier cosmetic burden.</w:t>
            </w:r>
          </w:p>
          <w:p>
            <w:pPr>
              <w:spacing w:after="40" w:before="60" w:line="259" w:lineRule="auto"/>
            </w:pPr>
            <w:r>
              <w:rPr>
                <w:rFonts w:ascii="Calibri" w:hAnsi="Calibri"/>
                <w:b w:val="0"/>
                <w:i w:val="0"/>
                <w:color w:val="212121"/>
                <w:sz w:val="19"/>
              </w:rPr>
              <w:t>Higher SD prevalence is reported in people of African ancestry (e.g. ~6.5% in African Americans); pigmentary sequelae are a major concern in skin of colour.</w:t>
            </w:r>
          </w:p>
          <w:p>
            <w:pPr>
              <w:spacing w:after="40" w:line="252" w:lineRule="auto"/>
            </w:pPr>
            <w:hyperlink r:id="rId10">
              <w:r>
                <w:rPr>
                  <w:rFonts w:ascii="Calibri" w:hAnsi="Calibri" w:cs="Calibri"/>
                  <w:sz w:val="18"/>
                  <w:color w:val="1155CC"/>
                  <w:u w:val="single"/>
                </w:rPr>
                <w:t xml:space="preserve">journals.sagepub.com - SD across skin types</w:t>
              </w:r>
            </w:hyperlink>
          </w:p>
          <w:p>
            <w:pPr>
              <w:spacing w:before="60" w:after="40"/>
            </w:pPr>
            <w:r>
              <w:rPr>
                <w:rFonts w:ascii="Calibri" w:hAnsi="Calibri"/>
                <w:b w:val="0"/>
                <w:i w:val="0"/>
                <w:color w:val="5A5A5A"/>
                <w:sz w:val="18"/>
              </w:rPr>
              <w:t>#skinofcolour  #hyperpigmentation  #petaloid  #PIH  #underdiagnosis</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Sedentary / metabolic</w:t>
            </w:r>
          </w:p>
        </w:tc>
        <w:tc>
          <w:tcPr>
            <w:tcW w:type="dxa" w:w="2160"/>
            <w:vAlign w:val="top"/>
          </w:tcPr>
          <w:p>
            <w:pPr>
              <w:spacing w:after="40" w:before="0" w:line="259" w:lineRule="auto"/>
            </w:pPr>
            <w:r>
              <w:rPr>
                <w:rFonts w:ascii="Calibri" w:hAnsi="Calibri"/>
                <w:b w:val="0"/>
                <w:i w:val="0"/>
                <w:color w:val="212121"/>
                <w:sz w:val="19"/>
              </w:rPr>
              <w:t>Physically inactive, metabolic-syndrome-prone adults</w:t>
            </w:r>
          </w:p>
        </w:tc>
        <w:tc>
          <w:tcPr>
            <w:tcW w:type="dxa" w:w="4276"/>
            <w:vAlign w:val="top"/>
          </w:tcPr>
          <w:p>
            <w:pPr>
              <w:spacing w:after="60" w:line="259" w:lineRule="auto"/>
            </w:pPr>
            <w:r>
              <w:rPr>
                <w:rFonts w:ascii="Calibri" w:hAnsi="Calibri"/>
                <w:b w:val="0"/>
                <w:i w:val="0"/>
                <w:color w:val="212121"/>
                <w:sz w:val="19"/>
              </w:rPr>
              <w:t>Physical inactivity and central adiposity promote the insulin resistance and low-grade inflammation that are linked with SD through shared inflammatory and sebaceous pathways.</w:t>
            </w:r>
          </w:p>
          <w:p>
            <w:pPr>
              <w:spacing w:after="40" w:before="60" w:line="259" w:lineRule="auto"/>
            </w:pPr>
            <w:r>
              <w:rPr>
                <w:rFonts w:ascii="Calibri" w:hAnsi="Calibri"/>
                <w:b w:val="0"/>
                <w:i w:val="0"/>
                <w:color w:val="212121"/>
                <w:sz w:val="19"/>
              </w:rPr>
              <w:t>Insulin resistance was found in 58.5% of SD patients versus 22% of controls (p=0.0001) in a case-control study.</w:t>
            </w:r>
          </w:p>
          <w:p>
            <w:pPr>
              <w:spacing w:after="40" w:line="252" w:lineRule="auto"/>
            </w:pPr>
            <w:hyperlink r:id="rId12">
              <w:r>
                <w:rPr>
                  <w:rFonts w:ascii="Calibri" w:hAnsi="Calibri" w:cs="Calibri"/>
                  <w:sz w:val="18"/>
                  <w:color w:val="1155CC"/>
                  <w:u w:val="single"/>
                </w:rPr>
                <w:t xml:space="preserve">pubmed.ncbi.nlm.nih.gov/34698561 - insulin resistance &amp; SD</w:t>
              </w:r>
            </w:hyperlink>
          </w:p>
          <w:p>
            <w:pPr>
              <w:spacing w:before="60" w:after="40"/>
            </w:pPr>
            <w:r>
              <w:rPr>
                <w:rFonts w:ascii="Calibri" w:hAnsi="Calibri"/>
                <w:b w:val="0"/>
                <w:i w:val="0"/>
                <w:color w:val="5A5A5A"/>
                <w:sz w:val="18"/>
              </w:rPr>
              <w:t>#sedentary  #insulinresistance  #metabolicsyndrome  #inflammation  #centraladiposity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Overweight / Obese</w:t>
            </w:r>
          </w:p>
        </w:tc>
        <w:tc>
          <w:tcPr>
            <w:tcW w:type="dxa" w:w="2160"/>
            <w:vAlign w:val="top"/>
          </w:tcPr>
          <w:p>
            <w:pPr>
              <w:spacing w:after="40" w:before="0" w:line="259" w:lineRule="auto"/>
            </w:pPr>
            <w:r>
              <w:rPr>
                <w:rFonts w:ascii="Calibri" w:hAnsi="Calibri"/>
                <w:b w:val="0"/>
                <w:i w:val="0"/>
                <w:color w:val="212121"/>
                <w:sz w:val="19"/>
              </w:rPr>
              <w:t>High-BMI adults</w:t>
            </w:r>
          </w:p>
        </w:tc>
        <w:tc>
          <w:tcPr>
            <w:tcW w:type="dxa" w:w="4276"/>
            <w:vAlign w:val="top"/>
          </w:tcPr>
          <w:p>
            <w:pPr>
              <w:spacing w:after="60" w:line="259" w:lineRule="auto"/>
            </w:pPr>
            <w:r>
              <w:rPr>
                <w:rFonts w:ascii="Calibri" w:hAnsi="Calibri"/>
                <w:b w:val="0"/>
                <w:i w:val="0"/>
                <w:color w:val="212121"/>
                <w:sz w:val="19"/>
              </w:rPr>
              <w:t>Excess adiposity increases systemic inflammation, sebum-related metabolic changes and skin-fold occlusion, all of which can aggravate flexural and truncal SD.</w:t>
            </w:r>
          </w:p>
          <w:p>
            <w:pPr>
              <w:spacing w:after="40" w:before="60" w:line="259" w:lineRule="auto"/>
            </w:pPr>
            <w:r>
              <w:rPr>
                <w:rFonts w:ascii="Calibri" w:hAnsi="Calibri"/>
                <w:b w:val="0"/>
                <w:i w:val="0"/>
                <w:color w:val="212121"/>
                <w:sz w:val="19"/>
              </w:rPr>
              <w:t>SD patients show significantly higher fasting insulin, HOMA-IR and triglycerides than controls, consistent with a metabolic-inflammatory link.</w:t>
            </w:r>
          </w:p>
          <w:p>
            <w:pPr>
              <w:spacing w:after="40" w:line="252" w:lineRule="auto"/>
            </w:pPr>
            <w:hyperlink r:id="rId12">
              <w:r>
                <w:rPr>
                  <w:rFonts w:ascii="Calibri" w:hAnsi="Calibri" w:cs="Calibri"/>
                  <w:sz w:val="18"/>
                  <w:color w:val="1155CC"/>
                  <w:u w:val="single"/>
                </w:rPr>
                <w:t xml:space="preserve">pubmed.ncbi.nlm.nih.gov/34698561 - metabolic markers in SD</w:t>
              </w:r>
            </w:hyperlink>
          </w:p>
          <w:p>
            <w:pPr>
              <w:spacing w:before="60" w:after="40"/>
            </w:pPr>
            <w:r>
              <w:rPr>
                <w:rFonts w:ascii="Calibri" w:hAnsi="Calibri"/>
                <w:b w:val="0"/>
                <w:i w:val="0"/>
                <w:color w:val="5A5A5A"/>
                <w:sz w:val="18"/>
              </w:rPr>
              <w:t>#obesity  #highBMI  #triglycerides  #skinfolds  #metabolic</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Smoking</w:t>
            </w:r>
          </w:p>
        </w:tc>
        <w:tc>
          <w:tcPr>
            <w:tcW w:type="dxa" w:w="2160"/>
            <w:vAlign w:val="top"/>
          </w:tcPr>
          <w:p>
            <w:pPr>
              <w:spacing w:after="40" w:before="0" w:line="259" w:lineRule="auto"/>
            </w:pPr>
            <w:r>
              <w:rPr>
                <w:rFonts w:ascii="Calibri" w:hAnsi="Calibri"/>
                <w:b w:val="0"/>
                <w:i w:val="0"/>
                <w:color w:val="212121"/>
                <w:sz w:val="19"/>
              </w:rPr>
              <w:t>Current tobacco users</w:t>
            </w:r>
          </w:p>
        </w:tc>
        <w:tc>
          <w:tcPr>
            <w:tcW w:type="dxa" w:w="4276"/>
            <w:vAlign w:val="top"/>
          </w:tcPr>
          <w:p>
            <w:pPr>
              <w:spacing w:after="60" w:line="259" w:lineRule="auto"/>
            </w:pPr>
            <w:r>
              <w:rPr>
                <w:rFonts w:ascii="Calibri" w:hAnsi="Calibri"/>
                <w:b w:val="0"/>
                <w:i w:val="0"/>
                <w:color w:val="212121"/>
                <w:sz w:val="19"/>
              </w:rPr>
              <w:t>Tobacco smoke promotes oxidative stress, altered sebaceous function and impaired skin immunity, and several studies report a higher prevalence of dandruff and SD in smokers.</w:t>
            </w:r>
          </w:p>
          <w:p>
            <w:pPr>
              <w:spacing w:after="40" w:before="60" w:line="259" w:lineRule="auto"/>
            </w:pPr>
            <w:r>
              <w:rPr>
                <w:rFonts w:ascii="Calibri" w:hAnsi="Calibri"/>
                <w:b w:val="0"/>
                <w:i w:val="0"/>
                <w:color w:val="212121"/>
                <w:sz w:val="19"/>
              </w:rPr>
              <w:t>Smoking is recognised as an associated risk factor for seborrheic dermatitis in epidemiological reviews.</w:t>
            </w:r>
          </w:p>
          <w:p>
            <w:pPr>
              <w:spacing w:before="60" w:after="40"/>
            </w:pPr>
            <w:r>
              <w:rPr>
                <w:rFonts w:ascii="Calibri" w:hAnsi="Calibri"/>
                <w:b w:val="0"/>
                <w:i w:val="0"/>
                <w:color w:val="5A5A5A"/>
                <w:sz w:val="18"/>
              </w:rPr>
              <w:t>#smoking  #tobacco  #oxidativestress  #skinimmunity  #modifiable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Alcohol</w:t>
            </w:r>
          </w:p>
        </w:tc>
        <w:tc>
          <w:tcPr>
            <w:tcW w:type="dxa" w:w="2160"/>
            <w:vAlign w:val="top"/>
          </w:tcPr>
          <w:p>
            <w:pPr>
              <w:spacing w:after="40" w:before="0" w:line="259" w:lineRule="auto"/>
            </w:pPr>
            <w:r>
              <w:rPr>
                <w:rFonts w:ascii="Calibri" w:hAnsi="Calibri"/>
                <w:b w:val="0"/>
                <w:i w:val="0"/>
                <w:color w:val="212121"/>
                <w:sz w:val="19"/>
              </w:rPr>
              <w:t>Heavy / regular drinkers</w:t>
            </w:r>
          </w:p>
        </w:tc>
        <w:tc>
          <w:tcPr>
            <w:tcW w:type="dxa" w:w="4276"/>
            <w:vAlign w:val="top"/>
          </w:tcPr>
          <w:p>
            <w:pPr>
              <w:spacing w:after="60" w:line="259" w:lineRule="auto"/>
            </w:pPr>
            <w:r>
              <w:rPr>
                <w:rFonts w:ascii="Calibri" w:hAnsi="Calibri"/>
                <w:b w:val="0"/>
                <w:i w:val="0"/>
                <w:color w:val="212121"/>
                <w:sz w:val="19"/>
              </w:rPr>
              <w:t>Alcohol excess and alcoholic liver disease are recognised aggravators of SD, acting through immune modulation, altered sebum and vasodilatation.</w:t>
            </w:r>
          </w:p>
          <w:p>
            <w:pPr>
              <w:spacing w:after="40" w:before="60" w:line="259" w:lineRule="auto"/>
            </w:pPr>
            <w:r>
              <w:rPr>
                <w:rFonts w:ascii="Calibri" w:hAnsi="Calibri"/>
                <w:b w:val="0"/>
                <w:i w:val="0"/>
                <w:color w:val="212121"/>
                <w:sz w:val="19"/>
              </w:rPr>
              <w:t>Alcohol is listed among the exacerbating factors for seborrheic dermatitis in current narrative reviews.</w:t>
            </w:r>
          </w:p>
          <w:p>
            <w:pPr>
              <w:spacing w:after="40" w:line="252" w:lineRule="auto"/>
            </w:pPr>
            <w:hyperlink r:id="rId13">
              <w:r>
                <w:rPr>
                  <w:rFonts w:ascii="Calibri" w:hAnsi="Calibri" w:cs="Calibri"/>
                  <w:sz w:val="18"/>
                  <w:color w:val="1155CC"/>
                  <w:u w:val="single"/>
                </w:rPr>
                <w:t xml:space="preserve">mdpi.com - SD triggers &amp; exacerbating factors</w:t>
              </w:r>
            </w:hyperlink>
          </w:p>
          <w:p>
            <w:pPr>
              <w:spacing w:before="60" w:after="40"/>
            </w:pPr>
            <w:r>
              <w:rPr>
                <w:rFonts w:ascii="Calibri" w:hAnsi="Calibri"/>
                <w:b w:val="0"/>
                <w:i w:val="0"/>
                <w:color w:val="5A5A5A"/>
                <w:sz w:val="18"/>
              </w:rPr>
              <w:t>#alcohol  #liver  #trigger  #immunemodulation  #flare</w:t>
            </w:r>
          </w:p>
        </w:tc>
      </w:tr>
      <w:tr>
        <w:trPr>
          <w:cantSplit/>
        </w:trPr>
        <w:tc>
          <w:tcPr>
            <w:tcW w:type="dxa" w:w="1512"/>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Dietary pattern</w:t>
            </w:r>
          </w:p>
        </w:tc>
        <w:tc>
          <w:tcPr>
            <w:tcW w:type="dxa" w:w="2160"/>
            <w:vAlign w:val="top"/>
          </w:tcPr>
          <w:p>
            <w:pPr>
              <w:spacing w:after="40" w:before="0" w:line="259" w:lineRule="auto"/>
            </w:pPr>
            <w:r>
              <w:rPr>
                <w:rFonts w:ascii="Calibri" w:hAnsi="Calibri"/>
                <w:b w:val="0"/>
                <w:i w:val="0"/>
                <w:color w:val="212121"/>
                <w:sz w:val="19"/>
              </w:rPr>
              <w:t>High refined-sugar / dairy / saturated-fat, low-fruit diets</w:t>
            </w:r>
          </w:p>
        </w:tc>
        <w:tc>
          <w:tcPr>
            <w:tcW w:type="dxa" w:w="4276"/>
            <w:vAlign w:val="top"/>
          </w:tcPr>
          <w:p>
            <w:pPr>
              <w:spacing w:after="60" w:line="259" w:lineRule="auto"/>
            </w:pPr>
            <w:r>
              <w:rPr>
                <w:rFonts w:ascii="Calibri" w:hAnsi="Calibri"/>
                <w:b w:val="0"/>
                <w:i w:val="0"/>
                <w:color w:val="212121"/>
                <w:sz w:val="19"/>
              </w:rPr>
              <w:t>Diets high in refined carbohydrate, dairy and saturated fat and low in fruit are linked to greater SD risk, plausibly by fuelling sebum production, Malassezia growth and inflammation.</w:t>
            </w:r>
          </w:p>
          <w:p>
            <w:pPr>
              <w:spacing w:after="40" w:before="60" w:line="259" w:lineRule="auto"/>
            </w:pPr>
            <w:r>
              <w:rPr>
                <w:rFonts w:ascii="Calibri" w:hAnsi="Calibri"/>
                <w:b w:val="0"/>
                <w:i w:val="0"/>
                <w:color w:val="212121"/>
                <w:sz w:val="19"/>
              </w:rPr>
              <w:t>Refined sugars, dairy and saturated fats are cited as dietary aggravators, whereas fruit-rich patterns are associated with lower prevalence.</w:t>
            </w:r>
          </w:p>
          <w:p>
            <w:pPr>
              <w:spacing w:after="40" w:line="252" w:lineRule="auto"/>
            </w:pPr>
            <w:hyperlink r:id="rId13">
              <w:r>
                <w:rPr>
                  <w:rFonts w:ascii="Calibri" w:hAnsi="Calibri" w:cs="Calibri"/>
                  <w:sz w:val="18"/>
                  <w:color w:val="1155CC"/>
                  <w:u w:val="single"/>
                </w:rPr>
                <w:t xml:space="preserve">mdpi.com - diet and SD</w:t>
              </w:r>
            </w:hyperlink>
          </w:p>
          <w:p>
            <w:pPr>
              <w:spacing w:before="60" w:after="40"/>
            </w:pPr>
            <w:r>
              <w:rPr>
                <w:rFonts w:ascii="Calibri" w:hAnsi="Calibri"/>
                <w:b w:val="0"/>
                <w:i w:val="0"/>
                <w:color w:val="5A5A5A"/>
                <w:sz w:val="18"/>
              </w:rPr>
              <w:t>#diet  #refinedsugar  #dairy  #saturatedfat  #lowfruit</w:t>
            </w:r>
          </w:p>
        </w:tc>
      </w:tr>
      <w:tr>
        <w:trPr>
          <w:cantSplit/>
        </w:trPr>
        <w:tc>
          <w:tcPr>
            <w:tcW w:type="dxa" w:w="1512"/>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 / individual susceptibility</w:t>
            </w:r>
          </w:p>
        </w:tc>
        <w:tc>
          <w:tcPr>
            <w:tcW w:type="dxa" w:w="2160"/>
            <w:vAlign w:val="top"/>
          </w:tcPr>
          <w:p>
            <w:pPr>
              <w:spacing w:after="40" w:before="0" w:line="259" w:lineRule="auto"/>
            </w:pPr>
            <w:r>
              <w:rPr>
                <w:rFonts w:ascii="Calibri" w:hAnsi="Calibri"/>
                <w:b w:val="0"/>
                <w:i w:val="0"/>
                <w:color w:val="212121"/>
                <w:sz w:val="19"/>
              </w:rPr>
              <w:t>First-degree relatives / atopic individuals</w:t>
            </w:r>
          </w:p>
        </w:tc>
        <w:tc>
          <w:tcPr>
            <w:tcW w:type="dxa" w:w="4276"/>
            <w:vAlign w:val="top"/>
          </w:tcPr>
          <w:p>
            <w:pPr>
              <w:spacing w:after="60" w:line="259" w:lineRule="auto"/>
            </w:pPr>
            <w:r>
              <w:rPr>
                <w:rFonts w:ascii="Calibri" w:hAnsi="Calibri"/>
                <w:b w:val="0"/>
                <w:i w:val="0"/>
                <w:color w:val="212121"/>
                <w:sz w:val="19"/>
              </w:rPr>
              <w:t>SD clusters in families through inherited differences in sebaceous activity, skin-barrier lipids and immune reactivity to Malassezia; infantile SD often overlaps with an atopic tendency.</w:t>
            </w:r>
          </w:p>
          <w:p>
            <w:pPr>
              <w:spacing w:after="40" w:before="60" w:line="259" w:lineRule="auto"/>
            </w:pPr>
            <w:r>
              <w:rPr>
                <w:rFonts w:ascii="Calibri" w:hAnsi="Calibri"/>
                <w:b w:val="0"/>
                <w:i w:val="0"/>
                <w:color w:val="212121"/>
                <w:sz w:val="19"/>
              </w:rPr>
              <w:t>A personal or family tendency to seborrhoea and atopy increases susceptibility and influences the age of onset.</w:t>
            </w:r>
          </w:p>
          <w:p>
            <w:pPr>
              <w:spacing w:before="60" w:after="40"/>
            </w:pPr>
            <w:r>
              <w:rPr>
                <w:rFonts w:ascii="Calibri" w:hAnsi="Calibri"/>
                <w:b w:val="0"/>
                <w:i w:val="0"/>
                <w:color w:val="5A5A5A"/>
                <w:sz w:val="18"/>
              </w:rPr>
              <w:t>#familyhistory  #genetics  #seborrhoea  #atopy  #susceptibility</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HIV / AIDS</w:t>
            </w:r>
          </w:p>
        </w:tc>
        <w:tc>
          <w:tcPr>
            <w:tcW w:type="dxa" w:w="2160"/>
            <w:vAlign w:val="top"/>
          </w:tcPr>
          <w:p>
            <w:pPr>
              <w:spacing w:after="40" w:before="0" w:line="259" w:lineRule="auto"/>
            </w:pPr>
            <w:r>
              <w:rPr>
                <w:rFonts w:ascii="Calibri" w:hAnsi="Calibri"/>
                <w:b w:val="0"/>
                <w:i w:val="0"/>
                <w:color w:val="212121"/>
                <w:sz w:val="19"/>
              </w:rPr>
              <w:t>People living with HIV</w:t>
            </w:r>
          </w:p>
        </w:tc>
        <w:tc>
          <w:tcPr>
            <w:tcW w:type="dxa" w:w="4276"/>
            <w:vAlign w:val="top"/>
          </w:tcPr>
          <w:p>
            <w:pPr>
              <w:spacing w:after="60" w:line="259" w:lineRule="auto"/>
            </w:pPr>
            <w:r>
              <w:rPr>
                <w:rFonts w:ascii="Calibri" w:hAnsi="Calibri"/>
                <w:b w:val="0"/>
                <w:i w:val="0"/>
                <w:color w:val="212121"/>
                <w:sz w:val="19"/>
              </w:rPr>
              <w:t>Immune dysfunction allows florid, extensive and treatment-resistant SD; sudden severe disease can be the presenting cutaneous sign of undiagnosed HIV, especially as CD4 counts fall.</w:t>
            </w:r>
          </w:p>
          <w:p>
            <w:pPr>
              <w:spacing w:after="40" w:before="60" w:line="259" w:lineRule="auto"/>
            </w:pPr>
            <w:r>
              <w:rPr>
                <w:rFonts w:ascii="Calibri" w:hAnsi="Calibri"/>
                <w:b w:val="0"/>
                <w:i w:val="0"/>
                <w:color w:val="212121"/>
                <w:sz w:val="19"/>
              </w:rPr>
              <w:t>SD affects around 35% of people in early HIV infection and up to 85% of those with AIDS, versus 3-5% in the general population.</w:t>
            </w:r>
          </w:p>
          <w:p>
            <w:pPr>
              <w:spacing w:after="40" w:line="252" w:lineRule="auto"/>
            </w:pPr>
            <w:hyperlink r:id="rId11">
              <w:r>
                <w:rPr>
                  <w:rFonts w:ascii="Calibri" w:hAnsi="Calibri" w:cs="Calibri"/>
                  <w:sz w:val="18"/>
                  <w:color w:val="1155CC"/>
                  <w:u w:val="single"/>
                </w:rPr>
                <w:t xml:space="preserve">ncbi.nlm.nih.gov - StatPearls, SD in HIV/AIDS</w:t>
              </w:r>
            </w:hyperlink>
          </w:p>
          <w:p>
            <w:pPr>
              <w:spacing w:before="60" w:after="40"/>
            </w:pPr>
            <w:r>
              <w:rPr>
                <w:rFonts w:ascii="Calibri" w:hAnsi="Calibri"/>
                <w:b w:val="0"/>
                <w:i w:val="0"/>
                <w:color w:val="5A5A5A"/>
                <w:sz w:val="18"/>
              </w:rPr>
              <w:t>#HIV  #AIDS  #immunosuppression  #cutaneousmarker  #severeSD</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Parkinson's disease</w:t>
            </w:r>
          </w:p>
        </w:tc>
        <w:tc>
          <w:tcPr>
            <w:tcW w:type="dxa" w:w="2160"/>
            <w:vAlign w:val="top"/>
          </w:tcPr>
          <w:p>
            <w:pPr>
              <w:spacing w:after="40" w:before="0" w:line="259" w:lineRule="auto"/>
            </w:pPr>
            <w:r>
              <w:rPr>
                <w:rFonts w:ascii="Calibri" w:hAnsi="Calibri"/>
                <w:b w:val="0"/>
                <w:i w:val="0"/>
                <w:color w:val="212121"/>
                <w:sz w:val="19"/>
              </w:rPr>
              <w:t>Patients with Parkinson's / parkinsonism</w:t>
            </w:r>
          </w:p>
        </w:tc>
        <w:tc>
          <w:tcPr>
            <w:tcW w:type="dxa" w:w="4276"/>
            <w:vAlign w:val="top"/>
          </w:tcPr>
          <w:p>
            <w:pPr>
              <w:spacing w:after="60" w:line="259" w:lineRule="auto"/>
            </w:pPr>
            <w:r>
              <w:rPr>
                <w:rFonts w:ascii="Calibri" w:hAnsi="Calibri"/>
                <w:b w:val="0"/>
                <w:i w:val="0"/>
                <w:color w:val="212121"/>
                <w:sz w:val="19"/>
              </w:rPr>
              <w:t>Facial immobility (hypomimia), autonomic dysfunction and increased sebum ('seborrhoea oleosa') greatly raise SD frequency and severity, and SD can even precede the motor diagnosis.</w:t>
            </w:r>
          </w:p>
          <w:p>
            <w:pPr>
              <w:spacing w:after="40" w:before="60" w:line="259" w:lineRule="auto"/>
            </w:pPr>
            <w:r>
              <w:rPr>
                <w:rFonts w:ascii="Calibri" w:hAnsi="Calibri"/>
                <w:b w:val="0"/>
                <w:i w:val="0"/>
                <w:color w:val="212121"/>
                <w:sz w:val="19"/>
              </w:rPr>
              <w:t>SD prevalence in Parkinson's disease is reported at roughly 19% up to ~52-59%, far above the general population.</w:t>
            </w:r>
          </w:p>
          <w:p>
            <w:pPr>
              <w:spacing w:after="40" w:line="252" w:lineRule="auto"/>
            </w:pPr>
            <w:hyperlink r:id="rId13">
              <w:r>
                <w:rPr>
                  <w:rFonts w:ascii="Calibri" w:hAnsi="Calibri" w:cs="Calibri"/>
                  <w:sz w:val="18"/>
                  <w:color w:val="1155CC"/>
                  <w:u w:val="single"/>
                </w:rPr>
                <w:t xml:space="preserve">mdpi.com - SD and Parkinson's disease</w:t>
              </w:r>
            </w:hyperlink>
          </w:p>
          <w:p>
            <w:pPr>
              <w:spacing w:before="60" w:after="40"/>
            </w:pPr>
            <w:r>
              <w:rPr>
                <w:rFonts w:ascii="Calibri" w:hAnsi="Calibri"/>
                <w:b w:val="0"/>
                <w:i w:val="0"/>
                <w:color w:val="5A5A5A"/>
                <w:sz w:val="18"/>
              </w:rPr>
              <w:t>#parkinsons  #hypomimia  #seborrhoea  #autonomic  #neurodermatology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Immunosuppression / malignancy</w:t>
            </w:r>
          </w:p>
        </w:tc>
        <w:tc>
          <w:tcPr>
            <w:tcW w:type="dxa" w:w="2160"/>
            <w:vAlign w:val="top"/>
          </w:tcPr>
          <w:p>
            <w:pPr>
              <w:spacing w:after="40" w:before="0" w:line="259" w:lineRule="auto"/>
            </w:pPr>
            <w:r>
              <w:rPr>
                <w:rFonts w:ascii="Calibri" w:hAnsi="Calibri"/>
                <w:b w:val="0"/>
                <w:i w:val="0"/>
                <w:color w:val="212121"/>
                <w:sz w:val="19"/>
              </w:rPr>
              <w:t>Transplant, lymphoma, chemotherapy patients</w:t>
            </w:r>
          </w:p>
        </w:tc>
        <w:tc>
          <w:tcPr>
            <w:tcW w:type="dxa" w:w="4276"/>
            <w:vAlign w:val="top"/>
          </w:tcPr>
          <w:p>
            <w:pPr>
              <w:spacing w:after="60" w:line="259" w:lineRule="auto"/>
            </w:pPr>
            <w:r>
              <w:rPr>
                <w:rFonts w:ascii="Calibri" w:hAnsi="Calibri"/>
                <w:b w:val="0"/>
                <w:i w:val="0"/>
                <w:color w:val="212121"/>
                <w:sz w:val="19"/>
              </w:rPr>
              <w:t>Iatrogenic or disease-related immunosuppression impairs the controlled response to Malassezia, producing severe, widespread or erythrodermic SD that is harder to treat.</w:t>
            </w:r>
          </w:p>
          <w:p>
            <w:pPr>
              <w:spacing w:after="40" w:before="60" w:line="259" w:lineRule="auto"/>
            </w:pPr>
            <w:r>
              <w:rPr>
                <w:rFonts w:ascii="Calibri" w:hAnsi="Calibri"/>
                <w:b w:val="0"/>
                <w:i w:val="0"/>
                <w:color w:val="212121"/>
                <w:sz w:val="19"/>
              </w:rPr>
              <w:t>Immunodeficiency states (HIV, lymphoma, renal transplantation) are established drivers of severe seborrheic dermatitis.</w:t>
            </w:r>
          </w:p>
          <w:p>
            <w:pPr>
              <w:spacing w:after="40" w:line="252" w:lineRule="auto"/>
            </w:pPr>
            <w:hyperlink r:id="rId11">
              <w:r>
                <w:rPr>
                  <w:rFonts w:ascii="Calibri" w:hAnsi="Calibri" w:cs="Calibri"/>
                  <w:sz w:val="18"/>
                  <w:color w:val="1155CC"/>
                  <w:u w:val="single"/>
                </w:rPr>
                <w:t xml:space="preserve">ncbi.nlm.nih.gov - StatPearls, immunosuppression &amp; SD</w:t>
              </w:r>
            </w:hyperlink>
          </w:p>
          <w:p>
            <w:pPr>
              <w:spacing w:before="60" w:after="40"/>
            </w:pPr>
            <w:r>
              <w:rPr>
                <w:rFonts w:ascii="Calibri" w:hAnsi="Calibri"/>
                <w:b w:val="0"/>
                <w:i w:val="0"/>
                <w:color w:val="5A5A5A"/>
                <w:sz w:val="18"/>
              </w:rPr>
              <w:t>#immunosuppression  #transplant  #lymphoma  #chemotherapy  #severeSD</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Depression / anxiety</w:t>
            </w:r>
          </w:p>
        </w:tc>
        <w:tc>
          <w:tcPr>
            <w:tcW w:type="dxa" w:w="2160"/>
            <w:vAlign w:val="top"/>
          </w:tcPr>
          <w:p>
            <w:pPr>
              <w:spacing w:after="40" w:before="0" w:line="259" w:lineRule="auto"/>
            </w:pPr>
            <w:r>
              <w:rPr>
                <w:rFonts w:ascii="Calibri" w:hAnsi="Calibri"/>
                <w:b w:val="0"/>
                <w:i w:val="0"/>
                <w:color w:val="212121"/>
                <w:sz w:val="19"/>
              </w:rPr>
              <w:t>Patients with mood or anxiety disorders</w:t>
            </w:r>
          </w:p>
        </w:tc>
        <w:tc>
          <w:tcPr>
            <w:tcW w:type="dxa" w:w="4276"/>
            <w:vAlign w:val="top"/>
          </w:tcPr>
          <w:p>
            <w:pPr>
              <w:spacing w:after="60" w:line="259" w:lineRule="auto"/>
            </w:pPr>
            <w:r>
              <w:rPr>
                <w:rFonts w:ascii="Calibri" w:hAnsi="Calibri"/>
                <w:b w:val="0"/>
                <w:i w:val="0"/>
                <w:color w:val="212121"/>
                <w:sz w:val="19"/>
              </w:rPr>
              <w:t>Psychological stress is a major SD trigger through neuro-immune and HPA-axis pathways, while the visible, itchy, relapsing facial rash in turn heightens anxiety and lowers quality of life - a bidirectional loop.</w:t>
            </w:r>
          </w:p>
          <w:p>
            <w:pPr>
              <w:spacing w:after="40" w:before="60" w:line="259" w:lineRule="auto"/>
            </w:pPr>
            <w:r>
              <w:rPr>
                <w:rFonts w:ascii="Calibri" w:hAnsi="Calibri"/>
                <w:b w:val="0"/>
                <w:i w:val="0"/>
                <w:color w:val="212121"/>
                <w:sz w:val="19"/>
              </w:rPr>
              <w:t>About 30.9% of SD patients showed moderate-to-severe anxiety (BAI &gt;=16), and DLQI correlated with anxiety (Rho 0.465, p&lt;0.001).</w:t>
            </w:r>
          </w:p>
          <w:p>
            <w:pPr>
              <w:spacing w:after="40" w:line="252" w:lineRule="auto"/>
            </w:pPr>
            <w:hyperlink r:id="rId14">
              <w:r>
                <w:rPr>
                  <w:rFonts w:ascii="Calibri" w:hAnsi="Calibri" w:cs="Calibri"/>
                  <w:sz w:val="18"/>
                  <w:color w:val="1155CC"/>
                  <w:u w:val="single"/>
                </w:rPr>
                <w:t xml:space="preserve">journals.plos.org - psychosocial dimensions of SD</w:t>
              </w:r>
            </w:hyperlink>
          </w:p>
          <w:p>
            <w:pPr>
              <w:spacing w:before="60" w:after="40"/>
            </w:pPr>
            <w:r>
              <w:rPr>
                <w:rFonts w:ascii="Calibri" w:hAnsi="Calibri"/>
                <w:b w:val="0"/>
                <w:i w:val="0"/>
                <w:color w:val="5A5A5A"/>
                <w:sz w:val="18"/>
              </w:rPr>
              <w:t>#stress  #anxiety  #depression  #qualityoflife  #neuroimmune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Metabolic syndrome / insulin resistance</w:t>
            </w:r>
          </w:p>
        </w:tc>
        <w:tc>
          <w:tcPr>
            <w:tcW w:type="dxa" w:w="2160"/>
            <w:vAlign w:val="top"/>
          </w:tcPr>
          <w:p>
            <w:pPr>
              <w:spacing w:after="40" w:before="0" w:line="259" w:lineRule="auto"/>
            </w:pPr>
            <w:r>
              <w:rPr>
                <w:rFonts w:ascii="Calibri" w:hAnsi="Calibri"/>
                <w:b w:val="0"/>
                <w:i w:val="0"/>
                <w:color w:val="212121"/>
                <w:sz w:val="19"/>
              </w:rPr>
              <w:t>Adults with dysmetabolism</w:t>
            </w:r>
          </w:p>
        </w:tc>
        <w:tc>
          <w:tcPr>
            <w:tcW w:type="dxa" w:w="4276"/>
            <w:vAlign w:val="top"/>
          </w:tcPr>
          <w:p>
            <w:pPr>
              <w:spacing w:after="60" w:line="259" w:lineRule="auto"/>
            </w:pPr>
            <w:r>
              <w:rPr>
                <w:rFonts w:ascii="Calibri" w:hAnsi="Calibri"/>
                <w:b w:val="0"/>
                <w:i w:val="0"/>
                <w:color w:val="212121"/>
                <w:sz w:val="19"/>
              </w:rPr>
              <w:t>Shared low-grade inflammation and altered lipid handling link SD with insulin resistance and metabolic syndrome, and metabolic disease may worsen SD severity and persistence.</w:t>
            </w:r>
          </w:p>
          <w:p>
            <w:pPr>
              <w:spacing w:after="40" w:before="60" w:line="259" w:lineRule="auto"/>
            </w:pPr>
            <w:r>
              <w:rPr>
                <w:rFonts w:ascii="Calibri" w:hAnsi="Calibri"/>
                <w:b w:val="0"/>
                <w:i w:val="0"/>
                <w:color w:val="212121"/>
                <w:sz w:val="19"/>
              </w:rPr>
              <w:t>Insulin resistance was present in 58.5% of SD patients versus 22% of controls (p=0.0001); metabolic syndrome was numerically higher (22.6% vs 12%).</w:t>
            </w:r>
          </w:p>
          <w:p>
            <w:pPr>
              <w:spacing w:after="40" w:line="252" w:lineRule="auto"/>
            </w:pPr>
            <w:hyperlink r:id="rId12">
              <w:r>
                <w:rPr>
                  <w:rFonts w:ascii="Calibri" w:hAnsi="Calibri" w:cs="Calibri"/>
                  <w:sz w:val="18"/>
                  <w:color w:val="1155CC"/>
                  <w:u w:val="single"/>
                </w:rPr>
                <w:t xml:space="preserve">pubmed.ncbi.nlm.nih.gov/34698561 - metabolic syndrome &amp; SD</w:t>
              </w:r>
            </w:hyperlink>
          </w:p>
          <w:p>
            <w:pPr>
              <w:spacing w:before="60" w:after="40"/>
            </w:pPr>
            <w:r>
              <w:rPr>
                <w:rFonts w:ascii="Calibri" w:hAnsi="Calibri"/>
                <w:b w:val="0"/>
                <w:i w:val="0"/>
                <w:color w:val="5A5A5A"/>
                <w:sz w:val="18"/>
              </w:rPr>
              <w:t>#metabolicsyndrome  #insulinresistance  #dyslipidemia  #inflammation  #HOMAIR</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Physical inactivity and central obesity cluster with the insulin resistance seen in SD (present in ~58% of patients vs 22% of controls); regular activity that improves metabolic and immune health may reduce inflammatory drive, though direct trials in SD are lacking.</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Diets rich in refined sugars, dairy and saturated fat are associated with higher SD risk, while fruit-rich patterns are linked to lower prevalence, plausibly via effects on sebum, Malassezia growth and inflammation.</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Poor sleep and circadian disruption raise stress hormones and impair barrier repair, which can aggravate flares indirectly; evidence for a direct causal role in SD is limited.</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Tobacco use is associated with a higher prevalence of dandruff and seborrheic dermatitis, likely through oxidative stress, altered sebaceous function and impaired cutaneous immunity.</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Alcohol excess and alcoholic liver disease are recognised aggravators of SD, acting through immune modulation, altered sebum and vasodilatation.</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Psychological stress is one of the best-recognised precipitants of SD flares via neuro-immune and HPA-axis pathways; conversely ~31% of patients have clinically significant anxiety and quality of life falls as distress rises.</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Adequate hydration and emollient use support the skin barrier and reduce scaling discomfort, but water intake itself has no proven direct effect on SD activity.</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There is no meaningful evidence linking caffeine intake to seborrheic dermatitis; interestingly, topical caffeine-containing anti-dandruff formulations have been studied, but dietary caffeine is not a recognised factor.</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Skin and scalp hygiene are central to control: regular use of medicated antifungal shampoos and gentle cleansing reduces scale and Malassezia load, whereas infrequent washing lets scale accumulate and harsh over-washing or greasy products can worsen barrier irritation.</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Cold dry (winter) weather, emotional stress, intercurrent illness, immunosuppression, Parkinson's disease, alcohol and drugs (lithium, dopamine antagonists, PUVA, immunosuppressants) are the classic precipitants of flares.</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Hygiene</w:t>
            </w:r>
          </w:p>
        </w:tc>
        <w:tc>
          <w:tcPr>
            <w:tcW w:type="dxa" w:w="1944"/>
            <w:vAlign w:val="top"/>
          </w:tcPr>
          <w:p>
            <w:pPr>
              <w:spacing w:after="40" w:before="0" w:line="259" w:lineRule="auto"/>
            </w:pPr>
            <w:r>
              <w:rPr>
                <w:rFonts w:ascii="Calibri" w:hAnsi="Calibri"/>
                <w:b w:val="0"/>
                <w:i w:val="0"/>
                <w:color w:val="212121"/>
                <w:sz w:val="19"/>
              </w:rPr>
              <w:t>Medicated (antifungal) shampoo frequency</w:t>
            </w:r>
          </w:p>
        </w:tc>
        <w:tc>
          <w:tcPr>
            <w:tcW w:type="dxa" w:w="1655"/>
            <w:vAlign w:val="top"/>
          </w:tcPr>
          <w:p>
            <w:pPr>
              <w:spacing w:after="40" w:before="0" w:line="259" w:lineRule="auto"/>
            </w:pPr>
            <w:r>
              <w:rPr>
                <w:rFonts w:ascii="Calibri" w:hAnsi="Calibri"/>
                <w:b w:val="0"/>
                <w:i w:val="0"/>
                <w:color w:val="212121"/>
                <w:sz w:val="19"/>
              </w:rPr>
              <w:t>Scalp SD, dandruff</w:t>
            </w:r>
          </w:p>
        </w:tc>
        <w:tc>
          <w:tcPr>
            <w:tcW w:type="dxa" w:w="1512"/>
            <w:vAlign w:val="top"/>
          </w:tcPr>
          <w:p>
            <w:pPr>
              <w:spacing w:after="40" w:before="0" w:line="259" w:lineRule="auto"/>
            </w:pPr>
            <w:r>
              <w:rPr>
                <w:rFonts w:ascii="Calibri" w:hAnsi="Calibri"/>
                <w:b w:val="0"/>
                <w:i w:val="0"/>
                <w:color w:val="212121"/>
                <w:sz w:val="19"/>
              </w:rPr>
              <w:t>2-3 washes/week during flares, then maintenance 1-2/week</w:t>
            </w:r>
          </w:p>
        </w:tc>
        <w:tc>
          <w:tcPr>
            <w:tcW w:type="dxa" w:w="1512"/>
            <w:vAlign w:val="top"/>
          </w:tcPr>
          <w:p>
            <w:pPr>
              <w:spacing w:after="40" w:before="0" w:line="259" w:lineRule="auto"/>
            </w:pPr>
            <w:r>
              <w:rPr>
                <w:rFonts w:ascii="Calibri" w:hAnsi="Calibri"/>
                <w:b w:val="0"/>
                <w:i w:val="0"/>
                <w:color w:val="212121"/>
                <w:sz w:val="19"/>
              </w:rPr>
              <w:t>&lt; 1 wash/week or reliance on plain shampoo only</w:t>
            </w:r>
          </w:p>
        </w:tc>
        <w:tc>
          <w:tcPr>
            <w:tcW w:type="dxa" w:w="1468"/>
            <w:vAlign w:val="top"/>
          </w:tcPr>
          <w:p>
            <w:pPr>
              <w:spacing w:after="40" w:before="0" w:line="259" w:lineRule="auto"/>
            </w:pPr>
            <w:r>
              <w:rPr>
                <w:rFonts w:ascii="Calibri" w:hAnsi="Calibri"/>
                <w:b w:val="0"/>
                <w:i w:val="0"/>
                <w:color w:val="212121"/>
                <w:sz w:val="19"/>
              </w:rPr>
              <w:t>Ketoconazole 2% / ciclopirox / zinc pyrithione / selenium sulfide reduce Malassezia load</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Scale/severity grade (SDASI or dandruff score)</w:t>
            </w:r>
          </w:p>
        </w:tc>
        <w:tc>
          <w:tcPr>
            <w:tcW w:type="dxa" w:w="1655"/>
            <w:vAlign w:val="top"/>
          </w:tcPr>
          <w:p>
            <w:pPr>
              <w:spacing w:after="40" w:before="0" w:line="259" w:lineRule="auto"/>
            </w:pPr>
            <w:r>
              <w:rPr>
                <w:rFonts w:ascii="Calibri" w:hAnsi="Calibri"/>
                <w:b w:val="0"/>
                <w:i w:val="0"/>
                <w:color w:val="212121"/>
                <w:sz w:val="19"/>
              </w:rPr>
              <w:t>All SD patients</w:t>
            </w:r>
          </w:p>
        </w:tc>
        <w:tc>
          <w:tcPr>
            <w:tcW w:type="dxa" w:w="1512"/>
            <w:vAlign w:val="top"/>
          </w:tcPr>
          <w:p>
            <w:pPr>
              <w:spacing w:after="40" w:before="0" w:line="259" w:lineRule="auto"/>
            </w:pPr>
            <w:r>
              <w:rPr>
                <w:rFonts w:ascii="Calibri" w:hAnsi="Calibri"/>
                <w:b w:val="0"/>
                <w:i w:val="0"/>
                <w:color w:val="212121"/>
                <w:sz w:val="19"/>
              </w:rPr>
              <w:t>Clear / minimal scale</w:t>
            </w:r>
          </w:p>
        </w:tc>
        <w:tc>
          <w:tcPr>
            <w:tcW w:type="dxa" w:w="1512"/>
            <w:vAlign w:val="top"/>
          </w:tcPr>
          <w:p>
            <w:pPr>
              <w:spacing w:after="40" w:before="0" w:line="259" w:lineRule="auto"/>
            </w:pPr>
            <w:r>
              <w:rPr>
                <w:rFonts w:ascii="Calibri" w:hAnsi="Calibri"/>
                <w:b w:val="0"/>
                <w:i w:val="0"/>
                <w:color w:val="212121"/>
                <w:sz w:val="19"/>
              </w:rPr>
              <w:t>Persistent moderate-severe erythema and scaling</w:t>
            </w:r>
          </w:p>
        </w:tc>
        <w:tc>
          <w:tcPr>
            <w:tcW w:type="dxa" w:w="1468"/>
            <w:vAlign w:val="top"/>
          </w:tcPr>
          <w:p>
            <w:pPr>
              <w:spacing w:after="40" w:before="0" w:line="259" w:lineRule="auto"/>
            </w:pPr>
            <w:r>
              <w:rPr>
                <w:rFonts w:ascii="Calibri" w:hAnsi="Calibri"/>
                <w:b w:val="0"/>
                <w:i w:val="0"/>
                <w:color w:val="212121"/>
                <w:sz w:val="19"/>
              </w:rPr>
              <w:t>Objective severity guides step-up therapy and follow-up</w:t>
            </w:r>
          </w:p>
        </w:tc>
      </w:tr>
      <w:tr>
        <w:trPr>
          <w:cantSplit/>
        </w:trPr>
        <w:tc>
          <w:tcPr>
            <w:tcW w:type="dxa" w:w="1512"/>
            <w:vMerge w:val="restart"/>
            <w:vAlign w:val="center"/>
          </w:tcPr>
          <w:p>
            <w:pPr>
              <w:spacing w:after="40"/>
            </w:pPr>
            <w:r>
              <w:rPr>
                <w:rFonts w:ascii="Calibri" w:hAnsi="Calibri"/>
                <w:b w:val="0"/>
                <w:i w:val="0"/>
                <w:color w:val="212121"/>
                <w:sz w:val="19"/>
              </w:rPr>
              <w:t>Mental health</w:t>
            </w:r>
          </w:p>
        </w:tc>
        <w:tc>
          <w:tcPr>
            <w:tcW w:type="dxa" w:w="1944"/>
            <w:vAlign w:val="top"/>
          </w:tcPr>
          <w:p>
            <w:pPr>
              <w:spacing w:after="40" w:before="0" w:line="259" w:lineRule="auto"/>
            </w:pPr>
            <w:r>
              <w:rPr>
                <w:rFonts w:ascii="Calibri" w:hAnsi="Calibri"/>
                <w:b w:val="0"/>
                <w:i w:val="0"/>
                <w:color w:val="212121"/>
                <w:sz w:val="19"/>
              </w:rPr>
              <w:t>Anxiety score (Beck Anxiety Inventory, BAI)</w:t>
            </w:r>
          </w:p>
        </w:tc>
        <w:tc>
          <w:tcPr>
            <w:tcW w:type="dxa" w:w="1655"/>
            <w:vAlign w:val="top"/>
          </w:tcPr>
          <w:p>
            <w:pPr>
              <w:spacing w:after="40" w:before="0" w:line="259" w:lineRule="auto"/>
            </w:pPr>
            <w:r>
              <w:rPr>
                <w:rFonts w:ascii="Calibri" w:hAnsi="Calibri"/>
                <w:b w:val="0"/>
                <w:i w:val="0"/>
                <w:color w:val="212121"/>
                <w:sz w:val="19"/>
              </w:rPr>
              <w:t>Adults with facial/visible SD</w:t>
            </w:r>
          </w:p>
        </w:tc>
        <w:tc>
          <w:tcPr>
            <w:tcW w:type="dxa" w:w="1512"/>
            <w:vAlign w:val="top"/>
          </w:tcPr>
          <w:p>
            <w:pPr>
              <w:spacing w:after="40" w:before="0" w:line="259" w:lineRule="auto"/>
            </w:pPr>
            <w:r>
              <w:rPr>
                <w:rFonts w:ascii="Calibri" w:hAnsi="Calibri"/>
                <w:b w:val="0"/>
                <w:i w:val="0"/>
                <w:color w:val="212121"/>
                <w:sz w:val="19"/>
              </w:rPr>
              <w:t>&lt; 16 (no clinically significant anxiety)</w:t>
            </w:r>
          </w:p>
        </w:tc>
        <w:tc>
          <w:tcPr>
            <w:tcW w:type="dxa" w:w="1512"/>
            <w:vAlign w:val="top"/>
          </w:tcPr>
          <w:p>
            <w:pPr>
              <w:spacing w:after="40" w:before="0" w:line="259" w:lineRule="auto"/>
            </w:pPr>
            <w:r>
              <w:rPr>
                <w:rFonts w:ascii="Calibri" w:hAnsi="Calibri"/>
                <w:b w:val="0"/>
                <w:i w:val="0"/>
                <w:color w:val="212121"/>
                <w:sz w:val="19"/>
              </w:rPr>
              <w:t>&gt;= 16 (moderate-severe anxiety)</w:t>
            </w:r>
          </w:p>
        </w:tc>
        <w:tc>
          <w:tcPr>
            <w:tcW w:type="dxa" w:w="1468"/>
            <w:vAlign w:val="top"/>
          </w:tcPr>
          <w:p>
            <w:pPr>
              <w:spacing w:after="60" w:line="259" w:lineRule="auto"/>
            </w:pPr>
            <w:r>
              <w:rPr>
                <w:rFonts w:ascii="Calibri" w:hAnsi="Calibri"/>
                <w:b w:val="0"/>
                <w:i w:val="0"/>
                <w:color w:val="212121"/>
                <w:sz w:val="19"/>
              </w:rPr>
              <w:t>~31% of SD patients score &gt;=16; anxiety tracks with poorer DLQI</w:t>
            </w:r>
          </w:p>
          <w:p>
            <w:pPr>
              <w:spacing w:after="40" w:line="252" w:lineRule="auto"/>
            </w:pPr>
            <w:hyperlink r:id="rId14">
              <w:r>
                <w:rPr>
                  <w:rFonts w:ascii="Calibri" w:hAnsi="Calibri" w:cs="Calibri"/>
                  <w:sz w:val="18"/>
                  <w:color w:val="1155CC"/>
                  <w:u w:val="single"/>
                </w:rPr>
                <w:t xml:space="preserve">https://journals.plos.org/plosone/article?id=10.1371%2Fjournal.pone.0331030</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Quality of life (DLQI)</w:t>
            </w:r>
          </w:p>
        </w:tc>
        <w:tc>
          <w:tcPr>
            <w:tcW w:type="dxa" w:w="1655"/>
            <w:vAlign w:val="top"/>
          </w:tcPr>
          <w:p>
            <w:pPr>
              <w:spacing w:after="40" w:before="0" w:line="259" w:lineRule="auto"/>
            </w:pPr>
            <w:r>
              <w:rPr>
                <w:rFonts w:ascii="Calibri" w:hAnsi="Calibri"/>
                <w:b w:val="0"/>
                <w:i w:val="0"/>
                <w:color w:val="212121"/>
                <w:sz w:val="19"/>
              </w:rPr>
              <w:t>All SD patients</w:t>
            </w:r>
          </w:p>
        </w:tc>
        <w:tc>
          <w:tcPr>
            <w:tcW w:type="dxa" w:w="1512"/>
            <w:vAlign w:val="top"/>
          </w:tcPr>
          <w:p>
            <w:pPr>
              <w:spacing w:after="40" w:before="0" w:line="259" w:lineRule="auto"/>
            </w:pPr>
            <w:r>
              <w:rPr>
                <w:rFonts w:ascii="Calibri" w:hAnsi="Calibri"/>
                <w:b w:val="0"/>
                <w:i w:val="0"/>
                <w:color w:val="212121"/>
                <w:sz w:val="19"/>
              </w:rPr>
              <w:t>0-1 (no effect on life)</w:t>
            </w:r>
          </w:p>
        </w:tc>
        <w:tc>
          <w:tcPr>
            <w:tcW w:type="dxa" w:w="1512"/>
            <w:vAlign w:val="top"/>
          </w:tcPr>
          <w:p>
            <w:pPr>
              <w:spacing w:after="40" w:before="0" w:line="259" w:lineRule="auto"/>
            </w:pPr>
            <w:r>
              <w:rPr>
                <w:rFonts w:ascii="Calibri" w:hAnsi="Calibri"/>
                <w:b w:val="0"/>
                <w:i w:val="0"/>
                <w:color w:val="212121"/>
                <w:sz w:val="19"/>
              </w:rPr>
              <w:t>&gt; 10 (very large effect)</w:t>
            </w:r>
          </w:p>
        </w:tc>
        <w:tc>
          <w:tcPr>
            <w:tcW w:type="dxa" w:w="1468"/>
            <w:vAlign w:val="top"/>
          </w:tcPr>
          <w:p>
            <w:pPr>
              <w:spacing w:after="40" w:before="0" w:line="259" w:lineRule="auto"/>
            </w:pPr>
            <w:r>
              <w:rPr>
                <w:rFonts w:ascii="Calibri" w:hAnsi="Calibri"/>
                <w:b w:val="0"/>
                <w:i w:val="0"/>
                <w:color w:val="212121"/>
                <w:sz w:val="19"/>
              </w:rPr>
              <w:t>Facial and relapsing disease disproportionately impairs QoL</w:t>
            </w:r>
          </w:p>
        </w:tc>
      </w:tr>
      <w:tr>
        <w:trPr>
          <w:cantSplit/>
        </w:trPr>
        <w:tc>
          <w:tcPr>
            <w:tcW w:type="dxa" w:w="1512"/>
            <w:vMerge w:val="restart"/>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Body Mass Index (kg/m2)</w:t>
            </w:r>
          </w:p>
        </w:tc>
        <w:tc>
          <w:tcPr>
            <w:tcW w:type="dxa" w:w="1655"/>
            <w:vAlign w:val="top"/>
          </w:tcPr>
          <w:p>
            <w:pPr>
              <w:spacing w:after="40" w:before="0" w:line="259" w:lineRule="auto"/>
            </w:pPr>
            <w:r>
              <w:rPr>
                <w:rFonts w:ascii="Calibri" w:hAnsi="Calibri"/>
                <w:b w:val="0"/>
                <w:i w:val="0"/>
                <w:color w:val="212121"/>
                <w:sz w:val="19"/>
              </w:rPr>
              <w:t>Adults, metabolic-syndrome-prone</w:t>
            </w:r>
          </w:p>
        </w:tc>
        <w:tc>
          <w:tcPr>
            <w:tcW w:type="dxa" w:w="1512"/>
            <w:vAlign w:val="top"/>
          </w:tcPr>
          <w:p>
            <w:pPr>
              <w:spacing w:after="40" w:before="0" w:line="259" w:lineRule="auto"/>
            </w:pPr>
            <w:r>
              <w:rPr>
                <w:rFonts w:ascii="Calibri" w:hAnsi="Calibri"/>
                <w:b w:val="0"/>
                <w:i w:val="0"/>
                <w:color w:val="212121"/>
                <w:sz w:val="19"/>
              </w:rPr>
              <w:t>18.5-24.9 kg/m2</w:t>
            </w:r>
          </w:p>
        </w:tc>
        <w:tc>
          <w:tcPr>
            <w:tcW w:type="dxa" w:w="1512"/>
            <w:vAlign w:val="top"/>
          </w:tcPr>
          <w:p>
            <w:pPr>
              <w:spacing w:after="40" w:before="0" w:line="259" w:lineRule="auto"/>
            </w:pPr>
            <w:r>
              <w:rPr>
                <w:rFonts w:ascii="Calibri" w:hAnsi="Calibri"/>
                <w:b w:val="0"/>
                <w:i w:val="0"/>
                <w:color w:val="212121"/>
                <w:sz w:val="19"/>
              </w:rPr>
              <w:t>&gt;= 25 (overweight); &gt;= 30 (obesity)</w:t>
            </w:r>
          </w:p>
        </w:tc>
        <w:tc>
          <w:tcPr>
            <w:tcW w:type="dxa" w:w="1468"/>
            <w:vAlign w:val="top"/>
          </w:tcPr>
          <w:p>
            <w:pPr>
              <w:spacing w:after="40" w:before="0" w:line="259" w:lineRule="auto"/>
            </w:pPr>
            <w:r>
              <w:rPr>
                <w:rFonts w:ascii="Calibri" w:hAnsi="Calibri"/>
                <w:b w:val="0"/>
                <w:i w:val="0"/>
                <w:color w:val="212121"/>
                <w:sz w:val="19"/>
              </w:rPr>
              <w:t>Higher BMI links to insulin resistance associated with SD</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HOMA-IR (insulin resistance index)</w:t>
            </w:r>
          </w:p>
        </w:tc>
        <w:tc>
          <w:tcPr>
            <w:tcW w:type="dxa" w:w="1655"/>
            <w:vAlign w:val="top"/>
          </w:tcPr>
          <w:p>
            <w:pPr>
              <w:spacing w:after="40" w:before="0" w:line="259" w:lineRule="auto"/>
            </w:pPr>
            <w:r>
              <w:rPr>
                <w:rFonts w:ascii="Calibri" w:hAnsi="Calibri"/>
                <w:b w:val="0"/>
                <w:i w:val="0"/>
                <w:color w:val="212121"/>
                <w:sz w:val="19"/>
              </w:rPr>
              <w:t>Adults with SD</w:t>
            </w:r>
          </w:p>
        </w:tc>
        <w:tc>
          <w:tcPr>
            <w:tcW w:type="dxa" w:w="1512"/>
            <w:vAlign w:val="top"/>
          </w:tcPr>
          <w:p>
            <w:pPr>
              <w:spacing w:after="40" w:before="0" w:line="259" w:lineRule="auto"/>
            </w:pPr>
            <w:r>
              <w:rPr>
                <w:rFonts w:ascii="Calibri" w:hAnsi="Calibri"/>
                <w:b w:val="0"/>
                <w:i w:val="0"/>
                <w:color w:val="212121"/>
                <w:sz w:val="19"/>
              </w:rPr>
              <w:t>&lt; 2.0</w:t>
            </w:r>
          </w:p>
        </w:tc>
        <w:tc>
          <w:tcPr>
            <w:tcW w:type="dxa" w:w="1512"/>
            <w:vAlign w:val="top"/>
          </w:tcPr>
          <w:p>
            <w:pPr>
              <w:spacing w:after="40" w:before="0" w:line="259" w:lineRule="auto"/>
            </w:pPr>
            <w:r>
              <w:rPr>
                <w:rFonts w:ascii="Calibri" w:hAnsi="Calibri"/>
                <w:b w:val="0"/>
                <w:i w:val="0"/>
                <w:color w:val="212121"/>
                <w:sz w:val="19"/>
              </w:rPr>
              <w:t>Elevated HOMA-IR / fasting insulin</w:t>
            </w:r>
          </w:p>
        </w:tc>
        <w:tc>
          <w:tcPr>
            <w:tcW w:type="dxa" w:w="1468"/>
            <w:vAlign w:val="top"/>
          </w:tcPr>
          <w:p>
            <w:pPr>
              <w:spacing w:after="60" w:line="259" w:lineRule="auto"/>
            </w:pPr>
            <w:r>
              <w:rPr>
                <w:rFonts w:ascii="Calibri" w:hAnsi="Calibri"/>
                <w:b w:val="0"/>
                <w:i w:val="0"/>
                <w:color w:val="212121"/>
                <w:sz w:val="19"/>
              </w:rPr>
              <w:t>IR found in ~58% of SD patients vs 22% controls</w:t>
            </w:r>
          </w:p>
          <w:p>
            <w:pPr>
              <w:spacing w:after="40" w:line="252" w:lineRule="auto"/>
            </w:pPr>
            <w:hyperlink r:id="rId12">
              <w:r>
                <w:rPr>
                  <w:rFonts w:ascii="Calibri" w:hAnsi="Calibri" w:cs="Calibri"/>
                  <w:sz w:val="18"/>
                  <w:color w:val="1155CC"/>
                  <w:u w:val="single"/>
                </w:rPr>
                <w:t xml:space="preserve">https://pubmed.ncbi.nlm.nih.gov/34698561/</w:t>
              </w:r>
            </w:hyperlink>
          </w:p>
        </w:tc>
      </w:tr>
      <w:tr>
        <w:trPr>
          <w:cantSplit/>
        </w:trPr>
        <w:tc>
          <w:tcPr>
            <w:tcW w:type="dxa" w:w="1512"/>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Added-sugar / refined-carb intake</w:t>
            </w:r>
          </w:p>
        </w:tc>
        <w:tc>
          <w:tcPr>
            <w:tcW w:type="dxa" w:w="1655"/>
            <w:vAlign w:val="top"/>
          </w:tcPr>
          <w:p>
            <w:pPr>
              <w:spacing w:after="40" w:before="0" w:line="259" w:lineRule="auto"/>
            </w:pPr>
            <w:r>
              <w:rPr>
                <w:rFonts w:ascii="Calibri" w:hAnsi="Calibri"/>
                <w:b w:val="0"/>
                <w:i w:val="0"/>
                <w:color w:val="212121"/>
                <w:sz w:val="19"/>
              </w:rPr>
              <w:t>Adults with SD</w:t>
            </w:r>
          </w:p>
        </w:tc>
        <w:tc>
          <w:tcPr>
            <w:tcW w:type="dxa" w:w="1512"/>
            <w:vAlign w:val="top"/>
          </w:tcPr>
          <w:p>
            <w:pPr>
              <w:spacing w:after="40" w:before="0" w:line="259" w:lineRule="auto"/>
            </w:pPr>
            <w:r>
              <w:rPr>
                <w:rFonts w:ascii="Calibri" w:hAnsi="Calibri"/>
                <w:b w:val="0"/>
                <w:i w:val="0"/>
                <w:color w:val="212121"/>
                <w:sz w:val="19"/>
              </w:rPr>
              <w:t>Low added sugar; fruit and vegetable rich</w:t>
            </w:r>
          </w:p>
        </w:tc>
        <w:tc>
          <w:tcPr>
            <w:tcW w:type="dxa" w:w="1512"/>
            <w:vAlign w:val="top"/>
          </w:tcPr>
          <w:p>
            <w:pPr>
              <w:spacing w:after="40" w:before="0" w:line="259" w:lineRule="auto"/>
            </w:pPr>
            <w:r>
              <w:rPr>
                <w:rFonts w:ascii="Calibri" w:hAnsi="Calibri"/>
                <w:b w:val="0"/>
                <w:i w:val="0"/>
                <w:color w:val="212121"/>
                <w:sz w:val="19"/>
              </w:rPr>
              <w:t>High refined sugar, dairy and saturated fat, low fruit</w:t>
            </w:r>
          </w:p>
        </w:tc>
        <w:tc>
          <w:tcPr>
            <w:tcW w:type="dxa" w:w="1468"/>
            <w:vAlign w:val="top"/>
          </w:tcPr>
          <w:p>
            <w:pPr>
              <w:spacing w:after="40" w:before="0" w:line="259" w:lineRule="auto"/>
            </w:pPr>
            <w:r>
              <w:rPr>
                <w:rFonts w:ascii="Calibri" w:hAnsi="Calibri"/>
                <w:b w:val="0"/>
                <w:i w:val="0"/>
                <w:color w:val="212121"/>
                <w:sz w:val="19"/>
              </w:rPr>
              <w:t>Dietary pattern modulates sebum and inflammation</w:t>
            </w:r>
          </w:p>
        </w:tc>
      </w:tr>
      <w:tr>
        <w:trPr>
          <w:cantSplit/>
        </w:trPr>
        <w:tc>
          <w:tcPr>
            <w:tcW w:type="dxa" w:w="1512"/>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Cigarettes per day</w:t>
            </w:r>
          </w:p>
        </w:tc>
        <w:tc>
          <w:tcPr>
            <w:tcW w:type="dxa" w:w="1655"/>
            <w:vAlign w:val="top"/>
          </w:tcPr>
          <w:p>
            <w:pPr>
              <w:spacing w:after="40" w:before="0" w:line="259" w:lineRule="auto"/>
            </w:pPr>
            <w:r>
              <w:rPr>
                <w:rFonts w:ascii="Calibri" w:hAnsi="Calibri"/>
                <w:b w:val="0"/>
                <w:i w:val="0"/>
                <w:color w:val="212121"/>
                <w:sz w:val="19"/>
              </w:rPr>
              <w:t>Adolescents, adults</w:t>
            </w:r>
          </w:p>
        </w:tc>
        <w:tc>
          <w:tcPr>
            <w:tcW w:type="dxa" w:w="1512"/>
            <w:vAlign w:val="top"/>
          </w:tcPr>
          <w:p>
            <w:pPr>
              <w:spacing w:after="40" w:before="0" w:line="259" w:lineRule="auto"/>
            </w:pPr>
            <w:r>
              <w:rPr>
                <w:rFonts w:ascii="Calibri" w:hAnsi="Calibri"/>
                <w:b w:val="0"/>
                <w:i w:val="0"/>
                <w:color w:val="212121"/>
                <w:sz w:val="19"/>
              </w:rPr>
              <w:t>0 cigarettes/day</w:t>
            </w:r>
          </w:p>
        </w:tc>
        <w:tc>
          <w:tcPr>
            <w:tcW w:type="dxa" w:w="1512"/>
            <w:vAlign w:val="top"/>
          </w:tcPr>
          <w:p>
            <w:pPr>
              <w:spacing w:after="40" w:before="0" w:line="259" w:lineRule="auto"/>
            </w:pPr>
            <w:r>
              <w:rPr>
                <w:rFonts w:ascii="Calibri" w:hAnsi="Calibri"/>
                <w:b w:val="0"/>
                <w:i w:val="0"/>
                <w:color w:val="212121"/>
                <w:sz w:val="19"/>
              </w:rPr>
              <w:t>&gt;= 1 cigarette/day</w:t>
            </w:r>
          </w:p>
        </w:tc>
        <w:tc>
          <w:tcPr>
            <w:tcW w:type="dxa" w:w="1468"/>
            <w:vAlign w:val="top"/>
          </w:tcPr>
          <w:p>
            <w:pPr>
              <w:spacing w:after="40" w:before="0" w:line="259" w:lineRule="auto"/>
            </w:pPr>
            <w:r>
              <w:rPr>
                <w:rFonts w:ascii="Calibri" w:hAnsi="Calibri"/>
                <w:b w:val="0"/>
                <w:i w:val="0"/>
                <w:color w:val="212121"/>
                <w:sz w:val="19"/>
              </w:rPr>
              <w:t>Smoking associated with higher dandruff/SD prevalence</w:t>
            </w:r>
          </w:p>
        </w:tc>
      </w:tr>
      <w:tr>
        <w:trPr>
          <w:cantSplit/>
        </w:trPr>
        <w:tc>
          <w:tcPr>
            <w:tcW w:type="dxa" w:w="1512"/>
            <w:vAlign w:val="center"/>
          </w:tcPr>
          <w:p>
            <w:pPr>
              <w:spacing w:after="40"/>
            </w:pPr>
            <w:r>
              <w:rPr>
                <w:rFonts w:ascii="Calibri" w:hAnsi="Calibri"/>
                <w:b w:val="0"/>
                <w:i w:val="0"/>
                <w:color w:val="212121"/>
                <w:sz w:val="19"/>
              </w:rPr>
              <w:t>Alcohol</w:t>
            </w:r>
          </w:p>
        </w:tc>
        <w:tc>
          <w:tcPr>
            <w:tcW w:type="dxa" w:w="1944"/>
            <w:vAlign w:val="top"/>
          </w:tcPr>
          <w:p>
            <w:pPr>
              <w:spacing w:after="40" w:before="0" w:line="259" w:lineRule="auto"/>
            </w:pPr>
            <w:r>
              <w:rPr>
                <w:rFonts w:ascii="Calibri" w:hAnsi="Calibri"/>
                <w:b w:val="0"/>
                <w:i w:val="0"/>
                <w:color w:val="212121"/>
                <w:sz w:val="19"/>
              </w:rPr>
              <w:t>Alcohol intake</w:t>
            </w:r>
          </w:p>
        </w:tc>
        <w:tc>
          <w:tcPr>
            <w:tcW w:type="dxa" w:w="1655"/>
            <w:vAlign w:val="top"/>
          </w:tcPr>
          <w:p>
            <w:pPr>
              <w:spacing w:after="40" w:before="0" w:line="259" w:lineRule="auto"/>
            </w:pPr>
            <w:r>
              <w:rPr>
                <w:rFonts w:ascii="Calibri" w:hAnsi="Calibri"/>
                <w:b w:val="0"/>
                <w:i w:val="0"/>
                <w:color w:val="212121"/>
                <w:sz w:val="19"/>
              </w:rPr>
              <w:t>Adults with SD</w:t>
            </w:r>
          </w:p>
        </w:tc>
        <w:tc>
          <w:tcPr>
            <w:tcW w:type="dxa" w:w="1512"/>
            <w:vAlign w:val="top"/>
          </w:tcPr>
          <w:p>
            <w:pPr>
              <w:spacing w:after="40" w:before="0" w:line="259" w:lineRule="auto"/>
            </w:pPr>
            <w:r>
              <w:rPr>
                <w:rFonts w:ascii="Calibri" w:hAnsi="Calibri"/>
                <w:b w:val="0"/>
                <w:i w:val="0"/>
                <w:color w:val="212121"/>
                <w:sz w:val="19"/>
              </w:rPr>
              <w:t>None to low, within safe limits</w:t>
            </w:r>
          </w:p>
        </w:tc>
        <w:tc>
          <w:tcPr>
            <w:tcW w:type="dxa" w:w="1512"/>
            <w:vAlign w:val="top"/>
          </w:tcPr>
          <w:p>
            <w:pPr>
              <w:spacing w:after="40" w:before="0" w:line="259" w:lineRule="auto"/>
            </w:pPr>
            <w:r>
              <w:rPr>
                <w:rFonts w:ascii="Calibri" w:hAnsi="Calibri"/>
                <w:b w:val="0"/>
                <w:i w:val="0"/>
                <w:color w:val="212121"/>
                <w:sz w:val="19"/>
              </w:rPr>
              <w:t>Heavy or regular intake / alcoholic liver disease</w:t>
            </w:r>
          </w:p>
        </w:tc>
        <w:tc>
          <w:tcPr>
            <w:tcW w:type="dxa" w:w="1468"/>
            <w:vAlign w:val="top"/>
          </w:tcPr>
          <w:p>
            <w:pPr>
              <w:spacing w:after="40" w:before="0" w:line="259" w:lineRule="auto"/>
            </w:pPr>
            <w:r>
              <w:rPr>
                <w:rFonts w:ascii="Calibri" w:hAnsi="Calibri"/>
                <w:b w:val="0"/>
                <w:i w:val="0"/>
                <w:color w:val="212121"/>
                <w:sz w:val="19"/>
              </w:rPr>
              <w:t>Alcohol is a recognised SD aggravator</w:t>
            </w:r>
          </w:p>
        </w:tc>
      </w:tr>
      <w:tr>
        <w:trPr>
          <w:cantSplit/>
        </w:trPr>
        <w:tc>
          <w:tcPr>
            <w:tcW w:type="dxa" w:w="1512"/>
            <w:vMerge w:val="restart"/>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Ambient humidity / season</w:t>
            </w:r>
          </w:p>
        </w:tc>
        <w:tc>
          <w:tcPr>
            <w:tcW w:type="dxa" w:w="1655"/>
            <w:vAlign w:val="top"/>
          </w:tcPr>
          <w:p>
            <w:pPr>
              <w:spacing w:after="40" w:before="0" w:line="259" w:lineRule="auto"/>
            </w:pPr>
            <w:r>
              <w:rPr>
                <w:rFonts w:ascii="Calibri" w:hAnsi="Calibri"/>
                <w:b w:val="0"/>
                <w:i w:val="0"/>
                <w:color w:val="212121"/>
                <w:sz w:val="19"/>
              </w:rPr>
              <w:t>Scalp and facial SD</w:t>
            </w:r>
          </w:p>
        </w:tc>
        <w:tc>
          <w:tcPr>
            <w:tcW w:type="dxa" w:w="1512"/>
            <w:vAlign w:val="top"/>
          </w:tcPr>
          <w:p>
            <w:pPr>
              <w:spacing w:after="40" w:before="0" w:line="259" w:lineRule="auto"/>
            </w:pPr>
            <w:r>
              <w:rPr>
                <w:rFonts w:ascii="Calibri" w:hAnsi="Calibri"/>
                <w:b w:val="0"/>
                <w:i w:val="0"/>
                <w:color w:val="212121"/>
                <w:sz w:val="19"/>
              </w:rPr>
              <w:t>Warm, humid, sun-exposed conditions</w:t>
            </w:r>
          </w:p>
        </w:tc>
        <w:tc>
          <w:tcPr>
            <w:tcW w:type="dxa" w:w="1512"/>
            <w:vAlign w:val="top"/>
          </w:tcPr>
          <w:p>
            <w:pPr>
              <w:spacing w:after="40" w:before="0" w:line="259" w:lineRule="auto"/>
            </w:pPr>
            <w:r>
              <w:rPr>
                <w:rFonts w:ascii="Calibri" w:hAnsi="Calibri"/>
                <w:b w:val="0"/>
                <w:i w:val="0"/>
                <w:color w:val="212121"/>
                <w:sz w:val="19"/>
              </w:rPr>
              <w:t>Cold, dry winter air (low humidity)</w:t>
            </w:r>
          </w:p>
        </w:tc>
        <w:tc>
          <w:tcPr>
            <w:tcW w:type="dxa" w:w="1468"/>
            <w:vAlign w:val="top"/>
          </w:tcPr>
          <w:p>
            <w:pPr>
              <w:spacing w:after="40" w:before="0" w:line="259" w:lineRule="auto"/>
            </w:pPr>
            <w:r>
              <w:rPr>
                <w:rFonts w:ascii="Calibri" w:hAnsi="Calibri"/>
                <w:b w:val="0"/>
                <w:i w:val="0"/>
                <w:color w:val="212121"/>
                <w:sz w:val="19"/>
              </w:rPr>
              <w:t>Low humidity impairs barrier and worsens scaling</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CD4 count (if HIV-positive)</w:t>
            </w:r>
          </w:p>
        </w:tc>
        <w:tc>
          <w:tcPr>
            <w:tcW w:type="dxa" w:w="1655"/>
            <w:vAlign w:val="top"/>
          </w:tcPr>
          <w:p>
            <w:pPr>
              <w:spacing w:after="40" w:before="0" w:line="259" w:lineRule="auto"/>
            </w:pPr>
            <w:r>
              <w:rPr>
                <w:rFonts w:ascii="Calibri" w:hAnsi="Calibri"/>
                <w:b w:val="0"/>
                <w:i w:val="0"/>
                <w:color w:val="212121"/>
                <w:sz w:val="19"/>
              </w:rPr>
              <w:t>HIV-associated SD</w:t>
            </w:r>
          </w:p>
        </w:tc>
        <w:tc>
          <w:tcPr>
            <w:tcW w:type="dxa" w:w="1512"/>
            <w:vAlign w:val="top"/>
          </w:tcPr>
          <w:p>
            <w:pPr>
              <w:spacing w:after="40" w:before="0" w:line="259" w:lineRule="auto"/>
            </w:pPr>
            <w:r>
              <w:rPr>
                <w:rFonts w:ascii="Calibri" w:hAnsi="Calibri"/>
                <w:b w:val="0"/>
                <w:i w:val="0"/>
                <w:color w:val="212121"/>
                <w:sz w:val="19"/>
              </w:rPr>
              <w:t>Immune-reconstituted, higher CD4</w:t>
            </w:r>
          </w:p>
        </w:tc>
        <w:tc>
          <w:tcPr>
            <w:tcW w:type="dxa" w:w="1512"/>
            <w:vAlign w:val="top"/>
          </w:tcPr>
          <w:p>
            <w:pPr>
              <w:spacing w:after="40" w:before="0" w:line="259" w:lineRule="auto"/>
            </w:pPr>
            <w:r>
              <w:rPr>
                <w:rFonts w:ascii="Calibri" w:hAnsi="Calibri"/>
                <w:b w:val="0"/>
                <w:i w:val="0"/>
                <w:color w:val="212121"/>
                <w:sz w:val="19"/>
              </w:rPr>
              <w:t>Low CD4 (advanced immunosuppression)</w:t>
            </w:r>
          </w:p>
        </w:tc>
        <w:tc>
          <w:tcPr>
            <w:tcW w:type="dxa" w:w="1468"/>
            <w:vAlign w:val="top"/>
          </w:tcPr>
          <w:p>
            <w:pPr>
              <w:spacing w:after="60" w:line="259" w:lineRule="auto"/>
            </w:pPr>
            <w:r>
              <w:rPr>
                <w:rFonts w:ascii="Calibri" w:hAnsi="Calibri"/>
                <w:b w:val="0"/>
                <w:i w:val="0"/>
                <w:color w:val="212121"/>
                <w:sz w:val="19"/>
              </w:rPr>
              <w:t>Severe/refractory SD tracks with falling CD4; consider HIV testing</w:t>
            </w:r>
          </w:p>
          <w:p>
            <w:pPr>
              <w:spacing w:after="40" w:line="252" w:lineRule="auto"/>
            </w:pPr>
            <w:hyperlink r:id="rId11">
              <w:r>
                <w:rPr>
                  <w:rFonts w:ascii="Calibri" w:hAnsi="Calibri" w:cs="Calibri"/>
                  <w:sz w:val="18"/>
                  <w:color w:val="1155CC"/>
                  <w:u w:val="single"/>
                </w:rPr>
                <w:t xml:space="preserve">https://www.ncbi.nlm.nih.gov/books/NBK551707/</w:t>
              </w:r>
            </w:hyperlink>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Mycology</w:t>
            </w:r>
          </w:p>
        </w:tc>
        <w:tc>
          <w:tcPr>
            <w:tcW w:type="dxa" w:w="1036"/>
            <w:vAlign w:val="top"/>
          </w:tcPr>
          <w:p>
            <w:pPr>
              <w:spacing w:after="40" w:before="0" w:line="259" w:lineRule="auto"/>
            </w:pPr>
            <w:r>
              <w:rPr>
                <w:rFonts w:ascii="Calibri" w:hAnsi="Calibri"/>
                <w:b w:val="0"/>
                <w:i w:val="0"/>
                <w:color w:val="212121"/>
                <w:sz w:val="16"/>
              </w:rPr>
              <w:t>KOH mount (skin/scalp scrapings)</w:t>
            </w:r>
          </w:p>
        </w:tc>
        <w:tc>
          <w:tcPr>
            <w:tcW w:type="dxa" w:w="892"/>
            <w:vAlign w:val="top"/>
          </w:tcPr>
          <w:p>
            <w:pPr>
              <w:spacing w:after="40" w:before="0" w:line="259" w:lineRule="auto"/>
            </w:pPr>
            <w:r>
              <w:rPr>
                <w:rFonts w:ascii="Calibri" w:hAnsi="Calibri"/>
                <w:b w:val="0"/>
                <w:i w:val="0"/>
                <w:color w:val="212121"/>
                <w:sz w:val="16"/>
              </w:rPr>
              <w:t>Potassium hydroxide microscopy</w:t>
            </w:r>
          </w:p>
        </w:tc>
        <w:tc>
          <w:tcPr>
            <w:tcW w:type="dxa" w:w="950"/>
            <w:vAlign w:val="top"/>
          </w:tcPr>
          <w:p>
            <w:pPr>
              <w:spacing w:after="40" w:before="0" w:line="259" w:lineRule="auto"/>
            </w:pPr>
            <w:r>
              <w:rPr>
                <w:rFonts w:ascii="Calibri" w:hAnsi="Calibri"/>
                <w:b w:val="0"/>
                <w:i w:val="0"/>
                <w:color w:val="212121"/>
                <w:sz w:val="16"/>
              </w:rPr>
              <w:t>No dermatophyte hyphae; commensal yeast only</w:t>
            </w:r>
          </w:p>
        </w:tc>
        <w:tc>
          <w:tcPr>
            <w:tcW w:type="dxa" w:w="950"/>
            <w:vAlign w:val="top"/>
          </w:tcPr>
          <w:p>
            <w:pPr>
              <w:spacing w:after="40" w:before="0" w:line="259" w:lineRule="auto"/>
            </w:pPr>
            <w:r>
              <w:rPr>
                <w:rFonts w:ascii="Calibri" w:hAnsi="Calibri"/>
                <w:b w:val="0"/>
                <w:i w:val="0"/>
                <w:color w:val="212121"/>
                <w:sz w:val="16"/>
              </w:rPr>
              <w:t>Hyphae/spores of tinea or clusters of pityriasis versicolor yeast</w:t>
            </w:r>
          </w:p>
        </w:tc>
        <w:tc>
          <w:tcPr>
            <w:tcW w:type="dxa" w:w="1036"/>
            <w:vAlign w:val="top"/>
          </w:tcPr>
          <w:p>
            <w:pPr>
              <w:spacing w:after="40" w:before="0" w:line="259" w:lineRule="auto"/>
            </w:pPr>
            <w:r>
              <w:rPr>
                <w:rFonts w:ascii="Calibri" w:hAnsi="Calibri"/>
                <w:b w:val="0"/>
                <w:i w:val="0"/>
                <w:color w:val="212121"/>
                <w:sz w:val="16"/>
              </w:rPr>
              <w:t>Excludes tinea capitis/faciei and pityriasis versicolor that mimic SD</w:t>
            </w:r>
          </w:p>
        </w:tc>
        <w:tc>
          <w:tcPr>
            <w:tcW w:type="dxa" w:w="1036"/>
            <w:vAlign w:val="top"/>
          </w:tcPr>
          <w:p>
            <w:pPr>
              <w:spacing w:after="40" w:before="0" w:line="259" w:lineRule="auto"/>
            </w:pPr>
            <w:r>
              <w:rPr>
                <w:rFonts w:ascii="Calibri" w:hAnsi="Calibri"/>
                <w:b w:val="0"/>
                <w:i w:val="0"/>
                <w:color w:val="212121"/>
                <w:sz w:val="16"/>
              </w:rPr>
              <w:t>Scalp and facial scaling, atypical cases</w:t>
            </w:r>
          </w:p>
        </w:tc>
        <w:tc>
          <w:tcPr>
            <w:tcW w:type="dxa" w:w="720"/>
            <w:vAlign w:val="top"/>
          </w:tcPr>
          <w:p>
            <w:pPr>
              <w:spacing w:after="40" w:before="0" w:line="259" w:lineRule="auto"/>
            </w:pPr>
            <w:r>
              <w:rPr>
                <w:rFonts w:ascii="Calibri" w:hAnsi="Calibri"/>
                <w:b w:val="0"/>
                <w:i w:val="0"/>
                <w:color w:val="212121"/>
                <w:sz w:val="16"/>
              </w:rPr>
              <w:t>Hygiene; 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SD itself is a clinical diagnosis; KOH rules out mimics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Dermoscopy</w:t>
            </w:r>
          </w:p>
        </w:tc>
        <w:tc>
          <w:tcPr>
            <w:tcW w:type="dxa" w:w="1036"/>
            <w:vAlign w:val="top"/>
          </w:tcPr>
          <w:p>
            <w:pPr>
              <w:spacing w:after="40" w:before="0" w:line="259" w:lineRule="auto"/>
            </w:pPr>
            <w:r>
              <w:rPr>
                <w:rFonts w:ascii="Calibri" w:hAnsi="Calibri"/>
                <w:b w:val="0"/>
                <w:i w:val="0"/>
                <w:color w:val="212121"/>
                <w:sz w:val="16"/>
              </w:rPr>
              <w:t>Trichoscopy / dermoscopy pattern</w:t>
            </w:r>
          </w:p>
        </w:tc>
        <w:tc>
          <w:tcPr>
            <w:tcW w:type="dxa" w:w="892"/>
            <w:vAlign w:val="top"/>
          </w:tcPr>
          <w:p>
            <w:pPr>
              <w:spacing w:after="40" w:before="0" w:line="259" w:lineRule="auto"/>
            </w:pPr>
            <w:r>
              <w:rPr>
                <w:rFonts w:ascii="Calibri" w:hAnsi="Calibri"/>
                <w:b w:val="0"/>
                <w:i w:val="0"/>
                <w:color w:val="212121"/>
                <w:sz w:val="16"/>
              </w:rPr>
              <w:t>Dermoscopic examination</w:t>
            </w:r>
          </w:p>
        </w:tc>
        <w:tc>
          <w:tcPr>
            <w:tcW w:type="dxa" w:w="950"/>
            <w:vAlign w:val="top"/>
          </w:tcPr>
          <w:p>
            <w:pPr>
              <w:spacing w:after="40" w:before="0" w:line="259" w:lineRule="auto"/>
            </w:pPr>
            <w:r>
              <w:rPr>
                <w:rFonts w:ascii="Calibri" w:hAnsi="Calibri"/>
                <w:b w:val="0"/>
                <w:i w:val="0"/>
                <w:color w:val="212121"/>
                <w:sz w:val="16"/>
              </w:rPr>
              <w:t>Normal follicular pattern</w:t>
            </w:r>
          </w:p>
        </w:tc>
        <w:tc>
          <w:tcPr>
            <w:tcW w:type="dxa" w:w="950"/>
            <w:vAlign w:val="top"/>
          </w:tcPr>
          <w:p>
            <w:pPr>
              <w:spacing w:after="40" w:before="0" w:line="259" w:lineRule="auto"/>
            </w:pPr>
            <w:r>
              <w:rPr>
                <w:rFonts w:ascii="Calibri" w:hAnsi="Calibri"/>
                <w:b w:val="0"/>
                <w:i w:val="0"/>
                <w:color w:val="212121"/>
                <w:sz w:val="16"/>
              </w:rPr>
              <w:t>Yellowish greasy scales, patchy dotted and arborizing vessels, featureless areas</w:t>
            </w:r>
          </w:p>
        </w:tc>
        <w:tc>
          <w:tcPr>
            <w:tcW w:type="dxa" w:w="1036"/>
            <w:vAlign w:val="top"/>
          </w:tcPr>
          <w:p>
            <w:pPr>
              <w:spacing w:after="40" w:before="0" w:line="259" w:lineRule="auto"/>
            </w:pPr>
            <w:r>
              <w:rPr>
                <w:rFonts w:ascii="Calibri" w:hAnsi="Calibri"/>
                <w:b w:val="0"/>
                <w:i w:val="0"/>
                <w:color w:val="212121"/>
                <w:sz w:val="16"/>
              </w:rPr>
              <w:t>Distinguishes SD from psoriasis (regular red dots, silvery scale)</w:t>
            </w:r>
          </w:p>
        </w:tc>
        <w:tc>
          <w:tcPr>
            <w:tcW w:type="dxa" w:w="1036"/>
            <w:vAlign w:val="top"/>
          </w:tcPr>
          <w:p>
            <w:pPr>
              <w:spacing w:after="40" w:before="0" w:line="259" w:lineRule="auto"/>
            </w:pPr>
            <w:r>
              <w:rPr>
                <w:rFonts w:ascii="Calibri" w:hAnsi="Calibri"/>
                <w:b w:val="0"/>
                <w:i w:val="0"/>
                <w:color w:val="212121"/>
                <w:sz w:val="16"/>
              </w:rPr>
              <w:t>Scalp SD, sebopsoriasis overlap</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Non-invasive aid, especially for scalp lesions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Histopathology</w:t>
            </w:r>
          </w:p>
        </w:tc>
        <w:tc>
          <w:tcPr>
            <w:tcW w:type="dxa" w:w="1036"/>
            <w:vAlign w:val="top"/>
          </w:tcPr>
          <w:p>
            <w:pPr>
              <w:spacing w:after="40" w:before="0" w:line="259" w:lineRule="auto"/>
            </w:pPr>
            <w:r>
              <w:rPr>
                <w:rFonts w:ascii="Calibri" w:hAnsi="Calibri"/>
                <w:b w:val="0"/>
                <w:i w:val="0"/>
                <w:color w:val="212121"/>
                <w:sz w:val="16"/>
              </w:rPr>
              <w:t>Skin biopsy</w:t>
            </w:r>
          </w:p>
        </w:tc>
        <w:tc>
          <w:tcPr>
            <w:tcW w:type="dxa" w:w="892"/>
            <w:vAlign w:val="top"/>
          </w:tcPr>
          <w:p>
            <w:pPr>
              <w:spacing w:after="40" w:before="0" w:line="259" w:lineRule="auto"/>
            </w:pPr>
            <w:r>
              <w:rPr>
                <w:rFonts w:ascii="Calibri" w:hAnsi="Calibri"/>
                <w:b w:val="0"/>
                <w:i w:val="0"/>
                <w:color w:val="212121"/>
                <w:sz w:val="16"/>
              </w:rPr>
              <w:t>Histology (H&amp;E)</w:t>
            </w:r>
          </w:p>
        </w:tc>
        <w:tc>
          <w:tcPr>
            <w:tcW w:type="dxa" w:w="950"/>
            <w:vAlign w:val="top"/>
          </w:tcPr>
          <w:p>
            <w:pPr>
              <w:spacing w:after="40" w:before="0" w:line="259" w:lineRule="auto"/>
            </w:pPr>
            <w:r>
              <w:rPr>
                <w:rFonts w:ascii="Calibri" w:hAnsi="Calibri"/>
                <w:b w:val="0"/>
                <w:i w:val="0"/>
                <w:color w:val="212121"/>
                <w:sz w:val="16"/>
              </w:rPr>
              <w:t>Normal epidermis</w:t>
            </w:r>
          </w:p>
        </w:tc>
        <w:tc>
          <w:tcPr>
            <w:tcW w:type="dxa" w:w="950"/>
            <w:vAlign w:val="top"/>
          </w:tcPr>
          <w:p>
            <w:pPr>
              <w:spacing w:after="40" w:before="0" w:line="259" w:lineRule="auto"/>
            </w:pPr>
            <w:r>
              <w:rPr>
                <w:rFonts w:ascii="Calibri" w:hAnsi="Calibri"/>
                <w:b w:val="0"/>
                <w:i w:val="0"/>
                <w:color w:val="212121"/>
                <w:sz w:val="16"/>
              </w:rPr>
              <w:t>Perivascular lymphocytic infiltrate, spongiosis, psoriasiform acanthosis, follicular 'shoulder' parakeratosis</w:t>
            </w:r>
          </w:p>
        </w:tc>
        <w:tc>
          <w:tcPr>
            <w:tcW w:type="dxa" w:w="1036"/>
            <w:vAlign w:val="top"/>
          </w:tcPr>
          <w:p>
            <w:pPr>
              <w:spacing w:after="40" w:before="0" w:line="259" w:lineRule="auto"/>
            </w:pPr>
            <w:r>
              <w:rPr>
                <w:rFonts w:ascii="Calibri" w:hAnsi="Calibri"/>
                <w:b w:val="0"/>
                <w:i w:val="0"/>
                <w:color w:val="212121"/>
                <w:sz w:val="16"/>
              </w:rPr>
              <w:t>Confirms SD and excludes psoriasis, lupus, cutaneous lymphoma</w:t>
            </w:r>
          </w:p>
        </w:tc>
        <w:tc>
          <w:tcPr>
            <w:tcW w:type="dxa" w:w="1036"/>
            <w:vAlign w:val="top"/>
          </w:tcPr>
          <w:p>
            <w:pPr>
              <w:spacing w:after="40" w:before="0" w:line="259" w:lineRule="auto"/>
            </w:pPr>
            <w:r>
              <w:rPr>
                <w:rFonts w:ascii="Calibri" w:hAnsi="Calibri"/>
                <w:b w:val="0"/>
                <w:i w:val="0"/>
                <w:color w:val="212121"/>
                <w:sz w:val="16"/>
              </w:rPr>
              <w:t>Atypical, refractory or diagnostically uncertain SD</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Confirmatory</w:t>
            </w:r>
          </w:p>
        </w:tc>
        <w:tc>
          <w:tcPr>
            <w:tcW w:type="dxa" w:w="720"/>
            <w:vAlign w:val="top"/>
          </w:tcPr>
          <w:p>
            <w:pPr>
              <w:spacing w:after="40" w:before="0" w:line="259" w:lineRule="auto"/>
            </w:pPr>
            <w:r>
              <w:rPr>
                <w:rFonts w:ascii="Calibri" w:hAnsi="Calibri"/>
                <w:b w:val="0"/>
                <w:i w:val="0"/>
                <w:color w:val="212121"/>
                <w:sz w:val="16"/>
              </w:rPr>
              <w:t>Reserved for atypical or treatment-resistant disease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Serology</w:t>
            </w:r>
          </w:p>
        </w:tc>
        <w:tc>
          <w:tcPr>
            <w:tcW w:type="dxa" w:w="1036"/>
            <w:vAlign w:val="top"/>
          </w:tcPr>
          <w:p>
            <w:pPr>
              <w:spacing w:after="40" w:before="0" w:line="259" w:lineRule="auto"/>
            </w:pPr>
            <w:r>
              <w:rPr>
                <w:rFonts w:ascii="Calibri" w:hAnsi="Calibri"/>
                <w:b w:val="0"/>
                <w:i w:val="0"/>
                <w:color w:val="212121"/>
                <w:sz w:val="16"/>
              </w:rPr>
              <w:t>HIV test + CD4 count</w:t>
            </w:r>
          </w:p>
        </w:tc>
        <w:tc>
          <w:tcPr>
            <w:tcW w:type="dxa" w:w="892"/>
            <w:vAlign w:val="top"/>
          </w:tcPr>
          <w:p>
            <w:pPr>
              <w:spacing w:after="40" w:before="0" w:line="259" w:lineRule="auto"/>
            </w:pPr>
            <w:r>
              <w:rPr>
                <w:rFonts w:ascii="Calibri" w:hAnsi="Calibri"/>
                <w:b w:val="0"/>
                <w:i w:val="0"/>
                <w:color w:val="212121"/>
                <w:sz w:val="16"/>
              </w:rPr>
              <w:t>HIV serology / flow cytometry</w:t>
            </w:r>
          </w:p>
        </w:tc>
        <w:tc>
          <w:tcPr>
            <w:tcW w:type="dxa" w:w="950"/>
            <w:vAlign w:val="top"/>
          </w:tcPr>
          <w:p>
            <w:pPr>
              <w:spacing w:after="40" w:before="0" w:line="259" w:lineRule="auto"/>
            </w:pPr>
            <w:r>
              <w:rPr>
                <w:rFonts w:ascii="Calibri" w:hAnsi="Calibri"/>
                <w:b w:val="0"/>
                <w:i w:val="0"/>
                <w:color w:val="212121"/>
                <w:sz w:val="16"/>
              </w:rPr>
              <w:t>Non-reactive; CD4 normal</w:t>
            </w:r>
          </w:p>
        </w:tc>
        <w:tc>
          <w:tcPr>
            <w:tcW w:type="dxa" w:w="950"/>
            <w:vAlign w:val="top"/>
          </w:tcPr>
          <w:p>
            <w:pPr>
              <w:spacing w:after="40" w:before="0" w:line="259" w:lineRule="auto"/>
            </w:pPr>
            <w:r>
              <w:rPr>
                <w:rFonts w:ascii="Calibri" w:hAnsi="Calibri"/>
                <w:b w:val="0"/>
                <w:i w:val="0"/>
                <w:color w:val="212121"/>
                <w:sz w:val="16"/>
              </w:rPr>
              <w:t>Reactive HIV; low CD4</w:t>
            </w:r>
          </w:p>
        </w:tc>
        <w:tc>
          <w:tcPr>
            <w:tcW w:type="dxa" w:w="1036"/>
            <w:vAlign w:val="top"/>
          </w:tcPr>
          <w:p>
            <w:pPr>
              <w:spacing w:after="40" w:before="0" w:line="259" w:lineRule="auto"/>
            </w:pPr>
            <w:r>
              <w:rPr>
                <w:rFonts w:ascii="Calibri" w:hAnsi="Calibri"/>
                <w:b w:val="0"/>
                <w:i w:val="0"/>
                <w:color w:val="212121"/>
                <w:sz w:val="16"/>
              </w:rPr>
              <w:t>Sudden severe/extensive/refractory SD can be an early marker of HIV</w:t>
            </w:r>
          </w:p>
        </w:tc>
        <w:tc>
          <w:tcPr>
            <w:tcW w:type="dxa" w:w="1036"/>
            <w:vAlign w:val="top"/>
          </w:tcPr>
          <w:p>
            <w:pPr>
              <w:spacing w:after="40" w:before="0" w:line="259" w:lineRule="auto"/>
            </w:pPr>
            <w:r>
              <w:rPr>
                <w:rFonts w:ascii="Calibri" w:hAnsi="Calibri"/>
                <w:b w:val="0"/>
                <w:i w:val="0"/>
                <w:color w:val="212121"/>
                <w:sz w:val="16"/>
              </w:rPr>
              <w:t>Explosive, widespread or treatment-resistant SD</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High-yield</w:t>
            </w:r>
          </w:p>
        </w:tc>
        <w:tc>
          <w:tcPr>
            <w:tcW w:type="dxa" w:w="720"/>
            <w:vAlign w:val="top"/>
          </w:tcPr>
          <w:p>
            <w:pPr>
              <w:spacing w:after="40" w:before="0" w:line="259" w:lineRule="auto"/>
            </w:pPr>
            <w:r>
              <w:rPr>
                <w:rFonts w:ascii="Calibri" w:hAnsi="Calibri"/>
                <w:b w:val="0"/>
                <w:i w:val="0"/>
                <w:color w:val="212121"/>
                <w:sz w:val="16"/>
              </w:rPr>
              <w:t>Expedite in any unexplained severe adult SD</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Fasting glucose / HbA1c, insulin, HOMA-IR, lipids</w:t>
            </w:r>
          </w:p>
        </w:tc>
        <w:tc>
          <w:tcPr>
            <w:tcW w:type="dxa" w:w="892"/>
            <w:vAlign w:val="top"/>
          </w:tcPr>
          <w:p>
            <w:pPr>
              <w:spacing w:after="40" w:before="0" w:line="259" w:lineRule="auto"/>
            </w:pPr>
            <w:r>
              <w:rPr>
                <w:rFonts w:ascii="Calibri" w:hAnsi="Calibri"/>
                <w:b w:val="0"/>
                <w:i w:val="0"/>
                <w:color w:val="212121"/>
                <w:sz w:val="16"/>
              </w:rPr>
              <w:t>Metabolic panel</w:t>
            </w:r>
          </w:p>
        </w:tc>
        <w:tc>
          <w:tcPr>
            <w:tcW w:type="dxa" w:w="950"/>
            <w:vAlign w:val="top"/>
          </w:tcPr>
          <w:p>
            <w:pPr>
              <w:spacing w:after="40" w:before="0" w:line="259" w:lineRule="auto"/>
            </w:pPr>
            <w:r>
              <w:rPr>
                <w:rFonts w:ascii="Calibri" w:hAnsi="Calibri"/>
                <w:b w:val="0"/>
                <w:i w:val="0"/>
                <w:color w:val="212121"/>
                <w:sz w:val="16"/>
              </w:rPr>
              <w:t>FPG &lt; 100 mg/dL; HbA1c &lt; 5.7%; HOMA-IR &lt; 2.0</w:t>
            </w:r>
          </w:p>
        </w:tc>
        <w:tc>
          <w:tcPr>
            <w:tcW w:type="dxa" w:w="950"/>
            <w:vAlign w:val="top"/>
          </w:tcPr>
          <w:p>
            <w:pPr>
              <w:spacing w:after="40" w:before="0" w:line="259" w:lineRule="auto"/>
            </w:pPr>
            <w:r>
              <w:rPr>
                <w:rFonts w:ascii="Calibri" w:hAnsi="Calibri"/>
                <w:b w:val="0"/>
                <w:i w:val="0"/>
                <w:color w:val="212121"/>
                <w:sz w:val="16"/>
              </w:rPr>
              <w:t>Impaired glucose, raised insulin/HOMA-IR, high triglycerides</w:t>
            </w:r>
          </w:p>
        </w:tc>
        <w:tc>
          <w:tcPr>
            <w:tcW w:type="dxa" w:w="1036"/>
            <w:vAlign w:val="top"/>
          </w:tcPr>
          <w:p>
            <w:pPr>
              <w:spacing w:after="40" w:before="0" w:line="259" w:lineRule="auto"/>
            </w:pPr>
            <w:r>
              <w:rPr>
                <w:rFonts w:ascii="Calibri" w:hAnsi="Calibri"/>
                <w:b w:val="0"/>
                <w:i w:val="0"/>
                <w:color w:val="212121"/>
                <w:sz w:val="16"/>
              </w:rPr>
              <w:t>Detects insulin resistance/metabolic syndrome associated with SD</w:t>
            </w:r>
          </w:p>
        </w:tc>
        <w:tc>
          <w:tcPr>
            <w:tcW w:type="dxa" w:w="1036"/>
            <w:vAlign w:val="top"/>
          </w:tcPr>
          <w:p>
            <w:pPr>
              <w:spacing w:after="40" w:before="0" w:line="259" w:lineRule="auto"/>
            </w:pPr>
            <w:r>
              <w:rPr>
                <w:rFonts w:ascii="Calibri" w:hAnsi="Calibri"/>
                <w:b w:val="0"/>
                <w:i w:val="0"/>
                <w:color w:val="212121"/>
                <w:sz w:val="16"/>
              </w:rPr>
              <w:t>Overweight, sedentary, moderate-severe adult SD</w:t>
            </w:r>
          </w:p>
        </w:tc>
        <w:tc>
          <w:tcPr>
            <w:tcW w:type="dxa" w:w="720"/>
            <w:vAlign w:val="top"/>
          </w:tcPr>
          <w:p>
            <w:pPr>
              <w:spacing w:after="40" w:before="0" w:line="259" w:lineRule="auto"/>
            </w:pPr>
            <w:r>
              <w:rPr>
                <w:rFonts w:ascii="Calibri" w:hAnsi="Calibri"/>
                <w:b w:val="0"/>
                <w:i w:val="0"/>
                <w:color w:val="212121"/>
                <w:sz w:val="16"/>
              </w:rPr>
              <w:t>Food; Physical activity</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IR present in ~58% of SD patients in case-control data</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Serum 25-hydroxyvitamin D</w:t>
            </w:r>
          </w:p>
        </w:tc>
        <w:tc>
          <w:tcPr>
            <w:tcW w:type="dxa" w:w="892"/>
            <w:vAlign w:val="top"/>
          </w:tcPr>
          <w:p>
            <w:pPr>
              <w:spacing w:after="40" w:before="0" w:line="259" w:lineRule="auto"/>
            </w:pPr>
            <w:r>
              <w:rPr>
                <w:rFonts w:ascii="Calibri" w:hAnsi="Calibri"/>
                <w:b w:val="0"/>
                <w:i w:val="0"/>
                <w:color w:val="212121"/>
                <w:sz w:val="16"/>
              </w:rPr>
              <w:t>Vitamin D assay</w:t>
            </w:r>
          </w:p>
        </w:tc>
        <w:tc>
          <w:tcPr>
            <w:tcW w:type="dxa" w:w="950"/>
            <w:vAlign w:val="top"/>
          </w:tcPr>
          <w:p>
            <w:pPr>
              <w:spacing w:after="40" w:before="0" w:line="259" w:lineRule="auto"/>
            </w:pPr>
            <w:r>
              <w:rPr>
                <w:rFonts w:ascii="Calibri" w:hAnsi="Calibri"/>
                <w:b w:val="0"/>
                <w:i w:val="0"/>
                <w:color w:val="212121"/>
                <w:sz w:val="16"/>
              </w:rPr>
              <w:t>Sufficient (&gt;= 30 ng/mL)</w:t>
            </w:r>
          </w:p>
        </w:tc>
        <w:tc>
          <w:tcPr>
            <w:tcW w:type="dxa" w:w="950"/>
            <w:vAlign w:val="top"/>
          </w:tcPr>
          <w:p>
            <w:pPr>
              <w:spacing w:after="40" w:before="0" w:line="259" w:lineRule="auto"/>
            </w:pPr>
            <w:r>
              <w:rPr>
                <w:rFonts w:ascii="Calibri" w:hAnsi="Calibri"/>
                <w:b w:val="0"/>
                <w:i w:val="0"/>
                <w:color w:val="212121"/>
                <w:sz w:val="16"/>
              </w:rPr>
              <w:t>Deficient / insufficient</w:t>
            </w:r>
          </w:p>
        </w:tc>
        <w:tc>
          <w:tcPr>
            <w:tcW w:type="dxa" w:w="1036"/>
            <w:vAlign w:val="top"/>
          </w:tcPr>
          <w:p>
            <w:pPr>
              <w:spacing w:after="40" w:before="0" w:line="259" w:lineRule="auto"/>
            </w:pPr>
            <w:r>
              <w:rPr>
                <w:rFonts w:ascii="Calibri" w:hAnsi="Calibri"/>
                <w:b w:val="0"/>
                <w:i w:val="0"/>
                <w:color w:val="212121"/>
                <w:sz w:val="16"/>
              </w:rPr>
              <w:t>Low vitamin D has been reported in SD and may modulate skin immunity</w:t>
            </w:r>
          </w:p>
        </w:tc>
        <w:tc>
          <w:tcPr>
            <w:tcW w:type="dxa" w:w="1036"/>
            <w:vAlign w:val="top"/>
          </w:tcPr>
          <w:p>
            <w:pPr>
              <w:spacing w:after="40" w:before="0" w:line="259" w:lineRule="auto"/>
            </w:pPr>
            <w:r>
              <w:rPr>
                <w:rFonts w:ascii="Calibri" w:hAnsi="Calibri"/>
                <w:b w:val="0"/>
                <w:i w:val="0"/>
                <w:color w:val="212121"/>
                <w:sz w:val="16"/>
              </w:rPr>
              <w:t>Recurrent/refractory SD, at-risk deficiency groups</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Adjunctive</w:t>
            </w:r>
          </w:p>
        </w:tc>
        <w:tc>
          <w:tcPr>
            <w:tcW w:type="dxa" w:w="720"/>
            <w:vAlign w:val="top"/>
          </w:tcPr>
          <w:p>
            <w:pPr>
              <w:spacing w:after="40" w:before="0" w:line="259" w:lineRule="auto"/>
            </w:pPr>
            <w:r>
              <w:rPr>
                <w:rFonts w:ascii="Calibri" w:hAnsi="Calibri"/>
                <w:b w:val="0"/>
                <w:i w:val="0"/>
                <w:color w:val="212121"/>
                <w:sz w:val="16"/>
              </w:rPr>
              <w:t>Association reported but not a routine diagnostic test</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Chief complaint &amp; morphology</w:t>
            </w:r>
          </w:p>
        </w:tc>
        <w:tc>
          <w:tcPr>
            <w:tcW w:type="dxa" w:w="979"/>
            <w:vAlign w:val="top"/>
          </w:tcPr>
          <w:p>
            <w:pPr>
              <w:spacing w:after="40" w:before="0" w:line="259" w:lineRule="auto"/>
            </w:pPr>
            <w:r>
              <w:rPr>
                <w:rFonts w:ascii="Calibri" w:hAnsi="Calibri"/>
                <w:b w:val="0"/>
                <w:i w:val="0"/>
                <w:color w:val="212121"/>
                <w:sz w:val="16"/>
              </w:rPr>
              <w:t>Greasy yellow scaling, redness and itch in seborrhoeic sites</w:t>
            </w:r>
          </w:p>
        </w:tc>
        <w:tc>
          <w:tcPr>
            <w:tcW w:type="dxa" w:w="950"/>
            <w:vAlign w:val="top"/>
          </w:tcPr>
          <w:p>
            <w:pPr>
              <w:spacing w:after="40" w:before="0" w:line="259" w:lineRule="auto"/>
            </w:pPr>
            <w:r>
              <w:rPr>
                <w:rFonts w:ascii="Calibri" w:hAnsi="Calibri"/>
                <w:b w:val="0"/>
                <w:i w:val="0"/>
                <w:color w:val="212121"/>
                <w:sz w:val="16"/>
              </w:rPr>
              <w:t>Clear skin, no scaling</w:t>
            </w:r>
          </w:p>
        </w:tc>
        <w:tc>
          <w:tcPr>
            <w:tcW w:type="dxa" w:w="950"/>
            <w:vAlign w:val="top"/>
          </w:tcPr>
          <w:p>
            <w:pPr>
              <w:spacing w:after="40" w:before="0" w:line="259" w:lineRule="auto"/>
            </w:pPr>
            <w:r>
              <w:rPr>
                <w:rFonts w:ascii="Calibri" w:hAnsi="Calibri"/>
                <w:b w:val="0"/>
                <w:i w:val="0"/>
                <w:color w:val="212121"/>
                <w:sz w:val="16"/>
              </w:rPr>
              <w:t>Scaly erythematous patches on scalp, face, ears or chest</w:t>
            </w:r>
          </w:p>
        </w:tc>
        <w:tc>
          <w:tcPr>
            <w:tcW w:type="dxa" w:w="1036"/>
            <w:vAlign w:val="top"/>
          </w:tcPr>
          <w:p>
            <w:pPr>
              <w:spacing w:after="40" w:before="0" w:line="259" w:lineRule="auto"/>
            </w:pPr>
            <w:r>
              <w:rPr>
                <w:rFonts w:ascii="Calibri" w:hAnsi="Calibri"/>
                <w:b w:val="0"/>
                <w:i w:val="0"/>
                <w:color w:val="212121"/>
                <w:sz w:val="16"/>
              </w:rPr>
              <w:t>Establishes the clinical pattern that defines SD</w:t>
            </w:r>
          </w:p>
        </w:tc>
        <w:tc>
          <w:tcPr>
            <w:tcW w:type="dxa" w:w="1036"/>
            <w:vAlign w:val="top"/>
          </w:tcPr>
          <w:p>
            <w:pPr>
              <w:spacing w:after="40" w:before="0" w:line="259" w:lineRule="auto"/>
            </w:pPr>
            <w:r>
              <w:rPr>
                <w:rFonts w:ascii="Calibri" w:hAnsi="Calibri"/>
                <w:b w:val="0"/>
                <w:i w:val="0"/>
                <w:color w:val="212121"/>
                <w:sz w:val="16"/>
              </w:rPr>
              <w:t>All patients</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Distribution in sebum-rich areas is the key clue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Course &amp; triggers</w:t>
            </w:r>
          </w:p>
        </w:tc>
        <w:tc>
          <w:tcPr>
            <w:tcW w:type="dxa" w:w="979"/>
            <w:vAlign w:val="top"/>
          </w:tcPr>
          <w:p>
            <w:pPr>
              <w:spacing w:after="40" w:before="0" w:line="259" w:lineRule="auto"/>
            </w:pPr>
            <w:r>
              <w:rPr>
                <w:rFonts w:ascii="Calibri" w:hAnsi="Calibri"/>
                <w:b w:val="0"/>
                <w:i w:val="0"/>
                <w:color w:val="212121"/>
                <w:sz w:val="16"/>
              </w:rPr>
              <w:t>Relapsing pattern; winter/stress/alcohol aggravation</w:t>
            </w:r>
          </w:p>
        </w:tc>
        <w:tc>
          <w:tcPr>
            <w:tcW w:type="dxa" w:w="950"/>
            <w:vAlign w:val="top"/>
          </w:tcPr>
          <w:p>
            <w:pPr>
              <w:spacing w:after="40" w:before="0" w:line="259" w:lineRule="auto"/>
            </w:pPr>
            <w:r>
              <w:rPr>
                <w:rFonts w:ascii="Calibri" w:hAnsi="Calibri"/>
                <w:b w:val="0"/>
                <w:i w:val="0"/>
                <w:color w:val="212121"/>
                <w:sz w:val="16"/>
              </w:rPr>
              <w:t>No recurrent flares</w:t>
            </w:r>
          </w:p>
        </w:tc>
        <w:tc>
          <w:tcPr>
            <w:tcW w:type="dxa" w:w="950"/>
            <w:vAlign w:val="top"/>
          </w:tcPr>
          <w:p>
            <w:pPr>
              <w:spacing w:after="40" w:before="0" w:line="259" w:lineRule="auto"/>
            </w:pPr>
            <w:r>
              <w:rPr>
                <w:rFonts w:ascii="Calibri" w:hAnsi="Calibri"/>
                <w:b w:val="0"/>
                <w:i w:val="0"/>
                <w:color w:val="212121"/>
                <w:sz w:val="16"/>
              </w:rPr>
              <w:t>Chronic relapsing-remitting course with identifiable triggers</w:t>
            </w:r>
          </w:p>
        </w:tc>
        <w:tc>
          <w:tcPr>
            <w:tcW w:type="dxa" w:w="1036"/>
            <w:vAlign w:val="top"/>
          </w:tcPr>
          <w:p>
            <w:pPr>
              <w:spacing w:after="40" w:before="0" w:line="259" w:lineRule="auto"/>
            </w:pPr>
            <w:r>
              <w:rPr>
                <w:rFonts w:ascii="Calibri" w:hAnsi="Calibri"/>
                <w:b w:val="0"/>
                <w:i w:val="0"/>
                <w:color w:val="212121"/>
                <w:sz w:val="16"/>
              </w:rPr>
              <w:t>Confirms chronicity and guides trigger avoidance</w:t>
            </w:r>
          </w:p>
        </w:tc>
        <w:tc>
          <w:tcPr>
            <w:tcW w:type="dxa" w:w="1036"/>
            <w:vAlign w:val="top"/>
          </w:tcPr>
          <w:p>
            <w:pPr>
              <w:spacing w:after="40" w:before="0" w:line="259" w:lineRule="auto"/>
            </w:pPr>
            <w:r>
              <w:rPr>
                <w:rFonts w:ascii="Calibri" w:hAnsi="Calibri"/>
                <w:b w:val="0"/>
                <w:i w:val="0"/>
                <w:color w:val="212121"/>
                <w:sz w:val="16"/>
              </w:rPr>
              <w:t>Adults with recurrent facial/scalp disease</w:t>
            </w:r>
          </w:p>
        </w:tc>
        <w:tc>
          <w:tcPr>
            <w:tcW w:type="dxa" w:w="720"/>
            <w:vAlign w:val="top"/>
          </w:tcPr>
          <w:p>
            <w:pPr>
              <w:spacing w:after="40" w:before="0" w:line="259" w:lineRule="auto"/>
            </w:pPr>
            <w:r>
              <w:rPr>
                <w:rFonts w:ascii="Calibri" w:hAnsi="Calibri"/>
                <w:b w:val="0"/>
                <w:i w:val="0"/>
                <w:color w:val="212121"/>
                <w:sz w:val="16"/>
              </w:rPr>
              <w:t>Provoking factors; Mental health</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Seasonal winter flares are characteristic</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examination</w:t>
            </w:r>
          </w:p>
        </w:tc>
        <w:tc>
          <w:tcPr>
            <w:tcW w:type="dxa" w:w="950"/>
            <w:vAlign w:val="top"/>
          </w:tcPr>
          <w:p>
            <w:pPr>
              <w:spacing w:after="40" w:before="0" w:line="259" w:lineRule="auto"/>
            </w:pPr>
            <w:r>
              <w:rPr>
                <w:rFonts w:ascii="Calibri" w:hAnsi="Calibri"/>
                <w:b w:val="0"/>
                <w:i w:val="0"/>
                <w:color w:val="212121"/>
                <w:sz w:val="16"/>
              </w:rPr>
              <w:t>Site distribution mapping</w:t>
            </w:r>
          </w:p>
        </w:tc>
        <w:tc>
          <w:tcPr>
            <w:tcW w:type="dxa" w:w="979"/>
            <w:vAlign w:val="top"/>
          </w:tcPr>
          <w:p>
            <w:pPr>
              <w:spacing w:after="40" w:before="0" w:line="259" w:lineRule="auto"/>
            </w:pPr>
            <w:r>
              <w:rPr>
                <w:rFonts w:ascii="Calibri" w:hAnsi="Calibri"/>
                <w:b w:val="0"/>
                <w:i w:val="0"/>
                <w:color w:val="212121"/>
                <w:sz w:val="16"/>
              </w:rPr>
              <w:t>Scalp, eyebrows, nasolabial folds, ears, presternal chest, flexures</w:t>
            </w:r>
          </w:p>
        </w:tc>
        <w:tc>
          <w:tcPr>
            <w:tcW w:type="dxa" w:w="950"/>
            <w:vAlign w:val="top"/>
          </w:tcPr>
          <w:p>
            <w:pPr>
              <w:spacing w:after="40" w:before="0" w:line="259" w:lineRule="auto"/>
            </w:pPr>
            <w:r>
              <w:rPr>
                <w:rFonts w:ascii="Calibri" w:hAnsi="Calibri"/>
                <w:b w:val="0"/>
                <w:i w:val="0"/>
                <w:color w:val="212121"/>
                <w:sz w:val="16"/>
              </w:rPr>
              <w:t>No involvement</w:t>
            </w:r>
          </w:p>
        </w:tc>
        <w:tc>
          <w:tcPr>
            <w:tcW w:type="dxa" w:w="950"/>
            <w:vAlign w:val="top"/>
          </w:tcPr>
          <w:p>
            <w:pPr>
              <w:spacing w:after="40" w:before="0" w:line="259" w:lineRule="auto"/>
            </w:pPr>
            <w:r>
              <w:rPr>
                <w:rFonts w:ascii="Calibri" w:hAnsi="Calibri"/>
                <w:b w:val="0"/>
                <w:i w:val="0"/>
                <w:color w:val="212121"/>
                <w:sz w:val="16"/>
              </w:rPr>
              <w:t>Symmetrical involvement of sebum-rich sites</w:t>
            </w:r>
          </w:p>
        </w:tc>
        <w:tc>
          <w:tcPr>
            <w:tcW w:type="dxa" w:w="1036"/>
            <w:vAlign w:val="top"/>
          </w:tcPr>
          <w:p>
            <w:pPr>
              <w:spacing w:after="40" w:before="0" w:line="259" w:lineRule="auto"/>
            </w:pPr>
            <w:r>
              <w:rPr>
                <w:rFonts w:ascii="Calibri" w:hAnsi="Calibri"/>
                <w:b w:val="0"/>
                <w:i w:val="0"/>
                <w:color w:val="212121"/>
                <w:sz w:val="16"/>
              </w:rPr>
              <w:t>Symmetry and typical sites strongly support SD</w:t>
            </w:r>
          </w:p>
        </w:tc>
        <w:tc>
          <w:tcPr>
            <w:tcW w:type="dxa" w:w="1036"/>
            <w:vAlign w:val="top"/>
          </w:tcPr>
          <w:p>
            <w:pPr>
              <w:spacing w:after="40" w:before="0" w:line="259" w:lineRule="auto"/>
            </w:pPr>
            <w:r>
              <w:rPr>
                <w:rFonts w:ascii="Calibri" w:hAnsi="Calibri"/>
                <w:b w:val="0"/>
                <w:i w:val="0"/>
                <w:color w:val="212121"/>
                <w:sz w:val="16"/>
              </w:rPr>
              <w:t>All patients</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Also assess retroauricular folds and external ear canal</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examination</w:t>
            </w:r>
          </w:p>
        </w:tc>
        <w:tc>
          <w:tcPr>
            <w:tcW w:type="dxa" w:w="950"/>
            <w:vAlign w:val="top"/>
          </w:tcPr>
          <w:p>
            <w:pPr>
              <w:spacing w:after="40" w:before="0" w:line="259" w:lineRule="auto"/>
            </w:pPr>
            <w:r>
              <w:rPr>
                <w:rFonts w:ascii="Calibri" w:hAnsi="Calibri"/>
                <w:b w:val="0"/>
                <w:i w:val="0"/>
                <w:color w:val="212121"/>
                <w:sz w:val="16"/>
              </w:rPr>
              <w:t>Ocular / eyelid margin exam</w:t>
            </w:r>
          </w:p>
        </w:tc>
        <w:tc>
          <w:tcPr>
            <w:tcW w:type="dxa" w:w="979"/>
            <w:vAlign w:val="top"/>
          </w:tcPr>
          <w:p>
            <w:pPr>
              <w:spacing w:after="40" w:before="0" w:line="259" w:lineRule="auto"/>
            </w:pPr>
            <w:r>
              <w:rPr>
                <w:rFonts w:ascii="Calibri" w:hAnsi="Calibri"/>
                <w:b w:val="0"/>
                <w:i w:val="0"/>
                <w:color w:val="212121"/>
                <w:sz w:val="16"/>
              </w:rPr>
              <w:t>Eyelid-margin scaling, erythema, crusting</w:t>
            </w:r>
          </w:p>
        </w:tc>
        <w:tc>
          <w:tcPr>
            <w:tcW w:type="dxa" w:w="950"/>
            <w:vAlign w:val="top"/>
          </w:tcPr>
          <w:p>
            <w:pPr>
              <w:spacing w:after="40" w:before="0" w:line="259" w:lineRule="auto"/>
            </w:pPr>
            <w:r>
              <w:rPr>
                <w:rFonts w:ascii="Calibri" w:hAnsi="Calibri"/>
                <w:b w:val="0"/>
                <w:i w:val="0"/>
                <w:color w:val="212121"/>
                <w:sz w:val="16"/>
              </w:rPr>
              <w:t>No blepharitis</w:t>
            </w:r>
          </w:p>
        </w:tc>
        <w:tc>
          <w:tcPr>
            <w:tcW w:type="dxa" w:w="950"/>
            <w:vAlign w:val="top"/>
          </w:tcPr>
          <w:p>
            <w:pPr>
              <w:spacing w:after="40" w:before="0" w:line="259" w:lineRule="auto"/>
            </w:pPr>
            <w:r>
              <w:rPr>
                <w:rFonts w:ascii="Calibri" w:hAnsi="Calibri"/>
                <w:b w:val="0"/>
                <w:i w:val="0"/>
                <w:color w:val="212121"/>
                <w:sz w:val="16"/>
              </w:rPr>
              <w:t>Seborrhoeic blepharitis / marginal crusting</w:t>
            </w:r>
          </w:p>
        </w:tc>
        <w:tc>
          <w:tcPr>
            <w:tcW w:type="dxa" w:w="1036"/>
            <w:vAlign w:val="top"/>
          </w:tcPr>
          <w:p>
            <w:pPr>
              <w:spacing w:after="40" w:before="0" w:line="259" w:lineRule="auto"/>
            </w:pPr>
            <w:r>
              <w:rPr>
                <w:rFonts w:ascii="Calibri" w:hAnsi="Calibri"/>
                <w:b w:val="0"/>
                <w:i w:val="0"/>
                <w:color w:val="212121"/>
                <w:sz w:val="16"/>
              </w:rPr>
              <w:t>Detects common ocular involvement needing lid care</w:t>
            </w:r>
          </w:p>
        </w:tc>
        <w:tc>
          <w:tcPr>
            <w:tcW w:type="dxa" w:w="1036"/>
            <w:vAlign w:val="top"/>
          </w:tcPr>
          <w:p>
            <w:pPr>
              <w:spacing w:after="40" w:before="0" w:line="259" w:lineRule="auto"/>
            </w:pPr>
            <w:r>
              <w:rPr>
                <w:rFonts w:ascii="Calibri" w:hAnsi="Calibri"/>
                <w:b w:val="0"/>
                <w:i w:val="0"/>
                <w:color w:val="212121"/>
                <w:sz w:val="16"/>
              </w:rPr>
              <w:t>Facial SD, contact-lens/eye-symptom patients</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Ocular involvement reported in ~10-40% of cases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Immunosuppression &amp; neurological screen</w:t>
            </w:r>
          </w:p>
        </w:tc>
        <w:tc>
          <w:tcPr>
            <w:tcW w:type="dxa" w:w="979"/>
            <w:vAlign w:val="top"/>
          </w:tcPr>
          <w:p>
            <w:pPr>
              <w:spacing w:after="40" w:before="0" w:line="259" w:lineRule="auto"/>
            </w:pPr>
            <w:r>
              <w:rPr>
                <w:rFonts w:ascii="Calibri" w:hAnsi="Calibri"/>
                <w:b w:val="0"/>
                <w:i w:val="0"/>
                <w:color w:val="212121"/>
                <w:sz w:val="16"/>
              </w:rPr>
              <w:t>HIV risk, weight loss, Parkinsonism, stroke, dementia</w:t>
            </w:r>
          </w:p>
        </w:tc>
        <w:tc>
          <w:tcPr>
            <w:tcW w:type="dxa" w:w="950"/>
            <w:vAlign w:val="top"/>
          </w:tcPr>
          <w:p>
            <w:pPr>
              <w:spacing w:after="40" w:before="0" w:line="259" w:lineRule="auto"/>
            </w:pPr>
            <w:r>
              <w:rPr>
                <w:rFonts w:ascii="Calibri" w:hAnsi="Calibri"/>
                <w:b w:val="0"/>
                <w:i w:val="0"/>
                <w:color w:val="212121"/>
                <w:sz w:val="16"/>
              </w:rPr>
              <w:t>No red flags</w:t>
            </w:r>
          </w:p>
        </w:tc>
        <w:tc>
          <w:tcPr>
            <w:tcW w:type="dxa" w:w="950"/>
            <w:vAlign w:val="top"/>
          </w:tcPr>
          <w:p>
            <w:pPr>
              <w:spacing w:after="40" w:before="0" w:line="259" w:lineRule="auto"/>
            </w:pPr>
            <w:r>
              <w:rPr>
                <w:rFonts w:ascii="Calibri" w:hAnsi="Calibri"/>
                <w:b w:val="0"/>
                <w:i w:val="0"/>
                <w:color w:val="212121"/>
                <w:sz w:val="16"/>
              </w:rPr>
              <w:t>Severe/explosive SD with systemic or neurological features</w:t>
            </w:r>
          </w:p>
        </w:tc>
        <w:tc>
          <w:tcPr>
            <w:tcW w:type="dxa" w:w="1036"/>
            <w:vAlign w:val="top"/>
          </w:tcPr>
          <w:p>
            <w:pPr>
              <w:spacing w:after="40" w:before="0" w:line="259" w:lineRule="auto"/>
            </w:pPr>
            <w:r>
              <w:rPr>
                <w:rFonts w:ascii="Calibri" w:hAnsi="Calibri"/>
                <w:b w:val="0"/>
                <w:i w:val="0"/>
                <w:color w:val="212121"/>
                <w:sz w:val="16"/>
              </w:rPr>
              <w:t>Flags underlying HIV or neurodegenerative disease</w:t>
            </w:r>
          </w:p>
        </w:tc>
        <w:tc>
          <w:tcPr>
            <w:tcW w:type="dxa" w:w="1036"/>
            <w:vAlign w:val="top"/>
          </w:tcPr>
          <w:p>
            <w:pPr>
              <w:spacing w:after="40" w:before="0" w:line="259" w:lineRule="auto"/>
            </w:pPr>
            <w:r>
              <w:rPr>
                <w:rFonts w:ascii="Calibri" w:hAnsi="Calibri"/>
                <w:b w:val="0"/>
                <w:i w:val="0"/>
                <w:color w:val="212121"/>
                <w:sz w:val="16"/>
              </w:rPr>
              <w:t>Severe, atypical or refractory adult SD</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High-yield</w:t>
            </w:r>
          </w:p>
        </w:tc>
        <w:tc>
          <w:tcPr>
            <w:tcW w:type="dxa" w:w="720"/>
            <w:vAlign w:val="top"/>
          </w:tcPr>
          <w:p>
            <w:pPr>
              <w:spacing w:after="40" w:before="0" w:line="259" w:lineRule="auto"/>
            </w:pPr>
            <w:r>
              <w:rPr>
                <w:rFonts w:ascii="Calibri" w:hAnsi="Calibri"/>
                <w:b w:val="0"/>
                <w:i w:val="0"/>
                <w:color w:val="212121"/>
                <w:sz w:val="16"/>
              </w:rPr>
              <w:t>Triggers HIV testing and neurology referral where indicated</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Drug &amp; personal-care review</w:t>
            </w:r>
          </w:p>
        </w:tc>
        <w:tc>
          <w:tcPr>
            <w:tcW w:type="dxa" w:w="979"/>
            <w:vAlign w:val="top"/>
          </w:tcPr>
          <w:p>
            <w:pPr>
              <w:spacing w:after="40" w:before="0" w:line="259" w:lineRule="auto"/>
            </w:pPr>
            <w:r>
              <w:rPr>
                <w:rFonts w:ascii="Calibri" w:hAnsi="Calibri"/>
                <w:b w:val="0"/>
                <w:i w:val="0"/>
                <w:color w:val="212121"/>
                <w:sz w:val="16"/>
              </w:rPr>
              <w:t>Lithium, dopamine antagonists, PUVA, immunosuppressants; harsh cosmetics</w:t>
            </w:r>
          </w:p>
        </w:tc>
        <w:tc>
          <w:tcPr>
            <w:tcW w:type="dxa" w:w="950"/>
            <w:vAlign w:val="top"/>
          </w:tcPr>
          <w:p>
            <w:pPr>
              <w:spacing w:after="40" w:before="0" w:line="259" w:lineRule="auto"/>
            </w:pPr>
            <w:r>
              <w:rPr>
                <w:rFonts w:ascii="Calibri" w:hAnsi="Calibri"/>
                <w:b w:val="0"/>
                <w:i w:val="0"/>
                <w:color w:val="212121"/>
                <w:sz w:val="16"/>
              </w:rPr>
              <w:t>No provoking agents</w:t>
            </w:r>
          </w:p>
        </w:tc>
        <w:tc>
          <w:tcPr>
            <w:tcW w:type="dxa" w:w="950"/>
            <w:vAlign w:val="top"/>
          </w:tcPr>
          <w:p>
            <w:pPr>
              <w:spacing w:after="40" w:before="0" w:line="259" w:lineRule="auto"/>
            </w:pPr>
            <w:r>
              <w:rPr>
                <w:rFonts w:ascii="Calibri" w:hAnsi="Calibri"/>
                <w:b w:val="0"/>
                <w:i w:val="0"/>
                <w:color w:val="212121"/>
                <w:sz w:val="16"/>
              </w:rPr>
              <w:t>Use of SD-inducing drugs or irritant products</w:t>
            </w:r>
          </w:p>
        </w:tc>
        <w:tc>
          <w:tcPr>
            <w:tcW w:type="dxa" w:w="1036"/>
            <w:vAlign w:val="top"/>
          </w:tcPr>
          <w:p>
            <w:pPr>
              <w:spacing w:after="40" w:before="0" w:line="259" w:lineRule="auto"/>
            </w:pPr>
            <w:r>
              <w:rPr>
                <w:rFonts w:ascii="Calibri" w:hAnsi="Calibri"/>
                <w:b w:val="0"/>
                <w:i w:val="0"/>
                <w:color w:val="212121"/>
                <w:sz w:val="16"/>
              </w:rPr>
              <w:t>Identifies iatrogenic and product-related aggravators</w:t>
            </w:r>
          </w:p>
        </w:tc>
        <w:tc>
          <w:tcPr>
            <w:tcW w:type="dxa" w:w="1036"/>
            <w:vAlign w:val="top"/>
          </w:tcPr>
          <w:p>
            <w:pPr>
              <w:spacing w:after="40" w:before="0" w:line="259" w:lineRule="auto"/>
            </w:pPr>
            <w:r>
              <w:rPr>
                <w:rFonts w:ascii="Calibri" w:hAnsi="Calibri"/>
                <w:b w:val="0"/>
                <w:i w:val="0"/>
                <w:color w:val="212121"/>
                <w:sz w:val="16"/>
              </w:rPr>
              <w:t>Psychiatric, neurological, polypharmacy patients</w:t>
            </w:r>
          </w:p>
        </w:tc>
        <w:tc>
          <w:tcPr>
            <w:tcW w:type="dxa" w:w="720"/>
            <w:vAlign w:val="top"/>
          </w:tcPr>
          <w:p>
            <w:pPr>
              <w:spacing w:after="40" w:before="0" w:line="259" w:lineRule="auto"/>
            </w:pPr>
            <w:r>
              <w:rPr>
                <w:rFonts w:ascii="Calibri" w:hAnsi="Calibri"/>
                <w:b w:val="0"/>
                <w:i w:val="0"/>
                <w:color w:val="212121"/>
                <w:sz w:val="16"/>
              </w:rPr>
              <w:t>Provoking factors; Hygiene</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Often a quick modifiable contributor</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Assessment</w:t>
            </w:r>
          </w:p>
        </w:tc>
        <w:tc>
          <w:tcPr>
            <w:tcW w:type="dxa" w:w="950"/>
            <w:vAlign w:val="top"/>
          </w:tcPr>
          <w:p>
            <w:pPr>
              <w:spacing w:after="40" w:before="0" w:line="259" w:lineRule="auto"/>
            </w:pPr>
            <w:r>
              <w:rPr>
                <w:rFonts w:ascii="Calibri" w:hAnsi="Calibri"/>
                <w:b w:val="0"/>
                <w:i w:val="0"/>
                <w:color w:val="212121"/>
                <w:sz w:val="16"/>
              </w:rPr>
              <w:t>Severity &amp; quality-of-life scoring</w:t>
            </w:r>
          </w:p>
        </w:tc>
        <w:tc>
          <w:tcPr>
            <w:tcW w:type="dxa" w:w="979"/>
            <w:vAlign w:val="top"/>
          </w:tcPr>
          <w:p>
            <w:pPr>
              <w:spacing w:after="40" w:before="0" w:line="259" w:lineRule="auto"/>
            </w:pPr>
            <w:r>
              <w:rPr>
                <w:rFonts w:ascii="Calibri" w:hAnsi="Calibri"/>
                <w:b w:val="0"/>
                <w:i w:val="0"/>
                <w:color w:val="212121"/>
                <w:sz w:val="16"/>
              </w:rPr>
              <w:t>SDASI / IGA and DLQI</w:t>
            </w:r>
          </w:p>
        </w:tc>
        <w:tc>
          <w:tcPr>
            <w:tcW w:type="dxa" w:w="950"/>
            <w:vAlign w:val="top"/>
          </w:tcPr>
          <w:p>
            <w:pPr>
              <w:spacing w:after="40" w:before="0" w:line="259" w:lineRule="auto"/>
            </w:pPr>
            <w:r>
              <w:rPr>
                <w:rFonts w:ascii="Calibri" w:hAnsi="Calibri"/>
                <w:b w:val="0"/>
                <w:i w:val="0"/>
                <w:color w:val="212121"/>
                <w:sz w:val="16"/>
              </w:rPr>
              <w:t>Clear skin; DLQI 0-1</w:t>
            </w:r>
          </w:p>
        </w:tc>
        <w:tc>
          <w:tcPr>
            <w:tcW w:type="dxa" w:w="950"/>
            <w:vAlign w:val="top"/>
          </w:tcPr>
          <w:p>
            <w:pPr>
              <w:spacing w:after="40" w:before="0" w:line="259" w:lineRule="auto"/>
            </w:pPr>
            <w:r>
              <w:rPr>
                <w:rFonts w:ascii="Calibri" w:hAnsi="Calibri"/>
                <w:b w:val="0"/>
                <w:i w:val="0"/>
                <w:color w:val="212121"/>
                <w:sz w:val="16"/>
              </w:rPr>
              <w:t>Moderate-severe SDASI; DLQI &gt; 10</w:t>
            </w:r>
          </w:p>
        </w:tc>
        <w:tc>
          <w:tcPr>
            <w:tcW w:type="dxa" w:w="1036"/>
            <w:vAlign w:val="top"/>
          </w:tcPr>
          <w:p>
            <w:pPr>
              <w:spacing w:after="40" w:before="0" w:line="259" w:lineRule="auto"/>
            </w:pPr>
            <w:r>
              <w:rPr>
                <w:rFonts w:ascii="Calibri" w:hAnsi="Calibri"/>
                <w:b w:val="0"/>
                <w:i w:val="0"/>
                <w:color w:val="212121"/>
                <w:sz w:val="16"/>
              </w:rPr>
              <w:t>Quantifies burden and monitors treatment response</w:t>
            </w:r>
          </w:p>
        </w:tc>
        <w:tc>
          <w:tcPr>
            <w:tcW w:type="dxa" w:w="1036"/>
            <w:vAlign w:val="top"/>
          </w:tcPr>
          <w:p>
            <w:pPr>
              <w:spacing w:after="40" w:before="0" w:line="259" w:lineRule="auto"/>
            </w:pPr>
            <w:r>
              <w:rPr>
                <w:rFonts w:ascii="Calibri" w:hAnsi="Calibri"/>
                <w:b w:val="0"/>
                <w:i w:val="0"/>
                <w:color w:val="212121"/>
                <w:sz w:val="16"/>
              </w:rPr>
              <w:t>All patients at baseline and follow-up</w:t>
            </w:r>
          </w:p>
        </w:tc>
        <w:tc>
          <w:tcPr>
            <w:tcW w:type="dxa" w:w="720"/>
            <w:vAlign w:val="top"/>
          </w:tcPr>
          <w:p>
            <w:pPr>
              <w:spacing w:after="40" w:before="0" w:line="259" w:lineRule="auto"/>
            </w:pPr>
            <w:r>
              <w:rPr>
                <w:rFonts w:ascii="Calibri" w:hAnsi="Calibri"/>
                <w:b w:val="0"/>
                <w:i w:val="0"/>
                <w:color w:val="212121"/>
                <w:sz w:val="16"/>
              </w:rPr>
              <w:t>Mental health</w:t>
            </w:r>
          </w:p>
        </w:tc>
        <w:tc>
          <w:tcPr>
            <w:tcW w:type="dxa" w:w="720"/>
            <w:vAlign w:val="top"/>
          </w:tcPr>
          <w:p>
            <w:pPr>
              <w:spacing w:after="40" w:before="0" w:line="259" w:lineRule="auto"/>
            </w:pPr>
            <w:r>
              <w:rPr>
                <w:rFonts w:ascii="Calibri" w:hAnsi="Calibri"/>
                <w:b w:val="0"/>
                <w:i w:val="0"/>
                <w:color w:val="212121"/>
                <w:sz w:val="16"/>
              </w:rPr>
              <w:t>Monitoring</w:t>
            </w:r>
          </w:p>
        </w:tc>
        <w:tc>
          <w:tcPr>
            <w:tcW w:type="dxa" w:w="720"/>
            <w:vAlign w:val="top"/>
          </w:tcPr>
          <w:p>
            <w:pPr>
              <w:spacing w:after="40" w:before="0" w:line="259" w:lineRule="auto"/>
            </w:pPr>
            <w:r>
              <w:rPr>
                <w:rFonts w:ascii="Calibri" w:hAnsi="Calibri"/>
                <w:b w:val="0"/>
                <w:i w:val="0"/>
                <w:color w:val="212121"/>
                <w:sz w:val="16"/>
              </w:rPr>
              <w:t>Physician severity may not reflect psychological burden</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Flaking / dandruff</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Fine white-to-yellowish greasy flakes shedding from the scalp, eyebrows or beard - the commonest presentation.</w:t>
            </w:r>
          </w:p>
        </w:tc>
      </w:tr>
      <w:tr>
        <w:trPr>
          <w:cantSplit/>
        </w:trPr>
        <w:tc>
          <w:tcPr>
            <w:tcW w:type="dxa" w:w="2304"/>
            <w:vAlign w:val="top"/>
          </w:tcPr>
          <w:p>
            <w:pPr>
              <w:spacing w:after="40" w:before="0" w:line="259" w:lineRule="auto"/>
            </w:pPr>
            <w:r>
              <w:rPr>
                <w:rFonts w:ascii="Calibri" w:hAnsi="Calibri"/>
                <w:b/>
                <w:i w:val="0"/>
                <w:color w:val="212121"/>
                <w:sz w:val="19"/>
              </w:rPr>
              <w:t>Itching (pruritus)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The most frequent symptom, often worse on the scalp and with sweating or stress.</w:t>
            </w:r>
          </w:p>
        </w:tc>
      </w:tr>
      <w:tr>
        <w:trPr>
          <w:cantSplit/>
        </w:trPr>
        <w:tc>
          <w:tcPr>
            <w:tcW w:type="dxa" w:w="2304"/>
            <w:vAlign w:val="top"/>
          </w:tcPr>
          <w:p>
            <w:pPr>
              <w:spacing w:after="40" w:before="0" w:line="259" w:lineRule="auto"/>
            </w:pPr>
            <w:r>
              <w:rPr>
                <w:rFonts w:ascii="Calibri" w:hAnsi="Calibri"/>
                <w:b/>
                <w:i w:val="0"/>
                <w:color w:val="212121"/>
                <w:sz w:val="19"/>
              </w:rPr>
              <w:t>Redness in facial creases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Erythema of the nasolabial folds, eyebrows, glabella and around the nose.</w:t>
            </w:r>
          </w:p>
        </w:tc>
      </w:tr>
      <w:tr>
        <w:trPr>
          <w:cantSplit/>
        </w:trPr>
        <w:tc>
          <w:tcPr>
            <w:tcW w:type="dxa" w:w="2304"/>
            <w:vAlign w:val="top"/>
          </w:tcPr>
          <w:p>
            <w:pPr>
              <w:spacing w:after="40" w:before="0" w:line="259" w:lineRule="auto"/>
            </w:pPr>
            <w:r>
              <w:rPr>
                <w:rFonts w:ascii="Calibri" w:hAnsi="Calibri"/>
                <w:b/>
                <w:i w:val="0"/>
                <w:color w:val="212121"/>
                <w:sz w:val="19"/>
              </w:rPr>
              <w:t>Greasy, scaly patches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Oily-feeling yellowish scale over erythema in sebum-rich areas.</w:t>
            </w:r>
          </w:p>
        </w:tc>
      </w:tr>
      <w:tr>
        <w:trPr>
          <w:cantSplit/>
        </w:trPr>
        <w:tc>
          <w:tcPr>
            <w:tcW w:type="dxa" w:w="2304"/>
            <w:vAlign w:val="top"/>
          </w:tcPr>
          <w:p>
            <w:pPr>
              <w:spacing w:after="40" w:before="0" w:line="259" w:lineRule="auto"/>
            </w:pPr>
            <w:r>
              <w:rPr>
                <w:rFonts w:ascii="Calibri" w:hAnsi="Calibri"/>
                <w:b/>
                <w:i w:val="0"/>
                <w:color w:val="212121"/>
                <w:sz w:val="19"/>
              </w:rPr>
              <w:t>Burning or stinging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A sensation of burning, especially on the face during flares.</w:t>
            </w:r>
          </w:p>
        </w:tc>
      </w:tr>
      <w:tr>
        <w:trPr>
          <w:cantSplit/>
        </w:trPr>
        <w:tc>
          <w:tcPr>
            <w:tcW w:type="dxa" w:w="2304"/>
            <w:vAlign w:val="top"/>
          </w:tcPr>
          <w:p>
            <w:pPr>
              <w:spacing w:after="40" w:before="0" w:line="259" w:lineRule="auto"/>
            </w:pPr>
            <w:r>
              <w:rPr>
                <w:rFonts w:ascii="Calibri" w:hAnsi="Calibri"/>
                <w:b/>
                <w:i w:val="0"/>
                <w:color w:val="212121"/>
                <w:sz w:val="19"/>
              </w:rPr>
              <w:t>Scaling and irritation of the ears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Retroauricular fissuring and external ear-canal itching or scaling (otitis externa-like).</w:t>
            </w:r>
          </w:p>
        </w:tc>
      </w:tr>
      <w:tr>
        <w:trPr>
          <w:cantSplit/>
        </w:trPr>
        <w:tc>
          <w:tcPr>
            <w:tcW w:type="dxa" w:w="2304"/>
            <w:vAlign w:val="top"/>
          </w:tcPr>
          <w:p>
            <w:pPr>
              <w:spacing w:after="40" w:before="0" w:line="259" w:lineRule="auto"/>
            </w:pPr>
            <w:r>
              <w:rPr>
                <w:rFonts w:ascii="Calibri" w:hAnsi="Calibri"/>
                <w:b/>
                <w:i w:val="0"/>
                <w:color w:val="212121"/>
                <w:sz w:val="19"/>
              </w:rPr>
              <w:t>Worsening in winter / with stress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Patients report clear seasonal (cold-dry) and stress-related aggravation.</w:t>
            </w:r>
          </w:p>
        </w:tc>
      </w:tr>
      <w:tr>
        <w:trPr>
          <w:cantSplit/>
        </w:trPr>
        <w:tc>
          <w:tcPr>
            <w:tcW w:type="dxa" w:w="2304"/>
            <w:vAlign w:val="top"/>
          </w:tcPr>
          <w:p>
            <w:pPr>
              <w:spacing w:after="40" w:before="0" w:line="259" w:lineRule="auto"/>
            </w:pPr>
            <w:r>
              <w:rPr>
                <w:rFonts w:ascii="Calibri" w:hAnsi="Calibri"/>
                <w:b/>
                <w:i w:val="0"/>
                <w:color w:val="212121"/>
                <w:sz w:val="19"/>
              </w:rPr>
              <w:t>Eyelid irritation and crusting</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Seborrhoeic blepharitis causing gritty, red, crusted lid margins.</w:t>
            </w:r>
          </w:p>
        </w:tc>
      </w:tr>
      <w:tr>
        <w:trPr>
          <w:cantSplit/>
        </w:trPr>
        <w:tc>
          <w:tcPr>
            <w:tcW w:type="dxa" w:w="2304"/>
            <w:vAlign w:val="top"/>
          </w:tcPr>
          <w:p>
            <w:pPr>
              <w:spacing w:after="40" w:before="0" w:line="259" w:lineRule="auto"/>
            </w:pPr>
            <w:r>
              <w:rPr>
                <w:rFonts w:ascii="Calibri" w:hAnsi="Calibri"/>
                <w:b/>
                <w:i w:val="0"/>
                <w:color w:val="212121"/>
                <w:sz w:val="19"/>
              </w:rPr>
              <w:t>Chest / trunk rash</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Itchy petaloid or ring-like scaly patches over the presternal chest and back.</w:t>
            </w:r>
          </w:p>
        </w:tc>
      </w:tr>
      <w:tr>
        <w:trPr>
          <w:cantSplit/>
        </w:trPr>
        <w:tc>
          <w:tcPr>
            <w:tcW w:type="dxa" w:w="2304"/>
            <w:vAlign w:val="top"/>
          </w:tcPr>
          <w:p>
            <w:pPr>
              <w:spacing w:after="40" w:before="0" w:line="259" w:lineRule="auto"/>
            </w:pPr>
            <w:r>
              <w:rPr>
                <w:rFonts w:ascii="Calibri" w:hAnsi="Calibri"/>
                <w:b/>
                <w:i w:val="0"/>
                <w:color w:val="212121"/>
                <w:sz w:val="19"/>
              </w:rPr>
              <w:t>Widespread / erythrodermic rash</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Extensive confluent disease, typically in immunosuppressed adults or neonates.</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Greasy yellow scale on erythematous base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The hallmark lesion in sebum-rich sites, poorly demarcated with fine oily scale.</w:t>
            </w:r>
          </w:p>
        </w:tc>
      </w:tr>
      <w:tr>
        <w:trPr>
          <w:cantSplit/>
        </w:trPr>
        <w:tc>
          <w:tcPr>
            <w:tcW w:type="dxa" w:w="3456"/>
            <w:vAlign w:val="top"/>
          </w:tcPr>
          <w:p>
            <w:pPr>
              <w:spacing w:after="40" w:before="0" w:line="259" w:lineRule="auto"/>
            </w:pPr>
            <w:r>
              <w:rPr>
                <w:rFonts w:ascii="Calibri" w:hAnsi="Calibri"/>
                <w:b/>
                <w:i w:val="0"/>
                <w:color w:val="212121"/>
                <w:sz w:val="19"/>
              </w:rPr>
              <w:t>Scalp scaling (pityriasis capitis)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Diffuse fine flaking ranging from simple dandruff to inflamed scaly plaques.</w:t>
            </w:r>
          </w:p>
        </w:tc>
      </w:tr>
      <w:tr>
        <w:trPr>
          <w:cantSplit/>
        </w:trPr>
        <w:tc>
          <w:tcPr>
            <w:tcW w:type="dxa" w:w="3456"/>
            <w:vAlign w:val="top"/>
          </w:tcPr>
          <w:p>
            <w:pPr>
              <w:spacing w:after="40" w:before="0" w:line="259" w:lineRule="auto"/>
            </w:pPr>
            <w:r>
              <w:rPr>
                <w:rFonts w:ascii="Calibri" w:hAnsi="Calibri"/>
                <w:b/>
                <w:i w:val="0"/>
                <w:color w:val="212121"/>
                <w:sz w:val="19"/>
              </w:rPr>
              <w:t>Nasolabial / eyebrow / glabellar erythema</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Symmetrical redness and scaling of central facial creases and brows.</w:t>
            </w:r>
          </w:p>
        </w:tc>
      </w:tr>
      <w:tr>
        <w:trPr>
          <w:cantSplit/>
        </w:trPr>
        <w:tc>
          <w:tcPr>
            <w:tcW w:type="dxa" w:w="3456"/>
            <w:vAlign w:val="top"/>
          </w:tcPr>
          <w:p>
            <w:pPr>
              <w:spacing w:after="40" w:before="0" w:line="259" w:lineRule="auto"/>
            </w:pPr>
            <w:r>
              <w:rPr>
                <w:rFonts w:ascii="Calibri" w:hAnsi="Calibri"/>
                <w:b/>
                <w:i w:val="0"/>
                <w:color w:val="212121"/>
                <w:sz w:val="19"/>
              </w:rPr>
              <w:t>Retroauricular fissuring and scaling</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Cracking, crusting and scaling behind the ears and in the ear canal.</w:t>
            </w:r>
          </w:p>
        </w:tc>
      </w:tr>
      <w:tr>
        <w:trPr>
          <w:cantSplit/>
        </w:trPr>
        <w:tc>
          <w:tcPr>
            <w:tcW w:type="dxa" w:w="3456"/>
            <w:vAlign w:val="top"/>
          </w:tcPr>
          <w:p>
            <w:pPr>
              <w:spacing w:after="40" w:before="0" w:line="259" w:lineRule="auto"/>
            </w:pPr>
            <w:r>
              <w:rPr>
                <w:rFonts w:ascii="Calibri" w:hAnsi="Calibri"/>
                <w:b/>
                <w:i w:val="0"/>
                <w:color w:val="212121"/>
                <w:sz w:val="19"/>
              </w:rPr>
              <w:t>Seborrhoeic blepharitis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Scaly, erythematous eyelid margins with crusting at the lash bases.</w:t>
            </w:r>
          </w:p>
        </w:tc>
      </w:tr>
      <w:tr>
        <w:trPr>
          <w:cantSplit/>
        </w:trPr>
        <w:tc>
          <w:tcPr>
            <w:tcW w:type="dxa" w:w="3456"/>
            <w:vAlign w:val="top"/>
          </w:tcPr>
          <w:p>
            <w:pPr>
              <w:spacing w:after="40" w:before="0" w:line="259" w:lineRule="auto"/>
            </w:pPr>
            <w:r>
              <w:rPr>
                <w:rFonts w:ascii="Calibri" w:hAnsi="Calibri"/>
                <w:b/>
                <w:i w:val="0"/>
                <w:color w:val="212121"/>
                <w:sz w:val="19"/>
              </w:rPr>
              <w:t>Presternal petaloid / pityriasiform patches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Flower-petal-shaped or annular scaly patches over the mid-chest.</w:t>
            </w:r>
          </w:p>
        </w:tc>
      </w:tr>
      <w:tr>
        <w:trPr>
          <w:cantSplit/>
        </w:trPr>
        <w:tc>
          <w:tcPr>
            <w:tcW w:type="dxa" w:w="3456"/>
            <w:vAlign w:val="top"/>
          </w:tcPr>
          <w:p>
            <w:pPr>
              <w:spacing w:after="40" w:before="0" w:line="259" w:lineRule="auto"/>
            </w:pPr>
            <w:r>
              <w:rPr>
                <w:rFonts w:ascii="Calibri" w:hAnsi="Calibri"/>
                <w:b/>
                <w:i w:val="0"/>
                <w:color w:val="212121"/>
                <w:sz w:val="19"/>
              </w:rPr>
              <w:t>Flexural (intertriginous) erythema</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Shiny erythema with scale in axillae, groin and inframammary folds, sometimes with fissuring.</w:t>
            </w:r>
          </w:p>
        </w:tc>
      </w:tr>
      <w:tr>
        <w:trPr>
          <w:cantSplit/>
        </w:trPr>
        <w:tc>
          <w:tcPr>
            <w:tcW w:type="dxa" w:w="3456"/>
            <w:vAlign w:val="top"/>
          </w:tcPr>
          <w:p>
            <w:pPr>
              <w:spacing w:after="40" w:before="0" w:line="259" w:lineRule="auto"/>
            </w:pPr>
            <w:r>
              <w:rPr>
                <w:rFonts w:ascii="Calibri" w:hAnsi="Calibri"/>
                <w:b/>
                <w:i w:val="0"/>
                <w:color w:val="212121"/>
                <w:sz w:val="19"/>
              </w:rPr>
              <w:t>Post-inflammatory hyper- or hypopigmentation</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Residual pigment change common in skin of colour, adding to cosmetic burden.</w:t>
            </w:r>
          </w:p>
        </w:tc>
      </w:tr>
      <w:tr>
        <w:trPr>
          <w:cantSplit/>
        </w:trPr>
        <w:tc>
          <w:tcPr>
            <w:tcW w:type="dxa" w:w="3456"/>
            <w:vAlign w:val="top"/>
          </w:tcPr>
          <w:p>
            <w:pPr>
              <w:spacing w:after="40" w:before="0" w:line="259" w:lineRule="auto"/>
            </w:pPr>
            <w:r>
              <w:rPr>
                <w:rFonts w:ascii="Calibri" w:hAnsi="Calibri"/>
                <w:b/>
                <w:i w:val="0"/>
                <w:color w:val="212121"/>
                <w:sz w:val="19"/>
              </w:rPr>
              <w:t>Honey-coloured crust (secondary infection)</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Impetiginisation of excoriated or fissured lesions during flares.</w:t>
            </w:r>
          </w:p>
        </w:tc>
      </w:tr>
      <w:tr>
        <w:trPr>
          <w:cantSplit/>
        </w:trPr>
        <w:tc>
          <w:tcPr>
            <w:tcW w:type="dxa" w:w="3456"/>
            <w:vAlign w:val="top"/>
          </w:tcPr>
          <w:p>
            <w:pPr>
              <w:spacing w:after="40" w:before="0" w:line="259" w:lineRule="auto"/>
            </w:pPr>
            <w:r>
              <w:rPr>
                <w:rFonts w:ascii="Calibri" w:hAnsi="Calibri"/>
                <w:b/>
                <w:i w:val="0"/>
                <w:color w:val="212121"/>
                <w:sz w:val="19"/>
              </w:rPr>
              <w:t>Erythroderma</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Generalised confluent redness and scaling in HIV/AIDS or immunosuppressed neonates.</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relapsing pruritus and discomfort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Visible facial and scalp scaling with cosmetic disfigurement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Seborrhoeic blepharitis and conjunctival irritation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Sleep disturbance and distraction from persistent itch</w:t>
            </w:r>
          </w:p>
        </w:tc>
        <w:tc>
          <w:tcPr>
            <w:tcW w:type="dxa" w:w="2980"/>
            <w:vAlign w:val="top"/>
          </w:tcPr>
          <w:p>
            <w:pPr>
              <w:spacing w:after="40" w:before="0" w:line="259" w:lineRule="auto"/>
            </w:pPr>
            <w:r>
              <w:rPr>
                <w:rFonts w:ascii="Calibri" w:hAnsi="Calibri"/>
                <w:b w:val="0"/>
                <w:i w:val="0"/>
                <w:color w:val="212121"/>
                <w:sz w:val="19"/>
              </w:rPr>
              <w:t>Direct consequences of ongoing inflammation and scaling in exposed, sensitive sites</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Secondary bacterial (Staphylococcus) or candidal infection of fissured skin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Post-inflammatory hyperpigmentation or hypopigmentation, especially in skin of colour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Psychosocial distress, anxiety, low self-esteem and reduced quality of life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Generalised or erythrodermic spread in vulnerable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Otitis externa from ear-canal involvement</w:t>
            </w:r>
          </w:p>
        </w:tc>
        <w:tc>
          <w:tcPr>
            <w:tcW w:type="dxa" w:w="2980"/>
            <w:vAlign w:val="top"/>
          </w:tcPr>
          <w:p>
            <w:pPr>
              <w:spacing w:after="40" w:before="0" w:line="259" w:lineRule="auto"/>
            </w:pPr>
            <w:r>
              <w:rPr>
                <w:rFonts w:ascii="Calibri" w:hAnsi="Calibri"/>
                <w:b w:val="0"/>
                <w:i w:val="0"/>
                <w:color w:val="212121"/>
                <w:sz w:val="19"/>
              </w:rPr>
              <w:t>Result from barrier breakdown, scratching, pigment disturbance and the psychological impact of visible disease</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Marker of undiagnosed HIV/AIDS or Parkinson's disease requiring systemic work-up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Treatment-related steroid atrophy, telangiectasia or perioral/periocular dermatitis from prolonged topical steroids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refractory disease with repeated relapses and treatment fatigue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Rare erythrodermic complications - fluid/electrolyte loss and infection risk in immunosuppressed neonates or AIDS</w:t>
            </w:r>
          </w:p>
        </w:tc>
        <w:tc>
          <w:tcPr>
            <w:tcW w:type="dxa" w:w="2980"/>
            <w:vAlign w:val="top"/>
          </w:tcPr>
          <w:p>
            <w:pPr>
              <w:spacing w:after="40" w:before="0" w:line="259" w:lineRule="auto"/>
            </w:pPr>
            <w:r>
              <w:rPr>
                <w:rFonts w:ascii="Calibri" w:hAnsi="Calibri"/>
                <w:b w:val="0"/>
                <w:i w:val="0"/>
                <w:color w:val="212121"/>
                <w:sz w:val="19"/>
              </w:rPr>
              <w:t>Long-term, systemic or iatrogenic outcomes of severe, mismanaged or immunosuppression-associated disease</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Dandruff (pityriasis capitis)</w:t>
            </w:r>
          </w:p>
        </w:tc>
        <w:tc>
          <w:tcPr>
            <w:tcW w:type="dxa" w:w="2520"/>
            <w:vAlign w:val="top"/>
          </w:tcPr>
          <w:p>
            <w:pPr>
              <w:spacing w:after="40" w:before="0" w:line="259" w:lineRule="auto"/>
            </w:pPr>
            <w:r>
              <w:rPr>
                <w:rFonts w:ascii="Calibri" w:hAnsi="Calibri"/>
                <w:b w:val="0"/>
                <w:i w:val="0"/>
                <w:color w:val="212121"/>
                <w:sz w:val="18"/>
              </w:rPr>
              <w:t>Shared Pathophysiology</w:t>
            </w:r>
          </w:p>
        </w:tc>
        <w:tc>
          <w:tcPr>
            <w:tcW w:type="dxa" w:w="4852"/>
            <w:vAlign w:val="top"/>
          </w:tcPr>
          <w:p>
            <w:pPr>
              <w:spacing w:after="40" w:before="0" w:line="259" w:lineRule="auto"/>
            </w:pPr>
            <w:r>
              <w:rPr>
                <w:rFonts w:ascii="Calibri" w:hAnsi="Calibri"/>
                <w:b w:val="0"/>
                <w:i w:val="0"/>
                <w:color w:val="212121"/>
                <w:sz w:val="19"/>
              </w:rPr>
              <w:t>The mildest, non-inflammatory end of the SD spectrum; extremely common, affecting up to about half of adults.</w:t>
            </w:r>
          </w:p>
          <w:p>
            <w:pPr>
              <w:spacing w:after="40" w:before="0" w:line="259" w:lineRule="auto"/>
            </w:pPr>
            <w:r>
              <w:rPr>
                <w:rFonts w:ascii="Calibri" w:hAnsi="Calibri"/>
                <w:b/>
                <w:i w:val="0"/>
                <w:color w:val="212121"/>
                <w:sz w:val="19"/>
              </w:rPr>
              <w:t>Up to ~50%</w:t>
            </w:r>
          </w:p>
        </w:tc>
      </w:tr>
      <w:tr>
        <w:trPr>
          <w:cantSplit/>
        </w:trPr>
        <w:tc>
          <w:tcPr>
            <w:tcW w:type="dxa" w:w="2232"/>
            <w:vAlign w:val="top"/>
          </w:tcPr>
          <w:p>
            <w:pPr>
              <w:spacing w:after="40" w:before="0" w:line="259" w:lineRule="auto"/>
            </w:pPr>
            <w:r>
              <w:rPr>
                <w:rFonts w:ascii="Calibri" w:hAnsi="Calibri"/>
                <w:b/>
                <w:i w:val="0"/>
                <w:color w:val="212121"/>
                <w:sz w:val="19"/>
              </w:rPr>
              <w:t>HIV / AIDS</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Severe, extensive or refractory SD is an early cutaneous marker of immunosuppression.</w:t>
            </w:r>
          </w:p>
          <w:p>
            <w:pPr>
              <w:spacing w:after="40" w:before="0" w:line="259" w:lineRule="auto"/>
            </w:pPr>
            <w:r>
              <w:rPr>
                <w:rFonts w:ascii="Calibri" w:hAnsi="Calibri"/>
                <w:b/>
                <w:i w:val="0"/>
                <w:color w:val="212121"/>
                <w:sz w:val="19"/>
              </w:rPr>
              <w:t>~35% early HIV, up to 85% in AIDS</w:t>
            </w:r>
          </w:p>
        </w:tc>
      </w:tr>
      <w:tr>
        <w:trPr>
          <w:cantSplit/>
        </w:trPr>
        <w:tc>
          <w:tcPr>
            <w:tcW w:type="dxa" w:w="2232"/>
            <w:vAlign w:val="top"/>
          </w:tcPr>
          <w:p>
            <w:pPr>
              <w:spacing w:after="40" w:before="0" w:line="259" w:lineRule="auto"/>
            </w:pPr>
            <w:r>
              <w:rPr>
                <w:rFonts w:ascii="Calibri" w:hAnsi="Calibri"/>
                <w:b/>
                <w:i w:val="0"/>
                <w:color w:val="212121"/>
                <w:sz w:val="19"/>
              </w:rPr>
              <w:t>Parkinson's disease</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Facial immobility and increased sebum sharply raise SD frequency and severity.</w:t>
            </w:r>
          </w:p>
          <w:p>
            <w:pPr>
              <w:spacing w:after="40" w:before="0" w:line="259" w:lineRule="auto"/>
            </w:pPr>
            <w:r>
              <w:rPr>
                <w:rFonts w:ascii="Calibri" w:hAnsi="Calibri"/>
                <w:b/>
                <w:i w:val="0"/>
                <w:color w:val="212121"/>
                <w:sz w:val="19"/>
              </w:rPr>
              <w:t>~19-59%</w:t>
            </w:r>
          </w:p>
        </w:tc>
      </w:tr>
      <w:tr>
        <w:trPr>
          <w:cantSplit/>
        </w:trPr>
        <w:tc>
          <w:tcPr>
            <w:tcW w:type="dxa" w:w="2232"/>
            <w:vAlign w:val="top"/>
          </w:tcPr>
          <w:p>
            <w:pPr>
              <w:spacing w:after="40" w:before="0" w:line="259" w:lineRule="auto"/>
            </w:pPr>
            <w:r>
              <w:rPr>
                <w:rFonts w:ascii="Calibri" w:hAnsi="Calibri"/>
                <w:b/>
                <w:i w:val="0"/>
                <w:color w:val="212121"/>
                <w:sz w:val="19"/>
              </w:rPr>
              <w:t>Insulin resistance / metabolic syndrome</w:t>
            </w:r>
          </w:p>
        </w:tc>
        <w:tc>
          <w:tcPr>
            <w:tcW w:type="dxa" w:w="2520"/>
            <w:vAlign w:val="top"/>
          </w:tcPr>
          <w:p>
            <w:pPr>
              <w:spacing w:after="40" w:before="0" w:line="259" w:lineRule="auto"/>
            </w:pPr>
            <w:r>
              <w:rPr>
                <w:rFonts w:ascii="Calibri" w:hAnsi="Calibri"/>
                <w:b w:val="0"/>
                <w:i w:val="0"/>
                <w:color w:val="212121"/>
                <w:sz w:val="18"/>
              </w:rPr>
              <w:t>Shared Pathophysiology</w:t>
            </w:r>
          </w:p>
        </w:tc>
        <w:tc>
          <w:tcPr>
            <w:tcW w:type="dxa" w:w="4852"/>
            <w:vAlign w:val="top"/>
          </w:tcPr>
          <w:p>
            <w:pPr>
              <w:spacing w:after="40" w:before="0" w:line="259" w:lineRule="auto"/>
            </w:pPr>
            <w:r>
              <w:rPr>
                <w:rFonts w:ascii="Calibri" w:hAnsi="Calibri"/>
                <w:b w:val="0"/>
                <w:i w:val="0"/>
                <w:color w:val="212121"/>
                <w:sz w:val="19"/>
              </w:rPr>
              <w:t>Shared inflammatory and lipid pathways; SD patients show high rates of insulin resistance.</w:t>
            </w:r>
          </w:p>
          <w:p>
            <w:pPr>
              <w:spacing w:after="40" w:before="0" w:line="259" w:lineRule="auto"/>
            </w:pPr>
            <w:r>
              <w:rPr>
                <w:rFonts w:ascii="Calibri" w:hAnsi="Calibri"/>
                <w:b/>
                <w:i w:val="0"/>
                <w:color w:val="212121"/>
                <w:sz w:val="19"/>
              </w:rPr>
              <w:t>~58% insulin resistance</w:t>
            </w:r>
          </w:p>
        </w:tc>
      </w:tr>
      <w:tr>
        <w:trPr>
          <w:cantSplit/>
        </w:trPr>
        <w:tc>
          <w:tcPr>
            <w:tcW w:type="dxa" w:w="2232"/>
            <w:vAlign w:val="top"/>
          </w:tcPr>
          <w:p>
            <w:pPr>
              <w:spacing w:after="40" w:before="0" w:line="259" w:lineRule="auto"/>
            </w:pPr>
            <w:r>
              <w:rPr>
                <w:rFonts w:ascii="Calibri" w:hAnsi="Calibri"/>
                <w:b/>
                <w:i w:val="0"/>
                <w:color w:val="212121"/>
                <w:sz w:val="19"/>
              </w:rPr>
              <w:t>Anxiety / depression</w:t>
            </w:r>
          </w:p>
        </w:tc>
        <w:tc>
          <w:tcPr>
            <w:tcW w:type="dxa" w:w="2520"/>
            <w:vAlign w:val="top"/>
          </w:tcPr>
          <w:p>
            <w:pPr>
              <w:spacing w:after="40" w:before="0" w:line="259" w:lineRule="auto"/>
            </w:pPr>
            <w:r>
              <w:rPr>
                <w:rFonts w:ascii="Calibri" w:hAnsi="Calibri"/>
                <w:b w:val="0"/>
                <w:i w:val="0"/>
                <w:color w:val="212121"/>
                <w:sz w:val="18"/>
              </w:rPr>
              <w:t>Bidirectional Association</w:t>
            </w:r>
          </w:p>
        </w:tc>
        <w:tc>
          <w:tcPr>
            <w:tcW w:type="dxa" w:w="4852"/>
            <w:vAlign w:val="top"/>
          </w:tcPr>
          <w:p>
            <w:pPr>
              <w:spacing w:after="40" w:before="0" w:line="259" w:lineRule="auto"/>
            </w:pPr>
            <w:r>
              <w:rPr>
                <w:rFonts w:ascii="Calibri" w:hAnsi="Calibri"/>
                <w:b w:val="0"/>
                <w:i w:val="0"/>
                <w:color w:val="212121"/>
                <w:sz w:val="19"/>
              </w:rPr>
              <w:t>Stress precipitates flares and visible disease worsens mood; bidirectional relationship.</w:t>
            </w:r>
          </w:p>
          <w:p>
            <w:pPr>
              <w:spacing w:after="40" w:before="0" w:line="259" w:lineRule="auto"/>
            </w:pPr>
            <w:r>
              <w:rPr>
                <w:rFonts w:ascii="Calibri" w:hAnsi="Calibri"/>
                <w:b/>
                <w:i w:val="0"/>
                <w:color w:val="212121"/>
                <w:sz w:val="19"/>
              </w:rPr>
              <w:t>~31% moderate-severe anxiety</w:t>
            </w:r>
          </w:p>
        </w:tc>
      </w:tr>
      <w:tr>
        <w:trPr>
          <w:cantSplit/>
        </w:trPr>
        <w:tc>
          <w:tcPr>
            <w:tcW w:type="dxa" w:w="2232"/>
            <w:vAlign w:val="top"/>
          </w:tcPr>
          <w:p>
            <w:pPr>
              <w:spacing w:after="40" w:before="0" w:line="259" w:lineRule="auto"/>
            </w:pPr>
            <w:r>
              <w:rPr>
                <w:rFonts w:ascii="Calibri" w:hAnsi="Calibri"/>
                <w:b/>
                <w:i w:val="0"/>
                <w:color w:val="212121"/>
                <w:sz w:val="19"/>
              </w:rPr>
              <w:t>Atopic dermatitis</w:t>
            </w:r>
          </w:p>
        </w:tc>
        <w:tc>
          <w:tcPr>
            <w:tcW w:type="dxa" w:w="2520"/>
            <w:vAlign w:val="top"/>
          </w:tcPr>
          <w:p>
            <w:pPr>
              <w:spacing w:after="40" w:before="0" w:line="259" w:lineRule="auto"/>
            </w:pPr>
            <w:r>
              <w:rPr>
                <w:rFonts w:ascii="Calibri" w:hAnsi="Calibri"/>
                <w:b w:val="0"/>
                <w:i w:val="0"/>
                <w:color w:val="212121"/>
                <w:sz w:val="18"/>
              </w:rPr>
              <w:t>Shared Pathophysiology</w:t>
            </w:r>
          </w:p>
        </w:tc>
        <w:tc>
          <w:tcPr>
            <w:tcW w:type="dxa" w:w="4852"/>
            <w:vAlign w:val="top"/>
          </w:tcPr>
          <w:p>
            <w:pPr>
              <w:spacing w:after="40" w:before="0" w:line="259" w:lineRule="auto"/>
            </w:pPr>
            <w:r>
              <w:rPr>
                <w:rFonts w:ascii="Calibri" w:hAnsi="Calibri"/>
                <w:b w:val="0"/>
                <w:i w:val="0"/>
                <w:color w:val="212121"/>
                <w:sz w:val="19"/>
              </w:rPr>
              <w:t>Overlaps particularly with infantile SD and shares barrier dysfunction.</w:t>
            </w:r>
          </w:p>
        </w:tc>
      </w:tr>
      <w:tr>
        <w:trPr>
          <w:cantSplit/>
        </w:trPr>
        <w:tc>
          <w:tcPr>
            <w:tcW w:type="dxa" w:w="2232"/>
            <w:vAlign w:val="top"/>
          </w:tcPr>
          <w:p>
            <w:pPr>
              <w:spacing w:after="40" w:before="0" w:line="259" w:lineRule="auto"/>
            </w:pPr>
            <w:r>
              <w:rPr>
                <w:rFonts w:ascii="Calibri" w:hAnsi="Calibri"/>
                <w:b/>
                <w:i w:val="0"/>
                <w:color w:val="212121"/>
                <w:sz w:val="19"/>
              </w:rPr>
              <w:t>Pityriasis versicolor</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Another Malassezia-associated dermatosis that frequently coexists.</w:t>
            </w:r>
          </w:p>
        </w:tc>
      </w:tr>
      <w:tr>
        <w:trPr>
          <w:cantSplit/>
        </w:trPr>
        <w:tc>
          <w:tcPr>
            <w:tcW w:type="dxa" w:w="2232"/>
            <w:vAlign w:val="top"/>
          </w:tcPr>
          <w:p>
            <w:pPr>
              <w:spacing w:after="40" w:before="0" w:line="259" w:lineRule="auto"/>
            </w:pPr>
            <w:r>
              <w:rPr>
                <w:rFonts w:ascii="Calibri" w:hAnsi="Calibri"/>
                <w:b/>
                <w:i w:val="0"/>
                <w:color w:val="212121"/>
                <w:sz w:val="19"/>
              </w:rPr>
              <w:t>Acne vulgaris / rosacea</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Coexisting sebaceous-gland disorders sharing seborrhoea and facial distribution.</w:t>
            </w:r>
          </w:p>
        </w:tc>
      </w:tr>
      <w:tr>
        <w:trPr>
          <w:cantSplit/>
        </w:trPr>
        <w:tc>
          <w:tcPr>
            <w:tcW w:type="dxa" w:w="2232"/>
            <w:vAlign w:val="top"/>
          </w:tcPr>
          <w:p>
            <w:pPr>
              <w:spacing w:after="40" w:before="0" w:line="259" w:lineRule="auto"/>
            </w:pPr>
            <w:r>
              <w:rPr>
                <w:rFonts w:ascii="Calibri" w:hAnsi="Calibri"/>
                <w:b/>
                <w:i w:val="0"/>
                <w:color w:val="212121"/>
                <w:sz w:val="19"/>
              </w:rPr>
              <w:t>Psoriasis (sebopsoriasis)</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Overlapping scalp/facial features can blur the line between SD and psoriasis.</w:t>
            </w:r>
          </w:p>
        </w:tc>
      </w:tr>
      <w:tr>
        <w:trPr>
          <w:cantSplit/>
        </w:trPr>
        <w:tc>
          <w:tcPr>
            <w:tcW w:type="dxa" w:w="2232"/>
            <w:vAlign w:val="top"/>
          </w:tcPr>
          <w:p>
            <w:pPr>
              <w:spacing w:after="40" w:before="0" w:line="259" w:lineRule="auto"/>
            </w:pPr>
            <w:r>
              <w:rPr>
                <w:rFonts w:ascii="Calibri" w:hAnsi="Calibri"/>
                <w:b/>
                <w:i w:val="0"/>
                <w:color w:val="212121"/>
                <w:sz w:val="19"/>
              </w:rPr>
              <w:t>Seborrhoeic blepharitis / ocular surface disease</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Eyelid-margin involvement causing chronic blepharitis and dry-eye symptoms.</w:t>
            </w:r>
          </w:p>
          <w:p>
            <w:pPr>
              <w:spacing w:after="40" w:before="0" w:line="259" w:lineRule="auto"/>
            </w:pPr>
            <w:r>
              <w:rPr>
                <w:rFonts w:ascii="Calibri" w:hAnsi="Calibri"/>
                <w:b/>
                <w:i w:val="0"/>
                <w:color w:val="212121"/>
                <w:sz w:val="19"/>
              </w:rPr>
              <w:t>~10-40% ocular involvement</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SD is a chronic, relapsing but controllable inflammatory condition - not an infection, poor hygiene or contagious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Learn to recognise personal triggers (cold-dry weather, stress, alcohol, illness, harsh products) and act early at the first sign of a flare.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medicated antifungal shampoos and prescribed creams correctly and consistently, including maintenance therapy once clear, rather than stopping abruptly.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prolonged or unsupervised use of potent topical steroids on the face to prevent skin thinning and rebound.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medical review for sudden, severe, widespread or treatment-resistant disease, which may point to an underlying condition such as HIV or Parkinson's disease.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adults with SD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Parents of infants with cradle cap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Elderly and neurological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Recurrent / refractory cases</w:t>
            </w:r>
          </w:p>
        </w:tc>
        <w:tc>
          <w:tcPr>
            <w:tcW w:type="dxa" w:w="1036"/>
            <w:vAlign w:val="top"/>
          </w:tcPr>
          <w:p>
            <w:pPr>
              <w:spacing w:after="40" w:before="0" w:line="259" w:lineRule="auto"/>
            </w:pPr>
            <w:r>
              <w:rPr>
                <w:rFonts w:ascii="Calibri" w:hAnsi="Calibri"/>
                <w:b w:val="0"/>
                <w:i w:val="0"/>
                <w:color w:val="212121"/>
                <w:sz w:val="19"/>
              </w:rPr>
              <w:t>NA</w:t>
            </w:r>
          </w:p>
        </w:tc>
      </w:tr>
      <w:tr>
        <w:trPr>
          <w:cantSplit/>
        </w:trPr>
        <w:tc>
          <w:tcPr>
            <w:tcW w:type="dxa" w:w="1224"/>
            <w:vAlign w:val="center"/>
          </w:tcPr>
          <w:p>
            <w:pPr>
              <w:spacing w:after="40"/>
            </w:pPr>
            <w:r>
              <w:rPr>
                <w:rFonts w:ascii="Calibri" w:hAnsi="Calibri"/>
                <w:b w:val="0"/>
                <w:i w:val="0"/>
                <w:color w:val="212121"/>
                <w:sz w:val="19"/>
              </w:rPr>
              <w:t>Hygiene</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Wash the scalp with a medicated antifungal shampoo (ketoconazole 2%, ciclopirox, zinc pyrithione or selenium sulfide) 2-3 times weekly during flares, leaving it on for a few minutes before rinsing.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Continue maintenance washes 1-2 times weekly after clearance to prevent relapse.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Cleanse the face gently with a mild, non-soap cleanser and use light, non-comedogenic moisturisers; avoid greasy or alcohol-heavy cosmetics.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For cradle cap, soften scale with emollient or oil, gently brush and use a mild shampoo - do not pick at crusts.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For eyelid involvement, use warm compresses and gentle lid hygiene to control seborrhoeic blepharitis.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Scalp and facial SD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Infants with cradle cap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Blepharitis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Beard-area SD</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Aim for at least 150 minutes/week of moderate activity to improve metabolic health and reduce the insulin resistance and inflammation linked with SD.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Target gradual weight reduction if overweight, focusing on central adiposity.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Shower and gently cleanse after heavy sweating, as sweat and occlusion can aggravate flares.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Choose breathable clothing and avoid prolonged occlusion of intertriginous areas during exercise.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Sedentary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Overweight/obese individuals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Metabolic-syndrome-prone patients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refined sugars, sugary drinks, excess dairy and saturated/fried foods, which are associated with higher SD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Follow a fruit-, vegetable- and whole-grain-rich diet, which is linked to lower prevalence.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Include omega-3-rich foods (fish, flaxseed, walnuts) and adequate zinc for skin-barrier support.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Correct vitamin D insufficiency where present through diet, safe sun exposure or supplementation on advice.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 with recurrent SD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Metabolic-syndrome-prone individuals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High refined-carbohydrate consumers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a regular 7-9 hour sleep schedule to lower stress hormones that can trigger flares.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Manage nocturnal itch with cool bedroom conditions and prescribed treatment so scratching does not worsen lesions.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Address coexisting stress or anxiety that disrupts sleep and skin alike.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Stressed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flare-related itch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Shift workers</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Stop smoking, as tobacco is associated with higher dandruff and SD prevalence and impairs skin immunity.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structured cessation support (counselling, nicotine replacement) to improve success.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Reduce second-hand smoke exposure, which adds oxidative stress to the skin.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Current smokers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Tobacco users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Household members of smokers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alcohol within safe limits or avoid it, as excess is a recognised SD aggravator.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that alcoholic liver disease is linked with more severe seborrhoeic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support for alcohol dependence, which also complicates overall skin and general health.</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Heavy/regular drinkers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alcoholic liver disease</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Practise regular stress-reduction (mindfulness, relaxation, yoga, paced breathing), since stress is one of the strongest flare triggers.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and treat coexisting anxiety and depression, which are common and worsen quality of life in SD.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Set realistic expectations that treatment controls rather than cures the condition, reducing frustration and treatment fatigue.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Refer for psychological support or dermatology counselling where visible facial disease causes marked distress or social withdrawal.</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facial/visible SD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High-stress occupations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Coexisting anxiety/depression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Adolescents and young adults</w:t>
            </w:r>
          </w:p>
        </w:tc>
        <w:tc>
          <w:tcPr>
            <w:tcW w:type="dxa" w:w="1036"/>
            <w:vAlign w:val="top"/>
          </w:tcPr>
          <w:p>
            <w:pPr>
              <w:spacing w:after="40" w:before="0" w:line="259" w:lineRule="auto"/>
            </w:pPr>
            <w:r>
              <w:rPr>
                <w:rFonts w:ascii="Calibri" w:hAnsi="Calibri"/>
                <w:b w:val="0"/>
                <w:i w:val="0"/>
                <w:color w:val="212121"/>
                <w:sz w:val="19"/>
              </w:rPr>
              <w:t>High</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hcplive.com/view/study-highlights-global-prevalence-patients-seborrheic-dermatitis" TargetMode="External"/><Relationship Id="rId10" Type="http://schemas.openxmlformats.org/officeDocument/2006/relationships/hyperlink" Target="https://journals.sagepub.com/doi/full/10.1177/12034754251368840" TargetMode="External"/><Relationship Id="rId11" Type="http://schemas.openxmlformats.org/officeDocument/2006/relationships/hyperlink" Target="https://www.ncbi.nlm.nih.gov/books/NBK551707/" TargetMode="External"/><Relationship Id="rId12" Type="http://schemas.openxmlformats.org/officeDocument/2006/relationships/hyperlink" Target="https://pubmed.ncbi.nlm.nih.gov/34698561/" TargetMode="External"/><Relationship Id="rId13" Type="http://schemas.openxmlformats.org/officeDocument/2006/relationships/hyperlink" Target="https://www.mdpi.com/2227-9059/13/10/2458" TargetMode="External"/><Relationship Id="rId14" Type="http://schemas.openxmlformats.org/officeDocument/2006/relationships/hyperlink" Target="https://journals.plos.org/plosone/article?id=10.1371%2Fjournal.pone.033103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