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Post-Inflammatory Hyperpigmentation</w:t>
      </w:r>
    </w:p>
    <w:p>
      <w:pPr>
        <w:spacing w:before="0" w:after="160"/>
      </w:pPr>
      <w:r>
        <w:rPr>
          <w:rFonts w:ascii="Calibri" w:hAnsi="Calibri"/>
          <w:b/>
          <w:i w:val="0"/>
          <w:color w:val="212121"/>
          <w:sz w:val="22"/>
        </w:rPr>
        <w:t xml:space="preserve">AKA </w:t>
      </w:r>
      <w:r>
        <w:rPr>
          <w:rFonts w:ascii="Calibri" w:hAnsi="Calibri"/>
          <w:b w:val="0"/>
          <w:i w:val="0"/>
          <w:color w:val="212121"/>
          <w:sz w:val="22"/>
        </w:rPr>
        <w:t>i.e., PIH, Post-inflammatory hypermelanosis, Acquired post-inflammatory pigmentation, Post-acne marks / dark spots, Dark spots / patches (lay term)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Post-inflammatory hyperpigmentation (PIH) is an acquired excess of skin pigment (hypermelanosis) that develops at sites of preceding cutaneous inflammation, injury or dermatosis, appearing as flat tan, brown, blue-gray or near-black macules and patches that follow the exact distribution of the original lesion. It is a reactive process in which inflammatory mediators stimulate melanocytes to over-produce and redistribute melanin (epidermal PIH) and, when the dermo-epidermal junction is disrupted, melanin drops into the dermis where it is engulfed by macrophages (dermal PIH, or 'pigment incontinence'). PIH is not a primary disease but the common pigmentary end-point of conditions such as acne, eczema and lichen planus, and it is disproportionately frequent, darker and longer-lasting in richly pigmented (Fitzpatrick IV-VI) skin.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Because the great majority of Indians have Fitzpatrick skin types IV-V, PIH is one of the commonest reasons for dermatology and cosmetic consultation in the country. In hospital-based Indian acne cohorts, post-acne hyperpigmentation is documented in about 24.6% (South India, n=309) to 35% (n=6409) of patients, and among people with facial melanosis attending Indian dermatology clinics PIH is the second most common diagnosis (27.6%) after melasma (40.8%). In skin of colour generally, acne-induced PIH is reported in roughly 47-65% of affected individuals, rising to over 85% in some phototype IV+ populations, and it persists for a year or more in over half of patients and for five years or longer in about a fifth.</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PIH is essentially a clinical diagnosis based on a history of preceding inflammation or injury and the characteristic pigment that conforms to that site; investigations are used mainly to localize the pigment, judge prognosis and exclude mimics: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clear history of a preceding inflammatory dermatosis, infection, injury or procedure (commonly acne, eczema, insect bite, lichen planus, burn, peel or laser) at the exact site of the pigmentation;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flat, non-palpable hyperpigmented macules or patches whose shape and distribution mirror the original lesion, without active erythema, scaling or induration once inflammation has settled;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Colour that helps localize depth - tan-to-dark-brown suggests epidermal melanin, whereas slate-gray, blue-gray or black suggests dermal melanin (pigment incontinence);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Wood's-lamp examination to distinguish epidermal PIH (pigment becomes more discrete and accentuated, better prognosis) from dermal PIH (no accentuation, more persistent);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showing a brown pseudonetwork with brown dots/globules in epidermal PIH and blue-gray dots/granules in dermal PIH, helping to separate PIH from melasma and lichen planus pigmentosus;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(with Fontana-Masson stain) reserved for atypical, diffuse or refractory cases - shows increased basal/suprabasal epidermal melanin with or without dermal melanophages, and excludes macular amyloidosis, ochronosis and ashy dermatosis;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Selective screening (KOH mount to exclude pityriasis versicolor; morning cortisol/ACTH or ANA) only when the pattern is atypical or diffuse and a systemic cause such as Addison's disease or lupus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PIH is classified chiefly by the depth of the melanin (which drives prognosis), by the underlying cause, and by the anatomical site and pattern:</w:t>
      </w:r>
    </w:p>
    <w:p>
      <w:pPr>
        <w:spacing w:before="0" w:after="80"/>
      </w:pPr>
      <w:r>
        <w:rPr>
          <w:rFonts w:ascii="Calibri" w:hAnsi="Calibri"/>
          <w:b w:val="0"/>
          <w:i w:val="0"/>
          <w:color w:val="212121"/>
          <w:sz w:val="21"/>
        </w:rPr>
        <w:t>(1) By depth - Epidermal PIH, where excess melanin sits in the epidermis, appears tan to dark brown, accentuates under Wood's lamp and usually improves over 6-12 months; Dermal PIH, where melanin has dropped into the dermis and is trapped in melanophages ('pigment incontinence'), appears blue-gray to slate and is often persistent for years or permanent; and Mixed epidermal-dermal PIH combining both;</w:t>
      </w:r>
    </w:p>
    <w:p>
      <w:pPr>
        <w:spacing w:before="0" w:after="80"/>
      </w:pPr>
      <w:r>
        <w:rPr>
          <w:rFonts w:ascii="Calibri" w:hAnsi="Calibri"/>
          <w:b w:val="0"/>
          <w:i w:val="0"/>
          <w:color w:val="212121"/>
          <w:sz w:val="21"/>
        </w:rPr>
        <w:t>(2) By cause - Endogenous PIH following inflammatory dermatoses (acne vulgaris, atopic and contact dermatitis, lichen planus / lichen planus pigmentosus, psoriasis, insect-bite reactions, infections such as impetigo or viral exanthems); and Exogenous / iatrogenic PIH following external injury or treatment (mechanical trauma, burns, cryotherapy, chemical peels, laser, phototoxic and fixed drug eruptions);</w:t>
      </w:r>
    </w:p>
    <w:p>
      <w:pPr>
        <w:spacing w:before="0" w:after="80"/>
      </w:pPr>
      <w:r>
        <w:rPr>
          <w:rFonts w:ascii="Calibri" w:hAnsi="Calibri"/>
          <w:b w:val="0"/>
          <w:i w:val="0"/>
          <w:color w:val="212121"/>
          <w:sz w:val="21"/>
        </w:rPr>
        <w:t>(3) By site and pattern - Facial PIH (post-acne cheeks and jawline, periorbital pigmentation), truncal PIH (chest and back after acne), and pigmentation of the neck, flexures and limbs; lichenoid and diffuse patterns are characteristic of dermal disease in Indian skin;</w:t>
      </w:r>
    </w:p>
    <w:p>
      <w:pPr>
        <w:spacing w:before="0" w:after="80"/>
      </w:pPr>
      <w:r>
        <w:rPr>
          <w:rFonts w:ascii="Calibri" w:hAnsi="Calibri"/>
          <w:b w:val="0"/>
          <w:i w:val="0"/>
          <w:color w:val="212121"/>
          <w:sz w:val="21"/>
        </w:rPr>
        <w:t>(4) A useful clinical distinction in darker versus lighter skin - PIH (brown/gray melanin) predominates in Fitzpatrick IV-VI, whereas post-inflammatory erythema (persistent redness) is commoner in fair skin after the same insult.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Underlying inflammatory dermatoses: PIH is the final common pathway of acne vulgaris, atopic and contact dermatitis, lichen planus, psoriasis, insect bites and infections - acne, atopic dermatitis and impetigo are the commonest triggers.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Inflammatory mediators driving melanogenesis: Prostaglandins (PGE1, PGE2), leukotrienes (LTC4, LTD4), thromboxanes, interleukin-1, endothelin-1, reactive oxygen species and nitric oxide released during inflammation up-regulate tyrosinase and make melanocytes larger, more dendritic and more productive.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Reactive, richly pigmented melanocytes: In Fitzpatrick IV-VI skin the higher baseline melanin and more labile melanocytes respond to any inflammation with brisk, intense and prolonged pigment production, so PIH is essentially a skin-of-colour problem.</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Pigment incontinence: When exuberant inflammation disrupts the basal cell layer, melanin escapes into the dermis and is engulfed by macrophages (melanophages), producing the deep, blue-gray, treatment-resistant dermal form.</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Ultraviolet and visible light: UV (especially UVA) and visible/blue light stimulate melanogenesis and darken existing marks, so sun exposure both provokes and perpetuates PIH.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Skin trauma and iatrogenic injury: Picking or squeezing acne, scratching, mechanical hair removal (threading, waxing), burns, and aggressive or poorly tailored peels and lasers precipitate or worsen PIH, especially in dark skin.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Drug and self-treatment factors: Phototoxic and fixed drug eruptions cause PIH, while misuse of high-strength hydroquinone (exogenous ochronosis) and topical-steroid 'fairness' creams can paradoxically damage and pigment the skin.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Acne vulgaris peaks in the teens and twenties and is the single commonest trigger of facial PIH; every inflamed papule, pustule or nodule in pigmented skin can leave a lasting brown macule, making this the age of greatest PIH incidence.</w:t>
            </w:r>
          </w:p>
          <w:p>
            <w:pPr>
              <w:spacing w:after="40" w:before="60" w:line="259" w:lineRule="auto"/>
            </w:pPr>
            <w:r>
              <w:rPr>
                <w:rFonts w:ascii="Calibri" w:hAnsi="Calibri"/>
                <w:b w:val="0"/>
                <w:i w:val="0"/>
                <w:color w:val="212121"/>
                <w:sz w:val="19"/>
              </w:rPr>
              <w:t>In an Indian study of 6409 acne patients (about 72% adolescents), hyperpigmentation followed acne in 35% and scarring in 29%.</w:t>
            </w:r>
          </w:p>
          <w:p>
            <w:pPr>
              <w:spacing w:after="40" w:line="252" w:lineRule="auto"/>
            </w:pPr>
            <w:hyperlink r:id="rId9">
              <w:r>
                <w:rPr>
                  <w:rFonts w:ascii="Calibri" w:hAnsi="Calibri" w:cs="Calibri"/>
                  <w:sz w:val="18"/>
                  <w:color w:val="1155CC"/>
                  <w:u w:val="single"/>
                </w:rPr>
                <w:t xml:space="preserve">ijced.org - acne in Indian population (n=6409)</w:t>
              </w:r>
            </w:hyperlink>
          </w:p>
          <w:p>
            <w:pPr>
              <w:spacing w:before="60" w:after="40"/>
            </w:pPr>
            <w:r>
              <w:rPr>
                <w:rFonts w:ascii="Calibri" w:hAnsi="Calibri"/>
                <w:b w:val="0"/>
                <w:i w:val="0"/>
                <w:color w:val="5A5A5A"/>
                <w:sz w:val="18"/>
              </w:rPr>
              <w:t>#acne  #postacnemarks  #adolescents  #youngadults  #PIH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Beyond the acne years, adults accumulate PIH from eczema, contact and cosmetic reactions, threading/waxing, drug eruptions and photo-aggravated pigmentation, while melanocytes remain highly reactive in pigmented skin.</w:t>
            </w:r>
          </w:p>
          <w:p>
            <w:pPr>
              <w:spacing w:after="40" w:before="60" w:line="259" w:lineRule="auto"/>
            </w:pPr>
            <w:r>
              <w:rPr>
                <w:rFonts w:ascii="Calibri" w:hAnsi="Calibri"/>
                <w:b w:val="0"/>
                <w:i w:val="0"/>
                <w:color w:val="212121"/>
                <w:sz w:val="19"/>
              </w:rPr>
              <w:t>Among Indian adults with facial melanosis (mean age ~34 years), PIH was the second commonest diagnosis at 27.6%, after melasma (40.8%).</w:t>
            </w:r>
          </w:p>
          <w:p>
            <w:pPr>
              <w:spacing w:after="40" w:line="252" w:lineRule="auto"/>
            </w:pPr>
            <w:hyperlink r:id="rId10">
              <w:r>
                <w:rPr>
                  <w:rFonts w:ascii="Calibri" w:hAnsi="Calibri" w:cs="Calibri"/>
                  <w:sz w:val="18"/>
                  <w:color w:val="1155CC"/>
                  <w:u w:val="single"/>
                </w:rPr>
                <w:t xml:space="preserve">academicmed.org - facial melanosis in central India (n=250)</w:t>
              </w:r>
            </w:hyperlink>
          </w:p>
          <w:p>
            <w:pPr>
              <w:spacing w:before="60" w:after="40"/>
            </w:pPr>
            <w:r>
              <w:rPr>
                <w:rFonts w:ascii="Calibri" w:hAnsi="Calibri"/>
                <w:b w:val="0"/>
                <w:i w:val="0"/>
                <w:color w:val="5A5A5A"/>
                <w:sz w:val="18"/>
              </w:rPr>
              <w:t>#adults  #facialmelanosis  #cumulative  #eczema  #pigmentation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skin develops PIH from stasis dermatitis, chronic friction, drug eruptions and cumulative photodamage, and clears pigment more slowly, so marks persist longer and are more often dermal.</w:t>
            </w:r>
          </w:p>
          <w:p>
            <w:pPr>
              <w:spacing w:after="40" w:before="60" w:line="259" w:lineRule="auto"/>
            </w:pPr>
            <w:r>
              <w:rPr>
                <w:rFonts w:ascii="Calibri" w:hAnsi="Calibri"/>
                <w:b w:val="0"/>
                <w:i w:val="0"/>
                <w:color w:val="212121"/>
                <w:sz w:val="19"/>
              </w:rPr>
              <w:t>Dermal PIH, which is commoner with long-standing and age-related inflammation, may fade only very slowly or be effectively permanent.</w:t>
            </w:r>
          </w:p>
          <w:p>
            <w:pPr>
              <w:spacing w:after="40" w:line="252" w:lineRule="auto"/>
            </w:pPr>
            <w:hyperlink r:id="rId11">
              <w:r>
                <w:rPr>
                  <w:rFonts w:ascii="Calibri" w:hAnsi="Calibri" w:cs="Calibri"/>
                  <w:sz w:val="18"/>
                  <w:color w:val="1155CC"/>
                  <w:u w:val="single"/>
                </w:rPr>
                <w:t xml:space="preserve">ncbi.nlm.nih.gov - StatPearls, PIH prognosis</w:t>
              </w:r>
            </w:hyperlink>
          </w:p>
          <w:p>
            <w:pPr>
              <w:spacing w:before="60" w:after="40"/>
            </w:pPr>
            <w:r>
              <w:rPr>
                <w:rFonts w:ascii="Calibri" w:hAnsi="Calibri"/>
                <w:b w:val="0"/>
                <w:i w:val="0"/>
                <w:color w:val="5A5A5A"/>
                <w:sz w:val="18"/>
              </w:rPr>
              <w:t>#elderly  #stasisdermatitis  #slowclearance  #dermalPIH  #photodamage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Although PIH incidence itself shows little true sex difference, women present far more often because of its cosmetic and social impact, facial and periorbital predilection, and frequent overlap with melasma.</w:t>
            </w:r>
          </w:p>
          <w:p>
            <w:pPr>
              <w:spacing w:after="40" w:before="60" w:line="259" w:lineRule="auto"/>
            </w:pPr>
            <w:r>
              <w:rPr>
                <w:rFonts w:ascii="Calibri" w:hAnsi="Calibri"/>
                <w:b w:val="0"/>
                <w:i w:val="0"/>
                <w:color w:val="212121"/>
                <w:sz w:val="19"/>
              </w:rPr>
              <w:t>Women make up the majority of Indian pigmentation-clinic attendees - e.g., 69.6% of facial-melanosis patients and 81% of periorbital-hyperpigmentation patients were female.</w:t>
            </w:r>
          </w:p>
          <w:p>
            <w:pPr>
              <w:spacing w:after="40" w:line="252" w:lineRule="auto"/>
            </w:pPr>
            <w:hyperlink r:id="rId10">
              <w:r>
                <w:rPr>
                  <w:rFonts w:ascii="Calibri" w:hAnsi="Calibri" w:cs="Calibri"/>
                  <w:sz w:val="18"/>
                  <w:color w:val="1155CC"/>
                  <w:u w:val="single"/>
                </w:rPr>
                <w:t xml:space="preserve">academicmed.org - female predominance in facial melanosis</w:t>
              </w:r>
            </w:hyperlink>
          </w:p>
          <w:p>
            <w:pPr>
              <w:spacing w:before="60" w:after="40"/>
            </w:pPr>
            <w:r>
              <w:rPr>
                <w:rFonts w:ascii="Calibri" w:hAnsi="Calibri"/>
                <w:b w:val="0"/>
                <w:i w:val="0"/>
                <w:color w:val="5A5A5A"/>
                <w:sz w:val="18"/>
              </w:rPr>
              <w:t>#female  #cosmeticburden  #periorbital  #melasmaoverlap  #facialPIH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Outdoor labourers / low-income / limited care access</w:t>
            </w:r>
          </w:p>
        </w:tc>
        <w:tc>
          <w:tcPr>
            <w:tcW w:type="dxa" w:w="4276"/>
            <w:vAlign w:val="top"/>
          </w:tcPr>
          <w:p>
            <w:pPr>
              <w:spacing w:after="60" w:line="259" w:lineRule="auto"/>
            </w:pPr>
            <w:r>
              <w:rPr>
                <w:rFonts w:ascii="Calibri" w:hAnsi="Calibri"/>
                <w:b w:val="0"/>
                <w:i w:val="0"/>
                <w:color w:val="212121"/>
                <w:sz w:val="19"/>
              </w:rPr>
              <w:t>Outdoor manual work with high sun exposure, the cost of sunscreen and dermatology care, and reliance on unregulated fairness and steroid creams and home remedies all allow PIH to develop, persist and sometimes worsen before proper review.</w:t>
            </w:r>
          </w:p>
          <w:p>
            <w:pPr>
              <w:spacing w:after="40" w:before="60" w:line="259" w:lineRule="auto"/>
            </w:pPr>
            <w:r>
              <w:rPr>
                <w:rFonts w:ascii="Calibri" w:hAnsi="Calibri"/>
                <w:b w:val="0"/>
                <w:i w:val="0"/>
                <w:color w:val="212121"/>
                <w:sz w:val="19"/>
              </w:rPr>
              <w:t>Much pigmentation in India is self-managed with over-the-counter fairness and topical-steroid creams before specialist dermatology review, allowing chronic, sometimes iatrogenic, disease.</w:t>
            </w:r>
          </w:p>
          <w:p>
            <w:pPr>
              <w:spacing w:before="60" w:after="40"/>
            </w:pPr>
            <w:r>
              <w:rPr>
                <w:rFonts w:ascii="Calibri" w:hAnsi="Calibri"/>
                <w:b w:val="0"/>
                <w:i w:val="0"/>
                <w:color w:val="5A5A5A"/>
                <w:sz w:val="18"/>
              </w:rPr>
              <w:t>#accesstocare  #fairnesscreams  #outdoorwork  #steroidmisuse  #undertreated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skin phototype</w:t>
            </w:r>
          </w:p>
        </w:tc>
        <w:tc>
          <w:tcPr>
            <w:tcW w:type="dxa" w:w="2160"/>
            <w:vAlign w:val="top"/>
          </w:tcPr>
          <w:p>
            <w:pPr>
              <w:spacing w:after="40" w:before="0" w:line="259" w:lineRule="auto"/>
            </w:pPr>
            <w:r>
              <w:rPr>
                <w:rFonts w:ascii="Calibri" w:hAnsi="Calibri"/>
                <w:b w:val="0"/>
                <w:i w:val="0"/>
                <w:color w:val="212121"/>
                <w:sz w:val="19"/>
              </w:rPr>
              <w:t>Skin of colour (Fitzpatrick IV-VI), incl. most Indians</w:t>
            </w:r>
          </w:p>
        </w:tc>
        <w:tc>
          <w:tcPr>
            <w:tcW w:type="dxa" w:w="4276"/>
            <w:vAlign w:val="top"/>
          </w:tcPr>
          <w:p>
            <w:pPr>
              <w:spacing w:after="60" w:line="259" w:lineRule="auto"/>
            </w:pPr>
            <w:r>
              <w:rPr>
                <w:rFonts w:ascii="Calibri" w:hAnsi="Calibri"/>
                <w:b w:val="0"/>
                <w:i w:val="0"/>
                <w:color w:val="212121"/>
                <w:sz w:val="19"/>
              </w:rPr>
              <w:t>Richly melanised skin has larger, more reactive melanocytes that respond to inflammation with brisk, intense and prolonged melanin production, so PIH is far commoner, darker and more persistent than in fair skin - which instead tends to develop post-inflammatory redness.</w:t>
            </w:r>
          </w:p>
          <w:p>
            <w:pPr>
              <w:spacing w:after="40" w:before="60" w:line="259" w:lineRule="auto"/>
            </w:pPr>
            <w:r>
              <w:rPr>
                <w:rFonts w:ascii="Calibri" w:hAnsi="Calibri"/>
                <w:b w:val="0"/>
                <w:i w:val="0"/>
                <w:color w:val="212121"/>
                <w:sz w:val="19"/>
              </w:rPr>
              <w:t>PIH incidence after inflammatory acne reaches as high as ~65% in darker skin types (Fitzpatrick IV-VI), against much lower rates in fair skin.</w:t>
            </w:r>
          </w:p>
          <w:p>
            <w:pPr>
              <w:spacing w:after="40" w:line="252" w:lineRule="auto"/>
            </w:pPr>
            <w:hyperlink r:id="rId11">
              <w:r>
                <w:rPr>
                  <w:rFonts w:ascii="Calibri" w:hAnsi="Calibri" w:cs="Calibri"/>
                  <w:sz w:val="18"/>
                  <w:color w:val="1155CC"/>
                  <w:u w:val="single"/>
                </w:rPr>
                <w:t xml:space="preserve">ncbi.nlm.nih.gov - StatPearls, PIH in Fitzpatrick IV-VI</w:t>
              </w:r>
            </w:hyperlink>
          </w:p>
          <w:p>
            <w:pPr>
              <w:spacing w:before="60" w:after="40"/>
            </w:pPr>
            <w:r>
              <w:rPr>
                <w:rFonts w:ascii="Calibri" w:hAnsi="Calibri"/>
                <w:b w:val="0"/>
                <w:i w:val="0"/>
                <w:color w:val="5A5A5A"/>
                <w:sz w:val="18"/>
              </w:rPr>
              <w:t>#skinofcolour  #FitzpatrickIVtoVI  #reactivemelanocytes  #Indianskin  #PIH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High-UV tropical sun-belt (much of India)</w:t>
            </w:r>
          </w:p>
        </w:tc>
        <w:tc>
          <w:tcPr>
            <w:tcW w:type="dxa" w:w="4276"/>
            <w:vAlign w:val="top"/>
          </w:tcPr>
          <w:p>
            <w:pPr>
              <w:spacing w:after="60" w:line="259" w:lineRule="auto"/>
            </w:pPr>
            <w:r>
              <w:rPr>
                <w:rFonts w:ascii="Calibri" w:hAnsi="Calibri"/>
                <w:b w:val="0"/>
                <w:i w:val="0"/>
                <w:color w:val="212121"/>
                <w:sz w:val="19"/>
              </w:rPr>
              <w:t>India's high ambient ultraviolet and intense sunshine drive melanogenesis and darken existing marks, and prolonged outdoor exposure without photoprotection is a major aggravator, particularly UVA and visible/blue light.</w:t>
            </w:r>
          </w:p>
          <w:p>
            <w:pPr>
              <w:spacing w:after="40" w:before="60" w:line="259" w:lineRule="auto"/>
            </w:pPr>
            <w:r>
              <w:rPr>
                <w:rFonts w:ascii="Calibri" w:hAnsi="Calibri"/>
                <w:b w:val="0"/>
                <w:i w:val="0"/>
                <w:color w:val="212121"/>
                <w:sz w:val="19"/>
              </w:rPr>
              <w:t>Sunlight exposure was the single commonest etiological factor (26.4%) in an Indian facial-melanosis cohort; broad-spectrum SPF 50+ with UVA and blue-light cover is advised.</w:t>
            </w:r>
          </w:p>
          <w:p>
            <w:pPr>
              <w:spacing w:after="40" w:line="252" w:lineRule="auto"/>
            </w:pPr>
            <w:hyperlink r:id="rId10">
              <w:r>
                <w:rPr>
                  <w:rFonts w:ascii="Calibri" w:hAnsi="Calibri" w:cs="Calibri"/>
                  <w:sz w:val="18"/>
                  <w:color w:val="1155CC"/>
                  <w:u w:val="single"/>
                </w:rPr>
                <w:t xml:space="preserve">academicmed.org - sunlight as commonest factor (26.4%)</w:t>
              </w:r>
            </w:hyperlink>
          </w:p>
          <w:p>
            <w:pPr>
              <w:spacing w:before="60" w:after="40"/>
            </w:pPr>
            <w:r>
              <w:rPr>
                <w:rFonts w:ascii="Calibri" w:hAnsi="Calibri"/>
                <w:b w:val="0"/>
                <w:i w:val="0"/>
                <w:color w:val="5A5A5A"/>
                <w:sz w:val="18"/>
              </w:rPr>
              <w:t>#UV  #tropicalsun  #photoaggravation  #bluelight  #sunscreen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Sun exposure / photoprotection</w:t>
            </w:r>
          </w:p>
        </w:tc>
        <w:tc>
          <w:tcPr>
            <w:tcW w:type="dxa" w:w="2160"/>
            <w:vAlign w:val="top"/>
          </w:tcPr>
          <w:p>
            <w:pPr>
              <w:spacing w:after="40" w:before="0" w:line="259" w:lineRule="auto"/>
            </w:pPr>
            <w:r>
              <w:rPr>
                <w:rFonts w:ascii="Calibri" w:hAnsi="Calibri"/>
                <w:b w:val="0"/>
                <w:i w:val="0"/>
                <w:color w:val="212121"/>
                <w:sz w:val="19"/>
              </w:rPr>
              <w:t>Non-sunscreen users, outdoor workers</w:t>
            </w:r>
          </w:p>
        </w:tc>
        <w:tc>
          <w:tcPr>
            <w:tcW w:type="dxa" w:w="4276"/>
            <w:vAlign w:val="top"/>
          </w:tcPr>
          <w:p>
            <w:pPr>
              <w:spacing w:after="60" w:line="259" w:lineRule="auto"/>
            </w:pPr>
            <w:r>
              <w:rPr>
                <w:rFonts w:ascii="Calibri" w:hAnsi="Calibri"/>
                <w:b w:val="0"/>
                <w:i w:val="0"/>
                <w:color w:val="212121"/>
                <w:sz w:val="19"/>
              </w:rPr>
              <w:t>Ultraviolet and visible light stimulate melanocytes and deepen post-inflammatory marks; failure to use daily broad-spectrum sunscreen is one of the strongest modifiable drivers of PIH persistence and recurrence.</w:t>
            </w:r>
          </w:p>
          <w:p>
            <w:pPr>
              <w:spacing w:after="40" w:before="60" w:line="259" w:lineRule="auto"/>
            </w:pPr>
            <w:r>
              <w:rPr>
                <w:rFonts w:ascii="Calibri" w:hAnsi="Calibri"/>
                <w:b w:val="0"/>
                <w:i w:val="0"/>
                <w:color w:val="212121"/>
                <w:sz w:val="19"/>
              </w:rPr>
              <w:t>Guidance recommends daily broad-spectrum sunscreen (SPF 50+) with mandatory UVA (&gt;370 nm) and blue-light protection to prevent and limit acne-induced PIH.</w:t>
            </w:r>
          </w:p>
          <w:p>
            <w:pPr>
              <w:spacing w:after="40" w:line="252" w:lineRule="auto"/>
            </w:pPr>
            <w:hyperlink r:id="rId12">
              <w:r>
                <w:rPr>
                  <w:rFonts w:ascii="Calibri" w:hAnsi="Calibri" w:cs="Calibri"/>
                  <w:sz w:val="18"/>
                  <w:color w:val="1155CC"/>
                  <w:u w:val="single"/>
                </w:rPr>
                <w:t xml:space="preserve">medicaljournalssweden.se - sunscreen in acne-induced PIH</w:t>
              </w:r>
            </w:hyperlink>
          </w:p>
          <w:p>
            <w:pPr>
              <w:spacing w:before="60" w:after="40"/>
            </w:pPr>
            <w:r>
              <w:rPr>
                <w:rFonts w:ascii="Calibri" w:hAnsi="Calibri"/>
                <w:b w:val="0"/>
                <w:i w:val="0"/>
                <w:color w:val="5A5A5A"/>
                <w:sz w:val="18"/>
              </w:rPr>
              <w:t>#sunscreen  #photoprotection  #SPF50  #UVA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Skin manipulation / trauma</w:t>
            </w:r>
          </w:p>
        </w:tc>
        <w:tc>
          <w:tcPr>
            <w:tcW w:type="dxa" w:w="2160"/>
            <w:vAlign w:val="top"/>
          </w:tcPr>
          <w:p>
            <w:pPr>
              <w:spacing w:after="40" w:before="0" w:line="259" w:lineRule="auto"/>
            </w:pPr>
            <w:r>
              <w:rPr>
                <w:rFonts w:ascii="Calibri" w:hAnsi="Calibri"/>
                <w:b w:val="0"/>
                <w:i w:val="0"/>
                <w:color w:val="212121"/>
                <w:sz w:val="19"/>
              </w:rPr>
              <w:t>Acne pickers, scratchers, threading/waxing users</w:t>
            </w:r>
          </w:p>
        </w:tc>
        <w:tc>
          <w:tcPr>
            <w:tcW w:type="dxa" w:w="4276"/>
            <w:vAlign w:val="top"/>
          </w:tcPr>
          <w:p>
            <w:pPr>
              <w:spacing w:after="60" w:line="259" w:lineRule="auto"/>
            </w:pPr>
            <w:r>
              <w:rPr>
                <w:rFonts w:ascii="Calibri" w:hAnsi="Calibri"/>
                <w:b w:val="0"/>
                <w:i w:val="0"/>
                <w:color w:val="212121"/>
                <w:sz w:val="19"/>
              </w:rPr>
              <w:t>Squeezing or picking acne, scratching itchy dermatoses and mechanical hair removal (threading, waxing, plucking) prolong and intensify local inflammation, producing more and darker PIH - a very common self-inflicted aggravator.</w:t>
            </w:r>
          </w:p>
          <w:p>
            <w:pPr>
              <w:spacing w:after="40" w:before="60" w:line="259" w:lineRule="auto"/>
            </w:pPr>
            <w:r>
              <w:rPr>
                <w:rFonts w:ascii="Calibri" w:hAnsi="Calibri"/>
                <w:b w:val="0"/>
                <w:i w:val="0"/>
                <w:color w:val="212121"/>
                <w:sz w:val="19"/>
              </w:rPr>
              <w:t>Frequent eye-rubbing (32.5%) and frequent cosmetic use (36.5%) were associated with periorbital post-inflammatory pigmentation in an Indian study.</w:t>
            </w:r>
          </w:p>
          <w:p>
            <w:pPr>
              <w:spacing w:after="40" w:line="252" w:lineRule="auto"/>
            </w:pPr>
            <w:hyperlink r:id="rId13">
              <w:r>
                <w:rPr>
                  <w:rFonts w:ascii="Calibri" w:hAnsi="Calibri" w:cs="Calibri"/>
                  <w:sz w:val="18"/>
                  <w:color w:val="1155CC"/>
                  <w:u w:val="single"/>
                </w:rPr>
                <w:t xml:space="preserve">pmc.ncbi.nlm.nih.gov - periorbital pigmentation &amp; habits</w:t>
              </w:r>
            </w:hyperlink>
          </w:p>
          <w:p>
            <w:pPr>
              <w:spacing w:before="60" w:after="40"/>
            </w:pPr>
            <w:r>
              <w:rPr>
                <w:rFonts w:ascii="Calibri" w:hAnsi="Calibri"/>
                <w:b w:val="0"/>
                <w:i w:val="0"/>
                <w:color w:val="5A5A5A"/>
                <w:sz w:val="18"/>
              </w:rPr>
              <w:t>#skinpicking  #excoriation  #threading  #waxing  #friction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Cosmetic &amp; self-treatment practices</w:t>
            </w:r>
          </w:p>
        </w:tc>
        <w:tc>
          <w:tcPr>
            <w:tcW w:type="dxa" w:w="2160"/>
            <w:vAlign w:val="top"/>
          </w:tcPr>
          <w:p>
            <w:pPr>
              <w:spacing w:after="40" w:before="0" w:line="259" w:lineRule="auto"/>
            </w:pPr>
            <w:r>
              <w:rPr>
                <w:rFonts w:ascii="Calibri" w:hAnsi="Calibri"/>
                <w:b w:val="0"/>
                <w:i w:val="0"/>
                <w:color w:val="212121"/>
                <w:sz w:val="19"/>
              </w:rPr>
              <w:t>Users of fairness creams, unsupervised peels/lasers</w:t>
            </w:r>
          </w:p>
        </w:tc>
        <w:tc>
          <w:tcPr>
            <w:tcW w:type="dxa" w:w="4276"/>
            <w:vAlign w:val="top"/>
          </w:tcPr>
          <w:p>
            <w:pPr>
              <w:spacing w:after="60" w:line="259" w:lineRule="auto"/>
            </w:pPr>
            <w:r>
              <w:rPr>
                <w:rFonts w:ascii="Calibri" w:hAnsi="Calibri"/>
                <w:b w:val="0"/>
                <w:i w:val="0"/>
                <w:color w:val="212121"/>
                <w:sz w:val="19"/>
              </w:rPr>
              <w:t>Aggressive or poorly supervised chemical peels, lasers and depigmenting-cream misuse can paradoxically trigger or worsen PIH, and prolonged high-strength hydroquinone can cause exogenous ochronosis, while topical-steroid 'fairness' misuse is a widespread Indian problem.</w:t>
            </w:r>
          </w:p>
          <w:p>
            <w:pPr>
              <w:spacing w:after="40" w:before="60" w:line="259" w:lineRule="auto"/>
            </w:pPr>
            <w:r>
              <w:rPr>
                <w:rFonts w:ascii="Calibri" w:hAnsi="Calibri"/>
                <w:b w:val="0"/>
                <w:i w:val="0"/>
                <w:color w:val="212121"/>
                <w:sz w:val="19"/>
              </w:rPr>
              <w:t>Chemical peels or lasers, if not carefully tailored, may exacerbate inflammation and worsen pigmentation in darker skin.</w:t>
            </w:r>
          </w:p>
          <w:p>
            <w:pPr>
              <w:spacing w:after="40" w:line="252" w:lineRule="auto"/>
            </w:pPr>
            <w:hyperlink r:id="rId11">
              <w:r>
                <w:rPr>
                  <w:rFonts w:ascii="Calibri" w:hAnsi="Calibri" w:cs="Calibri"/>
                  <w:sz w:val="18"/>
                  <w:color w:val="1155CC"/>
                  <w:u w:val="single"/>
                </w:rPr>
                <w:t xml:space="preserve">ncbi.nlm.nih.gov - StatPearls, treatment-induced worsening</w:t>
              </w:r>
            </w:hyperlink>
          </w:p>
          <w:p>
            <w:pPr>
              <w:spacing w:before="60" w:after="40"/>
            </w:pPr>
            <w:r>
              <w:rPr>
                <w:rFonts w:ascii="Calibri" w:hAnsi="Calibri"/>
                <w:b w:val="0"/>
                <w:i w:val="0"/>
                <w:color w:val="5A5A5A"/>
                <w:sz w:val="18"/>
              </w:rPr>
              <w:t>#ochronosis  #steroidmisuse  #peels  #laser  #paradoxical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tobacco users</w:t>
            </w:r>
          </w:p>
        </w:tc>
        <w:tc>
          <w:tcPr>
            <w:tcW w:type="dxa" w:w="4276"/>
            <w:vAlign w:val="top"/>
          </w:tcPr>
          <w:p>
            <w:pPr>
              <w:spacing w:after="60" w:line="259" w:lineRule="auto"/>
            </w:pPr>
            <w:r>
              <w:rPr>
                <w:rFonts w:ascii="Calibri" w:hAnsi="Calibri"/>
                <w:b w:val="0"/>
                <w:i w:val="0"/>
                <w:color w:val="212121"/>
                <w:sz w:val="19"/>
              </w:rPr>
              <w:t>Tobacco raises oxidative stress and reactive oxygen species and accelerates skin ageing, which can prime melanocytes and modestly aggravate pigmentation and delay healing, though its direct role in PIH is minor.</w:t>
            </w:r>
          </w:p>
          <w:p>
            <w:pPr>
              <w:spacing w:after="40" w:before="60" w:line="259" w:lineRule="auto"/>
            </w:pPr>
            <w:r>
              <w:rPr>
                <w:rFonts w:ascii="Calibri" w:hAnsi="Calibri"/>
                <w:b w:val="0"/>
                <w:i w:val="0"/>
                <w:color w:val="212121"/>
                <w:sz w:val="19"/>
              </w:rPr>
              <w:t>Reactive oxygen species such as superoxide and nitric oxide have been shown to stimulate melanocytes, a plausible link for tobacco-related aggravation.</w:t>
            </w:r>
          </w:p>
          <w:p>
            <w:pPr>
              <w:spacing w:after="40" w:line="252" w:lineRule="auto"/>
            </w:pPr>
            <w:hyperlink r:id="rId14">
              <w:r>
                <w:rPr>
                  <w:rFonts w:ascii="Calibri" w:hAnsi="Calibri" w:cs="Calibri"/>
                  <w:sz w:val="18"/>
                  <w:color w:val="1155CC"/>
                  <w:u w:val="single"/>
                </w:rPr>
                <w:t xml:space="preserve">mdedge.com - reactive oxygen species &amp; melanocytes</w:t>
              </w:r>
            </w:hyperlink>
          </w:p>
          <w:p>
            <w:pPr>
              <w:spacing w:before="60" w:after="40"/>
            </w:pPr>
            <w:r>
              <w:rPr>
                <w:rFonts w:ascii="Calibri" w:hAnsi="Calibri"/>
                <w:b w:val="0"/>
                <w:i w:val="0"/>
                <w:color w:val="5A5A5A"/>
                <w:sz w:val="18"/>
              </w:rPr>
              <w:t>#smoking  #oxidativestress  #ROS  #skinageing  #modifiable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High-glycemic and dairy-rich diets</w:t>
            </w:r>
          </w:p>
        </w:tc>
        <w:tc>
          <w:tcPr>
            <w:tcW w:type="dxa" w:w="4276"/>
            <w:vAlign w:val="top"/>
          </w:tcPr>
          <w:p>
            <w:pPr>
              <w:spacing w:after="60" w:line="259" w:lineRule="auto"/>
            </w:pPr>
            <w:r>
              <w:rPr>
                <w:rFonts w:ascii="Calibri" w:hAnsi="Calibri"/>
                <w:b w:val="0"/>
                <w:i w:val="0"/>
                <w:color w:val="212121"/>
                <w:sz w:val="19"/>
              </w:rPr>
              <w:t>High glycemic-load and dairy-rich diets aggravate acne - the leading upstream cause of facial PIH - while diets low in antioxidants offer less defence against oxidative melanogenesis.</w:t>
            </w:r>
          </w:p>
          <w:p>
            <w:pPr>
              <w:spacing w:after="40" w:before="60" w:line="259" w:lineRule="auto"/>
            </w:pPr>
            <w:r>
              <w:rPr>
                <w:rFonts w:ascii="Calibri" w:hAnsi="Calibri"/>
                <w:b w:val="0"/>
                <w:i w:val="0"/>
                <w:color w:val="212121"/>
                <w:sz w:val="19"/>
              </w:rPr>
              <w:t>In the Indian acne cohort, 49% of patients reported a high-glycemic diet, and 35% went on to develop post-acne hyperpigmentation.</w:t>
            </w:r>
          </w:p>
          <w:p>
            <w:pPr>
              <w:spacing w:after="40" w:line="252" w:lineRule="auto"/>
            </w:pPr>
            <w:hyperlink r:id="rId9">
              <w:r>
                <w:rPr>
                  <w:rFonts w:ascii="Calibri" w:hAnsi="Calibri" w:cs="Calibri"/>
                  <w:sz w:val="18"/>
                  <w:color w:val="1155CC"/>
                  <w:u w:val="single"/>
                </w:rPr>
                <w:t xml:space="preserve">ijced.org - diet &amp; acne severity in India</w:t>
              </w:r>
            </w:hyperlink>
          </w:p>
          <w:p>
            <w:pPr>
              <w:spacing w:before="60" w:after="40"/>
            </w:pPr>
            <w:r>
              <w:rPr>
                <w:rFonts w:ascii="Calibri" w:hAnsi="Calibri"/>
                <w:b w:val="0"/>
                <w:i w:val="0"/>
                <w:color w:val="5A5A5A"/>
                <w:sz w:val="18"/>
              </w:rPr>
              <w:t>#glycemicload  #dairy  #acnediet  #antioxidants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Constitutional / family history</w:t>
            </w:r>
          </w:p>
        </w:tc>
        <w:tc>
          <w:tcPr>
            <w:tcW w:type="dxa" w:w="2160"/>
            <w:vAlign w:val="top"/>
          </w:tcPr>
          <w:p>
            <w:pPr>
              <w:spacing w:after="40" w:before="0" w:line="259" w:lineRule="auto"/>
            </w:pPr>
            <w:r>
              <w:rPr>
                <w:rFonts w:ascii="Calibri" w:hAnsi="Calibri"/>
                <w:b w:val="0"/>
                <w:i w:val="0"/>
                <w:color w:val="212121"/>
                <w:sz w:val="19"/>
              </w:rPr>
              <w:t>Familial pigmentary tendency, dark constitutional skin</w:t>
            </w:r>
          </w:p>
        </w:tc>
        <w:tc>
          <w:tcPr>
            <w:tcW w:type="dxa" w:w="4276"/>
            <w:vAlign w:val="top"/>
          </w:tcPr>
          <w:p>
            <w:pPr>
              <w:spacing w:after="60" w:line="259" w:lineRule="auto"/>
            </w:pPr>
            <w:r>
              <w:rPr>
                <w:rFonts w:ascii="Calibri" w:hAnsi="Calibri"/>
                <w:b w:val="0"/>
                <w:i w:val="0"/>
                <w:color w:val="212121"/>
                <w:sz w:val="19"/>
              </w:rPr>
              <w:t>An inherited constitutional tendency to pigment, together with racial (Fitzpatrick IV-VI) skin, strongly determines how readily and intensely inflammation converts into lasting PIH; related conditions such as periorbital pigmentation cluster in families.</w:t>
            </w:r>
          </w:p>
          <w:p>
            <w:pPr>
              <w:spacing w:after="40" w:before="60" w:line="259" w:lineRule="auto"/>
            </w:pPr>
            <w:r>
              <w:rPr>
                <w:rFonts w:ascii="Calibri" w:hAnsi="Calibri"/>
                <w:b w:val="0"/>
                <w:i w:val="0"/>
                <w:color w:val="212121"/>
                <w:sz w:val="19"/>
              </w:rPr>
              <w:t>A family history was present in 63% of Indian patients with periorbital (largely constitutional/post-inflammatory) hyperpigmentation.</w:t>
            </w:r>
          </w:p>
          <w:p>
            <w:pPr>
              <w:spacing w:after="40" w:line="252" w:lineRule="auto"/>
            </w:pPr>
            <w:hyperlink r:id="rId13">
              <w:r>
                <w:rPr>
                  <w:rFonts w:ascii="Calibri" w:hAnsi="Calibri" w:cs="Calibri"/>
                  <w:sz w:val="18"/>
                  <w:color w:val="1155CC"/>
                  <w:u w:val="single"/>
                </w:rPr>
                <w:t xml:space="preserve">pmc.ncbi.nlm.nih.gov - family history in periorbital pigmentation</w:t>
              </w:r>
            </w:hyperlink>
          </w:p>
          <w:p>
            <w:pPr>
              <w:spacing w:before="60" w:after="40"/>
            </w:pPr>
            <w:r>
              <w:rPr>
                <w:rFonts w:ascii="Calibri" w:hAnsi="Calibri"/>
                <w:b w:val="0"/>
                <w:i w:val="0"/>
                <w:color w:val="5A5A5A"/>
                <w:sz w:val="18"/>
              </w:rPr>
              <w:t>#familyhistory  #constitutional  #genetics  #racialpigmentation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Acne vulgaris</w:t>
            </w:r>
          </w:p>
        </w:tc>
        <w:tc>
          <w:tcPr>
            <w:tcW w:type="dxa" w:w="2160"/>
            <w:vAlign w:val="top"/>
          </w:tcPr>
          <w:p>
            <w:pPr>
              <w:spacing w:after="40" w:before="0" w:line="259" w:lineRule="auto"/>
            </w:pPr>
            <w:r>
              <w:rPr>
                <w:rFonts w:ascii="Calibri" w:hAnsi="Calibri"/>
                <w:b w:val="0"/>
                <w:i w:val="0"/>
                <w:color w:val="212121"/>
                <w:sz w:val="19"/>
              </w:rPr>
              <w:t>Patients with inflammatory acne</w:t>
            </w:r>
          </w:p>
        </w:tc>
        <w:tc>
          <w:tcPr>
            <w:tcW w:type="dxa" w:w="4276"/>
            <w:vAlign w:val="top"/>
          </w:tcPr>
          <w:p>
            <w:pPr>
              <w:spacing w:after="60" w:line="259" w:lineRule="auto"/>
            </w:pPr>
            <w:r>
              <w:rPr>
                <w:rFonts w:ascii="Calibri" w:hAnsi="Calibri"/>
                <w:b w:val="0"/>
                <w:i w:val="0"/>
                <w:color w:val="212121"/>
                <w:sz w:val="19"/>
              </w:rPr>
              <w:t>Inflammatory acne is the single commonest cause of facial PIH; each inflamed lesion in pigmented skin can leave a brown macule, and the marks are often more distressing and longer-lasting than the acne itself.</w:t>
            </w:r>
          </w:p>
          <w:p>
            <w:pPr>
              <w:spacing w:after="40" w:before="60" w:line="259" w:lineRule="auto"/>
            </w:pPr>
            <w:r>
              <w:rPr>
                <w:rFonts w:ascii="Calibri" w:hAnsi="Calibri"/>
                <w:b w:val="0"/>
                <w:i w:val="0"/>
                <w:color w:val="212121"/>
                <w:sz w:val="19"/>
              </w:rPr>
              <w:t>Acne-induced PIH affects roughly 47-65% of people with skin of colour (65.3% African-American, 52.7% Hispanic, 47.4% Asian in one series); Indian series report 24.6-35%.</w:t>
            </w:r>
          </w:p>
          <w:p>
            <w:pPr>
              <w:spacing w:after="40" w:line="252" w:lineRule="auto"/>
            </w:pPr>
            <w:hyperlink r:id="rId15">
              <w:r>
                <w:rPr>
                  <w:rFonts w:ascii="Calibri" w:hAnsi="Calibri" w:cs="Calibri"/>
                  <w:sz w:val="18"/>
                  <w:color w:val="1155CC"/>
                  <w:u w:val="single"/>
                </w:rPr>
                <w:t xml:space="preserve">jcadonline.com - acne-induced PIH by ethnicity</w:t>
              </w:r>
            </w:hyperlink>
          </w:p>
          <w:p>
            <w:pPr>
              <w:spacing w:before="60" w:after="40"/>
            </w:pPr>
            <w:r>
              <w:rPr>
                <w:rFonts w:ascii="Calibri" w:hAnsi="Calibri"/>
                <w:b w:val="0"/>
                <w:i w:val="0"/>
                <w:color w:val="5A5A5A"/>
                <w:sz w:val="18"/>
              </w:rPr>
              <w:t>#acnevulgaris  #postacnePIH  #inflammatoryacne  #darkspots  #skinofcolour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Atopic dermatitis / eczema</w:t>
            </w:r>
          </w:p>
        </w:tc>
        <w:tc>
          <w:tcPr>
            <w:tcW w:type="dxa" w:w="2160"/>
            <w:vAlign w:val="top"/>
          </w:tcPr>
          <w:p>
            <w:pPr>
              <w:spacing w:after="40" w:before="0" w:line="259" w:lineRule="auto"/>
            </w:pPr>
            <w:r>
              <w:rPr>
                <w:rFonts w:ascii="Calibri" w:hAnsi="Calibri"/>
                <w:b w:val="0"/>
                <w:i w:val="0"/>
                <w:color w:val="212121"/>
                <w:sz w:val="19"/>
              </w:rPr>
              <w:t>Patients with eczematous dermatoses</w:t>
            </w:r>
          </w:p>
        </w:tc>
        <w:tc>
          <w:tcPr>
            <w:tcW w:type="dxa" w:w="4276"/>
            <w:vAlign w:val="top"/>
          </w:tcPr>
          <w:p>
            <w:pPr>
              <w:spacing w:after="60" w:line="259" w:lineRule="auto"/>
            </w:pPr>
            <w:r>
              <w:rPr>
                <w:rFonts w:ascii="Calibri" w:hAnsi="Calibri"/>
                <w:b w:val="0"/>
                <w:i w:val="0"/>
                <w:color w:val="212121"/>
                <w:sz w:val="19"/>
              </w:rPr>
              <w:t>Chronic itch-scratch inflammation of atopic, contact and other eczemas is a leading cause of PIH, especially on the face, neck and limbs in pigmented skin.</w:t>
            </w:r>
          </w:p>
          <w:p>
            <w:pPr>
              <w:spacing w:after="40" w:before="60" w:line="259" w:lineRule="auto"/>
            </w:pPr>
            <w:r>
              <w:rPr>
                <w:rFonts w:ascii="Calibri" w:hAnsi="Calibri"/>
                <w:b w:val="0"/>
                <w:i w:val="0"/>
                <w:color w:val="212121"/>
                <w:sz w:val="19"/>
              </w:rPr>
              <w:t>Acne, atopic dermatitis and impetigo are cited as the commonest causes of post-inflammatory hyperpigmentation.</w:t>
            </w:r>
          </w:p>
          <w:p>
            <w:pPr>
              <w:spacing w:after="40" w:line="252" w:lineRule="auto"/>
            </w:pPr>
            <w:hyperlink r:id="rId11">
              <w:r>
                <w:rPr>
                  <w:rFonts w:ascii="Calibri" w:hAnsi="Calibri" w:cs="Calibri"/>
                  <w:sz w:val="18"/>
                  <w:color w:val="1155CC"/>
                  <w:u w:val="single"/>
                </w:rPr>
                <w:t xml:space="preserve">ncbi.nlm.nih.gov - StatPearls, commonest causes of PIH</w:t>
              </w:r>
            </w:hyperlink>
          </w:p>
          <w:p>
            <w:pPr>
              <w:spacing w:before="60" w:after="40"/>
            </w:pPr>
            <w:r>
              <w:rPr>
                <w:rFonts w:ascii="Calibri" w:hAnsi="Calibri"/>
                <w:b w:val="0"/>
                <w:i w:val="0"/>
                <w:color w:val="5A5A5A"/>
                <w:sz w:val="18"/>
              </w:rPr>
              <w:t>#atopicdermatitis  #eczema  #itchscratch  #contactdermatitis  #PIH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Lichen planus / lichen planus pigmentosus</w:t>
            </w:r>
          </w:p>
        </w:tc>
        <w:tc>
          <w:tcPr>
            <w:tcW w:type="dxa" w:w="2160"/>
            <w:vAlign w:val="top"/>
          </w:tcPr>
          <w:p>
            <w:pPr>
              <w:spacing w:after="40" w:before="0" w:line="259" w:lineRule="auto"/>
            </w:pPr>
            <w:r>
              <w:rPr>
                <w:rFonts w:ascii="Calibri" w:hAnsi="Calibri"/>
                <w:b w:val="0"/>
                <w:i w:val="0"/>
                <w:color w:val="212121"/>
                <w:sz w:val="19"/>
              </w:rPr>
              <w:t>Patients with lichenoid dermatoses</w:t>
            </w:r>
          </w:p>
        </w:tc>
        <w:tc>
          <w:tcPr>
            <w:tcW w:type="dxa" w:w="4276"/>
            <w:vAlign w:val="top"/>
          </w:tcPr>
          <w:p>
            <w:pPr>
              <w:spacing w:after="60" w:line="259" w:lineRule="auto"/>
            </w:pPr>
            <w:r>
              <w:rPr>
                <w:rFonts w:ascii="Calibri" w:hAnsi="Calibri"/>
                <w:b w:val="0"/>
                <w:i w:val="0"/>
                <w:color w:val="212121"/>
                <w:sz w:val="19"/>
              </w:rPr>
              <w:t>Lichenoid inflammation causes intense pigment incontinence, producing the persistent slate-gray to brown dermal PIH of lichen planus pigmentosus - a common and stubborn pigmentary disorder in Indian skin.</w:t>
            </w:r>
          </w:p>
          <w:p>
            <w:pPr>
              <w:spacing w:after="40" w:before="60" w:line="259" w:lineRule="auto"/>
            </w:pPr>
            <w:r>
              <w:rPr>
                <w:rFonts w:ascii="Calibri" w:hAnsi="Calibri"/>
                <w:b w:val="0"/>
                <w:i w:val="0"/>
                <w:color w:val="212121"/>
                <w:sz w:val="19"/>
              </w:rPr>
              <w:t>Dermal PIH arising from lichenoid disruption of the basal cell layer is characteristically deep, blue-gray and resistant to treatment.</w:t>
            </w:r>
          </w:p>
          <w:p>
            <w:pPr>
              <w:spacing w:after="40" w:line="252" w:lineRule="auto"/>
            </w:pPr>
            <w:hyperlink r:id="rId16">
              <w:r>
                <w:rPr>
                  <w:rFonts w:ascii="Calibri" w:hAnsi="Calibri" w:cs="Calibri"/>
                  <w:sz w:val="18"/>
                  <w:color w:val="1155CC"/>
                  <w:u w:val="single"/>
                </w:rPr>
                <w:t xml:space="preserve">dermatologyadvisor.com - dermal PIH &amp; pigment incontinence</w:t>
              </w:r>
            </w:hyperlink>
          </w:p>
          <w:p>
            <w:pPr>
              <w:spacing w:before="60" w:after="40"/>
            </w:pPr>
            <w:r>
              <w:rPr>
                <w:rFonts w:ascii="Calibri" w:hAnsi="Calibri"/>
                <w:b w:val="0"/>
                <w:i w:val="0"/>
                <w:color w:val="5A5A5A"/>
                <w:sz w:val="18"/>
              </w:rPr>
              <w:t>#lichenplanus  #LPP  #pigmentincontinence  #dermalPIH  #slategray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Melasma (coexistence / overlap)</w:t>
            </w:r>
          </w:p>
        </w:tc>
        <w:tc>
          <w:tcPr>
            <w:tcW w:type="dxa" w:w="2160"/>
            <w:vAlign w:val="top"/>
          </w:tcPr>
          <w:p>
            <w:pPr>
              <w:spacing w:after="40" w:before="0" w:line="259" w:lineRule="auto"/>
            </w:pPr>
            <w:r>
              <w:rPr>
                <w:rFonts w:ascii="Calibri" w:hAnsi="Calibri"/>
                <w:b w:val="0"/>
                <w:i w:val="0"/>
                <w:color w:val="212121"/>
                <w:sz w:val="19"/>
              </w:rPr>
              <w:t>Women with facial melanosis</w:t>
            </w:r>
          </w:p>
        </w:tc>
        <w:tc>
          <w:tcPr>
            <w:tcW w:type="dxa" w:w="4276"/>
            <w:vAlign w:val="top"/>
          </w:tcPr>
          <w:p>
            <w:pPr>
              <w:spacing w:after="60" w:line="259" w:lineRule="auto"/>
            </w:pPr>
            <w:r>
              <w:rPr>
                <w:rFonts w:ascii="Calibri" w:hAnsi="Calibri"/>
                <w:b w:val="0"/>
                <w:i w:val="0"/>
                <w:color w:val="212121"/>
                <w:sz w:val="19"/>
              </w:rPr>
              <w:t>Melasma and PIH frequently coexist and overlap on the same photo-exposed facial skin, share UV as an aggravator, and both worsen with inflammation from irritant treatments, complicating diagnosis and management.</w:t>
            </w:r>
          </w:p>
          <w:p>
            <w:pPr>
              <w:spacing w:after="40" w:before="60" w:line="259" w:lineRule="auto"/>
            </w:pPr>
            <w:r>
              <w:rPr>
                <w:rFonts w:ascii="Calibri" w:hAnsi="Calibri"/>
                <w:b w:val="0"/>
                <w:i w:val="0"/>
                <w:color w:val="212121"/>
                <w:sz w:val="19"/>
              </w:rPr>
              <w:t>Melasma (40.8%) and PIH (27.6%) together account for the majority of facial melanosis diagnosed in Indian dermatology clinics.</w:t>
            </w:r>
          </w:p>
          <w:p>
            <w:pPr>
              <w:spacing w:after="40" w:line="252" w:lineRule="auto"/>
            </w:pPr>
            <w:hyperlink r:id="rId10">
              <w:r>
                <w:rPr>
                  <w:rFonts w:ascii="Calibri" w:hAnsi="Calibri" w:cs="Calibri"/>
                  <w:sz w:val="18"/>
                  <w:color w:val="1155CC"/>
                  <w:u w:val="single"/>
                </w:rPr>
                <w:t xml:space="preserve">academicmed.org - melasma &amp; PIH in facial melanosis</w:t>
              </w:r>
            </w:hyperlink>
          </w:p>
          <w:p>
            <w:pPr>
              <w:spacing w:before="60" w:after="40"/>
            </w:pPr>
            <w:r>
              <w:rPr>
                <w:rFonts w:ascii="Calibri" w:hAnsi="Calibri"/>
                <w:b w:val="0"/>
                <w:i w:val="0"/>
                <w:color w:val="5A5A5A"/>
                <w:sz w:val="18"/>
              </w:rPr>
              <w:t>#melasma  #overlap  #facialmelanosis  #UV  #mixedpigmentation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distress</w:t>
            </w:r>
          </w:p>
        </w:tc>
        <w:tc>
          <w:tcPr>
            <w:tcW w:type="dxa" w:w="2160"/>
            <w:vAlign w:val="top"/>
          </w:tcPr>
          <w:p>
            <w:pPr>
              <w:spacing w:after="40" w:before="0" w:line="259" w:lineRule="auto"/>
            </w:pPr>
            <w:r>
              <w:rPr>
                <w:rFonts w:ascii="Calibri" w:hAnsi="Calibri"/>
                <w:b w:val="0"/>
                <w:i w:val="0"/>
                <w:color w:val="212121"/>
                <w:sz w:val="19"/>
              </w:rPr>
              <w:t>Patients with anxiety / depression</w:t>
            </w:r>
          </w:p>
        </w:tc>
        <w:tc>
          <w:tcPr>
            <w:tcW w:type="dxa" w:w="4276"/>
            <w:vAlign w:val="top"/>
          </w:tcPr>
          <w:p>
            <w:pPr>
              <w:spacing w:after="60" w:line="259" w:lineRule="auto"/>
            </w:pPr>
            <w:r>
              <w:rPr>
                <w:rFonts w:ascii="Calibri" w:hAnsi="Calibri"/>
                <w:b w:val="0"/>
                <w:i w:val="0"/>
                <w:color w:val="212121"/>
                <w:sz w:val="19"/>
              </w:rPr>
              <w:t>Visible facial pigmentation carries a heavy psychosocial burden - low self-esteem, anxiety, depression and social withdrawal - and stress can in turn worsen acne and skin-picking, creating a self-perpetuating loop.</w:t>
            </w:r>
          </w:p>
          <w:p>
            <w:pPr>
              <w:spacing w:after="40" w:before="60" w:line="259" w:lineRule="auto"/>
            </w:pPr>
            <w:r>
              <w:rPr>
                <w:rFonts w:ascii="Calibri" w:hAnsi="Calibri"/>
                <w:b w:val="0"/>
                <w:i w:val="0"/>
                <w:color w:val="212121"/>
                <w:sz w:val="19"/>
              </w:rPr>
              <w:t>A strong association with stress (71%) was reported in Indian periorbital-pigmentation patients; the psychosocial toll of dyspigmentation is often greater than its clinical severity.</w:t>
            </w:r>
          </w:p>
          <w:p>
            <w:pPr>
              <w:spacing w:after="40" w:line="252" w:lineRule="auto"/>
            </w:pPr>
            <w:hyperlink r:id="rId13">
              <w:r>
                <w:rPr>
                  <w:rFonts w:ascii="Calibri" w:hAnsi="Calibri" w:cs="Calibri"/>
                  <w:sz w:val="18"/>
                  <w:color w:val="1155CC"/>
                  <w:u w:val="single"/>
                </w:rPr>
                <w:t xml:space="preserve">pmc.ncbi.nlm.nih.gov - stress &amp; pigmentation (71%)</w:t>
              </w:r>
            </w:hyperlink>
          </w:p>
          <w:p>
            <w:pPr>
              <w:spacing w:before="60" w:after="40"/>
            </w:pPr>
            <w:r>
              <w:rPr>
                <w:rFonts w:ascii="Calibri" w:hAnsi="Calibri"/>
                <w:b w:val="0"/>
                <w:i w:val="0"/>
                <w:color w:val="5A5A5A"/>
                <w:sz w:val="18"/>
              </w:rPr>
              <w:t>#psychosocial  #anxiety  #depression  #selfesteem  #stress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role in melanogenesis; general fitness and lower systemic inflammation may marginally help, but sweat and friction from occlusive gear can transiently irritate acne-prone or healing skin and add to marks.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High-glycemic and dairy-rich diets aggravate acne (the leading cause of facial PIH), and antioxidant-rich diets may modestly counter oxidative melanogenesis, but no diet directly clears established pigment.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fatigue accentuate periorbital pigmentation and raise stress that can worsen acne and skin-picking; the direct effect on PIH itself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increases oxidative stress and reactive oxygen species that can stimulate melanocytes and accelerate skin ageing, acting as a minor aggravator of pigmentation and delayed healing.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direct role in PIH; excess may indirectly aggravate some inflammatory dermatoses and photosensitivity that feed pigmentation.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visible pigmentation causes marked anxiety, low self-esteem and social withdrawal, while stress aggravates acne and habitual skin-picking that generate fresh PIH.</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emollients support the skin barrier and comfort but do not directly influence melanin production or the clearance of established pigment.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There is no meaningful dietary link between caffeine and PIH; topical caffeine has been studied cosmetically for periorbital pigment, but oral caffeine is not a recognised factor.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Gentle skin care and, above all, daily broad-spectrum photoprotection are central: sun avoidance and sunscreen prevent darkening, whereas harsh scrubbing, irritant products and picking inflame skin and worsen pigment.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UV and visible/blue light, skin trauma, acne squeezing and scratching, mechanical hair removal, phototoxic drugs and aggressive peels or lasers all precipitate or intensify PIH, especially in dark skin.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Daily broad-spectrum sunscreen use (SPF)</w:t>
            </w:r>
          </w:p>
        </w:tc>
        <w:tc>
          <w:tcPr>
            <w:tcW w:type="dxa" w:w="1655"/>
            <w:vAlign w:val="top"/>
          </w:tcPr>
          <w:p>
            <w:pPr>
              <w:spacing w:after="40" w:before="0" w:line="259" w:lineRule="auto"/>
            </w:pPr>
            <w:r>
              <w:rPr>
                <w:rFonts w:ascii="Calibri" w:hAnsi="Calibri"/>
                <w:b w:val="0"/>
                <w:i w:val="0"/>
                <w:color w:val="212121"/>
                <w:sz w:val="19"/>
              </w:rPr>
              <w:t>All PIH, outdoor workers</w:t>
            </w:r>
          </w:p>
        </w:tc>
        <w:tc>
          <w:tcPr>
            <w:tcW w:type="dxa" w:w="1512"/>
            <w:vAlign w:val="top"/>
          </w:tcPr>
          <w:p>
            <w:pPr>
              <w:spacing w:after="40" w:before="0" w:line="259" w:lineRule="auto"/>
            </w:pPr>
            <w:r>
              <w:rPr>
                <w:rFonts w:ascii="Calibri" w:hAnsi="Calibri"/>
                <w:b w:val="0"/>
                <w:i w:val="0"/>
                <w:color w:val="212121"/>
                <w:sz w:val="19"/>
              </w:rPr>
              <w:t>SPF 30-50+ broad-spectrum, reapplied</w:t>
            </w:r>
          </w:p>
        </w:tc>
        <w:tc>
          <w:tcPr>
            <w:tcW w:type="dxa" w:w="1512"/>
            <w:vAlign w:val="top"/>
          </w:tcPr>
          <w:p>
            <w:pPr>
              <w:spacing w:after="40" w:before="0" w:line="259" w:lineRule="auto"/>
            </w:pPr>
            <w:r>
              <w:rPr>
                <w:rFonts w:ascii="Calibri" w:hAnsi="Calibri"/>
                <w:b w:val="0"/>
                <w:i w:val="0"/>
                <w:color w:val="212121"/>
                <w:sz w:val="19"/>
              </w:rPr>
              <w:t>No or irregular sunscreen use</w:t>
            </w:r>
          </w:p>
        </w:tc>
        <w:tc>
          <w:tcPr>
            <w:tcW w:type="dxa" w:w="1468"/>
            <w:vAlign w:val="top"/>
          </w:tcPr>
          <w:p>
            <w:pPr>
              <w:spacing w:after="60" w:line="259" w:lineRule="auto"/>
            </w:pPr>
            <w:r>
              <w:rPr>
                <w:rFonts w:ascii="Calibri" w:hAnsi="Calibri"/>
                <w:b w:val="0"/>
                <w:i w:val="0"/>
                <w:color w:val="212121"/>
                <w:sz w:val="19"/>
              </w:rPr>
              <w:t>Prevents UV/visible-light darkening and recurrence</w:t>
            </w:r>
          </w:p>
          <w:p>
            <w:pPr>
              <w:spacing w:after="40" w:line="252" w:lineRule="auto"/>
            </w:pPr>
            <w:hyperlink r:id="rId12">
              <w:r>
                <w:rPr>
                  <w:rFonts w:ascii="Calibri" w:hAnsi="Calibri" w:cs="Calibri"/>
                  <w:sz w:val="18"/>
                  <w:color w:val="1155CC"/>
                  <w:u w:val="single"/>
                </w:rPr>
                <w:t xml:space="preserve">https://medicaljournalssweden.se/actadv/article/download/42925/49960/149529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Fitzpatrick skin phototype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Type I-III (lower risk)</w:t>
            </w:r>
          </w:p>
        </w:tc>
        <w:tc>
          <w:tcPr>
            <w:tcW w:type="dxa" w:w="1512"/>
            <w:vAlign w:val="top"/>
          </w:tcPr>
          <w:p>
            <w:pPr>
              <w:spacing w:after="40" w:before="0" w:line="259" w:lineRule="auto"/>
            </w:pPr>
            <w:r>
              <w:rPr>
                <w:rFonts w:ascii="Calibri" w:hAnsi="Calibri"/>
                <w:b w:val="0"/>
                <w:i w:val="0"/>
                <w:color w:val="212121"/>
                <w:sz w:val="19"/>
              </w:rPr>
              <w:t>Type IV-VI (high PIH risk)</w:t>
            </w:r>
          </w:p>
        </w:tc>
        <w:tc>
          <w:tcPr>
            <w:tcW w:type="dxa" w:w="1468"/>
            <w:vAlign w:val="top"/>
          </w:tcPr>
          <w:p>
            <w:pPr>
              <w:spacing w:after="60" w:line="259" w:lineRule="auto"/>
            </w:pPr>
            <w:r>
              <w:rPr>
                <w:rFonts w:ascii="Calibri" w:hAnsi="Calibri"/>
                <w:b w:val="0"/>
                <w:i w:val="0"/>
                <w:color w:val="212121"/>
                <w:sz w:val="19"/>
              </w:rPr>
              <w:t>Darker skin gives brisker, darker, longer PIH</w:t>
            </w:r>
          </w:p>
          <w:p>
            <w:pPr>
              <w:spacing w:after="40" w:line="252" w:lineRule="auto"/>
            </w:pPr>
            <w:hyperlink r:id="rId11">
              <w:r>
                <w:rPr>
                  <w:rFonts w:ascii="Calibri" w:hAnsi="Calibri" w:cs="Calibri"/>
                  <w:sz w:val="18"/>
                  <w:color w:val="1155CC"/>
                  <w:u w:val="single"/>
                </w:rPr>
                <w:t xml:space="preserve">https://www.ncbi.nlm.nih.gov/books/NBK559150/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to control underlying dermatosis (e.g., acne)</w:t>
            </w:r>
          </w:p>
        </w:tc>
        <w:tc>
          <w:tcPr>
            <w:tcW w:type="dxa" w:w="1655"/>
            <w:vAlign w:val="top"/>
          </w:tcPr>
          <w:p>
            <w:pPr>
              <w:spacing w:after="40" w:before="0" w:line="259" w:lineRule="auto"/>
            </w:pPr>
            <w:r>
              <w:rPr>
                <w:rFonts w:ascii="Calibri" w:hAnsi="Calibri"/>
                <w:b w:val="0"/>
                <w:i w:val="0"/>
                <w:color w:val="212121"/>
                <w:sz w:val="19"/>
              </w:rPr>
              <w:t>Acne / eczema patients</w:t>
            </w:r>
          </w:p>
        </w:tc>
        <w:tc>
          <w:tcPr>
            <w:tcW w:type="dxa" w:w="1512"/>
            <w:vAlign w:val="top"/>
          </w:tcPr>
          <w:p>
            <w:pPr>
              <w:spacing w:after="40" w:before="0" w:line="259" w:lineRule="auto"/>
            </w:pPr>
            <w:r>
              <w:rPr>
                <w:rFonts w:ascii="Calibri" w:hAnsi="Calibri"/>
                <w:b w:val="0"/>
                <w:i w:val="0"/>
                <w:color w:val="212121"/>
                <w:sz w:val="19"/>
              </w:rPr>
              <w:t>Prompt, effective treatment</w:t>
            </w:r>
          </w:p>
        </w:tc>
        <w:tc>
          <w:tcPr>
            <w:tcW w:type="dxa" w:w="1512"/>
            <w:vAlign w:val="top"/>
          </w:tcPr>
          <w:p>
            <w:pPr>
              <w:spacing w:after="40" w:before="0" w:line="259" w:lineRule="auto"/>
            </w:pPr>
            <w:r>
              <w:rPr>
                <w:rFonts w:ascii="Calibri" w:hAnsi="Calibri"/>
                <w:b w:val="0"/>
                <w:i w:val="0"/>
                <w:color w:val="212121"/>
                <w:sz w:val="19"/>
              </w:rPr>
              <w:t>Uncontrolled or recurrent inflammation</w:t>
            </w:r>
          </w:p>
        </w:tc>
        <w:tc>
          <w:tcPr>
            <w:tcW w:type="dxa" w:w="1468"/>
            <w:vAlign w:val="top"/>
          </w:tcPr>
          <w:p>
            <w:pPr>
              <w:spacing w:after="60" w:line="259" w:lineRule="auto"/>
            </w:pPr>
            <w:r>
              <w:rPr>
                <w:rFonts w:ascii="Calibri" w:hAnsi="Calibri"/>
                <w:b w:val="0"/>
                <w:i w:val="0"/>
                <w:color w:val="212121"/>
                <w:sz w:val="19"/>
              </w:rPr>
              <w:t>Every flare leaves new pigmented macules</w:t>
            </w:r>
          </w:p>
          <w:p>
            <w:pPr>
              <w:spacing w:after="40" w:line="252" w:lineRule="auto"/>
            </w:pPr>
            <w:hyperlink r:id="rId15">
              <w:r>
                <w:rPr>
                  <w:rFonts w:ascii="Calibri" w:hAnsi="Calibri" w:cs="Calibri"/>
                  <w:sz w:val="18"/>
                  <w:color w:val="1155CC"/>
                  <w:u w:val="single"/>
                </w:rPr>
                <w:t xml:space="preserve">https://jcadonline.com/postinflammatory-hyperpigmentation-a-review-of-the-epidemiology-clinical-features-and-treatment-options-in-skin-of-color/</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Unprotected sun-exposure time (outdoor)</w:t>
            </w:r>
          </w:p>
        </w:tc>
        <w:tc>
          <w:tcPr>
            <w:tcW w:type="dxa" w:w="1655"/>
            <w:vAlign w:val="top"/>
          </w:tcPr>
          <w:p>
            <w:pPr>
              <w:spacing w:after="40" w:before="0" w:line="259" w:lineRule="auto"/>
            </w:pPr>
            <w:r>
              <w:rPr>
                <w:rFonts w:ascii="Calibri" w:hAnsi="Calibri"/>
                <w:b w:val="0"/>
                <w:i w:val="0"/>
                <w:color w:val="212121"/>
                <w:sz w:val="19"/>
              </w:rPr>
              <w:t>Outdoor workers, high-UV regions</w:t>
            </w:r>
          </w:p>
        </w:tc>
        <w:tc>
          <w:tcPr>
            <w:tcW w:type="dxa" w:w="1512"/>
            <w:vAlign w:val="top"/>
          </w:tcPr>
          <w:p>
            <w:pPr>
              <w:spacing w:after="40" w:before="0" w:line="259" w:lineRule="auto"/>
            </w:pPr>
            <w:r>
              <w:rPr>
                <w:rFonts w:ascii="Calibri" w:hAnsi="Calibri"/>
                <w:b w:val="0"/>
                <w:i w:val="0"/>
                <w:color w:val="212121"/>
                <w:sz w:val="19"/>
              </w:rPr>
              <w:t>Minimised peak-UV exposure; shade/hat</w:t>
            </w:r>
          </w:p>
        </w:tc>
        <w:tc>
          <w:tcPr>
            <w:tcW w:type="dxa" w:w="1512"/>
            <w:vAlign w:val="top"/>
          </w:tcPr>
          <w:p>
            <w:pPr>
              <w:spacing w:after="40" w:before="0" w:line="259" w:lineRule="auto"/>
            </w:pPr>
            <w:r>
              <w:rPr>
                <w:rFonts w:ascii="Calibri" w:hAnsi="Calibri"/>
                <w:b w:val="0"/>
                <w:i w:val="0"/>
                <w:color w:val="212121"/>
                <w:sz w:val="19"/>
              </w:rPr>
              <w:t>Prolonged unprotected midday sun</w:t>
            </w:r>
          </w:p>
        </w:tc>
        <w:tc>
          <w:tcPr>
            <w:tcW w:type="dxa" w:w="1468"/>
            <w:vAlign w:val="top"/>
          </w:tcPr>
          <w:p>
            <w:pPr>
              <w:spacing w:after="60" w:line="259" w:lineRule="auto"/>
            </w:pPr>
            <w:r>
              <w:rPr>
                <w:rFonts w:ascii="Calibri" w:hAnsi="Calibri"/>
                <w:b w:val="0"/>
                <w:i w:val="0"/>
                <w:color w:val="212121"/>
                <w:sz w:val="19"/>
              </w:rPr>
              <w:t>UVA and blue light aggravate pigment</w:t>
            </w:r>
          </w:p>
          <w:p>
            <w:pPr>
              <w:spacing w:after="40" w:line="252" w:lineRule="auto"/>
            </w:pPr>
            <w:hyperlink r:id="rId10">
              <w:r>
                <w:rPr>
                  <w:rFonts w:ascii="Calibri" w:hAnsi="Calibri" w:cs="Calibri"/>
                  <w:sz w:val="18"/>
                  <w:color w:val="1155CC"/>
                  <w:u w:val="single"/>
                </w:rPr>
                <w:t xml:space="preserve">https://www.academicmed.org/Uploads/Volume7Issue5/51.%205949.%20JAMP_ATOMSGROUP_254-258.pdf</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Skin-picking / excoriation frequency</w:t>
            </w:r>
          </w:p>
        </w:tc>
        <w:tc>
          <w:tcPr>
            <w:tcW w:type="dxa" w:w="1655"/>
            <w:vAlign w:val="top"/>
          </w:tcPr>
          <w:p>
            <w:pPr>
              <w:spacing w:after="40" w:before="0" w:line="259" w:lineRule="auto"/>
            </w:pPr>
            <w:r>
              <w:rPr>
                <w:rFonts w:ascii="Calibri" w:hAnsi="Calibri"/>
                <w:b w:val="0"/>
                <w:i w:val="0"/>
                <w:color w:val="212121"/>
                <w:sz w:val="19"/>
              </w:rPr>
              <w:t>Acne-prone, anxious patients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Habitual picking or scratching</w:t>
            </w:r>
          </w:p>
        </w:tc>
        <w:tc>
          <w:tcPr>
            <w:tcW w:type="dxa" w:w="1468"/>
            <w:vAlign w:val="top"/>
          </w:tcPr>
          <w:p>
            <w:pPr>
              <w:spacing w:after="40" w:before="0" w:line="259" w:lineRule="auto"/>
            </w:pPr>
            <w:r>
              <w:rPr>
                <w:rFonts w:ascii="Calibri" w:hAnsi="Calibri"/>
                <w:b w:val="0"/>
                <w:i w:val="0"/>
                <w:color w:val="212121"/>
                <w:sz w:val="19"/>
              </w:rPr>
              <w:t>Prolongs inflammation and deepens pigment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Use of harsh scrubs / bleaching-cream misuse</w:t>
            </w:r>
          </w:p>
        </w:tc>
        <w:tc>
          <w:tcPr>
            <w:tcW w:type="dxa" w:w="1655"/>
            <w:vAlign w:val="top"/>
          </w:tcPr>
          <w:p>
            <w:pPr>
              <w:spacing w:after="40" w:before="0" w:line="259" w:lineRule="auto"/>
            </w:pPr>
            <w:r>
              <w:rPr>
                <w:rFonts w:ascii="Calibri" w:hAnsi="Calibri"/>
                <w:b w:val="0"/>
                <w:i w:val="0"/>
                <w:color w:val="212121"/>
                <w:sz w:val="19"/>
              </w:rPr>
              <w:t>Cosmetic-cream users</w:t>
            </w:r>
          </w:p>
        </w:tc>
        <w:tc>
          <w:tcPr>
            <w:tcW w:type="dxa" w:w="1512"/>
            <w:vAlign w:val="top"/>
          </w:tcPr>
          <w:p>
            <w:pPr>
              <w:spacing w:after="40" w:before="0" w:line="259" w:lineRule="auto"/>
            </w:pPr>
            <w:r>
              <w:rPr>
                <w:rFonts w:ascii="Calibri" w:hAnsi="Calibri"/>
                <w:b w:val="0"/>
                <w:i w:val="0"/>
                <w:color w:val="212121"/>
                <w:sz w:val="19"/>
              </w:rPr>
              <w:t>Gentle, non-irritant care</w:t>
            </w:r>
          </w:p>
        </w:tc>
        <w:tc>
          <w:tcPr>
            <w:tcW w:type="dxa" w:w="1512"/>
            <w:vAlign w:val="top"/>
          </w:tcPr>
          <w:p>
            <w:pPr>
              <w:spacing w:after="40" w:before="0" w:line="259" w:lineRule="auto"/>
            </w:pPr>
            <w:r>
              <w:rPr>
                <w:rFonts w:ascii="Calibri" w:hAnsi="Calibri"/>
                <w:b w:val="0"/>
                <w:i w:val="0"/>
                <w:color w:val="212121"/>
                <w:sz w:val="19"/>
              </w:rPr>
              <w:t>Abrasive scrubs; high-strength hydroquinone/steroid misuse</w:t>
            </w:r>
          </w:p>
        </w:tc>
        <w:tc>
          <w:tcPr>
            <w:tcW w:type="dxa" w:w="1468"/>
            <w:vAlign w:val="top"/>
          </w:tcPr>
          <w:p>
            <w:pPr>
              <w:spacing w:after="60" w:line="259" w:lineRule="auto"/>
            </w:pPr>
            <w:r>
              <w:rPr>
                <w:rFonts w:ascii="Calibri" w:hAnsi="Calibri"/>
                <w:b w:val="0"/>
                <w:i w:val="0"/>
                <w:color w:val="212121"/>
                <w:sz w:val="19"/>
              </w:rPr>
              <w:t>Irritation worsens PIH; risk of exogenous ochronosis</w:t>
            </w:r>
          </w:p>
          <w:p>
            <w:pPr>
              <w:spacing w:after="40" w:line="252" w:lineRule="auto"/>
            </w:pPr>
            <w:hyperlink r:id="rId11">
              <w:r>
                <w:rPr>
                  <w:rFonts w:ascii="Calibri" w:hAnsi="Calibri" w:cs="Calibri"/>
                  <w:sz w:val="18"/>
                  <w:color w:val="1155CC"/>
                  <w:u w:val="single"/>
                </w:rPr>
                <w:t xml:space="preserve">https://www.ncbi.nlm.nih.gov/books/NBK559150/</w:t>
              </w:r>
            </w:hyperlink>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Quality of life (DLQI)</w:t>
            </w:r>
          </w:p>
        </w:tc>
        <w:tc>
          <w:tcPr>
            <w:tcW w:type="dxa" w:w="1655"/>
            <w:vAlign w:val="top"/>
          </w:tcPr>
          <w:p>
            <w:pPr>
              <w:spacing w:after="40" w:before="0" w:line="259" w:lineRule="auto"/>
            </w:pPr>
            <w:r>
              <w:rPr>
                <w:rFonts w:ascii="Calibri" w:hAnsi="Calibri"/>
                <w:b w:val="0"/>
                <w:i w:val="0"/>
                <w:color w:val="212121"/>
                <w:sz w:val="19"/>
              </w:rPr>
              <w:t>Facial/visible PIH</w:t>
            </w:r>
          </w:p>
        </w:tc>
        <w:tc>
          <w:tcPr>
            <w:tcW w:type="dxa" w:w="1512"/>
            <w:vAlign w:val="top"/>
          </w:tcPr>
          <w:p>
            <w:pPr>
              <w:spacing w:after="40" w:before="0" w:line="259" w:lineRule="auto"/>
            </w:pPr>
            <w:r>
              <w:rPr>
                <w:rFonts w:ascii="Calibri" w:hAnsi="Calibri"/>
                <w:b w:val="0"/>
                <w:i w:val="0"/>
                <w:color w:val="212121"/>
                <w:sz w:val="19"/>
              </w:rPr>
              <w:t>0-1 (no effect)</w:t>
            </w:r>
          </w:p>
        </w:tc>
        <w:tc>
          <w:tcPr>
            <w:tcW w:type="dxa" w:w="1512"/>
            <w:vAlign w:val="top"/>
          </w:tcPr>
          <w:p>
            <w:pPr>
              <w:spacing w:after="40" w:before="0" w:line="259" w:lineRule="auto"/>
            </w:pPr>
            <w:r>
              <w:rPr>
                <w:rFonts w:ascii="Calibri" w:hAnsi="Calibri"/>
                <w:b w:val="0"/>
                <w:i w:val="0"/>
                <w:color w:val="212121"/>
                <w:sz w:val="19"/>
              </w:rPr>
              <w:t>&gt; 10 (very large effect)</w:t>
            </w:r>
          </w:p>
        </w:tc>
        <w:tc>
          <w:tcPr>
            <w:tcW w:type="dxa" w:w="1468"/>
            <w:vAlign w:val="top"/>
          </w:tcPr>
          <w:p>
            <w:pPr>
              <w:spacing w:after="40" w:before="0" w:line="259" w:lineRule="auto"/>
            </w:pPr>
            <w:r>
              <w:rPr>
                <w:rFonts w:ascii="Calibri" w:hAnsi="Calibri"/>
                <w:b w:val="0"/>
                <w:i w:val="0"/>
                <w:color w:val="212121"/>
                <w:sz w:val="19"/>
              </w:rPr>
              <w:t>Facial pigmentation disproportionately impairs QoL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Perceived stress level</w:t>
            </w:r>
          </w:p>
        </w:tc>
        <w:tc>
          <w:tcPr>
            <w:tcW w:type="dxa" w:w="1655"/>
            <w:vAlign w:val="top"/>
          </w:tcPr>
          <w:p>
            <w:pPr>
              <w:spacing w:after="40" w:before="0" w:line="259" w:lineRule="auto"/>
            </w:pPr>
            <w:r>
              <w:rPr>
                <w:rFonts w:ascii="Calibri" w:hAnsi="Calibri"/>
                <w:b w:val="0"/>
                <w:i w:val="0"/>
                <w:color w:val="212121"/>
                <w:sz w:val="19"/>
              </w:rPr>
              <w:t>Adults with pigmentation</w:t>
            </w:r>
          </w:p>
        </w:tc>
        <w:tc>
          <w:tcPr>
            <w:tcW w:type="dxa" w:w="1512"/>
            <w:vAlign w:val="top"/>
          </w:tcPr>
          <w:p>
            <w:pPr>
              <w:spacing w:after="40" w:before="0" w:line="259" w:lineRule="auto"/>
            </w:pPr>
            <w:r>
              <w:rPr>
                <w:rFonts w:ascii="Calibri" w:hAnsi="Calibri"/>
                <w:b w:val="0"/>
                <w:i w:val="0"/>
                <w:color w:val="212121"/>
                <w:sz w:val="19"/>
              </w:rPr>
              <w:t>Low</w:t>
            </w:r>
          </w:p>
        </w:tc>
        <w:tc>
          <w:tcPr>
            <w:tcW w:type="dxa" w:w="1512"/>
            <w:vAlign w:val="top"/>
          </w:tcPr>
          <w:p>
            <w:pPr>
              <w:spacing w:after="40" w:before="0" w:line="259" w:lineRule="auto"/>
            </w:pPr>
            <w:r>
              <w:rPr>
                <w:rFonts w:ascii="Calibri" w:hAnsi="Calibri"/>
                <w:b w:val="0"/>
                <w:i w:val="0"/>
                <w:color w:val="212121"/>
                <w:sz w:val="19"/>
              </w:rPr>
              <w:t>Chronic high stress</w:t>
            </w:r>
          </w:p>
        </w:tc>
        <w:tc>
          <w:tcPr>
            <w:tcW w:type="dxa" w:w="1468"/>
            <w:vAlign w:val="top"/>
          </w:tcPr>
          <w:p>
            <w:pPr>
              <w:spacing w:after="60" w:line="259" w:lineRule="auto"/>
            </w:pPr>
            <w:r>
              <w:rPr>
                <w:rFonts w:ascii="Calibri" w:hAnsi="Calibri"/>
                <w:b w:val="0"/>
                <w:i w:val="0"/>
                <w:color w:val="212121"/>
                <w:sz w:val="19"/>
              </w:rPr>
              <w:t>71% of periorbital-pigment patients reported stress</w:t>
            </w:r>
          </w:p>
          <w:p>
            <w:pPr>
              <w:spacing w:after="40" w:line="252" w:lineRule="auto"/>
            </w:pPr>
            <w:hyperlink r:id="rId13">
              <w:r>
                <w:rPr>
                  <w:rFonts w:ascii="Calibri" w:hAnsi="Calibri" w:cs="Calibri"/>
                  <w:sz w:val="18"/>
                  <w:color w:val="1155CC"/>
                  <w:u w:val="single"/>
                </w:rPr>
                <w:t xml:space="preserve">https://pmc.ncbi.nlm.nih.gov/articles/PMC3969674/</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Glycemic load &amp; dairy intake</w:t>
            </w:r>
          </w:p>
        </w:tc>
        <w:tc>
          <w:tcPr>
            <w:tcW w:type="dxa" w:w="1655"/>
            <w:vAlign w:val="top"/>
          </w:tcPr>
          <w:p>
            <w:pPr>
              <w:spacing w:after="40" w:before="0" w:line="259" w:lineRule="auto"/>
            </w:pPr>
            <w:r>
              <w:rPr>
                <w:rFonts w:ascii="Calibri" w:hAnsi="Calibri"/>
                <w:b w:val="0"/>
                <w:i w:val="0"/>
                <w:color w:val="212121"/>
                <w:sz w:val="19"/>
              </w:rPr>
              <w:t>Acne-prone adults</w:t>
            </w:r>
          </w:p>
        </w:tc>
        <w:tc>
          <w:tcPr>
            <w:tcW w:type="dxa" w:w="1512"/>
            <w:vAlign w:val="top"/>
          </w:tcPr>
          <w:p>
            <w:pPr>
              <w:spacing w:after="40" w:before="0" w:line="259" w:lineRule="auto"/>
            </w:pPr>
            <w:r>
              <w:rPr>
                <w:rFonts w:ascii="Calibri" w:hAnsi="Calibri"/>
                <w:b w:val="0"/>
                <w:i w:val="0"/>
                <w:color w:val="212121"/>
                <w:sz w:val="19"/>
              </w:rPr>
              <w:t>Low-GI, moderate dairy</w:t>
            </w:r>
          </w:p>
        </w:tc>
        <w:tc>
          <w:tcPr>
            <w:tcW w:type="dxa" w:w="1512"/>
            <w:vAlign w:val="top"/>
          </w:tcPr>
          <w:p>
            <w:pPr>
              <w:spacing w:after="40" w:before="0" w:line="259" w:lineRule="auto"/>
            </w:pPr>
            <w:r>
              <w:rPr>
                <w:rFonts w:ascii="Calibri" w:hAnsi="Calibri"/>
                <w:b w:val="0"/>
                <w:i w:val="0"/>
                <w:color w:val="212121"/>
                <w:sz w:val="19"/>
              </w:rPr>
              <w:t>High-GI, high-dairy diet</w:t>
            </w:r>
          </w:p>
        </w:tc>
        <w:tc>
          <w:tcPr>
            <w:tcW w:type="dxa" w:w="1468"/>
            <w:vAlign w:val="top"/>
          </w:tcPr>
          <w:p>
            <w:pPr>
              <w:spacing w:after="60" w:line="259" w:lineRule="auto"/>
            </w:pPr>
            <w:r>
              <w:rPr>
                <w:rFonts w:ascii="Calibri" w:hAnsi="Calibri"/>
                <w:b w:val="0"/>
                <w:i w:val="0"/>
                <w:color w:val="212121"/>
                <w:sz w:val="19"/>
              </w:rPr>
              <w:t>Drives acne, the top cause of facial PIH</w:t>
            </w:r>
          </w:p>
          <w:p>
            <w:pPr>
              <w:spacing w:after="40" w:line="252" w:lineRule="auto"/>
            </w:pPr>
            <w:hyperlink r:id="rId9">
              <w:r>
                <w:rPr>
                  <w:rFonts w:ascii="Calibri" w:hAnsi="Calibri" w:cs="Calibri"/>
                  <w:sz w:val="18"/>
                  <w:color w:val="1155CC"/>
                  <w:u w:val="single"/>
                </w:rPr>
                <w:t xml:space="preserve">https://ijced.org/archive/volume/6/issue/3/article/7680</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Periorbital pigmentation, stressed 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chronically</w:t>
            </w:r>
          </w:p>
        </w:tc>
        <w:tc>
          <w:tcPr>
            <w:tcW w:type="dxa" w:w="1468"/>
            <w:vAlign w:val="top"/>
          </w:tcPr>
          <w:p>
            <w:pPr>
              <w:spacing w:after="60" w:line="259" w:lineRule="auto"/>
            </w:pPr>
            <w:r>
              <w:rPr>
                <w:rFonts w:ascii="Calibri" w:hAnsi="Calibri"/>
                <w:b w:val="0"/>
                <w:i w:val="0"/>
                <w:color w:val="212121"/>
                <w:sz w:val="19"/>
              </w:rPr>
              <w:t>Fatigue accentuates periorbital pigment and stress</w:t>
            </w:r>
          </w:p>
          <w:p>
            <w:pPr>
              <w:spacing w:after="40" w:line="252" w:lineRule="auto"/>
            </w:pPr>
            <w:hyperlink r:id="rId13">
              <w:r>
                <w:rPr>
                  <w:rFonts w:ascii="Calibri" w:hAnsi="Calibri" w:cs="Calibri"/>
                  <w:sz w:val="18"/>
                  <w:color w:val="1155CC"/>
                  <w:u w:val="single"/>
                </w:rPr>
                <w:t xml:space="preserve">https://pmc.ncbi.nlm.nih.gov/articles/PMC3969674/</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Oxidative stress mildly aggravates pigment and ageing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Optical</w:t>
            </w:r>
          </w:p>
        </w:tc>
        <w:tc>
          <w:tcPr>
            <w:tcW w:type="dxa" w:w="1036"/>
            <w:vAlign w:val="top"/>
          </w:tcPr>
          <w:p>
            <w:pPr>
              <w:spacing w:after="40" w:before="0" w:line="259" w:lineRule="auto"/>
            </w:pPr>
            <w:r>
              <w:rPr>
                <w:rFonts w:ascii="Calibri" w:hAnsi="Calibri"/>
                <w:b w:val="0"/>
                <w:i w:val="0"/>
                <w:color w:val="212121"/>
                <w:sz w:val="16"/>
              </w:rPr>
              <w:t>Wood's-lamp examination</w:t>
            </w:r>
          </w:p>
        </w:tc>
        <w:tc>
          <w:tcPr>
            <w:tcW w:type="dxa" w:w="892"/>
            <w:vAlign w:val="top"/>
          </w:tcPr>
          <w:p>
            <w:pPr>
              <w:spacing w:after="40" w:before="0" w:line="259" w:lineRule="auto"/>
            </w:pPr>
            <w:r>
              <w:rPr>
                <w:rFonts w:ascii="Calibri" w:hAnsi="Calibri"/>
                <w:b w:val="0"/>
                <w:i w:val="0"/>
                <w:color w:val="212121"/>
                <w:sz w:val="16"/>
              </w:rPr>
              <w:t>Wood's lamp (UVA 365 nm)</w:t>
            </w:r>
          </w:p>
        </w:tc>
        <w:tc>
          <w:tcPr>
            <w:tcW w:type="dxa" w:w="950"/>
            <w:vAlign w:val="top"/>
          </w:tcPr>
          <w:p>
            <w:pPr>
              <w:spacing w:after="40" w:before="0" w:line="259" w:lineRule="auto"/>
            </w:pPr>
            <w:r>
              <w:rPr>
                <w:rFonts w:ascii="Calibri" w:hAnsi="Calibri"/>
                <w:b w:val="0"/>
                <w:i w:val="0"/>
                <w:color w:val="212121"/>
                <w:sz w:val="16"/>
              </w:rPr>
              <w:t>Uniform, no accentuation</w:t>
            </w:r>
          </w:p>
        </w:tc>
        <w:tc>
          <w:tcPr>
            <w:tcW w:type="dxa" w:w="950"/>
            <w:vAlign w:val="top"/>
          </w:tcPr>
          <w:p>
            <w:pPr>
              <w:spacing w:after="40" w:before="0" w:line="259" w:lineRule="auto"/>
            </w:pPr>
            <w:r>
              <w:rPr>
                <w:rFonts w:ascii="Calibri" w:hAnsi="Calibri"/>
                <w:b w:val="0"/>
                <w:i w:val="0"/>
                <w:color w:val="212121"/>
                <w:sz w:val="16"/>
              </w:rPr>
              <w:t>Epidermal pigment accentuates and sharpens; dermal pigment does not</w:t>
            </w:r>
          </w:p>
        </w:tc>
        <w:tc>
          <w:tcPr>
            <w:tcW w:type="dxa" w:w="1036"/>
            <w:vAlign w:val="top"/>
          </w:tcPr>
          <w:p>
            <w:pPr>
              <w:spacing w:after="40" w:before="0" w:line="259" w:lineRule="auto"/>
            </w:pPr>
            <w:r>
              <w:rPr>
                <w:rFonts w:ascii="Calibri" w:hAnsi="Calibri"/>
                <w:b w:val="0"/>
                <w:i w:val="0"/>
                <w:color w:val="212121"/>
                <w:sz w:val="16"/>
              </w:rPr>
              <w:t>Localizes pigment depth and predicts response - epidermal fades faster</w:t>
            </w:r>
          </w:p>
        </w:tc>
        <w:tc>
          <w:tcPr>
            <w:tcW w:type="dxa" w:w="1036"/>
            <w:vAlign w:val="top"/>
          </w:tcPr>
          <w:p>
            <w:pPr>
              <w:spacing w:after="40" w:before="0" w:line="259" w:lineRule="auto"/>
            </w:pPr>
            <w:r>
              <w:rPr>
                <w:rFonts w:ascii="Calibri" w:hAnsi="Calibri"/>
                <w:b w:val="0"/>
                <w:i w:val="0"/>
                <w:color w:val="212121"/>
                <w:sz w:val="16"/>
              </w:rPr>
              <w:t>All PIH, especially facial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key</w:t>
            </w:r>
          </w:p>
        </w:tc>
        <w:tc>
          <w:tcPr>
            <w:tcW w:type="dxa" w:w="720"/>
            <w:vAlign w:val="top"/>
          </w:tcPr>
          <w:p>
            <w:pPr>
              <w:spacing w:after="40" w:before="0" w:line="259" w:lineRule="auto"/>
            </w:pPr>
            <w:r>
              <w:rPr>
                <w:rFonts w:ascii="Calibri" w:hAnsi="Calibri"/>
                <w:b w:val="0"/>
                <w:i w:val="0"/>
                <w:color w:val="212121"/>
                <w:sz w:val="16"/>
              </w:rPr>
              <w:t>Simple, non-invasive depth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Dermoscopic pigment pattern</w:t>
            </w:r>
          </w:p>
        </w:tc>
        <w:tc>
          <w:tcPr>
            <w:tcW w:type="dxa" w:w="892"/>
            <w:vAlign w:val="top"/>
          </w:tcPr>
          <w:p>
            <w:pPr>
              <w:spacing w:after="40" w:before="0" w:line="259" w:lineRule="auto"/>
            </w:pPr>
            <w:r>
              <w:rPr>
                <w:rFonts w:ascii="Calibri" w:hAnsi="Calibri"/>
                <w:b w:val="0"/>
                <w:i w:val="0"/>
                <w:color w:val="212121"/>
                <w:sz w:val="16"/>
              </w:rPr>
              <w:t>Dermoscopic examination</w:t>
            </w:r>
          </w:p>
        </w:tc>
        <w:tc>
          <w:tcPr>
            <w:tcW w:type="dxa" w:w="950"/>
            <w:vAlign w:val="top"/>
          </w:tcPr>
          <w:p>
            <w:pPr>
              <w:spacing w:after="40" w:before="0" w:line="259" w:lineRule="auto"/>
            </w:pPr>
            <w:r>
              <w:rPr>
                <w:rFonts w:ascii="Calibri" w:hAnsi="Calibri"/>
                <w:b w:val="0"/>
                <w:i w:val="0"/>
                <w:color w:val="212121"/>
                <w:sz w:val="16"/>
              </w:rPr>
              <w:t>Normal pigment network</w:t>
            </w:r>
          </w:p>
        </w:tc>
        <w:tc>
          <w:tcPr>
            <w:tcW w:type="dxa" w:w="950"/>
            <w:vAlign w:val="top"/>
          </w:tcPr>
          <w:p>
            <w:pPr>
              <w:spacing w:after="40" w:before="0" w:line="259" w:lineRule="auto"/>
            </w:pPr>
            <w:r>
              <w:rPr>
                <w:rFonts w:ascii="Calibri" w:hAnsi="Calibri"/>
                <w:b w:val="0"/>
                <w:i w:val="0"/>
                <w:color w:val="212121"/>
                <w:sz w:val="16"/>
              </w:rPr>
              <w:t>Brown pseudonetwork with dots/globules (epidermal); blue-gray dots/granules (dermal)</w:t>
            </w:r>
          </w:p>
        </w:tc>
        <w:tc>
          <w:tcPr>
            <w:tcW w:type="dxa" w:w="1036"/>
            <w:vAlign w:val="top"/>
          </w:tcPr>
          <w:p>
            <w:pPr>
              <w:spacing w:after="40" w:before="0" w:line="259" w:lineRule="auto"/>
            </w:pPr>
            <w:r>
              <w:rPr>
                <w:rFonts w:ascii="Calibri" w:hAnsi="Calibri"/>
                <w:b w:val="0"/>
                <w:i w:val="0"/>
                <w:color w:val="212121"/>
                <w:sz w:val="16"/>
              </w:rPr>
              <w:t>Confirms PIH and separates it from melasma and lichen planus pigmentosus</w:t>
            </w:r>
          </w:p>
        </w:tc>
        <w:tc>
          <w:tcPr>
            <w:tcW w:type="dxa" w:w="1036"/>
            <w:vAlign w:val="top"/>
          </w:tcPr>
          <w:p>
            <w:pPr>
              <w:spacing w:after="40" w:before="0" w:line="259" w:lineRule="auto"/>
            </w:pPr>
            <w:r>
              <w:rPr>
                <w:rFonts w:ascii="Calibri" w:hAnsi="Calibri"/>
                <w:b w:val="0"/>
                <w:i w:val="0"/>
                <w:color w:val="212121"/>
                <w:sz w:val="16"/>
              </w:rPr>
              <w:t>Facial pigmentation,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Aids depth assessment non-invasively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 (H&amp;E + Fontana-Masson)</w:t>
            </w:r>
          </w:p>
        </w:tc>
        <w:tc>
          <w:tcPr>
            <w:tcW w:type="dxa" w:w="892"/>
            <w:vAlign w:val="top"/>
          </w:tcPr>
          <w:p>
            <w:pPr>
              <w:spacing w:after="40" w:before="0" w:line="259" w:lineRule="auto"/>
            </w:pPr>
            <w:r>
              <w:rPr>
                <w:rFonts w:ascii="Calibri" w:hAnsi="Calibri"/>
                <w:b w:val="0"/>
                <w:i w:val="0"/>
                <w:color w:val="212121"/>
                <w:sz w:val="16"/>
              </w:rPr>
              <w:t>Histology / melanin stain</w:t>
            </w:r>
          </w:p>
        </w:tc>
        <w:tc>
          <w:tcPr>
            <w:tcW w:type="dxa" w:w="950"/>
            <w:vAlign w:val="top"/>
          </w:tcPr>
          <w:p>
            <w:pPr>
              <w:spacing w:after="40" w:before="0" w:line="259" w:lineRule="auto"/>
            </w:pPr>
            <w:r>
              <w:rPr>
                <w:rFonts w:ascii="Calibri" w:hAnsi="Calibri"/>
                <w:b w:val="0"/>
                <w:i w:val="0"/>
                <w:color w:val="212121"/>
                <w:sz w:val="16"/>
              </w:rPr>
              <w:t>Normal epidermal melanin, no dermal melanophages</w:t>
            </w:r>
          </w:p>
        </w:tc>
        <w:tc>
          <w:tcPr>
            <w:tcW w:type="dxa" w:w="950"/>
            <w:vAlign w:val="top"/>
          </w:tcPr>
          <w:p>
            <w:pPr>
              <w:spacing w:after="40" w:before="0" w:line="259" w:lineRule="auto"/>
            </w:pPr>
            <w:r>
              <w:rPr>
                <w:rFonts w:ascii="Calibri" w:hAnsi="Calibri"/>
                <w:b w:val="0"/>
                <w:i w:val="0"/>
                <w:color w:val="212121"/>
                <w:sz w:val="16"/>
              </w:rPr>
              <w:t>Increased basal/suprabasal melanin +/- dermal melanophages (pigment incontinence)</w:t>
            </w:r>
          </w:p>
        </w:tc>
        <w:tc>
          <w:tcPr>
            <w:tcW w:type="dxa" w:w="1036"/>
            <w:vAlign w:val="top"/>
          </w:tcPr>
          <w:p>
            <w:pPr>
              <w:spacing w:after="40" w:before="0" w:line="259" w:lineRule="auto"/>
            </w:pPr>
            <w:r>
              <w:rPr>
                <w:rFonts w:ascii="Calibri" w:hAnsi="Calibri"/>
                <w:b w:val="0"/>
                <w:i w:val="0"/>
                <w:color w:val="212121"/>
                <w:sz w:val="16"/>
              </w:rPr>
              <w:t>Confirms and localizes melanin; excludes amyloidosis, ochronosis, ashy dermatosis</w:t>
            </w:r>
          </w:p>
        </w:tc>
        <w:tc>
          <w:tcPr>
            <w:tcW w:type="dxa" w:w="1036"/>
            <w:vAlign w:val="top"/>
          </w:tcPr>
          <w:p>
            <w:pPr>
              <w:spacing w:after="40" w:before="0" w:line="259" w:lineRule="auto"/>
            </w:pPr>
            <w:r>
              <w:rPr>
                <w:rFonts w:ascii="Calibri" w:hAnsi="Calibri"/>
                <w:b w:val="0"/>
                <w:i w:val="0"/>
                <w:color w:val="212121"/>
                <w:sz w:val="16"/>
              </w:rPr>
              <w:t>Atypical, diffuse or refractory pigmentation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Reserved for diagnostically uncertain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KOH mount / Wood's-lamp fluorescence</w:t>
            </w:r>
          </w:p>
        </w:tc>
        <w:tc>
          <w:tcPr>
            <w:tcW w:type="dxa" w:w="892"/>
            <w:vAlign w:val="top"/>
          </w:tcPr>
          <w:p>
            <w:pPr>
              <w:spacing w:after="40" w:before="0" w:line="259" w:lineRule="auto"/>
            </w:pPr>
            <w:r>
              <w:rPr>
                <w:rFonts w:ascii="Calibri" w:hAnsi="Calibri"/>
                <w:b w:val="0"/>
                <w:i w:val="0"/>
                <w:color w:val="212121"/>
                <w:sz w:val="16"/>
              </w:rPr>
              <w:t>Potassium hydroxide microscopy</w:t>
            </w:r>
          </w:p>
        </w:tc>
        <w:tc>
          <w:tcPr>
            <w:tcW w:type="dxa" w:w="950"/>
            <w:vAlign w:val="top"/>
          </w:tcPr>
          <w:p>
            <w:pPr>
              <w:spacing w:after="40" w:before="0" w:line="259" w:lineRule="auto"/>
            </w:pPr>
            <w:r>
              <w:rPr>
                <w:rFonts w:ascii="Calibri" w:hAnsi="Calibri"/>
                <w:b w:val="0"/>
                <w:i w:val="0"/>
                <w:color w:val="212121"/>
                <w:sz w:val="16"/>
              </w:rPr>
              <w:t>No hyphae or spores</w:t>
            </w:r>
          </w:p>
        </w:tc>
        <w:tc>
          <w:tcPr>
            <w:tcW w:type="dxa" w:w="950"/>
            <w:vAlign w:val="top"/>
          </w:tcPr>
          <w:p>
            <w:pPr>
              <w:spacing w:after="40" w:before="0" w:line="259" w:lineRule="auto"/>
            </w:pPr>
            <w:r>
              <w:rPr>
                <w:rFonts w:ascii="Calibri" w:hAnsi="Calibri"/>
                <w:b w:val="0"/>
                <w:i w:val="0"/>
                <w:color w:val="212121"/>
                <w:sz w:val="16"/>
              </w:rPr>
              <w:t>Short hyphae and spores of Malassezia</w:t>
            </w:r>
          </w:p>
        </w:tc>
        <w:tc>
          <w:tcPr>
            <w:tcW w:type="dxa" w:w="1036"/>
            <w:vAlign w:val="top"/>
          </w:tcPr>
          <w:p>
            <w:pPr>
              <w:spacing w:after="40" w:before="0" w:line="259" w:lineRule="auto"/>
            </w:pPr>
            <w:r>
              <w:rPr>
                <w:rFonts w:ascii="Calibri" w:hAnsi="Calibri"/>
                <w:b w:val="0"/>
                <w:i w:val="0"/>
                <w:color w:val="212121"/>
                <w:sz w:val="16"/>
              </w:rPr>
              <w:t>Excludes pityriasis (tinea) versicolor, which mimics truncal PIH</w:t>
            </w:r>
          </w:p>
        </w:tc>
        <w:tc>
          <w:tcPr>
            <w:tcW w:type="dxa" w:w="1036"/>
            <w:vAlign w:val="top"/>
          </w:tcPr>
          <w:p>
            <w:pPr>
              <w:spacing w:after="40" w:before="0" w:line="259" w:lineRule="auto"/>
            </w:pPr>
            <w:r>
              <w:rPr>
                <w:rFonts w:ascii="Calibri" w:hAnsi="Calibri"/>
                <w:b w:val="0"/>
                <w:i w:val="0"/>
                <w:color w:val="212121"/>
                <w:sz w:val="16"/>
              </w:rPr>
              <w:t>Truncal macular pigmentation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Rules out a common pigmentary differential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Optical / colorimetry</w:t>
            </w:r>
          </w:p>
        </w:tc>
        <w:tc>
          <w:tcPr>
            <w:tcW w:type="dxa" w:w="1036"/>
            <w:vAlign w:val="top"/>
          </w:tcPr>
          <w:p>
            <w:pPr>
              <w:spacing w:after="40" w:before="0" w:line="259" w:lineRule="auto"/>
            </w:pPr>
            <w:r>
              <w:rPr>
                <w:rFonts w:ascii="Calibri" w:hAnsi="Calibri"/>
                <w:b w:val="0"/>
                <w:i w:val="0"/>
                <w:color w:val="212121"/>
                <w:sz w:val="16"/>
              </w:rPr>
              <w:t>Melanin index (mexameter/colorimeter)</w:t>
            </w:r>
          </w:p>
        </w:tc>
        <w:tc>
          <w:tcPr>
            <w:tcW w:type="dxa" w:w="892"/>
            <w:vAlign w:val="top"/>
          </w:tcPr>
          <w:p>
            <w:pPr>
              <w:spacing w:after="40" w:before="0" w:line="259" w:lineRule="auto"/>
            </w:pPr>
            <w:r>
              <w:rPr>
                <w:rFonts w:ascii="Calibri" w:hAnsi="Calibri"/>
                <w:b w:val="0"/>
                <w:i w:val="0"/>
                <w:color w:val="212121"/>
                <w:sz w:val="16"/>
              </w:rPr>
              <w:t>Reflectance colorimetry</w:t>
            </w:r>
          </w:p>
        </w:tc>
        <w:tc>
          <w:tcPr>
            <w:tcW w:type="dxa" w:w="950"/>
            <w:vAlign w:val="top"/>
          </w:tcPr>
          <w:p>
            <w:pPr>
              <w:spacing w:after="40" w:before="0" w:line="259" w:lineRule="auto"/>
            </w:pPr>
            <w:r>
              <w:rPr>
                <w:rFonts w:ascii="Calibri" w:hAnsi="Calibri"/>
                <w:b w:val="0"/>
                <w:i w:val="0"/>
                <w:color w:val="212121"/>
                <w:sz w:val="16"/>
              </w:rPr>
              <w:t>Equal to adjacent normal skin</w:t>
            </w:r>
          </w:p>
        </w:tc>
        <w:tc>
          <w:tcPr>
            <w:tcW w:type="dxa" w:w="950"/>
            <w:vAlign w:val="top"/>
          </w:tcPr>
          <w:p>
            <w:pPr>
              <w:spacing w:after="40" w:before="0" w:line="259" w:lineRule="auto"/>
            </w:pPr>
            <w:r>
              <w:rPr>
                <w:rFonts w:ascii="Calibri" w:hAnsi="Calibri"/>
                <w:b w:val="0"/>
                <w:i w:val="0"/>
                <w:color w:val="212121"/>
                <w:sz w:val="16"/>
              </w:rPr>
              <w:t>Raised melanin index over lesion</w:t>
            </w:r>
          </w:p>
        </w:tc>
        <w:tc>
          <w:tcPr>
            <w:tcW w:type="dxa" w:w="1036"/>
            <w:vAlign w:val="top"/>
          </w:tcPr>
          <w:p>
            <w:pPr>
              <w:spacing w:after="40" w:before="0" w:line="259" w:lineRule="auto"/>
            </w:pPr>
            <w:r>
              <w:rPr>
                <w:rFonts w:ascii="Calibri" w:hAnsi="Calibri"/>
                <w:b w:val="0"/>
                <w:i w:val="0"/>
                <w:color w:val="212121"/>
                <w:sz w:val="16"/>
              </w:rPr>
              <w:t>Objective severity grading and treatment monitoring</w:t>
            </w:r>
          </w:p>
        </w:tc>
        <w:tc>
          <w:tcPr>
            <w:tcW w:type="dxa" w:w="1036"/>
            <w:vAlign w:val="top"/>
          </w:tcPr>
          <w:p>
            <w:pPr>
              <w:spacing w:after="40" w:before="0" w:line="259" w:lineRule="auto"/>
            </w:pPr>
            <w:r>
              <w:rPr>
                <w:rFonts w:ascii="Calibri" w:hAnsi="Calibri"/>
                <w:b w:val="0"/>
                <w:i w:val="0"/>
                <w:color w:val="212121"/>
                <w:sz w:val="16"/>
              </w:rPr>
              <w:t>Research, trials, treatment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Not required for routine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Screen for systemic causes (AM cortisol/ACTH, ANA)</w:t>
            </w:r>
          </w:p>
        </w:tc>
        <w:tc>
          <w:tcPr>
            <w:tcW w:type="dxa" w:w="892"/>
            <w:vAlign w:val="top"/>
          </w:tcPr>
          <w:p>
            <w:pPr>
              <w:spacing w:after="40" w:before="0" w:line="259" w:lineRule="auto"/>
            </w:pPr>
            <w:r>
              <w:rPr>
                <w:rFonts w:ascii="Calibri" w:hAnsi="Calibri"/>
                <w:b w:val="0"/>
                <w:i w:val="0"/>
                <w:color w:val="212121"/>
                <w:sz w:val="16"/>
              </w:rPr>
              <w:t>Endocrine / autoimmune panel</w:t>
            </w:r>
          </w:p>
        </w:tc>
        <w:tc>
          <w:tcPr>
            <w:tcW w:type="dxa" w:w="950"/>
            <w:vAlign w:val="top"/>
          </w:tcPr>
          <w:p>
            <w:pPr>
              <w:spacing w:after="40" w:before="0" w:line="259" w:lineRule="auto"/>
            </w:pPr>
            <w:r>
              <w:rPr>
                <w:rFonts w:ascii="Calibri" w:hAnsi="Calibri"/>
                <w:b w:val="0"/>
                <w:i w:val="0"/>
                <w:color w:val="212121"/>
                <w:sz w:val="16"/>
              </w:rPr>
              <w:t>Normal cortisol/ACTH; ANA negative</w:t>
            </w:r>
          </w:p>
        </w:tc>
        <w:tc>
          <w:tcPr>
            <w:tcW w:type="dxa" w:w="950"/>
            <w:vAlign w:val="top"/>
          </w:tcPr>
          <w:p>
            <w:pPr>
              <w:spacing w:after="40" w:before="0" w:line="259" w:lineRule="auto"/>
            </w:pPr>
            <w:r>
              <w:rPr>
                <w:rFonts w:ascii="Calibri" w:hAnsi="Calibri"/>
                <w:b w:val="0"/>
                <w:i w:val="0"/>
                <w:color w:val="212121"/>
                <w:sz w:val="16"/>
              </w:rPr>
              <w:t>Adrenal insufficiency or lupus markers</w:t>
            </w:r>
          </w:p>
        </w:tc>
        <w:tc>
          <w:tcPr>
            <w:tcW w:type="dxa" w:w="1036"/>
            <w:vAlign w:val="top"/>
          </w:tcPr>
          <w:p>
            <w:pPr>
              <w:spacing w:after="40" w:before="0" w:line="259" w:lineRule="auto"/>
            </w:pPr>
            <w:r>
              <w:rPr>
                <w:rFonts w:ascii="Calibri" w:hAnsi="Calibri"/>
                <w:b w:val="0"/>
                <w:i w:val="0"/>
                <w:color w:val="212121"/>
                <w:sz w:val="16"/>
              </w:rPr>
              <w:t>Only if diffuse pigmentation with systemic features suggests a secondary cause</w:t>
            </w:r>
          </w:p>
        </w:tc>
        <w:tc>
          <w:tcPr>
            <w:tcW w:type="dxa" w:w="1036"/>
            <w:vAlign w:val="top"/>
          </w:tcPr>
          <w:p>
            <w:pPr>
              <w:spacing w:after="40" w:before="0" w:line="259" w:lineRule="auto"/>
            </w:pPr>
            <w:r>
              <w:rPr>
                <w:rFonts w:ascii="Calibri" w:hAnsi="Calibri"/>
                <w:b w:val="0"/>
                <w:i w:val="0"/>
                <w:color w:val="212121"/>
                <w:sz w:val="16"/>
              </w:rPr>
              <w:t>Atypical diffuse hyperpigmentation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Excludes Addison's disease and lupus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Preceding lesion at the same site</w:t>
            </w:r>
          </w:p>
        </w:tc>
        <w:tc>
          <w:tcPr>
            <w:tcW w:type="dxa" w:w="979"/>
            <w:vAlign w:val="top"/>
          </w:tcPr>
          <w:p>
            <w:pPr>
              <w:spacing w:after="40" w:before="0" w:line="259" w:lineRule="auto"/>
            </w:pPr>
            <w:r>
              <w:rPr>
                <w:rFonts w:ascii="Calibri" w:hAnsi="Calibri"/>
                <w:b w:val="0"/>
                <w:i w:val="0"/>
                <w:color w:val="212121"/>
                <w:sz w:val="16"/>
              </w:rPr>
              <w:t>Prior acne, rash, injury, bite or procedure in the exact distribution</w:t>
            </w:r>
          </w:p>
        </w:tc>
        <w:tc>
          <w:tcPr>
            <w:tcW w:type="dxa" w:w="950"/>
            <w:vAlign w:val="top"/>
          </w:tcPr>
          <w:p>
            <w:pPr>
              <w:spacing w:after="40" w:before="0" w:line="259" w:lineRule="auto"/>
            </w:pPr>
            <w:r>
              <w:rPr>
                <w:rFonts w:ascii="Calibri" w:hAnsi="Calibri"/>
                <w:b w:val="0"/>
                <w:i w:val="0"/>
                <w:color w:val="212121"/>
                <w:sz w:val="16"/>
              </w:rPr>
              <w:t>No antecedent inflammation</w:t>
            </w:r>
          </w:p>
        </w:tc>
        <w:tc>
          <w:tcPr>
            <w:tcW w:type="dxa" w:w="950"/>
            <w:vAlign w:val="top"/>
          </w:tcPr>
          <w:p>
            <w:pPr>
              <w:spacing w:after="40" w:before="0" w:line="259" w:lineRule="auto"/>
            </w:pPr>
            <w:r>
              <w:rPr>
                <w:rFonts w:ascii="Calibri" w:hAnsi="Calibri"/>
                <w:b w:val="0"/>
                <w:i w:val="0"/>
                <w:color w:val="212121"/>
                <w:sz w:val="16"/>
              </w:rPr>
              <w:t>Identifiable preceding inflammation or injury</w:t>
            </w:r>
          </w:p>
        </w:tc>
        <w:tc>
          <w:tcPr>
            <w:tcW w:type="dxa" w:w="1036"/>
            <w:vAlign w:val="top"/>
          </w:tcPr>
          <w:p>
            <w:pPr>
              <w:spacing w:after="40" w:before="0" w:line="259" w:lineRule="auto"/>
            </w:pPr>
            <w:r>
              <w:rPr>
                <w:rFonts w:ascii="Calibri" w:hAnsi="Calibri"/>
                <w:b w:val="0"/>
                <w:i w:val="0"/>
                <w:color w:val="212121"/>
                <w:sz w:val="16"/>
              </w:rPr>
              <w:t>The defining diagnostic clue that the pigment is post-inflammatory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Pigmentation mirrors the original lesion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Photoprotection &amp; sun exposure</w:t>
            </w:r>
          </w:p>
        </w:tc>
        <w:tc>
          <w:tcPr>
            <w:tcW w:type="dxa" w:w="979"/>
            <w:vAlign w:val="top"/>
          </w:tcPr>
          <w:p>
            <w:pPr>
              <w:spacing w:after="40" w:before="0" w:line="259" w:lineRule="auto"/>
            </w:pPr>
            <w:r>
              <w:rPr>
                <w:rFonts w:ascii="Calibri" w:hAnsi="Calibri"/>
                <w:b w:val="0"/>
                <w:i w:val="0"/>
                <w:color w:val="212121"/>
                <w:sz w:val="16"/>
              </w:rPr>
              <w:t>Sunscreen use, occupation, outdoor hours</w:t>
            </w:r>
          </w:p>
        </w:tc>
        <w:tc>
          <w:tcPr>
            <w:tcW w:type="dxa" w:w="950"/>
            <w:vAlign w:val="top"/>
          </w:tcPr>
          <w:p>
            <w:pPr>
              <w:spacing w:after="40" w:before="0" w:line="259" w:lineRule="auto"/>
            </w:pPr>
            <w:r>
              <w:rPr>
                <w:rFonts w:ascii="Calibri" w:hAnsi="Calibri"/>
                <w:b w:val="0"/>
                <w:i w:val="0"/>
                <w:color w:val="212121"/>
                <w:sz w:val="16"/>
              </w:rPr>
              <w:t>Regular broad-spectrum protection</w:t>
            </w:r>
          </w:p>
        </w:tc>
        <w:tc>
          <w:tcPr>
            <w:tcW w:type="dxa" w:w="950"/>
            <w:vAlign w:val="top"/>
          </w:tcPr>
          <w:p>
            <w:pPr>
              <w:spacing w:after="40" w:before="0" w:line="259" w:lineRule="auto"/>
            </w:pPr>
            <w:r>
              <w:rPr>
                <w:rFonts w:ascii="Calibri" w:hAnsi="Calibri"/>
                <w:b w:val="0"/>
                <w:i w:val="0"/>
                <w:color w:val="212121"/>
                <w:sz w:val="16"/>
              </w:rPr>
              <w:t>Little or no photoprotection with high sun exposure</w:t>
            </w:r>
          </w:p>
        </w:tc>
        <w:tc>
          <w:tcPr>
            <w:tcW w:type="dxa" w:w="1036"/>
            <w:vAlign w:val="top"/>
          </w:tcPr>
          <w:p>
            <w:pPr>
              <w:spacing w:after="40" w:before="0" w:line="259" w:lineRule="auto"/>
            </w:pPr>
            <w:r>
              <w:rPr>
                <w:rFonts w:ascii="Calibri" w:hAnsi="Calibri"/>
                <w:b w:val="0"/>
                <w:i w:val="0"/>
                <w:color w:val="212121"/>
                <w:sz w:val="16"/>
              </w:rPr>
              <w:t>Identifies the key modifiable aggravator of persistence</w:t>
            </w:r>
          </w:p>
        </w:tc>
        <w:tc>
          <w:tcPr>
            <w:tcW w:type="dxa" w:w="1036"/>
            <w:vAlign w:val="top"/>
          </w:tcPr>
          <w:p>
            <w:pPr>
              <w:spacing w:after="40" w:before="0" w:line="259" w:lineRule="auto"/>
            </w:pPr>
            <w:r>
              <w:rPr>
                <w:rFonts w:ascii="Calibri" w:hAnsi="Calibri"/>
                <w:b w:val="0"/>
                <w:i w:val="0"/>
                <w:color w:val="212121"/>
                <w:sz w:val="16"/>
              </w:rPr>
              <w:t>Outdoor workers, non-sunscreen users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High-yield</w:t>
            </w:r>
          </w:p>
        </w:tc>
        <w:tc>
          <w:tcPr>
            <w:tcW w:type="dxa" w:w="720"/>
            <w:vAlign w:val="top"/>
          </w:tcPr>
          <w:p>
            <w:pPr>
              <w:spacing w:after="40" w:before="0" w:line="259" w:lineRule="auto"/>
            </w:pPr>
            <w:r>
              <w:rPr>
                <w:rFonts w:ascii="Calibri" w:hAnsi="Calibri"/>
                <w:b w:val="0"/>
                <w:i w:val="0"/>
                <w:color w:val="212121"/>
                <w:sz w:val="16"/>
              </w:rPr>
              <w:t>Directly guides prevention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Skin-care &amp; self-treatment review</w:t>
            </w:r>
          </w:p>
        </w:tc>
        <w:tc>
          <w:tcPr>
            <w:tcW w:type="dxa" w:w="979"/>
            <w:vAlign w:val="top"/>
          </w:tcPr>
          <w:p>
            <w:pPr>
              <w:spacing w:after="40" w:before="0" w:line="259" w:lineRule="auto"/>
            </w:pPr>
            <w:r>
              <w:rPr>
                <w:rFonts w:ascii="Calibri" w:hAnsi="Calibri"/>
                <w:b w:val="0"/>
                <w:i w:val="0"/>
                <w:color w:val="212121"/>
                <w:sz w:val="16"/>
              </w:rPr>
              <w:t>Picking, scrubs, threading/waxing, fairness/steroid creams, prior peels/lasers</w:t>
            </w:r>
          </w:p>
        </w:tc>
        <w:tc>
          <w:tcPr>
            <w:tcW w:type="dxa" w:w="950"/>
            <w:vAlign w:val="top"/>
          </w:tcPr>
          <w:p>
            <w:pPr>
              <w:spacing w:after="40" w:before="0" w:line="259" w:lineRule="auto"/>
            </w:pPr>
            <w:r>
              <w:rPr>
                <w:rFonts w:ascii="Calibri" w:hAnsi="Calibri"/>
                <w:b w:val="0"/>
                <w:i w:val="0"/>
                <w:color w:val="212121"/>
                <w:sz w:val="16"/>
              </w:rPr>
              <w:t>No irritant or unsupervised practices</w:t>
            </w:r>
          </w:p>
        </w:tc>
        <w:tc>
          <w:tcPr>
            <w:tcW w:type="dxa" w:w="950"/>
            <w:vAlign w:val="top"/>
          </w:tcPr>
          <w:p>
            <w:pPr>
              <w:spacing w:after="40" w:before="0" w:line="259" w:lineRule="auto"/>
            </w:pPr>
            <w:r>
              <w:rPr>
                <w:rFonts w:ascii="Calibri" w:hAnsi="Calibri"/>
                <w:b w:val="0"/>
                <w:i w:val="0"/>
                <w:color w:val="212121"/>
                <w:sz w:val="16"/>
              </w:rPr>
              <w:t>Habitual or iatrogenic aggravators present</w:t>
            </w:r>
          </w:p>
        </w:tc>
        <w:tc>
          <w:tcPr>
            <w:tcW w:type="dxa" w:w="1036"/>
            <w:vAlign w:val="top"/>
          </w:tcPr>
          <w:p>
            <w:pPr>
              <w:spacing w:after="40" w:before="0" w:line="259" w:lineRule="auto"/>
            </w:pPr>
            <w:r>
              <w:rPr>
                <w:rFonts w:ascii="Calibri" w:hAnsi="Calibri"/>
                <w:b w:val="0"/>
                <w:i w:val="0"/>
                <w:color w:val="212121"/>
                <w:sz w:val="16"/>
              </w:rPr>
              <w:t>Uncovers self-inflicted and treatment-induced worsening</w:t>
            </w:r>
          </w:p>
        </w:tc>
        <w:tc>
          <w:tcPr>
            <w:tcW w:type="dxa" w:w="1036"/>
            <w:vAlign w:val="top"/>
          </w:tcPr>
          <w:p>
            <w:pPr>
              <w:spacing w:after="40" w:before="0" w:line="259" w:lineRule="auto"/>
            </w:pPr>
            <w:r>
              <w:rPr>
                <w:rFonts w:ascii="Calibri" w:hAnsi="Calibri"/>
                <w:b w:val="0"/>
                <w:i w:val="0"/>
                <w:color w:val="212121"/>
                <w:sz w:val="16"/>
              </w:rPr>
              <w:t>Cosmetic-procedure and cream users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Steroid and hydroquinone misuse is common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Distribution mapping</w:t>
            </w:r>
          </w:p>
        </w:tc>
        <w:tc>
          <w:tcPr>
            <w:tcW w:type="dxa" w:w="979"/>
            <w:vAlign w:val="top"/>
          </w:tcPr>
          <w:p>
            <w:pPr>
              <w:spacing w:after="40" w:before="0" w:line="259" w:lineRule="auto"/>
            </w:pPr>
            <w:r>
              <w:rPr>
                <w:rFonts w:ascii="Calibri" w:hAnsi="Calibri"/>
                <w:b w:val="0"/>
                <w:i w:val="0"/>
                <w:color w:val="212121"/>
                <w:sz w:val="16"/>
              </w:rPr>
              <w:t>Flat macules/patches conforming to a prior dermatosis</w:t>
            </w:r>
          </w:p>
        </w:tc>
        <w:tc>
          <w:tcPr>
            <w:tcW w:type="dxa" w:w="950"/>
            <w:vAlign w:val="top"/>
          </w:tcPr>
          <w:p>
            <w:pPr>
              <w:spacing w:after="40" w:before="0" w:line="259" w:lineRule="auto"/>
            </w:pPr>
            <w:r>
              <w:rPr>
                <w:rFonts w:ascii="Calibri" w:hAnsi="Calibri"/>
                <w:b w:val="0"/>
                <w:i w:val="0"/>
                <w:color w:val="212121"/>
                <w:sz w:val="16"/>
              </w:rPr>
              <w:t>No pigmentation</w:t>
            </w:r>
          </w:p>
        </w:tc>
        <w:tc>
          <w:tcPr>
            <w:tcW w:type="dxa" w:w="950"/>
            <w:vAlign w:val="top"/>
          </w:tcPr>
          <w:p>
            <w:pPr>
              <w:spacing w:after="40" w:before="0" w:line="259" w:lineRule="auto"/>
            </w:pPr>
            <w:r>
              <w:rPr>
                <w:rFonts w:ascii="Calibri" w:hAnsi="Calibri"/>
                <w:b w:val="0"/>
                <w:i w:val="0"/>
                <w:color w:val="212121"/>
                <w:sz w:val="16"/>
              </w:rPr>
              <w:t>Pigment matching earlier lesion pattern</w:t>
            </w:r>
          </w:p>
        </w:tc>
        <w:tc>
          <w:tcPr>
            <w:tcW w:type="dxa" w:w="1036"/>
            <w:vAlign w:val="top"/>
          </w:tcPr>
          <w:p>
            <w:pPr>
              <w:spacing w:after="40" w:before="0" w:line="259" w:lineRule="auto"/>
            </w:pPr>
            <w:r>
              <w:rPr>
                <w:rFonts w:ascii="Calibri" w:hAnsi="Calibri"/>
                <w:b w:val="0"/>
                <w:i w:val="0"/>
                <w:color w:val="212121"/>
                <w:sz w:val="16"/>
              </w:rPr>
              <w:t>Confirms the reactive nature of the pigmentation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Face and back (acne), flexures, shins (stasis)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Colour &amp; depth assessment (with Wood's lamp)</w:t>
            </w:r>
          </w:p>
        </w:tc>
        <w:tc>
          <w:tcPr>
            <w:tcW w:type="dxa" w:w="979"/>
            <w:vAlign w:val="top"/>
          </w:tcPr>
          <w:p>
            <w:pPr>
              <w:spacing w:after="40" w:before="0" w:line="259" w:lineRule="auto"/>
            </w:pPr>
            <w:r>
              <w:rPr>
                <w:rFonts w:ascii="Calibri" w:hAnsi="Calibri"/>
                <w:b w:val="0"/>
                <w:i w:val="0"/>
                <w:color w:val="212121"/>
                <w:sz w:val="16"/>
              </w:rPr>
              <w:t>Tan-brown (epidermal) vs blue-gray (dermal)</w:t>
            </w:r>
          </w:p>
        </w:tc>
        <w:tc>
          <w:tcPr>
            <w:tcW w:type="dxa" w:w="950"/>
            <w:vAlign w:val="top"/>
          </w:tcPr>
          <w:p>
            <w:pPr>
              <w:spacing w:after="40" w:before="0" w:line="259" w:lineRule="auto"/>
            </w:pPr>
            <w:r>
              <w:rPr>
                <w:rFonts w:ascii="Calibri" w:hAnsi="Calibri"/>
                <w:b w:val="0"/>
                <w:i w:val="0"/>
                <w:color w:val="212121"/>
                <w:sz w:val="16"/>
              </w:rPr>
              <w:t>No pigment</w:t>
            </w:r>
          </w:p>
        </w:tc>
        <w:tc>
          <w:tcPr>
            <w:tcW w:type="dxa" w:w="950"/>
            <w:vAlign w:val="top"/>
          </w:tcPr>
          <w:p>
            <w:pPr>
              <w:spacing w:after="40" w:before="0" w:line="259" w:lineRule="auto"/>
            </w:pPr>
            <w:r>
              <w:rPr>
                <w:rFonts w:ascii="Calibri" w:hAnsi="Calibri"/>
                <w:b w:val="0"/>
                <w:i w:val="0"/>
                <w:color w:val="212121"/>
                <w:sz w:val="16"/>
              </w:rPr>
              <w:t>Pigment present; depth characterised</w:t>
            </w:r>
          </w:p>
        </w:tc>
        <w:tc>
          <w:tcPr>
            <w:tcW w:type="dxa" w:w="1036"/>
            <w:vAlign w:val="top"/>
          </w:tcPr>
          <w:p>
            <w:pPr>
              <w:spacing w:after="40" w:before="0" w:line="259" w:lineRule="auto"/>
            </w:pPr>
            <w:r>
              <w:rPr>
                <w:rFonts w:ascii="Calibri" w:hAnsi="Calibri"/>
                <w:b w:val="0"/>
                <w:i w:val="0"/>
                <w:color w:val="212121"/>
                <w:sz w:val="16"/>
              </w:rPr>
              <w:t>Predicts treatment response and expected duration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Epidermal PIH fades faster than dermal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Duration &amp; course</w:t>
            </w:r>
          </w:p>
        </w:tc>
        <w:tc>
          <w:tcPr>
            <w:tcW w:type="dxa" w:w="979"/>
            <w:vAlign w:val="top"/>
          </w:tcPr>
          <w:p>
            <w:pPr>
              <w:spacing w:after="40" w:before="0" w:line="259" w:lineRule="auto"/>
            </w:pPr>
            <w:r>
              <w:rPr>
                <w:rFonts w:ascii="Calibri" w:hAnsi="Calibri"/>
                <w:b w:val="0"/>
                <w:i w:val="0"/>
                <w:color w:val="212121"/>
                <w:sz w:val="16"/>
              </w:rPr>
              <w:t>Onset relative to inflammation; fading trend</w:t>
            </w:r>
          </w:p>
        </w:tc>
        <w:tc>
          <w:tcPr>
            <w:tcW w:type="dxa" w:w="950"/>
            <w:vAlign w:val="top"/>
          </w:tcPr>
          <w:p>
            <w:pPr>
              <w:spacing w:after="40" w:before="0" w:line="259" w:lineRule="auto"/>
            </w:pPr>
            <w:r>
              <w:rPr>
                <w:rFonts w:ascii="Calibri" w:hAnsi="Calibri"/>
                <w:b w:val="0"/>
                <w:i w:val="0"/>
                <w:color w:val="212121"/>
                <w:sz w:val="16"/>
              </w:rPr>
              <w:t>Rapid spontaneous fading</w:t>
            </w:r>
          </w:p>
        </w:tc>
        <w:tc>
          <w:tcPr>
            <w:tcW w:type="dxa" w:w="950"/>
            <w:vAlign w:val="top"/>
          </w:tcPr>
          <w:p>
            <w:pPr>
              <w:spacing w:after="40" w:before="0" w:line="259" w:lineRule="auto"/>
            </w:pPr>
            <w:r>
              <w:rPr>
                <w:rFonts w:ascii="Calibri" w:hAnsi="Calibri"/>
                <w:b w:val="0"/>
                <w:i w:val="0"/>
                <w:color w:val="212121"/>
                <w:sz w:val="16"/>
              </w:rPr>
              <w:t>Persistence beyond many months to years</w:t>
            </w:r>
          </w:p>
        </w:tc>
        <w:tc>
          <w:tcPr>
            <w:tcW w:type="dxa" w:w="1036"/>
            <w:vAlign w:val="top"/>
          </w:tcPr>
          <w:p>
            <w:pPr>
              <w:spacing w:after="40" w:before="0" w:line="259" w:lineRule="auto"/>
            </w:pPr>
            <w:r>
              <w:rPr>
                <w:rFonts w:ascii="Calibri" w:hAnsi="Calibri"/>
                <w:b w:val="0"/>
                <w:i w:val="0"/>
                <w:color w:val="212121"/>
                <w:sz w:val="16"/>
              </w:rPr>
              <w:t>Distinguishes epidermal (6-12 months) from dermal (persistent) disease</w:t>
            </w:r>
          </w:p>
        </w:tc>
        <w:tc>
          <w:tcPr>
            <w:tcW w:type="dxa" w:w="1036"/>
            <w:vAlign w:val="top"/>
          </w:tcPr>
          <w:p>
            <w:pPr>
              <w:spacing w:after="40" w:before="0" w:line="259" w:lineRule="auto"/>
            </w:pPr>
            <w:r>
              <w:rPr>
                <w:rFonts w:ascii="Calibri" w:hAnsi="Calibri"/>
                <w:b w:val="0"/>
                <w:i w:val="0"/>
                <w:color w:val="212121"/>
                <w:sz w:val="16"/>
              </w:rPr>
              <w:t>Chronic pigmentation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Lasts &gt;= 1 year in over half; &gt;= 5 years in ~22%</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Assessment</w:t>
            </w:r>
          </w:p>
        </w:tc>
        <w:tc>
          <w:tcPr>
            <w:tcW w:type="dxa" w:w="950"/>
            <w:vAlign w:val="top"/>
          </w:tcPr>
          <w:p>
            <w:pPr>
              <w:spacing w:after="40" w:before="0" w:line="259" w:lineRule="auto"/>
            </w:pPr>
            <w:r>
              <w:rPr>
                <w:rFonts w:ascii="Calibri" w:hAnsi="Calibri"/>
                <w:b w:val="0"/>
                <w:i w:val="0"/>
                <w:color w:val="212121"/>
                <w:sz w:val="16"/>
              </w:rPr>
              <w:t>Severity &amp; quality-of-life scoring</w:t>
            </w:r>
          </w:p>
        </w:tc>
        <w:tc>
          <w:tcPr>
            <w:tcW w:type="dxa" w:w="979"/>
            <w:vAlign w:val="top"/>
          </w:tcPr>
          <w:p>
            <w:pPr>
              <w:spacing w:after="40" w:before="0" w:line="259" w:lineRule="auto"/>
            </w:pPr>
            <w:r>
              <w:rPr>
                <w:rFonts w:ascii="Calibri" w:hAnsi="Calibri"/>
                <w:b w:val="0"/>
                <w:i w:val="0"/>
                <w:color w:val="212121"/>
                <w:sz w:val="16"/>
              </w:rPr>
              <w:t>Physician Global Assessment / lesion count; DLQI</w:t>
            </w:r>
          </w:p>
        </w:tc>
        <w:tc>
          <w:tcPr>
            <w:tcW w:type="dxa" w:w="950"/>
            <w:vAlign w:val="top"/>
          </w:tcPr>
          <w:p>
            <w:pPr>
              <w:spacing w:after="40" w:before="0" w:line="259" w:lineRule="auto"/>
            </w:pPr>
            <w:r>
              <w:rPr>
                <w:rFonts w:ascii="Calibri" w:hAnsi="Calibri"/>
                <w:b w:val="0"/>
                <w:i w:val="0"/>
                <w:color w:val="212121"/>
                <w:sz w:val="16"/>
              </w:rPr>
              <w:t>Clear skin; DLQI 0-1</w:t>
            </w:r>
          </w:p>
        </w:tc>
        <w:tc>
          <w:tcPr>
            <w:tcW w:type="dxa" w:w="950"/>
            <w:vAlign w:val="top"/>
          </w:tcPr>
          <w:p>
            <w:pPr>
              <w:spacing w:after="40" w:before="0" w:line="259" w:lineRule="auto"/>
            </w:pPr>
            <w:r>
              <w:rPr>
                <w:rFonts w:ascii="Calibri" w:hAnsi="Calibri"/>
                <w:b w:val="0"/>
                <w:i w:val="0"/>
                <w:color w:val="212121"/>
                <w:sz w:val="16"/>
              </w:rPr>
              <w:t>Extensive pigment; DLQI &gt; 10</w:t>
            </w:r>
          </w:p>
        </w:tc>
        <w:tc>
          <w:tcPr>
            <w:tcW w:type="dxa" w:w="1036"/>
            <w:vAlign w:val="top"/>
          </w:tcPr>
          <w:p>
            <w:pPr>
              <w:spacing w:after="40" w:before="0" w:line="259" w:lineRule="auto"/>
            </w:pPr>
            <w:r>
              <w:rPr>
                <w:rFonts w:ascii="Calibri" w:hAnsi="Calibri"/>
                <w:b w:val="0"/>
                <w:i w:val="0"/>
                <w:color w:val="212121"/>
                <w:sz w:val="16"/>
              </w:rPr>
              <w:t>Quantifies burden and monitors treatment response</w:t>
            </w:r>
          </w:p>
        </w:tc>
        <w:tc>
          <w:tcPr>
            <w:tcW w:type="dxa" w:w="1036"/>
            <w:vAlign w:val="top"/>
          </w:tcPr>
          <w:p>
            <w:pPr>
              <w:spacing w:after="40" w:before="0" w:line="259" w:lineRule="auto"/>
            </w:pPr>
            <w:r>
              <w:rPr>
                <w:rFonts w:ascii="Calibri" w:hAnsi="Calibri"/>
                <w:b w:val="0"/>
                <w:i w:val="0"/>
                <w:color w:val="212121"/>
                <w:sz w:val="16"/>
              </w:rPr>
              <w:t>All patients at baseline and follow-up</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Psychosocial burden may exceed clinical severity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Flat dark spots after a pimple or rash heals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Brown-to-black macules appearing exactly where acne, an insect bite, a rash or a scratch had been.</w:t>
            </w:r>
          </w:p>
        </w:tc>
      </w:tr>
      <w:tr>
        <w:trPr>
          <w:cantSplit/>
        </w:trPr>
        <w:tc>
          <w:tcPr>
            <w:tcW w:type="dxa" w:w="2304"/>
            <w:vAlign w:val="top"/>
          </w:tcPr>
          <w:p>
            <w:pPr>
              <w:spacing w:after="40" w:before="0" w:line="259" w:lineRule="auto"/>
            </w:pPr>
            <w:r>
              <w:rPr>
                <w:rFonts w:ascii="Calibri" w:hAnsi="Calibri"/>
                <w:b/>
                <w:i w:val="0"/>
                <w:color w:val="212121"/>
                <w:sz w:val="19"/>
              </w:rPr>
              <w:t>Persistent skin discolouration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Marks that remain long after the original spot or inflammation has settled, often for many months.</w:t>
            </w:r>
          </w:p>
        </w:tc>
      </w:tr>
      <w:tr>
        <w:trPr>
          <w:cantSplit/>
        </w:trPr>
        <w:tc>
          <w:tcPr>
            <w:tcW w:type="dxa" w:w="2304"/>
            <w:vAlign w:val="top"/>
          </w:tcPr>
          <w:p>
            <w:pPr>
              <w:spacing w:after="40" w:before="0" w:line="259" w:lineRule="auto"/>
            </w:pPr>
            <w:r>
              <w:rPr>
                <w:rFonts w:ascii="Calibri" w:hAnsi="Calibri"/>
                <w:b/>
                <w:i w:val="0"/>
                <w:color w:val="212121"/>
                <w:sz w:val="19"/>
              </w:rPr>
              <w:t>Darkening of the marks with sun exposure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notice existing spots becoming darker after time outdoors in the sun.</w:t>
            </w:r>
          </w:p>
        </w:tc>
      </w:tr>
      <w:tr>
        <w:trPr>
          <w:cantSplit/>
        </w:trPr>
        <w:tc>
          <w:tcPr>
            <w:tcW w:type="dxa" w:w="2304"/>
            <w:vAlign w:val="top"/>
          </w:tcPr>
          <w:p>
            <w:pPr>
              <w:spacing w:after="40" w:before="0" w:line="259" w:lineRule="auto"/>
            </w:pPr>
            <w:r>
              <w:rPr>
                <w:rFonts w:ascii="Calibri" w:hAnsi="Calibri"/>
                <w:b/>
                <w:i w:val="0"/>
                <w:color w:val="212121"/>
                <w:sz w:val="19"/>
              </w:rPr>
              <w:t>Cosmetic concern and distress about the marks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visible pigmentation, especially on the face, is frequently more troubling than the original acne or rash.</w:t>
            </w:r>
          </w:p>
        </w:tc>
      </w:tr>
      <w:tr>
        <w:trPr>
          <w:cantSplit/>
        </w:trPr>
        <w:tc>
          <w:tcPr>
            <w:tcW w:type="dxa" w:w="2304"/>
            <w:vAlign w:val="top"/>
          </w:tcPr>
          <w:p>
            <w:pPr>
              <w:spacing w:after="40" w:before="0" w:line="259" w:lineRule="auto"/>
            </w:pPr>
            <w:r>
              <w:rPr>
                <w:rFonts w:ascii="Calibri" w:hAnsi="Calibri"/>
                <w:b/>
                <w:i w:val="0"/>
                <w:color w:val="212121"/>
                <w:sz w:val="19"/>
              </w:rPr>
              <w:t>Worsening of marks after picking or scrubbing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Squeezing pimples, scratching or harsh scrubbing makes the pigmentation darker and more widespread.</w:t>
            </w:r>
          </w:p>
        </w:tc>
      </w:tr>
      <w:tr>
        <w:trPr>
          <w:cantSplit/>
        </w:trPr>
        <w:tc>
          <w:tcPr>
            <w:tcW w:type="dxa" w:w="2304"/>
            <w:vAlign w:val="top"/>
          </w:tcPr>
          <w:p>
            <w:pPr>
              <w:spacing w:after="40" w:before="0" w:line="259" w:lineRule="auto"/>
            </w:pPr>
            <w:r>
              <w:rPr>
                <w:rFonts w:ascii="Calibri" w:hAnsi="Calibri"/>
                <w:b/>
                <w:i w:val="0"/>
                <w:color w:val="212121"/>
                <w:sz w:val="19"/>
              </w:rPr>
              <w:t>Colour ranging from tan-brown to blue-gray or black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Superficial marks look tan-brown; deeper marks look slate-gray, bluish or black.</w:t>
            </w:r>
          </w:p>
        </w:tc>
      </w:tr>
      <w:tr>
        <w:trPr>
          <w:cantSplit/>
        </w:trPr>
        <w:tc>
          <w:tcPr>
            <w:tcW w:type="dxa" w:w="2304"/>
            <w:vAlign w:val="top"/>
          </w:tcPr>
          <w:p>
            <w:pPr>
              <w:spacing w:after="40" w:before="0" w:line="259" w:lineRule="auto"/>
            </w:pPr>
            <w:r>
              <w:rPr>
                <w:rFonts w:ascii="Calibri" w:hAnsi="Calibri"/>
                <w:b/>
                <w:i w:val="0"/>
                <w:color w:val="212121"/>
                <w:sz w:val="19"/>
              </w:rPr>
              <w:t>Slow, gradual fading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Superficial marks lighten over 6-12 months, while deeper marks fade very slowly or not at all.</w:t>
            </w:r>
          </w:p>
        </w:tc>
      </w:tr>
      <w:tr>
        <w:trPr>
          <w:cantSplit/>
        </w:trPr>
        <w:tc>
          <w:tcPr>
            <w:tcW w:type="dxa" w:w="2304"/>
            <w:vAlign w:val="top"/>
          </w:tcPr>
          <w:p>
            <w:pPr>
              <w:spacing w:after="40" w:before="0" w:line="259" w:lineRule="auto"/>
            </w:pPr>
            <w:r>
              <w:rPr>
                <w:rFonts w:ascii="Calibri" w:hAnsi="Calibri"/>
                <w:b/>
                <w:i w:val="0"/>
                <w:color w:val="212121"/>
                <w:sz w:val="19"/>
              </w:rPr>
              <w:t>Dark circles around the eyes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Post-inflammatory periorbital pigmentation adds to constitutional dark circles.</w:t>
            </w:r>
          </w:p>
        </w:tc>
      </w:tr>
      <w:tr>
        <w:trPr>
          <w:cantSplit/>
        </w:trPr>
        <w:tc>
          <w:tcPr>
            <w:tcW w:type="dxa" w:w="2304"/>
            <w:vAlign w:val="top"/>
          </w:tcPr>
          <w:p>
            <w:pPr>
              <w:spacing w:after="40" w:before="0" w:line="259" w:lineRule="auto"/>
            </w:pPr>
            <w:r>
              <w:rPr>
                <w:rFonts w:ascii="Calibri" w:hAnsi="Calibri"/>
                <w:b/>
                <w:i w:val="0"/>
                <w:color w:val="212121"/>
                <w:sz w:val="19"/>
              </w:rPr>
              <w:t>Itch or soreness of the underlying condition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Any itching or soreness belongs to the preceding dermatosis; the pigment itself is asymptomatic.</w:t>
            </w:r>
          </w:p>
        </w:tc>
      </w:tr>
      <w:tr>
        <w:trPr>
          <w:cantSplit/>
        </w:trPr>
        <w:tc>
          <w:tcPr>
            <w:tcW w:type="dxa" w:w="2304"/>
            <w:vAlign w:val="top"/>
          </w:tcPr>
          <w:p>
            <w:pPr>
              <w:spacing w:after="40" w:before="0" w:line="259" w:lineRule="auto"/>
            </w:pPr>
            <w:r>
              <w:rPr>
                <w:rFonts w:ascii="Calibri" w:hAnsi="Calibri"/>
                <w:b/>
                <w:i w:val="0"/>
                <w:color w:val="212121"/>
                <w:sz w:val="19"/>
              </w:rPr>
              <w:t>Marks over large or unusual areas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Widespread pigmentation after extensive dermatitis, fixed drug eruptions or phototoxic reactions.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Hyperpigmented macules/patches in prior lesion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Flat brown-to-black pigmentation conforming precisely to the site and shape of earlier inflammation.</w:t>
            </w:r>
          </w:p>
        </w:tc>
      </w:tr>
      <w:tr>
        <w:trPr>
          <w:cantSplit/>
        </w:trPr>
        <w:tc>
          <w:tcPr>
            <w:tcW w:type="dxa" w:w="3456"/>
            <w:vAlign w:val="top"/>
          </w:tcPr>
          <w:p>
            <w:pPr>
              <w:spacing w:after="40" w:before="0" w:line="259" w:lineRule="auto"/>
            </w:pPr>
            <w:r>
              <w:rPr>
                <w:rFonts w:ascii="Calibri" w:hAnsi="Calibri"/>
                <w:b/>
                <w:i w:val="0"/>
                <w:color w:val="212121"/>
                <w:sz w:val="19"/>
              </w:rPr>
              <w:t>Tan-to-dark-brown epidermal pigmentation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Well-defined light-to-dark brown colour that accentuates under Wood's lamp - superficial melanin.</w:t>
            </w:r>
          </w:p>
        </w:tc>
      </w:tr>
      <w:tr>
        <w:trPr>
          <w:cantSplit/>
        </w:trPr>
        <w:tc>
          <w:tcPr>
            <w:tcW w:type="dxa" w:w="3456"/>
            <w:vAlign w:val="top"/>
          </w:tcPr>
          <w:p>
            <w:pPr>
              <w:spacing w:after="40" w:before="0" w:line="259" w:lineRule="auto"/>
            </w:pPr>
            <w:r>
              <w:rPr>
                <w:rFonts w:ascii="Calibri" w:hAnsi="Calibri"/>
                <w:b/>
                <w:i w:val="0"/>
                <w:color w:val="212121"/>
                <w:sz w:val="19"/>
              </w:rPr>
              <w:t>Post-acne facial and truncal macules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Brown macules over cheeks, jawline, chest and back following inflammatory acne.</w:t>
            </w:r>
          </w:p>
        </w:tc>
      </w:tr>
      <w:tr>
        <w:trPr>
          <w:cantSplit/>
        </w:trPr>
        <w:tc>
          <w:tcPr>
            <w:tcW w:type="dxa" w:w="3456"/>
            <w:vAlign w:val="top"/>
          </w:tcPr>
          <w:p>
            <w:pPr>
              <w:spacing w:after="40" w:before="0" w:line="259" w:lineRule="auto"/>
            </w:pPr>
            <w:r>
              <w:rPr>
                <w:rFonts w:ascii="Calibri" w:hAnsi="Calibri"/>
                <w:b/>
                <w:i w:val="0"/>
                <w:color w:val="212121"/>
                <w:sz w:val="19"/>
              </w:rPr>
              <w:t>Wood's-lamp accentuation of epidermal pigment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Epidermal PIH becomes more sharply defined; dermal PIH does not - a useful bedside test.</w:t>
            </w:r>
          </w:p>
        </w:tc>
      </w:tr>
      <w:tr>
        <w:trPr>
          <w:cantSplit/>
        </w:trPr>
        <w:tc>
          <w:tcPr>
            <w:tcW w:type="dxa" w:w="3456"/>
            <w:vAlign w:val="top"/>
          </w:tcPr>
          <w:p>
            <w:pPr>
              <w:spacing w:after="40" w:before="0" w:line="259" w:lineRule="auto"/>
            </w:pPr>
            <w:r>
              <w:rPr>
                <w:rFonts w:ascii="Calibri" w:hAnsi="Calibri"/>
                <w:b/>
                <w:i w:val="0"/>
                <w:color w:val="212121"/>
                <w:sz w:val="19"/>
              </w:rPr>
              <w:t>Dermoscopic brown dots/globules and pseudonetwork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Epidermal pattern; dermal PIH shows blue-gray dots/granules, aiding differentiation from melasma and LPP.</w:t>
            </w:r>
          </w:p>
        </w:tc>
      </w:tr>
      <w:tr>
        <w:trPr>
          <w:cantSplit/>
        </w:trPr>
        <w:tc>
          <w:tcPr>
            <w:tcW w:type="dxa" w:w="3456"/>
            <w:vAlign w:val="top"/>
          </w:tcPr>
          <w:p>
            <w:pPr>
              <w:spacing w:after="40" w:before="0" w:line="259" w:lineRule="auto"/>
            </w:pPr>
            <w:r>
              <w:rPr>
                <w:rFonts w:ascii="Calibri" w:hAnsi="Calibri"/>
                <w:b/>
                <w:i w:val="0"/>
                <w:color w:val="212121"/>
                <w:sz w:val="19"/>
              </w:rPr>
              <w:t>Blue-gray / slate dermal 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Deeper, ill-defined bluish-gray colour that does not accentuate under Wood's lamp - dermal melanophages.</w:t>
            </w:r>
          </w:p>
        </w:tc>
      </w:tr>
      <w:tr>
        <w:trPr>
          <w:cantSplit/>
        </w:trPr>
        <w:tc>
          <w:tcPr>
            <w:tcW w:type="dxa" w:w="3456"/>
            <w:vAlign w:val="top"/>
          </w:tcPr>
          <w:p>
            <w:pPr>
              <w:spacing w:after="40" w:before="0" w:line="259" w:lineRule="auto"/>
            </w:pPr>
            <w:r>
              <w:rPr>
                <w:rFonts w:ascii="Calibri" w:hAnsi="Calibri"/>
                <w:b/>
                <w:i w:val="0"/>
                <w:color w:val="212121"/>
                <w:sz w:val="19"/>
              </w:rPr>
              <w:t>Lichenoid slate-gray pigmentation (LPP-like)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Diffuse gray-brown pigmentation of face and neck from lichen planus pigmentosus, a dermal PIH variant.</w:t>
            </w:r>
          </w:p>
        </w:tc>
      </w:tr>
      <w:tr>
        <w:trPr>
          <w:cantSplit/>
        </w:trPr>
        <w:tc>
          <w:tcPr>
            <w:tcW w:type="dxa" w:w="3456"/>
            <w:vAlign w:val="top"/>
          </w:tcPr>
          <w:p>
            <w:pPr>
              <w:spacing w:after="40" w:before="0" w:line="259" w:lineRule="auto"/>
            </w:pPr>
            <w:r>
              <w:rPr>
                <w:rFonts w:ascii="Calibri" w:hAnsi="Calibri"/>
                <w:b/>
                <w:i w:val="0"/>
                <w:color w:val="212121"/>
                <w:sz w:val="19"/>
              </w:rPr>
              <w:t>Periorbital hyperpigmentation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Brown-to-gray pigmentation around the eyes, often with a post-inflammatory component.</w:t>
            </w:r>
          </w:p>
        </w:tc>
      </w:tr>
      <w:tr>
        <w:trPr>
          <w:cantSplit/>
        </w:trPr>
        <w:tc>
          <w:tcPr>
            <w:tcW w:type="dxa" w:w="3456"/>
            <w:vAlign w:val="top"/>
          </w:tcPr>
          <w:p>
            <w:pPr>
              <w:spacing w:after="40" w:before="0" w:line="259" w:lineRule="auto"/>
            </w:pPr>
            <w:r>
              <w:rPr>
                <w:rFonts w:ascii="Calibri" w:hAnsi="Calibri"/>
                <w:b/>
                <w:i w:val="0"/>
                <w:color w:val="212121"/>
                <w:sz w:val="19"/>
              </w:rPr>
              <w:t>Exogenous ochronosis (blue-black speckled pigment)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Paradoxical sooty blue-black pigmentation from prolonged high-strength hydroquinone misuse.</w:t>
            </w:r>
          </w:p>
        </w:tc>
      </w:tr>
      <w:tr>
        <w:trPr>
          <w:cantSplit/>
        </w:trPr>
        <w:tc>
          <w:tcPr>
            <w:tcW w:type="dxa" w:w="3456"/>
            <w:vAlign w:val="top"/>
          </w:tcPr>
          <w:p>
            <w:pPr>
              <w:spacing w:after="40" w:before="0" w:line="259" w:lineRule="auto"/>
            </w:pPr>
            <w:r>
              <w:rPr>
                <w:rFonts w:ascii="Calibri" w:hAnsi="Calibri"/>
                <w:b/>
                <w:i w:val="0"/>
                <w:color w:val="212121"/>
                <w:sz w:val="19"/>
              </w:rPr>
              <w:t>Confluent / extensive pigmentation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Widespread pigmentation after erythroderma, drug eruptions or phototoxic reactions.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Cosmetically disfiguring facial and truncal 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persistence of marks (months to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and darkening with every sun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Overlap and confusion with melasma, complicating treatment</w:t>
            </w:r>
          </w:p>
        </w:tc>
        <w:tc>
          <w:tcPr>
            <w:tcW w:type="dxa" w:w="2980"/>
            <w:vAlign w:val="top"/>
          </w:tcPr>
          <w:p>
            <w:pPr>
              <w:spacing w:after="40" w:before="0" w:line="259" w:lineRule="auto"/>
            </w:pPr>
            <w:r>
              <w:rPr>
                <w:rFonts w:ascii="Calibri" w:hAnsi="Calibri"/>
                <w:b w:val="0"/>
                <w:i w:val="0"/>
                <w:color w:val="212121"/>
                <w:sz w:val="19"/>
              </w:rPr>
              <w:t>Direct consequences of reactive melanin deposition in visible, photo-exposed skin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dermal pigment that is slow to clear or effectively permanent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Irritant or allergic contact dermatitis from depigmenting agents, itself causing fresh PIH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Paradoxical worsening from aggressive chemical peels or lasers in dark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Exogenous ochronosis from long-term high-strength hydroquinone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Topical-steroid-dependent facial dermatitis from misused 'fairness' creams</w:t>
            </w:r>
          </w:p>
        </w:tc>
        <w:tc>
          <w:tcPr>
            <w:tcW w:type="dxa" w:w="2980"/>
            <w:vAlign w:val="top"/>
          </w:tcPr>
          <w:p>
            <w:pPr>
              <w:spacing w:after="40" w:before="0" w:line="259" w:lineRule="auto"/>
            </w:pPr>
            <w:r>
              <w:rPr>
                <w:rFonts w:ascii="Calibri" w:hAnsi="Calibri"/>
                <w:b w:val="0"/>
                <w:i w:val="0"/>
                <w:color w:val="212121"/>
                <w:sz w:val="19"/>
              </w:rPr>
              <w:t>Arise from pigment depth and from the adverse effects of inappropriate or unsupervised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refractory pigmentation resistant to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psychosocial morbidity - anxiety, depression, low self-esteem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Financial burden of repeated cosmetic treatments and products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on unregulated fairness and steroid products with cutaneous and systemic harm</w:t>
            </w:r>
          </w:p>
        </w:tc>
        <w:tc>
          <w:tcPr>
            <w:tcW w:type="dxa" w:w="2980"/>
            <w:vAlign w:val="top"/>
          </w:tcPr>
          <w:p>
            <w:pPr>
              <w:spacing w:after="40" w:before="0" w:line="259" w:lineRule="auto"/>
            </w:pPr>
            <w:r>
              <w:rPr>
                <w:rFonts w:ascii="Calibri" w:hAnsi="Calibri"/>
                <w:b w:val="0"/>
                <w:i w:val="0"/>
                <w:color w:val="212121"/>
                <w:sz w:val="19"/>
              </w:rPr>
              <w:t>Long-term psychological, social and iatrogenic outcomes of persistent or mismanaged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Acne vulgaris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commonest cause of facial PIH; post-inflammatory marks follow inflammatory acne in a large share of pigmented-skin patients.</w:t>
            </w:r>
          </w:p>
          <w:p>
            <w:pPr>
              <w:spacing w:after="40" w:before="0" w:line="259" w:lineRule="auto"/>
            </w:pPr>
            <w:r>
              <w:rPr>
                <w:rFonts w:ascii="Calibri" w:hAnsi="Calibri"/>
                <w:b/>
                <w:i w:val="0"/>
                <w:color w:val="212121"/>
                <w:sz w:val="19"/>
              </w:rPr>
              <w:t>~47-65% (skin of colour)</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itch-scratch inflammation is a leading cause of PIH on the face, neck and limbs.</w:t>
            </w:r>
          </w:p>
        </w:tc>
      </w:tr>
      <w:tr>
        <w:trPr>
          <w:cantSplit/>
        </w:trPr>
        <w:tc>
          <w:tcPr>
            <w:tcW w:type="dxa" w:w="2232"/>
            <w:vAlign w:val="top"/>
          </w:tcPr>
          <w:p>
            <w:pPr>
              <w:spacing w:after="40" w:before="0" w:line="259" w:lineRule="auto"/>
            </w:pPr>
            <w:r>
              <w:rPr>
                <w:rFonts w:ascii="Calibri" w:hAnsi="Calibri"/>
                <w:b/>
                <w:i w:val="0"/>
                <w:color w:val="212121"/>
                <w:sz w:val="19"/>
              </w:rPr>
              <w:t>Melasma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and overlaps with PIH on photo-exposed facial skin, sharing UV as an aggravator.</w:t>
            </w:r>
          </w:p>
          <w:p>
            <w:pPr>
              <w:spacing w:after="40" w:before="0" w:line="259" w:lineRule="auto"/>
            </w:pPr>
            <w:r>
              <w:rPr>
                <w:rFonts w:ascii="Calibri" w:hAnsi="Calibri"/>
                <w:b/>
                <w:i w:val="0"/>
                <w:color w:val="212121"/>
                <w:sz w:val="19"/>
              </w:rPr>
              <w:t>40.8% of facial melanosis</w:t>
            </w:r>
          </w:p>
        </w:tc>
      </w:tr>
      <w:tr>
        <w:trPr>
          <w:cantSplit/>
        </w:trPr>
        <w:tc>
          <w:tcPr>
            <w:tcW w:type="dxa" w:w="2232"/>
            <w:vAlign w:val="top"/>
          </w:tcPr>
          <w:p>
            <w:pPr>
              <w:spacing w:after="40" w:before="0" w:line="259" w:lineRule="auto"/>
            </w:pPr>
            <w:r>
              <w:rPr>
                <w:rFonts w:ascii="Calibri" w:hAnsi="Calibri"/>
                <w:b/>
                <w:i w:val="0"/>
                <w:color w:val="212121"/>
                <w:sz w:val="19"/>
              </w:rPr>
              <w:t>Lichen planus / lichen planus pigmentosus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Lichenoid inflammation causes persistent dermal (slate-gray) PIH, common in Indian skin.</w:t>
            </w:r>
          </w:p>
        </w:tc>
      </w:tr>
      <w:tr>
        <w:trPr>
          <w:cantSplit/>
        </w:trPr>
        <w:tc>
          <w:tcPr>
            <w:tcW w:type="dxa" w:w="2232"/>
            <w:vAlign w:val="top"/>
          </w:tcPr>
          <w:p>
            <w:pPr>
              <w:spacing w:after="40" w:before="0" w:line="259" w:lineRule="auto"/>
            </w:pPr>
            <w:r>
              <w:rPr>
                <w:rFonts w:ascii="Calibri" w:hAnsi="Calibri"/>
                <w:b/>
                <w:i w:val="0"/>
                <w:color w:val="212121"/>
                <w:sz w:val="19"/>
              </w:rPr>
              <w:t>Contact dermatitis (cosmetics, hair dye/PPD)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Allergic and irritant dermatitis leave pigmented patches, common with cosmetics and hair dye.</w:t>
            </w:r>
          </w:p>
        </w:tc>
      </w:tr>
      <w:tr>
        <w:trPr>
          <w:cantSplit/>
        </w:trPr>
        <w:tc>
          <w:tcPr>
            <w:tcW w:type="dxa" w:w="2232"/>
            <w:vAlign w:val="top"/>
          </w:tcPr>
          <w:p>
            <w:pPr>
              <w:spacing w:after="40" w:before="0" w:line="259" w:lineRule="auto"/>
            </w:pPr>
            <w:r>
              <w:rPr>
                <w:rFonts w:ascii="Calibri" w:hAnsi="Calibri"/>
                <w:b/>
                <w:i w:val="0"/>
                <w:color w:val="212121"/>
                <w:sz w:val="19"/>
              </w:rPr>
              <w:t>Periorbital hyperpigmentation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Often has a post-inflammatory component alongside constitutional pigment and dark circles.</w:t>
            </w:r>
          </w:p>
          <w:p>
            <w:pPr>
              <w:spacing w:after="40" w:before="0" w:line="259" w:lineRule="auto"/>
            </w:pPr>
            <w:r>
              <w:rPr>
                <w:rFonts w:ascii="Calibri" w:hAnsi="Calibri"/>
                <w:b/>
                <w:i w:val="0"/>
                <w:color w:val="212121"/>
                <w:sz w:val="19"/>
              </w:rPr>
              <w:t>~22.5% post-inflammatory</w:t>
            </w:r>
          </w:p>
        </w:tc>
      </w:tr>
      <w:tr>
        <w:trPr>
          <w:cantSplit/>
        </w:trPr>
        <w:tc>
          <w:tcPr>
            <w:tcW w:type="dxa" w:w="2232"/>
            <w:vAlign w:val="top"/>
          </w:tcPr>
          <w:p>
            <w:pPr>
              <w:spacing w:after="40" w:before="0" w:line="259" w:lineRule="auto"/>
            </w:pPr>
            <w:r>
              <w:rPr>
                <w:rFonts w:ascii="Calibri" w:hAnsi="Calibri"/>
                <w:b/>
                <w:i w:val="0"/>
                <w:color w:val="212121"/>
                <w:sz w:val="19"/>
              </w:rPr>
              <w:t>Psoriasis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Resolving plaques can leave post-inflammatory pigmentation or hypopigmentation in pigmented skin.</w:t>
            </w:r>
          </w:p>
        </w:tc>
      </w:tr>
      <w:tr>
        <w:trPr>
          <w:cantSplit/>
        </w:trPr>
        <w:tc>
          <w:tcPr>
            <w:tcW w:type="dxa" w:w="2232"/>
            <w:vAlign w:val="top"/>
          </w:tcPr>
          <w:p>
            <w:pPr>
              <w:spacing w:after="40" w:before="0" w:line="259" w:lineRule="auto"/>
            </w:pPr>
            <w:r>
              <w:rPr>
                <w:rFonts w:ascii="Calibri" w:hAnsi="Calibri"/>
                <w:b/>
                <w:i w:val="0"/>
                <w:color w:val="212121"/>
                <w:sz w:val="19"/>
              </w:rPr>
              <w:t>Insect-bite reactions / prurigo</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Papular urticaria and prurigo leave numerous pigmented macules, common in Indian children and adults.</w:t>
            </w:r>
          </w:p>
        </w:tc>
      </w:tr>
      <w:tr>
        <w:trPr>
          <w:cantSplit/>
        </w:trPr>
        <w:tc>
          <w:tcPr>
            <w:tcW w:type="dxa" w:w="2232"/>
            <w:vAlign w:val="top"/>
          </w:tcPr>
          <w:p>
            <w:pPr>
              <w:spacing w:after="40" w:before="0" w:line="259" w:lineRule="auto"/>
            </w:pPr>
            <w:r>
              <w:rPr>
                <w:rFonts w:ascii="Calibri" w:hAnsi="Calibri"/>
                <w:b/>
                <w:i w:val="0"/>
                <w:color w:val="212121"/>
                <w:sz w:val="19"/>
              </w:rPr>
              <w:t>Anxiety / depression / low self-esteem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Visible pigmentation carries a psychosocial burden that frequently exceeds its clinical severity.</w:t>
            </w:r>
          </w:p>
          <w:p>
            <w:pPr>
              <w:spacing w:after="40" w:before="0" w:line="259" w:lineRule="auto"/>
            </w:pPr>
            <w:r>
              <w:rPr>
                <w:rFonts w:ascii="Calibri" w:hAnsi="Calibri"/>
                <w:b/>
                <w:i w:val="0"/>
                <w:color w:val="212121"/>
                <w:sz w:val="19"/>
              </w:rPr>
              <w:t>~71% report stress (periorbital)</w:t>
            </w:r>
          </w:p>
        </w:tc>
      </w:tr>
      <w:tr>
        <w:trPr>
          <w:cantSplit/>
        </w:trPr>
        <w:tc>
          <w:tcPr>
            <w:tcW w:type="dxa" w:w="2232"/>
            <w:vAlign w:val="top"/>
          </w:tcPr>
          <w:p>
            <w:pPr>
              <w:spacing w:after="40" w:before="0" w:line="259" w:lineRule="auto"/>
            </w:pPr>
            <w:r>
              <w:rPr>
                <w:rFonts w:ascii="Calibri" w:hAnsi="Calibri"/>
                <w:b/>
                <w:i w:val="0"/>
                <w:color w:val="212121"/>
                <w:sz w:val="19"/>
              </w:rPr>
              <w:t>Cutaneous procedures &amp; burns</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Chemical peels, lasers, cryotherapy and burns are common iatrogenic or traumatic triggers of PIH.</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PIH is a reactive pigment change that follows inflammation or injury - not a fungal infection, dirt or a contagious disease - so preventing and settling the underlying condition comes first.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acne, eczema and other dermatoses early and effectively so that fewer inflamed lesions are left behind to pigment.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squeeze, pick or aggressively scrub spots, and avoid unproven abrasive home remedies that inflame the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daily broad-spectrum sunscreen and sun-protective measures, since UV and visible light darken and prolong the marks.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 superficial marks take about 6-12 months and deeper blue-gray marks far longer to fade - and avoid unsupervised 'fairness' and steroid creams.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skin of colour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Acne and eczema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facial pigmentation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a broad-spectrum sunscreen (SPF 30-50+ with UVA and visible/blue-light protection) every morning and reapply through the day, adding a wide-brimmed hat and shade.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gentle, non-irritant cleansers and moisturisers and avoid harsh scrubs, abrasive loofahs and stinging actives that inflame the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dermatologist-guided depigmenting agents - hydroquinone, azelaic acid, kojic acid, retinoids, vitamin C or niacinamide - and stop if irritation occurs.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misuse high-strength hydroquinone or topical-steroid fairness creams, which can cause exogenous ochronosis and steroid-damaged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Approach chemical peels and lasers only through a qualified dermatologist and cautiously in dark skin, to avoid paradoxical worsening of pigment.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 PIH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Post-acne 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Cosmetic-cream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generally active for skin and overall health, but shower and gently cleanse after heavy sweating so sweat and friction do not irritate acne-prone or healing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tight, occlusive gear over active acne or dermatitis to reduce mechanical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skin from sun during outdoor exercise with sunscreen, a cap and timing away from peak-UV hours.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exercisers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Acne-prone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low-glycemic diet and limit excess dairy, which can aggravate acne - the leading cause of facial PIH.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antioxidant-rich fruits and vegetables (vitamin C, carotenoids) to support skin health and counter oxidative melanogenesis.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eat a balanced diet, while understanding that no food directly erases established pigment.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Acne-prone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High-glycemic-diet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as fatigue accentuates periorbital pigmentation and poor sleep raises stress that worsens acne and picking.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nocturnal itch of underlying dermatoses so night-time scratching does not create fresh marks.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coexisting stress and screen use that disrupt sleep and skin alike.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Periorbital 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Eczema and acne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as tobacco increases oxidative stress and skin ageing that can aggravate pigmentation and slow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second-hand smoke exposure, which adds oxidative stress to the skin.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 of smokers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since excess can aggravate some inflammatory skin conditions and photosensitivity that indirectly feed PIH.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skin-barrier care if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which also harms overall skin and general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or heavy drinkers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real psychosocial impact of visible facial pigmentation, whose distress often exceeds the clinical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regular stress reduction (mindfulness, relaxation, yoga, paced breathing), as stress worsens acne and skin-picking.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habitual skin-picking (excoriation disorder) and treat coexisting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realistic timelines and, where needed, referral for psychological support and the use of camouflage cosmetics.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 facial 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Skin-pickers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anxiety or depression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ced.org/archive/volume/6/issue/3/article/7680" TargetMode="External"/><Relationship Id="rId10" Type="http://schemas.openxmlformats.org/officeDocument/2006/relationships/hyperlink" Target="https://www.academicmed.org/Uploads/Volume7Issue5/51.%205949.%20JAMP_ATOMSGROUP_254-258.pdf" TargetMode="External"/><Relationship Id="rId11" Type="http://schemas.openxmlformats.org/officeDocument/2006/relationships/hyperlink" Target="https://www.ncbi.nlm.nih.gov/books/NBK559150/" TargetMode="External"/><Relationship Id="rId12" Type="http://schemas.openxmlformats.org/officeDocument/2006/relationships/hyperlink" Target="https://medicaljournalssweden.se/actadv/article/download/42925/49960/149529" TargetMode="External"/><Relationship Id="rId13" Type="http://schemas.openxmlformats.org/officeDocument/2006/relationships/hyperlink" Target="https://pmc.ncbi.nlm.nih.gov/articles/PMC3969674/" TargetMode="External"/><Relationship Id="rId14" Type="http://schemas.openxmlformats.org/officeDocument/2006/relationships/hyperlink" Target="https://cdn.mdedge.com/files/s3fs-public/Document/September-2017/022110584.pdf" TargetMode="External"/><Relationship Id="rId15" Type="http://schemas.openxmlformats.org/officeDocument/2006/relationships/hyperlink" Target="https://jcadonline.com/postinflammatory-hyperpigmentation-a-review-of-the-epidemiology-clinical-features-and-treatment-options-in-skin-of-color/" TargetMode="External"/><Relationship Id="rId16" Type="http://schemas.openxmlformats.org/officeDocument/2006/relationships/hyperlink" Target="https://www.dermatologyadvisor.com/home/decision-support-in-medicine/dermatology/post-inflammatory-hyperpigmentation-and-hypopigmentation-post-inflammatory-hypermelanosis-post-inflammatory-hypomelan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