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Tinea Cruris</w:t>
      </w:r>
    </w:p>
    <w:p>
      <w:pPr>
        <w:spacing w:before="0" w:after="160"/>
      </w:pPr>
      <w:r>
        <w:rPr>
          <w:rFonts w:ascii="Calibri" w:hAnsi="Calibri"/>
          <w:b/>
          <w:i w:val="0"/>
          <w:color w:val="212121"/>
          <w:sz w:val="22"/>
        </w:rPr>
        <w:t xml:space="preserve">AKA </w:t>
      </w:r>
      <w:r>
        <w:rPr>
          <w:rFonts w:ascii="Calibri" w:hAnsi="Calibri"/>
          <w:b w:val="0"/>
          <w:i w:val="0"/>
          <w:color w:val="212121"/>
          <w:sz w:val="22"/>
        </w:rPr>
        <w:t>i.e., Jock itch, Dhobi itch, Ringworm of the groin, Gym itch, Crotch rot, Eczema marginatum, Crural dermatophytosis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Tinea cruris is a superficial dermatophyte (fungal) infection of the groin, involving the inguinal folds, genital, pubic, perineal and perianal skin and the adjacent upper inner thighs. It is caused by keratinophilic fungi — chiefly Trichophyton and Epidermophyton species — that secrete keratinases to digest keratin in the stratum corneum, producing an intensely itchy, well-demarcated, ring-like (annular) plaque with a raised scaly advancing border and relative central clearing. In India it now most often coexists with tinea corporis (“tinea corporis et cruris”) and, driven by rampant over-the-counter topical-steroid misuse and a shift to Trichophyton mentagrophytes / indotineae, has become chronic, recurrent and frequently terbinafine-resistant.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Superficial dermatophytosis affects an estimated 20–25% of the world's population, and India is currently in the grip of an unprecedented, epidemic-like surge. Hospital-based prevalence ranges from 6.09–27.6% in south India to as high as 61.5% in north India, and roughly 15–20% of all dermatology outpatients now present with recalcitrant (chronic, relapsing or recurrent) disease. In a pooled analysis of 161,245 Indian cases, tinea cruris accounted for about 19.7% of dermatophytosis (second only to tinea corporis at 32.4%), and combined “tinea corporis et cruris” is now the single most common clinical presentation seen in Indian skin clinics.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Tinea cruris is primarily a clinical diagnosis, confirmed where necessary by simple mycological tests.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morphology — a pruritic, well-demarcated, erythematous, annular or arciform plaque with a raised, scaly, actively advancing border and relative central clearing, spreading from the inguinal crease onto the upper inner thigh, with the scrotum and penis usually spared;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Potassium hydroxide (KOH 10–20%) mount of skin scrapings taken from the active leading edge, showing branching, septate fungal hyphae — the bedside gold standard for confirmation;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Fungal culture on Sabouraud dextrose agar (with cycloheximide and chloramphenicol) at 25–28°C for up to 4 weeks to speciate the dermatophyte; culture positivity is only about 65–75% even in KOH-positive specimens;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of the active border (erythema with fine white scaling along the leading edge; steroid-modified cases show brownish dots, telangiectasia and loss of scaling);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with periodic acid–Schiff (PAS) staining demonstrating hyphae in the stratum corneum, reserved for atypical or steroid-modified (tinea incognito) lesions or when KOH is repeatedly negative;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Antifungal susceptibility testing (terbinafine MIC) in extensive, chronic or non-responding cases where terbinafine-resistant Trichophyton indotineae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Wood's lamp is generally unhelpful (the dermatophytes causing tinea cruris do not fluoresce) and is now considered largely irrelevant in the current Indian scenario.</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Tinea cruris has no single formal staging system; it is described clinically by chronicity, morphology, extent and treatment response — categories that carry direct management implications in the current Indian epidemic:</w:t>
      </w:r>
    </w:p>
    <w:p>
      <w:pPr>
        <w:spacing w:before="0" w:after="80"/>
      </w:pPr>
      <w:r>
        <w:rPr>
          <w:rFonts w:ascii="Calibri" w:hAnsi="Calibri"/>
          <w:b w:val="0"/>
          <w:i w:val="0"/>
          <w:color w:val="212121"/>
          <w:sz w:val="21"/>
        </w:rPr>
        <w:t>(1) Acute / naïve tinea cruris — a first, previously untreated episode with the classic annular plaque, usually responsive to topical or short-course systemic antifungals;</w:t>
      </w:r>
    </w:p>
    <w:p>
      <w:pPr>
        <w:spacing w:before="0" w:after="80"/>
      </w:pPr>
      <w:r>
        <w:rPr>
          <w:rFonts w:ascii="Calibri" w:hAnsi="Calibri"/>
          <w:b w:val="0"/>
          <w:i w:val="0"/>
          <w:color w:val="212121"/>
          <w:sz w:val="21"/>
        </w:rPr>
        <w:t>(2) Chronic tinea cruris — continuous disease of more than 6 months' duration (some define &gt;3 months), often with extensive, ill-defined, pigmented or lichenified plaques;</w:t>
      </w:r>
    </w:p>
    <w:p>
      <w:pPr>
        <w:spacing w:before="0" w:after="80"/>
      </w:pPr>
      <w:r>
        <w:rPr>
          <w:rFonts w:ascii="Calibri" w:hAnsi="Calibri"/>
          <w:b w:val="0"/>
          <w:i w:val="0"/>
          <w:color w:val="212121"/>
          <w:sz w:val="21"/>
        </w:rPr>
        <w:t>(3) Recurrent / relapsing tinea cruris — reappearance of lesions within a few weeks of apparently successful therapy (relapse) or after a symptom-free interval (recurrence); relapse rates around 60% are now reported from Indian centres;</w:t>
      </w:r>
    </w:p>
    <w:p>
      <w:pPr>
        <w:spacing w:before="0" w:after="80"/>
      </w:pPr>
      <w:r>
        <w:rPr>
          <w:rFonts w:ascii="Calibri" w:hAnsi="Calibri"/>
          <w:b w:val="0"/>
          <w:i w:val="0"/>
          <w:color w:val="212121"/>
          <w:sz w:val="21"/>
        </w:rPr>
        <w:t>(4) Steroid-modified tinea (tinea incognito) — altered, atypical morphology (loss of scaling, diffuse erythema, pustules, telangiectasia, brownish dots, larger and more numerous lesions) resulting from misuse of topical corticosteroids or irrational fixed-dose combination creams;</w:t>
      </w:r>
    </w:p>
    <w:p>
      <w:pPr>
        <w:spacing w:before="0" w:after="80"/>
      </w:pPr>
      <w:r>
        <w:rPr>
          <w:rFonts w:ascii="Calibri" w:hAnsi="Calibri"/>
          <w:b w:val="0"/>
          <w:i w:val="0"/>
          <w:color w:val="212121"/>
          <w:sz w:val="21"/>
        </w:rPr>
        <w:t>(5) Extensive / recalcitrant dermatophytosis — widespread tinea corporis et cruris involving multiple body sites and often several household members, frequently driven by terbinafine-resistant Trichophyton mentagrophytes / indotineae (ITS genotype VIII).</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Dermatophyte infection: Direct invasion of the keratinised stratum corneum by dermatophytes — now predominantly Trichophyton mentagrophytes / indotineae (up to 64–93% of recent Indian isolates), with Trichophyton rubrum and Epidermophyton floccosum — which secrete keratinases (proteases) to digest keratin and spread centrifugally.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Warm, humid, occluded microclimate: A hot, moist, macerated groin (tropical climate, profuse sweating, tight synthetic or non-cotton clothing) with a locally alkaline pH provides ideal conditions for spore germination and hyphal growth.</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Autoinoculation from a reservoir: Spread from the patient's own tinea pedis or onychomycosis, which act as a dermatophyte reservoir, to the groin via hands, towels, underwear or trousers.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Fomite and human-to-human transmission: Sharing of towels, clothing, bed linen and soap, plus close/household (“connubial”) contact, readily propagate infection within families.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Topical corticosteroid misuse: Widespread over-the-counter use of potent steroids and irrational steroid–antifungal–antibacterial combination creams locally suppresses cutaneous immunity, alters morphology and drives chronicity, extensive disease and antifungal resistance.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susceptibility: Diabetes mellitus, obesity, hyperhidrosis, immunosuppression and lower socioeconomic status increase susceptibility, severity and the tendency to chronicity.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 working-age)</w:t>
            </w:r>
          </w:p>
        </w:tc>
        <w:tc>
          <w:tcPr>
            <w:tcW w:type="dxa" w:w="4276"/>
            <w:vAlign w:val="top"/>
          </w:tcPr>
          <w:p>
            <w:pPr>
              <w:spacing w:after="60" w:line="259" w:lineRule="auto"/>
            </w:pPr>
            <w:r>
              <w:rPr>
                <w:rFonts w:ascii="Calibri" w:hAnsi="Calibri"/>
                <w:b w:val="0"/>
                <w:i w:val="0"/>
                <w:color w:val="212121"/>
                <w:sz w:val="19"/>
              </w:rPr>
              <w:t>Peak incidence is in economically active young adults, reflecting greater sweating, physical activity, occlusive workwear and self-medication with over-the-counter creams. This is the demographic in which the current epidemic is concentrated.</w:t>
            </w:r>
          </w:p>
          <w:p>
            <w:pPr>
              <w:spacing w:after="40" w:before="60" w:line="259" w:lineRule="auto"/>
            </w:pPr>
            <w:r>
              <w:rPr>
                <w:rFonts w:ascii="Calibri" w:hAnsi="Calibri"/>
                <w:b w:val="0"/>
                <w:i w:val="0"/>
                <w:color w:val="212121"/>
                <w:sz w:val="19"/>
              </w:rPr>
              <w:t>Across Indian studies the peak incidence of dermatophytosis is in the 21–30 year age group.</w:t>
            </w:r>
          </w:p>
          <w:p>
            <w:pPr>
              <w:spacing w:after="40" w:line="252" w:lineRule="auto"/>
            </w:pPr>
            <w:hyperlink r:id="rId9">
              <w:r>
                <w:rPr>
                  <w:rFonts w:ascii="Calibri" w:hAnsi="Calibri" w:cs="Calibri"/>
                  <w:sz w:val="18"/>
                  <w:color w:val="1155CC"/>
                  <w:u w:val="single"/>
                </w:rPr>
                <w:t xml:space="preserve">ijdvl.com — epidemic dermatophytosis in India: epidemiology</w:t>
              </w:r>
            </w:hyperlink>
          </w:p>
          <w:p>
            <w:pPr>
              <w:spacing w:before="60" w:after="40"/>
            </w:pPr>
            <w:r>
              <w:rPr>
                <w:rFonts w:ascii="Calibri" w:hAnsi="Calibri"/>
                <w:b w:val="0"/>
                <w:i w:val="0"/>
                <w:color w:val="5A5A5A"/>
                <w:sz w:val="18"/>
              </w:rPr>
              <w:t>#tineacruris  #jockitch  #youngadults  #sweat  #occlusion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Age-related decline in cell-mediated immunity, coexisting diabetes, reduced mobility, skin fragility and difficulty maintaining groin hygiene favour persistent and chronic infection in older adults.</w:t>
            </w:r>
          </w:p>
          <w:p>
            <w:pPr>
              <w:spacing w:after="40" w:before="60" w:line="259" w:lineRule="auto"/>
            </w:pPr>
            <w:r>
              <w:rPr>
                <w:rFonts w:ascii="Calibri" w:hAnsi="Calibri"/>
                <w:b w:val="0"/>
                <w:i w:val="0"/>
                <w:color w:val="212121"/>
                <w:sz w:val="19"/>
              </w:rPr>
              <w:t>Chronic dermatophytosis is reported to be commoner from around the fifth decade of life onward.</w:t>
            </w:r>
          </w:p>
          <w:p>
            <w:pPr>
              <w:spacing w:after="40" w:line="252" w:lineRule="auto"/>
            </w:pPr>
            <w:hyperlink r:id="rId9">
              <w:r>
                <w:rPr>
                  <w:rFonts w:ascii="Calibri" w:hAnsi="Calibri" w:cs="Calibri"/>
                  <w:sz w:val="18"/>
                  <w:color w:val="1155CC"/>
                  <w:u w:val="single"/>
                </w:rPr>
                <w:t xml:space="preserve">ijdvl.com — epidemic dermatophytosis in India: epidemiology</w:t>
              </w:r>
            </w:hyperlink>
          </w:p>
          <w:p>
            <w:pPr>
              <w:spacing w:before="60" w:after="40"/>
            </w:pPr>
            <w:r>
              <w:rPr>
                <w:rFonts w:ascii="Calibri" w:hAnsi="Calibri"/>
                <w:b w:val="0"/>
                <w:i w:val="0"/>
                <w:color w:val="5A5A5A"/>
                <w:sz w:val="18"/>
              </w:rPr>
              <w:t>#elderly  #immunosenescence  #chronic  #diabetes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are classically more affected because of apposition of the scrotum against the thigh, which traps heat and moisture, together with greater occupational sweating and tight innerwear. In India the male predominance is narrowing as tinea corporis et cruris rises in women.</w:t>
            </w:r>
          </w:p>
          <w:p>
            <w:pPr>
              <w:spacing w:after="40" w:before="60" w:line="259" w:lineRule="auto"/>
            </w:pPr>
            <w:r>
              <w:rPr>
                <w:rFonts w:ascii="Calibri" w:hAnsi="Calibri"/>
                <w:b w:val="0"/>
                <w:i w:val="0"/>
                <w:color w:val="212121"/>
                <w:sz w:val="19"/>
              </w:rPr>
              <w:t>Historical male-to-female ratios of 3–5:1 have narrowed to under 2:1 (some series ~0.88:1) in recent Indian data.</w:t>
            </w:r>
          </w:p>
          <w:p>
            <w:pPr>
              <w:spacing w:after="40" w:line="252" w:lineRule="auto"/>
            </w:pPr>
            <w:hyperlink r:id="rId10">
              <w:r>
                <w:rPr>
                  <w:rFonts w:ascii="Calibri" w:hAnsi="Calibri" w:cs="Calibri"/>
                  <w:sz w:val="18"/>
                  <w:color w:val="1155CC"/>
                  <w:u w:val="single"/>
                </w:rPr>
                <w:t xml:space="preserve">merckmanuals.com — tinea cruris (jock itch)</w:t>
              </w:r>
            </w:hyperlink>
          </w:p>
          <w:p>
            <w:pPr>
              <w:spacing w:before="60" w:after="40"/>
            </w:pPr>
            <w:r>
              <w:rPr>
                <w:rFonts w:ascii="Calibri" w:hAnsi="Calibri"/>
                <w:b w:val="0"/>
                <w:i w:val="0"/>
                <w:color w:val="5A5A5A"/>
                <w:sz w:val="18"/>
              </w:rPr>
              <w:t>#male  #scrotalapposition  #sweat  #innerwear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 socioeconomic groups</w:t>
            </w:r>
          </w:p>
        </w:tc>
        <w:tc>
          <w:tcPr>
            <w:tcW w:type="dxa" w:w="4276"/>
            <w:vAlign w:val="top"/>
          </w:tcPr>
          <w:p>
            <w:pPr>
              <w:spacing w:after="60" w:line="259" w:lineRule="auto"/>
            </w:pPr>
            <w:r>
              <w:rPr>
                <w:rFonts w:ascii="Calibri" w:hAnsi="Calibri"/>
                <w:b w:val="0"/>
                <w:i w:val="0"/>
                <w:color w:val="212121"/>
                <w:sz w:val="19"/>
              </w:rPr>
              <w:t>Overcrowding, shared clothing and bed linen, limited laundering facilities, humid housing and easy access to cheap over-the-counter steroid combination creams all promote transmission and chronicity.</w:t>
            </w:r>
          </w:p>
          <w:p>
            <w:pPr>
              <w:spacing w:after="40" w:before="60" w:line="259" w:lineRule="auto"/>
            </w:pPr>
            <w:r>
              <w:rPr>
                <w:rFonts w:ascii="Calibri" w:hAnsi="Calibri"/>
                <w:b w:val="0"/>
                <w:i w:val="0"/>
                <w:color w:val="212121"/>
                <w:sz w:val="19"/>
              </w:rPr>
              <w:t>Around 61–67% of dermatophytosis patients in Indian series belong to lower socioeconomic strata.</w:t>
            </w:r>
          </w:p>
          <w:p>
            <w:pPr>
              <w:spacing w:after="40" w:line="252" w:lineRule="auto"/>
            </w:pPr>
            <w:hyperlink r:id="rId9">
              <w:r>
                <w:rPr>
                  <w:rFonts w:ascii="Calibri" w:hAnsi="Calibri" w:cs="Calibri"/>
                  <w:sz w:val="18"/>
                  <w:color w:val="1155CC"/>
                  <w:u w:val="single"/>
                </w:rPr>
                <w:t xml:space="preserve">ijdvl.com — epidemic dermatophytosis in India: epidemiology</w:t>
              </w:r>
            </w:hyperlink>
          </w:p>
          <w:p>
            <w:pPr>
              <w:spacing w:before="60" w:after="40"/>
            </w:pPr>
            <w:r>
              <w:rPr>
                <w:rFonts w:ascii="Calibri" w:hAnsi="Calibri"/>
                <w:b w:val="0"/>
                <w:i w:val="0"/>
                <w:color w:val="5A5A5A"/>
                <w:sz w:val="18"/>
              </w:rPr>
              <w:t>#lowSES  #overcrowding  #sharedfomites  #OTCsteroids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 Indian / urban populations</w:t>
            </w:r>
          </w:p>
        </w:tc>
        <w:tc>
          <w:tcPr>
            <w:tcW w:type="dxa" w:w="4276"/>
            <w:vAlign w:val="top"/>
          </w:tcPr>
          <w:p>
            <w:pPr>
              <w:spacing w:after="60" w:line="259" w:lineRule="auto"/>
            </w:pPr>
            <w:r>
              <w:rPr>
                <w:rFonts w:ascii="Calibri" w:hAnsi="Calibri"/>
                <w:b w:val="0"/>
                <w:i w:val="0"/>
                <w:color w:val="212121"/>
                <w:sz w:val="19"/>
              </w:rPr>
              <w:t>Hospital-based prevalence is highest in the north, and the epidemic is concentrated in densely populated urban settings where person-to-person and fomite spread is efficient and steroid creams are freely sold.</w:t>
            </w:r>
          </w:p>
          <w:p>
            <w:pPr>
              <w:spacing w:after="40" w:before="60" w:line="259" w:lineRule="auto"/>
            </w:pPr>
            <w:r>
              <w:rPr>
                <w:rFonts w:ascii="Calibri" w:hAnsi="Calibri"/>
                <w:b w:val="0"/>
                <w:i w:val="0"/>
                <w:color w:val="212121"/>
                <w:sz w:val="19"/>
              </w:rPr>
              <w:t>Hospital prevalence reaches 61.5% in north India, and roughly 80% of patients in recent series are from urban areas.</w:t>
            </w:r>
          </w:p>
          <w:p>
            <w:pPr>
              <w:spacing w:after="40" w:line="252" w:lineRule="auto"/>
            </w:pPr>
            <w:hyperlink r:id="rId9">
              <w:r>
                <w:rPr>
                  <w:rFonts w:ascii="Calibri" w:hAnsi="Calibri" w:cs="Calibri"/>
                  <w:sz w:val="18"/>
                  <w:color w:val="1155CC"/>
                  <w:u w:val="single"/>
                </w:rPr>
                <w:t xml:space="preserve">ijdvl.com — epidemic dermatophytosis in India: epidemiology</w:t>
              </w:r>
            </w:hyperlink>
          </w:p>
          <w:p>
            <w:pPr>
              <w:spacing w:before="60" w:after="40"/>
            </w:pPr>
            <w:r>
              <w:rPr>
                <w:rFonts w:ascii="Calibri" w:hAnsi="Calibri"/>
                <w:b w:val="0"/>
                <w:i w:val="0"/>
                <w:color w:val="5A5A5A"/>
                <w:sz w:val="18"/>
              </w:rPr>
              <w:t>#northindia  #urban  #epidemic  #density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Residents of hot, humid / tropical regions</w:t>
            </w:r>
          </w:p>
        </w:tc>
        <w:tc>
          <w:tcPr>
            <w:tcW w:type="dxa" w:w="4276"/>
            <w:vAlign w:val="top"/>
          </w:tcPr>
          <w:p>
            <w:pPr>
              <w:spacing w:after="60" w:line="259" w:lineRule="auto"/>
            </w:pPr>
            <w:r>
              <w:rPr>
                <w:rFonts w:ascii="Calibri" w:hAnsi="Calibri"/>
                <w:b w:val="0"/>
                <w:i w:val="0"/>
                <w:color w:val="212121"/>
                <w:sz w:val="19"/>
              </w:rPr>
              <w:t>Heat and humidity increase sweating and skin maceration in the groin, favouring fungal growth; however, the current Indian epidemic has spread across climatically diverse regions, so no single climatic niche fully explains it.</w:t>
            </w:r>
          </w:p>
          <w:p>
            <w:pPr>
              <w:spacing w:after="40" w:before="60" w:line="259" w:lineRule="auto"/>
            </w:pPr>
            <w:r>
              <w:rPr>
                <w:rFonts w:ascii="Calibri" w:hAnsi="Calibri"/>
                <w:b w:val="0"/>
                <w:i w:val="0"/>
                <w:color w:val="212121"/>
                <w:sz w:val="19"/>
              </w:rPr>
              <w:t>Recorded prevalence in south India ranges from 6.09% to 27.6%, with a rising trend nationwide over the last 5–7 years.</w:t>
            </w:r>
          </w:p>
          <w:p>
            <w:pPr>
              <w:spacing w:after="40" w:line="252" w:lineRule="auto"/>
            </w:pPr>
            <w:hyperlink r:id="rId11">
              <w:r>
                <w:rPr>
                  <w:rFonts w:ascii="Calibri" w:hAnsi="Calibri" w:cs="Calibri"/>
                  <w:sz w:val="18"/>
                  <w:color w:val="1155CC"/>
                  <w:u w:val="single"/>
                </w:rPr>
                <w:t xml:space="preserve">ijced.org — rising burden of superficial fungal infections in India</w:t>
              </w:r>
            </w:hyperlink>
          </w:p>
          <w:p>
            <w:pPr>
              <w:spacing w:before="60" w:after="40"/>
            </w:pPr>
            <w:r>
              <w:rPr>
                <w:rFonts w:ascii="Calibri" w:hAnsi="Calibri"/>
                <w:b w:val="0"/>
                <w:i w:val="0"/>
                <w:color w:val="5A5A5A"/>
                <w:sz w:val="18"/>
              </w:rPr>
              <w:t>#humidity  #heat  #tropical  #maceration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Occlusive clothing / sedentary</w:t>
            </w:r>
          </w:p>
        </w:tc>
        <w:tc>
          <w:tcPr>
            <w:tcW w:type="dxa" w:w="2160"/>
            <w:vAlign w:val="top"/>
          </w:tcPr>
          <w:p>
            <w:pPr>
              <w:spacing w:after="40" w:before="0" w:line="259" w:lineRule="auto"/>
            </w:pPr>
            <w:r>
              <w:rPr>
                <w:rFonts w:ascii="Calibri" w:hAnsi="Calibri"/>
                <w:b w:val="0"/>
                <w:i w:val="0"/>
                <w:color w:val="212121"/>
                <w:sz w:val="19"/>
              </w:rPr>
              <w:t>People in tight synthetic innerwear; prolonged sitting</w:t>
            </w:r>
          </w:p>
        </w:tc>
        <w:tc>
          <w:tcPr>
            <w:tcW w:type="dxa" w:w="4276"/>
            <w:vAlign w:val="top"/>
          </w:tcPr>
          <w:p>
            <w:pPr>
              <w:spacing w:after="60" w:line="259" w:lineRule="auto"/>
            </w:pPr>
            <w:r>
              <w:rPr>
                <w:rFonts w:ascii="Calibri" w:hAnsi="Calibri"/>
                <w:b w:val="0"/>
                <w:i w:val="0"/>
                <w:color w:val="212121"/>
                <w:sz w:val="19"/>
              </w:rPr>
              <w:t>Tight, non-cotton (synthetic/nylon) underwear and prolonged sitting occlude the groin, raising local temperature, humidity and friction and creating an ideal environment for dermatophyte proliferation.</w:t>
            </w:r>
          </w:p>
          <w:p>
            <w:pPr>
              <w:spacing w:after="40" w:before="60" w:line="259" w:lineRule="auto"/>
            </w:pPr>
            <w:r>
              <w:rPr>
                <w:rFonts w:ascii="Calibri" w:hAnsi="Calibri"/>
                <w:b w:val="0"/>
                <w:i w:val="0"/>
                <w:color w:val="212121"/>
                <w:sz w:val="19"/>
              </w:rPr>
              <w:t>Indian consensus guidance advises avoiding tight and non-cotton underwear and using absorbent measures to reduce perspiration and recurrence.</w:t>
            </w:r>
          </w:p>
          <w:p>
            <w:pPr>
              <w:spacing w:after="40" w:line="252" w:lineRule="auto"/>
            </w:pPr>
            <w:hyperlink r:id="rId12">
              <w:r>
                <w:rPr>
                  <w:rFonts w:ascii="Calibri" w:hAnsi="Calibri" w:cs="Calibri"/>
                  <w:sz w:val="18"/>
                  <w:color w:val="1155CC"/>
                  <w:u w:val="single"/>
                </w:rPr>
                <w:t xml:space="preserve">ECTODERM India consensus (PMC6057051)</w:t>
              </w:r>
            </w:hyperlink>
          </w:p>
          <w:p>
            <w:pPr>
              <w:spacing w:before="60" w:after="40"/>
            </w:pPr>
            <w:r>
              <w:rPr>
                <w:rFonts w:ascii="Calibri" w:hAnsi="Calibri"/>
                <w:b w:val="0"/>
                <w:i w:val="0"/>
                <w:color w:val="5A5A5A"/>
                <w:sz w:val="18"/>
              </w:rPr>
              <w:t>#tightclothing  #synthetic  #occlusion  #friction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Hyperhidrosis / occupational sweat</w:t>
            </w:r>
          </w:p>
        </w:tc>
        <w:tc>
          <w:tcPr>
            <w:tcW w:type="dxa" w:w="2160"/>
            <w:vAlign w:val="top"/>
          </w:tcPr>
          <w:p>
            <w:pPr>
              <w:spacing w:after="40" w:before="0" w:line="259" w:lineRule="auto"/>
            </w:pPr>
            <w:r>
              <w:rPr>
                <w:rFonts w:ascii="Calibri" w:hAnsi="Calibri"/>
                <w:b w:val="0"/>
                <w:i w:val="0"/>
                <w:color w:val="212121"/>
                <w:sz w:val="19"/>
              </w:rPr>
              <w:t>Athletes, soldiers, manual labourers, PPE wearers</w:t>
            </w:r>
          </w:p>
        </w:tc>
        <w:tc>
          <w:tcPr>
            <w:tcW w:type="dxa" w:w="4276"/>
            <w:vAlign w:val="top"/>
          </w:tcPr>
          <w:p>
            <w:pPr>
              <w:spacing w:after="60" w:line="259" w:lineRule="auto"/>
            </w:pPr>
            <w:r>
              <w:rPr>
                <w:rFonts w:ascii="Calibri" w:hAnsi="Calibri"/>
                <w:b w:val="0"/>
                <w:i w:val="0"/>
                <w:color w:val="212121"/>
                <w:sz w:val="19"/>
              </w:rPr>
              <w:t>Perspiration is regarded as the single most influential variable in tinea cruris; occupations and sports that cause profuse groin sweating and prolonged wear of damp clothing markedly increase risk.</w:t>
            </w:r>
          </w:p>
          <w:p>
            <w:pPr>
              <w:spacing w:after="40" w:before="60" w:line="259" w:lineRule="auto"/>
            </w:pPr>
            <w:r>
              <w:rPr>
                <w:rFonts w:ascii="Calibri" w:hAnsi="Calibri"/>
                <w:b w:val="0"/>
                <w:i w:val="0"/>
                <w:color w:val="212121"/>
                <w:sz w:val="19"/>
              </w:rPr>
              <w:t>Excessive perspiration is cited as the most influential predisposing variable for tinea cruris.</w:t>
            </w:r>
          </w:p>
          <w:p>
            <w:pPr>
              <w:spacing w:after="40" w:line="252" w:lineRule="auto"/>
            </w:pPr>
            <w:hyperlink r:id="rId13">
              <w:r>
                <w:rPr>
                  <w:rFonts w:ascii="Calibri" w:hAnsi="Calibri" w:cs="Calibri"/>
                  <w:sz w:val="18"/>
                  <w:color w:val="1155CC"/>
                  <w:u w:val="single"/>
                </w:rPr>
                <w:t xml:space="preserve">ncbi.nlm.nih.gov — StatPearls: Tinea Cruris</w:t>
              </w:r>
            </w:hyperlink>
          </w:p>
          <w:p>
            <w:pPr>
              <w:spacing w:before="60" w:after="40"/>
            </w:pPr>
            <w:r>
              <w:rPr>
                <w:rFonts w:ascii="Calibri" w:hAnsi="Calibri"/>
                <w:b w:val="0"/>
                <w:i w:val="0"/>
                <w:color w:val="5A5A5A"/>
                <w:sz w:val="18"/>
              </w:rPr>
              <w:t>#hyperhidrosis  #athletes  #sports  #PPE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heat / cooking</w:t>
            </w:r>
          </w:p>
        </w:tc>
        <w:tc>
          <w:tcPr>
            <w:tcW w:type="dxa" w:w="2160"/>
            <w:vAlign w:val="top"/>
          </w:tcPr>
          <w:p>
            <w:pPr>
              <w:spacing w:after="40" w:before="0" w:line="259" w:lineRule="auto"/>
            </w:pPr>
            <w:r>
              <w:rPr>
                <w:rFonts w:ascii="Calibri" w:hAnsi="Calibri"/>
                <w:b w:val="0"/>
                <w:i w:val="0"/>
                <w:color w:val="212121"/>
                <w:sz w:val="19"/>
              </w:rPr>
              <w:t>People who regularly cook over heat</w:t>
            </w:r>
          </w:p>
        </w:tc>
        <w:tc>
          <w:tcPr>
            <w:tcW w:type="dxa" w:w="4276"/>
            <w:vAlign w:val="top"/>
          </w:tcPr>
          <w:p>
            <w:pPr>
              <w:spacing w:after="60" w:line="259" w:lineRule="auto"/>
            </w:pPr>
            <w:r>
              <w:rPr>
                <w:rFonts w:ascii="Calibri" w:hAnsi="Calibri"/>
                <w:b w:val="0"/>
                <w:i w:val="0"/>
                <w:color w:val="212121"/>
                <w:sz w:val="19"/>
              </w:rPr>
              <w:t>Prolonged standing near a hot stove increases groin sweating and occlusion; an Indian case-control study identified a personal history of cooking food as an independent risk factor for chronic/relapsing tinea.</w:t>
            </w:r>
          </w:p>
          <w:p>
            <w:pPr>
              <w:spacing w:after="40" w:before="60" w:line="259" w:lineRule="auto"/>
            </w:pPr>
            <w:r>
              <w:rPr>
                <w:rFonts w:ascii="Calibri" w:hAnsi="Calibri"/>
                <w:b w:val="0"/>
                <w:i w:val="0"/>
                <w:color w:val="212121"/>
                <w:sz w:val="19"/>
              </w:rPr>
              <w:t>Personal history of cooking food: adjusted odds ratio 2.51 (95% CI 1.23–5.13) for chronic/relapsing tinea.</w:t>
            </w:r>
          </w:p>
          <w:p>
            <w:pPr>
              <w:spacing w:after="40" w:line="252" w:lineRule="auto"/>
            </w:pPr>
            <w:hyperlink r:id="rId14">
              <w:r>
                <w:rPr>
                  <w:rFonts w:ascii="Calibri" w:hAnsi="Calibri" w:cs="Calibri"/>
                  <w:sz w:val="18"/>
                  <w:color w:val="1155CC"/>
                  <w:u w:val="single"/>
                </w:rPr>
                <w:t xml:space="preserve">ijdvl.com — case-control risk factors for chronic tinea</w:t>
              </w:r>
            </w:hyperlink>
          </w:p>
          <w:p>
            <w:pPr>
              <w:spacing w:before="60" w:after="40"/>
            </w:pPr>
            <w:r>
              <w:rPr>
                <w:rFonts w:ascii="Calibri" w:hAnsi="Calibri"/>
                <w:b w:val="0"/>
                <w:i w:val="0"/>
                <w:color w:val="5A5A5A"/>
                <w:sz w:val="18"/>
              </w:rPr>
              <w:t>#cooking  #stoveheat  #sweat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w:t>
            </w:r>
          </w:p>
        </w:tc>
        <w:tc>
          <w:tcPr>
            <w:tcW w:type="dxa" w:w="4276"/>
            <w:vAlign w:val="top"/>
          </w:tcPr>
          <w:p>
            <w:pPr>
              <w:spacing w:after="60" w:line="259" w:lineRule="auto"/>
            </w:pPr>
            <w:r>
              <w:rPr>
                <w:rFonts w:ascii="Calibri" w:hAnsi="Calibri"/>
                <w:b w:val="0"/>
                <w:i w:val="0"/>
                <w:color w:val="212121"/>
                <w:sz w:val="19"/>
              </w:rPr>
              <w:t>Smoking is not an established direct cause of tinea cruris, but it impairs microcirculation and cutaneous immune defences and clusters with other risk behaviours, and so is considered a weak, indirect contributor to chronicity.</w:t>
            </w:r>
          </w:p>
          <w:p>
            <w:pPr>
              <w:spacing w:before="60" w:after="40"/>
            </w:pPr>
            <w:r>
              <w:rPr>
                <w:rFonts w:ascii="Calibri" w:hAnsi="Calibri"/>
                <w:b w:val="0"/>
                <w:i w:val="0"/>
                <w:color w:val="5A5A5A"/>
                <w:sz w:val="18"/>
              </w:rPr>
              <w:t>#smoking  #immunity  #indirectrisk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Heavy alcohol intake is not a direct cause but is associated with impaired immunity, poorly controlled diabetes, neglected hygiene and poor treatment adherence, all of which favour persistent or recurrent infection.</w:t>
            </w:r>
          </w:p>
          <w:p>
            <w:pPr>
              <w:spacing w:before="60" w:after="40"/>
            </w:pPr>
            <w:r>
              <w:rPr>
                <w:rFonts w:ascii="Calibri" w:hAnsi="Calibri"/>
                <w:b w:val="0"/>
                <w:i w:val="0"/>
                <w:color w:val="5A5A5A"/>
                <w:sz w:val="18"/>
              </w:rPr>
              <w:t>#alcohol  #immunosuppression  #adherence  #indirectrisk</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Obesogenic diet</w:t>
            </w:r>
          </w:p>
        </w:tc>
        <w:tc>
          <w:tcPr>
            <w:tcW w:type="dxa" w:w="2160"/>
            <w:vAlign w:val="top"/>
          </w:tcPr>
          <w:p>
            <w:pPr>
              <w:spacing w:after="40" w:before="0" w:line="259" w:lineRule="auto"/>
            </w:pPr>
            <w:r>
              <w:rPr>
                <w:rFonts w:ascii="Calibri" w:hAnsi="Calibri"/>
                <w:b w:val="0"/>
                <w:i w:val="0"/>
                <w:color w:val="212121"/>
                <w:sz w:val="19"/>
              </w:rPr>
              <w:t>High-calorie, refined-carbohydrate diets</w:t>
            </w:r>
          </w:p>
        </w:tc>
        <w:tc>
          <w:tcPr>
            <w:tcW w:type="dxa" w:w="4276"/>
            <w:vAlign w:val="top"/>
          </w:tcPr>
          <w:p>
            <w:pPr>
              <w:spacing w:after="60" w:line="259" w:lineRule="auto"/>
            </w:pPr>
            <w:r>
              <w:rPr>
                <w:rFonts w:ascii="Calibri" w:hAnsi="Calibri"/>
                <w:b w:val="0"/>
                <w:i w:val="0"/>
                <w:color w:val="212121"/>
                <w:sz w:val="19"/>
              </w:rPr>
              <w:t>There is no direct dietary cause of tinea cruris, but energy-dense, high-glycaemic diets that drive obesity and type 2 diabetes indirectly increase risk by deepening moist skinfolds and impairing glucose-related immunity.</w:t>
            </w:r>
          </w:p>
          <w:p>
            <w:pPr>
              <w:spacing w:before="60" w:after="40"/>
            </w:pPr>
            <w:r>
              <w:rPr>
                <w:rFonts w:ascii="Calibri" w:hAnsi="Calibri"/>
                <w:b w:val="0"/>
                <w:i w:val="0"/>
                <w:color w:val="5A5A5A"/>
                <w:sz w:val="18"/>
              </w:rPr>
              <w:t>#diet  #obesity  #diabetes  #skinfolds  #indirect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household contact</w:t>
            </w:r>
          </w:p>
        </w:tc>
        <w:tc>
          <w:tcPr>
            <w:tcW w:type="dxa" w:w="2160"/>
            <w:vAlign w:val="top"/>
          </w:tcPr>
          <w:p>
            <w:pPr>
              <w:spacing w:after="40" w:before="0" w:line="259" w:lineRule="auto"/>
            </w:pPr>
            <w:r>
              <w:rPr>
                <w:rFonts w:ascii="Calibri" w:hAnsi="Calibri"/>
                <w:b w:val="0"/>
                <w:i w:val="0"/>
                <w:color w:val="212121"/>
                <w:sz w:val="19"/>
              </w:rPr>
              <w:t>Household members of affected patients</w:t>
            </w:r>
          </w:p>
        </w:tc>
        <w:tc>
          <w:tcPr>
            <w:tcW w:type="dxa" w:w="4276"/>
            <w:vAlign w:val="top"/>
          </w:tcPr>
          <w:p>
            <w:pPr>
              <w:spacing w:after="60" w:line="259" w:lineRule="auto"/>
            </w:pPr>
            <w:r>
              <w:rPr>
                <w:rFonts w:ascii="Calibri" w:hAnsi="Calibri"/>
                <w:b w:val="0"/>
                <w:i w:val="0"/>
                <w:color w:val="212121"/>
                <w:sz w:val="19"/>
              </w:rPr>
              <w:t>Living with an infected person shares both the fungus (via fomites and skin contact) and susceptibility; family history is one of the strongest predictors of chronic and recurrent disease in India.</w:t>
            </w:r>
          </w:p>
          <w:p>
            <w:pPr>
              <w:spacing w:after="40" w:before="60" w:line="259" w:lineRule="auto"/>
            </w:pPr>
            <w:r>
              <w:rPr>
                <w:rFonts w:ascii="Calibri" w:hAnsi="Calibri"/>
                <w:b w:val="0"/>
                <w:i w:val="0"/>
                <w:color w:val="212121"/>
                <w:sz w:val="19"/>
              </w:rPr>
              <w:t>Family history/contact: adjusted OR 5.06 (95% CI 2.85–9.01); a positive family history is present in ~72–82% of close contacts.</w:t>
            </w:r>
          </w:p>
          <w:p>
            <w:pPr>
              <w:spacing w:after="40" w:line="252" w:lineRule="auto"/>
            </w:pPr>
            <w:hyperlink r:id="rId14">
              <w:r>
                <w:rPr>
                  <w:rFonts w:ascii="Calibri" w:hAnsi="Calibri" w:cs="Calibri"/>
                  <w:sz w:val="18"/>
                  <w:color w:val="1155CC"/>
                  <w:u w:val="single"/>
                </w:rPr>
                <w:t xml:space="preserve">ijdvl.com — case-control risk factors for chronic tinea</w:t>
              </w:r>
            </w:hyperlink>
          </w:p>
          <w:p>
            <w:pPr>
              <w:spacing w:before="60" w:after="40"/>
            </w:pPr>
            <w:r>
              <w:rPr>
                <w:rFonts w:ascii="Calibri" w:hAnsi="Calibri"/>
                <w:b w:val="0"/>
                <w:i w:val="0"/>
                <w:color w:val="5A5A5A"/>
                <w:sz w:val="18"/>
              </w:rPr>
              <w:t>#familyhistory  #connubial  #household  #reinfection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Genetic / immune susceptibility</w:t>
            </w:r>
          </w:p>
        </w:tc>
        <w:tc>
          <w:tcPr>
            <w:tcW w:type="dxa" w:w="2160"/>
            <w:vAlign w:val="top"/>
          </w:tcPr>
          <w:p>
            <w:pPr>
              <w:spacing w:after="40" w:before="0" w:line="259" w:lineRule="auto"/>
            </w:pPr>
            <w:r>
              <w:rPr>
                <w:rFonts w:ascii="Calibri" w:hAnsi="Calibri"/>
                <w:b w:val="0"/>
                <w:i w:val="0"/>
                <w:color w:val="212121"/>
                <w:sz w:val="19"/>
              </w:rPr>
              <w:t>Individuals with impaired cell-mediated immunity or atopy</w:t>
            </w:r>
          </w:p>
        </w:tc>
        <w:tc>
          <w:tcPr>
            <w:tcW w:type="dxa" w:w="4276"/>
            <w:vAlign w:val="top"/>
          </w:tcPr>
          <w:p>
            <w:pPr>
              <w:spacing w:after="60" w:line="259" w:lineRule="auto"/>
            </w:pPr>
            <w:r>
              <w:rPr>
                <w:rFonts w:ascii="Calibri" w:hAnsi="Calibri"/>
                <w:b w:val="0"/>
                <w:i w:val="0"/>
                <w:color w:val="212121"/>
                <w:sz w:val="19"/>
              </w:rPr>
              <w:t>An inherited defect in cutaneous cell-mediated immunity (and an atopic diathesis) predisposes certain individuals to widespread, chronic and relapsing dermatophytosis despite adequate treatment.</w:t>
            </w:r>
          </w:p>
          <w:p>
            <w:pPr>
              <w:spacing w:before="60" w:after="40"/>
            </w:pPr>
            <w:r>
              <w:rPr>
                <w:rFonts w:ascii="Calibri" w:hAnsi="Calibri"/>
                <w:b w:val="0"/>
                <w:i w:val="0"/>
                <w:color w:val="5A5A5A"/>
                <w:sz w:val="18"/>
              </w:rPr>
              <w:t>#genetic  #cellmediatedimmunity  #atopy  #chronic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Hyperglycaemia impairs neutrophil and cell-mediated immunity and enriches skin glucose, favouring fungal growth; diabetes is the strongest medical predictor of chronic and relapsing tinea in Indian data.</w:t>
            </w:r>
          </w:p>
          <w:p>
            <w:pPr>
              <w:spacing w:after="40" w:before="60" w:line="259" w:lineRule="auto"/>
            </w:pPr>
            <w:r>
              <w:rPr>
                <w:rFonts w:ascii="Calibri" w:hAnsi="Calibri"/>
                <w:b w:val="0"/>
                <w:i w:val="0"/>
                <w:color w:val="212121"/>
                <w:sz w:val="19"/>
              </w:rPr>
              <w:t>Pre-existing diabetes mellitus: adjusted OR 9.56 (95% CI 1.01–90.23, P = 0.047) for chronic/relapsing tinea.</w:t>
            </w:r>
          </w:p>
          <w:p>
            <w:pPr>
              <w:spacing w:after="40" w:line="252" w:lineRule="auto"/>
            </w:pPr>
            <w:hyperlink r:id="rId14">
              <w:r>
                <w:rPr>
                  <w:rFonts w:ascii="Calibri" w:hAnsi="Calibri" w:cs="Calibri"/>
                  <w:sz w:val="18"/>
                  <w:color w:val="1155CC"/>
                  <w:u w:val="single"/>
                </w:rPr>
                <w:t xml:space="preserve">ijdvl.com — case-control risk factors for chronic tinea</w:t>
              </w:r>
            </w:hyperlink>
          </w:p>
          <w:p>
            <w:pPr>
              <w:spacing w:before="60" w:after="40"/>
            </w:pPr>
            <w:r>
              <w:rPr>
                <w:rFonts w:ascii="Calibri" w:hAnsi="Calibri"/>
                <w:b w:val="0"/>
                <w:i w:val="0"/>
                <w:color w:val="5A5A5A"/>
                <w:sz w:val="18"/>
              </w:rPr>
              <w:t>#diabetes  #hyperglycaemia  #immuneimpairment  #chronic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Obese and overweight individuals</w:t>
            </w:r>
          </w:p>
        </w:tc>
        <w:tc>
          <w:tcPr>
            <w:tcW w:type="dxa" w:w="4276"/>
            <w:vAlign w:val="top"/>
          </w:tcPr>
          <w:p>
            <w:pPr>
              <w:spacing w:after="60" w:line="259" w:lineRule="auto"/>
            </w:pPr>
            <w:r>
              <w:rPr>
                <w:rFonts w:ascii="Calibri" w:hAnsi="Calibri"/>
                <w:b w:val="0"/>
                <w:i w:val="0"/>
                <w:color w:val="212121"/>
                <w:sz w:val="19"/>
              </w:rPr>
              <w:t>Deep, moist, apposed skinfolds in obesity create constant friction, occlusion and maceration that favour dermatophyte colonisation and intertrigo; weight and skinfold occlusion are recognised mechanistic risk factors even though one Indian case-control did not find BMI independently significant.</w:t>
            </w:r>
          </w:p>
          <w:p>
            <w:pPr>
              <w:spacing w:after="40" w:before="60" w:line="259" w:lineRule="auto"/>
            </w:pPr>
            <w:r>
              <w:rPr>
                <w:rFonts w:ascii="Calibri" w:hAnsi="Calibri"/>
                <w:b w:val="0"/>
                <w:i w:val="0"/>
                <w:color w:val="212121"/>
                <w:sz w:val="19"/>
              </w:rPr>
              <w:t>Obesity causing constant friction between skinfolds is listed among the primary risk factors for tinea cruris.</w:t>
            </w:r>
          </w:p>
          <w:p>
            <w:pPr>
              <w:spacing w:after="40" w:line="252" w:lineRule="auto"/>
            </w:pPr>
            <w:hyperlink r:id="rId10">
              <w:r>
                <w:rPr>
                  <w:rFonts w:ascii="Calibri" w:hAnsi="Calibri" w:cs="Calibri"/>
                  <w:sz w:val="18"/>
                  <w:color w:val="1155CC"/>
                  <w:u w:val="single"/>
                </w:rPr>
                <w:t xml:space="preserve">merckmanuals.com — tinea cruris (jock itch)</w:t>
              </w:r>
            </w:hyperlink>
          </w:p>
          <w:p>
            <w:pPr>
              <w:spacing w:before="60" w:after="40"/>
            </w:pPr>
            <w:r>
              <w:rPr>
                <w:rFonts w:ascii="Calibri" w:hAnsi="Calibri"/>
                <w:b w:val="0"/>
                <w:i w:val="0"/>
                <w:color w:val="5A5A5A"/>
                <w:sz w:val="18"/>
              </w:rPr>
              <w:t>#obesity  #skinfolds  #intertrigo  #friction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Concurrent tinea pedis / onychomycosis</w:t>
            </w:r>
          </w:p>
        </w:tc>
        <w:tc>
          <w:tcPr>
            <w:tcW w:type="dxa" w:w="2160"/>
            <w:vAlign w:val="top"/>
          </w:tcPr>
          <w:p>
            <w:pPr>
              <w:spacing w:after="40" w:before="0" w:line="259" w:lineRule="auto"/>
            </w:pPr>
            <w:r>
              <w:rPr>
                <w:rFonts w:ascii="Calibri" w:hAnsi="Calibri"/>
                <w:b w:val="0"/>
                <w:i w:val="0"/>
                <w:color w:val="212121"/>
                <w:sz w:val="19"/>
              </w:rPr>
              <w:t>Patients with foot or nail fungus</w:t>
            </w:r>
          </w:p>
        </w:tc>
        <w:tc>
          <w:tcPr>
            <w:tcW w:type="dxa" w:w="4276"/>
            <w:vAlign w:val="top"/>
          </w:tcPr>
          <w:p>
            <w:pPr>
              <w:spacing w:after="60" w:line="259" w:lineRule="auto"/>
            </w:pPr>
            <w:r>
              <w:rPr>
                <w:rFonts w:ascii="Calibri" w:hAnsi="Calibri"/>
                <w:b w:val="0"/>
                <w:i w:val="0"/>
                <w:color w:val="212121"/>
                <w:sz w:val="19"/>
              </w:rPr>
              <w:t>Tinea pedis and onychomycosis act as a persistent dermatophyte reservoir; the fungus is repeatedly transferred to the groin via hands, towels and dressing, driving reinfection unless the feet and nails are treated together.</w:t>
            </w:r>
          </w:p>
          <w:p>
            <w:pPr>
              <w:spacing w:after="40" w:before="60" w:line="259" w:lineRule="auto"/>
            </w:pPr>
            <w:r>
              <w:rPr>
                <w:rFonts w:ascii="Calibri" w:hAnsi="Calibri"/>
                <w:b w:val="0"/>
                <w:i w:val="0"/>
                <w:color w:val="212121"/>
                <w:sz w:val="19"/>
              </w:rPr>
              <w:t>Untreated tinea pedis and onychomycosis are recognised reservoirs that cause repeated reinfection of the groin.</w:t>
            </w:r>
          </w:p>
          <w:p>
            <w:pPr>
              <w:spacing w:after="40" w:line="252" w:lineRule="auto"/>
            </w:pPr>
            <w:hyperlink r:id="rId10">
              <w:r>
                <w:rPr>
                  <w:rFonts w:ascii="Calibri" w:hAnsi="Calibri" w:cs="Calibri"/>
                  <w:sz w:val="18"/>
                  <w:color w:val="1155CC"/>
                  <w:u w:val="single"/>
                </w:rPr>
                <w:t xml:space="preserve">merckmanuals.com — tinea cruris (jock itch)</w:t>
              </w:r>
            </w:hyperlink>
          </w:p>
          <w:p>
            <w:pPr>
              <w:spacing w:before="60" w:after="40"/>
            </w:pPr>
            <w:r>
              <w:rPr>
                <w:rFonts w:ascii="Calibri" w:hAnsi="Calibri"/>
                <w:b w:val="0"/>
                <w:i w:val="0"/>
                <w:color w:val="5A5A5A"/>
                <w:sz w:val="18"/>
              </w:rPr>
              <w:t>#tineapedis  #onychomycosis  #reservoir  #autoinoculation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Topical steroid abuse / immunosuppression</w:t>
            </w:r>
          </w:p>
        </w:tc>
        <w:tc>
          <w:tcPr>
            <w:tcW w:type="dxa" w:w="2160"/>
            <w:vAlign w:val="top"/>
          </w:tcPr>
          <w:p>
            <w:pPr>
              <w:spacing w:after="40" w:before="0" w:line="259" w:lineRule="auto"/>
            </w:pPr>
            <w:r>
              <w:rPr>
                <w:rFonts w:ascii="Calibri" w:hAnsi="Calibri"/>
                <w:b w:val="0"/>
                <w:i w:val="0"/>
                <w:color w:val="212121"/>
                <w:sz w:val="19"/>
              </w:rPr>
              <w:t>OTC steroid-cream users, HIV, transplant, chemotherapy patients</w:t>
            </w:r>
          </w:p>
        </w:tc>
        <w:tc>
          <w:tcPr>
            <w:tcW w:type="dxa" w:w="4276"/>
            <w:vAlign w:val="top"/>
          </w:tcPr>
          <w:p>
            <w:pPr>
              <w:spacing w:after="60" w:line="259" w:lineRule="auto"/>
            </w:pPr>
            <w:r>
              <w:rPr>
                <w:rFonts w:ascii="Calibri" w:hAnsi="Calibri"/>
                <w:b w:val="0"/>
                <w:i w:val="0"/>
                <w:color w:val="212121"/>
                <w:sz w:val="19"/>
              </w:rPr>
              <w:t>Misuse of over-the-counter topical steroids and fixed-dose combination creams, and systemic immunosuppression (HIV, transplantation, chemotherapy, chronic steroids), suppress local and systemic antifungal immunity, producing extensive, atypical, steroid-modified and recalcitrant disease.</w:t>
            </w:r>
          </w:p>
          <w:p>
            <w:pPr>
              <w:spacing w:after="40" w:before="60" w:line="259" w:lineRule="auto"/>
            </w:pPr>
            <w:r>
              <w:rPr>
                <w:rFonts w:ascii="Calibri" w:hAnsi="Calibri"/>
                <w:b w:val="0"/>
                <w:i w:val="0"/>
                <w:color w:val="212121"/>
                <w:sz w:val="19"/>
              </w:rPr>
              <w:t>Prior topical steroid / combination-cream use is documented in roughly 42–81% of Indian dermatophytosis patients.</w:t>
            </w:r>
          </w:p>
          <w:p>
            <w:pPr>
              <w:spacing w:after="40" w:line="252" w:lineRule="auto"/>
            </w:pPr>
            <w:hyperlink r:id="rId9">
              <w:r>
                <w:rPr>
                  <w:rFonts w:ascii="Calibri" w:hAnsi="Calibri" w:cs="Calibri"/>
                  <w:sz w:val="18"/>
                  <w:color w:val="1155CC"/>
                  <w:u w:val="single"/>
                </w:rPr>
                <w:t xml:space="preserve">ijdvl.com — epidemic dermatophytosis in India: epidemiology</w:t>
              </w:r>
            </w:hyperlink>
          </w:p>
          <w:p>
            <w:pPr>
              <w:spacing w:before="60" w:after="40"/>
            </w:pPr>
            <w:r>
              <w:rPr>
                <w:rFonts w:ascii="Calibri" w:hAnsi="Calibri"/>
                <w:b w:val="0"/>
                <w:i w:val="0"/>
                <w:color w:val="5A5A5A"/>
                <w:sz w:val="18"/>
              </w:rPr>
              <w:t>#steroidabuse  #tineaincognito  #immunosuppression  #recalcitrant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Vigorous exercise and sport increase groin sweating and occlusion (classic “jock itch” in athletes), while inactivity-related obesity deepens moist skinfolds; prompt showering and dry clothing after activity reduce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food directly causes tinea cruris; energy-dense, high-glycaemic diets act only indirectly by promoting obesity and diabetes, which predispose to chronic infection.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insufficient sleep impairs immune competence in general, and intense nocturnal itching disturbs sleep, but a direct link to dermatophytosis risk is not established.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an established risk factor; any effect is indirect, through impaired microcirculation and cutaneous immunity.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has no direct causal role but is linked with impaired immunity, poor glycaemic control and neglected hygiene that favour recurrence.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recurrent genital itch and visible groin rash cause considerable embarrassment, stigma, anxiety and impaired quality of life; distress and scratching in turn perpetuate the lesions (a bidirectional burden).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Daily bathing and thorough drying of the groin are protective, whereas staying in damp, sweaty clothing promotes maceration; adequate washing and drying (not fluid intake) is the relevant factor.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association between caffeine intake and tinea cruris.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is the cornerstone: keeping the groin clean and dry, changing innerwear daily, not sharing towels or clothes, hot-washing and sun-drying garments, and treating coexisting tinea pedis directly determine cure and prevention of recurrence.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Heat, humidity, sweating, tight synthetic clothing, obesity-related skinfold occlusion, shared fomites and — above all — topical steroid/combination-cream misuse are the key provocateurs of onset, chronicity and resistance.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Frequency of changing innerwear</w:t>
            </w:r>
          </w:p>
        </w:tc>
        <w:tc>
          <w:tcPr>
            <w:tcW w:type="dxa" w:w="1655"/>
            <w:vAlign w:val="top"/>
          </w:tcPr>
          <w:p>
            <w:pPr>
              <w:spacing w:after="40" w:before="0" w:line="259" w:lineRule="auto"/>
            </w:pPr>
            <w:r>
              <w:rPr>
                <w:rFonts w:ascii="Calibri" w:hAnsi="Calibri"/>
                <w:b w:val="0"/>
                <w:i w:val="0"/>
                <w:color w:val="212121"/>
                <w:sz w:val="19"/>
              </w:rPr>
              <w:t>All patients, athletes, heavy sweaters</w:t>
            </w:r>
          </w:p>
        </w:tc>
        <w:tc>
          <w:tcPr>
            <w:tcW w:type="dxa" w:w="1512"/>
            <w:vAlign w:val="top"/>
          </w:tcPr>
          <w:p>
            <w:pPr>
              <w:spacing w:after="40" w:before="0" w:line="259" w:lineRule="auto"/>
            </w:pPr>
            <w:r>
              <w:rPr>
                <w:rFonts w:ascii="Calibri" w:hAnsi="Calibri"/>
                <w:b w:val="0"/>
                <w:i w:val="0"/>
                <w:color w:val="212121"/>
                <w:sz w:val="19"/>
              </w:rPr>
              <w:t>At least once daily and after every episode of heavy sweating</w:t>
            </w:r>
          </w:p>
        </w:tc>
        <w:tc>
          <w:tcPr>
            <w:tcW w:type="dxa" w:w="1512"/>
            <w:vAlign w:val="top"/>
          </w:tcPr>
          <w:p>
            <w:pPr>
              <w:spacing w:after="40" w:before="0" w:line="259" w:lineRule="auto"/>
            </w:pPr>
            <w:r>
              <w:rPr>
                <w:rFonts w:ascii="Calibri" w:hAnsi="Calibri"/>
                <w:b w:val="0"/>
                <w:i w:val="0"/>
                <w:color w:val="212121"/>
                <w:sz w:val="19"/>
              </w:rPr>
              <w:t>Re-wearing sweaty/damp underwear; changing &lt; once daily</w:t>
            </w:r>
          </w:p>
        </w:tc>
        <w:tc>
          <w:tcPr>
            <w:tcW w:type="dxa" w:w="1468"/>
            <w:vAlign w:val="top"/>
          </w:tcPr>
          <w:p>
            <w:pPr>
              <w:spacing w:after="60" w:line="259" w:lineRule="auto"/>
            </w:pPr>
            <w:r>
              <w:rPr>
                <w:rFonts w:ascii="Calibri" w:hAnsi="Calibri"/>
                <w:b w:val="0"/>
                <w:i w:val="0"/>
                <w:color w:val="212121"/>
                <w:sz w:val="19"/>
              </w:rPr>
              <w:t>Fresh, dry innerwear reduces the warm moist microclimate dermatophytes need</w:t>
            </w:r>
          </w:p>
          <w:p>
            <w:pPr>
              <w:spacing w:after="40" w:line="252" w:lineRule="auto"/>
            </w:pPr>
            <w:hyperlink r:id="rId12">
              <w:r>
                <w:rPr>
                  <w:rFonts w:ascii="Calibri" w:hAnsi="Calibri" w:cs="Calibri"/>
                  <w:sz w:val="18"/>
                  <w:color w:val="1155CC"/>
                  <w:u w:val="single"/>
                </w:rPr>
                <w:t xml:space="preserve">https://pmc.ncbi.nlm.nih.gov/articles/PMC6057051/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Laundering of clothing / bed linen</w:t>
            </w:r>
          </w:p>
        </w:tc>
        <w:tc>
          <w:tcPr>
            <w:tcW w:type="dxa" w:w="1655"/>
            <w:vAlign w:val="top"/>
          </w:tcPr>
          <w:p>
            <w:pPr>
              <w:spacing w:after="40" w:before="0" w:line="259" w:lineRule="auto"/>
            </w:pPr>
            <w:r>
              <w:rPr>
                <w:rFonts w:ascii="Calibri" w:hAnsi="Calibri"/>
                <w:b w:val="0"/>
                <w:i w:val="0"/>
                <w:color w:val="212121"/>
                <w:sz w:val="19"/>
              </w:rPr>
              <w:t>Patients and household contacts</w:t>
            </w:r>
          </w:p>
        </w:tc>
        <w:tc>
          <w:tcPr>
            <w:tcW w:type="dxa" w:w="1512"/>
            <w:vAlign w:val="top"/>
          </w:tcPr>
          <w:p>
            <w:pPr>
              <w:spacing w:after="40" w:before="0" w:line="259" w:lineRule="auto"/>
            </w:pPr>
            <w:r>
              <w:rPr>
                <w:rFonts w:ascii="Calibri" w:hAnsi="Calibri"/>
                <w:b w:val="0"/>
                <w:i w:val="0"/>
                <w:color w:val="212121"/>
                <w:sz w:val="19"/>
              </w:rPr>
              <w:t>Hot wash (≥ 60°C), iron and sun-dry; do not share</w:t>
            </w:r>
          </w:p>
        </w:tc>
        <w:tc>
          <w:tcPr>
            <w:tcW w:type="dxa" w:w="1512"/>
            <w:vAlign w:val="top"/>
          </w:tcPr>
          <w:p>
            <w:pPr>
              <w:spacing w:after="40" w:before="0" w:line="259" w:lineRule="auto"/>
            </w:pPr>
            <w:r>
              <w:rPr>
                <w:rFonts w:ascii="Calibri" w:hAnsi="Calibri"/>
                <w:b w:val="0"/>
                <w:i w:val="0"/>
                <w:color w:val="212121"/>
                <w:sz w:val="19"/>
              </w:rPr>
              <w:t>Cold-water wash; sharing towels, clothes or bed linen</w:t>
            </w:r>
          </w:p>
        </w:tc>
        <w:tc>
          <w:tcPr>
            <w:tcW w:type="dxa" w:w="1468"/>
            <w:vAlign w:val="top"/>
          </w:tcPr>
          <w:p>
            <w:pPr>
              <w:spacing w:after="60" w:line="259" w:lineRule="auto"/>
            </w:pPr>
            <w:r>
              <w:rPr>
                <w:rFonts w:ascii="Calibri" w:hAnsi="Calibri"/>
                <w:b w:val="0"/>
                <w:i w:val="0"/>
                <w:color w:val="212121"/>
                <w:sz w:val="19"/>
              </w:rPr>
              <w:t>Hot washing and sun-drying decontaminate fomites and interrupt household reinfection</w:t>
            </w:r>
          </w:p>
          <w:p>
            <w:pPr>
              <w:spacing w:after="40" w:line="252" w:lineRule="auto"/>
            </w:pPr>
            <w:hyperlink r:id="rId12">
              <w:r>
                <w:rPr>
                  <w:rFonts w:ascii="Calibri" w:hAnsi="Calibri" w:cs="Calibri"/>
                  <w:sz w:val="18"/>
                  <w:color w:val="1155CC"/>
                  <w:u w:val="single"/>
                </w:rPr>
                <w:t xml:space="preserve">https://pmc.ncbi.nlm.nih.gov/articles/PMC6057051/</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Clothing fabric and fit</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Loose, breathable cotton innerwear and trousers</w:t>
            </w:r>
          </w:p>
        </w:tc>
        <w:tc>
          <w:tcPr>
            <w:tcW w:type="dxa" w:w="1512"/>
            <w:vAlign w:val="top"/>
          </w:tcPr>
          <w:p>
            <w:pPr>
              <w:spacing w:after="40" w:before="0" w:line="259" w:lineRule="auto"/>
            </w:pPr>
            <w:r>
              <w:rPr>
                <w:rFonts w:ascii="Calibri" w:hAnsi="Calibri"/>
                <w:b w:val="0"/>
                <w:i w:val="0"/>
                <w:color w:val="212121"/>
                <w:sz w:val="19"/>
              </w:rPr>
              <w:t>Tight, non-cotton (synthetic/nylon) or occlusive clothing</w:t>
            </w:r>
          </w:p>
        </w:tc>
        <w:tc>
          <w:tcPr>
            <w:tcW w:type="dxa" w:w="1468"/>
            <w:vAlign w:val="top"/>
          </w:tcPr>
          <w:p>
            <w:pPr>
              <w:spacing w:after="60" w:line="259" w:lineRule="auto"/>
            </w:pPr>
            <w:r>
              <w:rPr>
                <w:rFonts w:ascii="Calibri" w:hAnsi="Calibri"/>
                <w:b w:val="0"/>
                <w:i w:val="0"/>
                <w:color w:val="212121"/>
                <w:sz w:val="19"/>
              </w:rPr>
              <w:t>Loose cotton lowers groin temperature, humidity and friction</w:t>
            </w:r>
          </w:p>
          <w:p>
            <w:pPr>
              <w:spacing w:after="40" w:line="252" w:lineRule="auto"/>
            </w:pPr>
            <w:hyperlink r:id="rId12">
              <w:r>
                <w:rPr>
                  <w:rFonts w:ascii="Calibri" w:hAnsi="Calibri" w:cs="Calibri"/>
                  <w:sz w:val="18"/>
                  <w:color w:val="1155CC"/>
                  <w:u w:val="single"/>
                </w:rPr>
                <w:t xml:space="preserve">https://pmc.ncbi.nlm.nih.gov/articles/PMC6057051/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Topical steroid / combination-cream use</w:t>
            </w:r>
          </w:p>
        </w:tc>
        <w:tc>
          <w:tcPr>
            <w:tcW w:type="dxa" w:w="1655"/>
            <w:vAlign w:val="top"/>
          </w:tcPr>
          <w:p>
            <w:pPr>
              <w:spacing w:after="40" w:before="0" w:line="259" w:lineRule="auto"/>
            </w:pPr>
            <w:r>
              <w:rPr>
                <w:rFonts w:ascii="Calibri" w:hAnsi="Calibri"/>
                <w:b w:val="0"/>
                <w:i w:val="0"/>
                <w:color w:val="212121"/>
                <w:sz w:val="19"/>
              </w:rPr>
              <w:t>All patients, self-medicators</w:t>
            </w:r>
          </w:p>
        </w:tc>
        <w:tc>
          <w:tcPr>
            <w:tcW w:type="dxa" w:w="1512"/>
            <w:vAlign w:val="top"/>
          </w:tcPr>
          <w:p>
            <w:pPr>
              <w:spacing w:after="40" w:before="0" w:line="259" w:lineRule="auto"/>
            </w:pPr>
            <w:r>
              <w:rPr>
                <w:rFonts w:ascii="Calibri" w:hAnsi="Calibri"/>
                <w:b w:val="0"/>
                <w:i w:val="0"/>
                <w:color w:val="212121"/>
                <w:sz w:val="19"/>
              </w:rPr>
              <w:t>Zero use of topical steroids or steroid-antifungal-antibacterial combination creams</w:t>
            </w:r>
          </w:p>
        </w:tc>
        <w:tc>
          <w:tcPr>
            <w:tcW w:type="dxa" w:w="1512"/>
            <w:vAlign w:val="top"/>
          </w:tcPr>
          <w:p>
            <w:pPr>
              <w:spacing w:after="40" w:before="0" w:line="259" w:lineRule="auto"/>
            </w:pPr>
            <w:r>
              <w:rPr>
                <w:rFonts w:ascii="Calibri" w:hAnsi="Calibri"/>
                <w:b w:val="0"/>
                <w:i w:val="0"/>
                <w:color w:val="212121"/>
                <w:sz w:val="19"/>
              </w:rPr>
              <w:t>Any over-the-counter steroid or fixed-dose combination cream on the rash</w:t>
            </w:r>
          </w:p>
        </w:tc>
        <w:tc>
          <w:tcPr>
            <w:tcW w:type="dxa" w:w="1468"/>
            <w:vAlign w:val="top"/>
          </w:tcPr>
          <w:p>
            <w:pPr>
              <w:spacing w:after="60" w:line="259" w:lineRule="auto"/>
            </w:pPr>
            <w:r>
              <w:rPr>
                <w:rFonts w:ascii="Calibri" w:hAnsi="Calibri"/>
                <w:b w:val="0"/>
                <w:i w:val="0"/>
                <w:color w:val="212121"/>
                <w:sz w:val="19"/>
              </w:rPr>
              <w:t>Steroid misuse (seen in ~42–81% of Indian cases) drives tinea incognito, chronicity and resistance</w:t>
            </w:r>
          </w:p>
          <w:p>
            <w:pPr>
              <w:spacing w:after="40" w:line="252" w:lineRule="auto"/>
            </w:pPr>
            <w:hyperlink r:id="rId9">
              <w:r>
                <w:rPr>
                  <w:rFonts w:ascii="Calibri" w:hAnsi="Calibri" w:cs="Calibri"/>
                  <w:sz w:val="18"/>
                  <w:color w:val="1155CC"/>
                  <w:u w:val="single"/>
                </w:rPr>
                <w:t xml:space="preserve">https://ijdvl.com/the-unprecedented-epidemic-like-scenario-of-dermatophytosis-in-india-i-epidemiology-risk-factors-and-clinical-features/</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Time to shower and change after sweating</w:t>
            </w:r>
          </w:p>
        </w:tc>
        <w:tc>
          <w:tcPr>
            <w:tcW w:type="dxa" w:w="1655"/>
            <w:vAlign w:val="top"/>
          </w:tcPr>
          <w:p>
            <w:pPr>
              <w:spacing w:after="40" w:before="0" w:line="259" w:lineRule="auto"/>
            </w:pPr>
            <w:r>
              <w:rPr>
                <w:rFonts w:ascii="Calibri" w:hAnsi="Calibri"/>
                <w:b w:val="0"/>
                <w:i w:val="0"/>
                <w:color w:val="212121"/>
                <w:sz w:val="19"/>
              </w:rPr>
              <w:t>Athletes, labourers, PPE wearers</w:t>
            </w:r>
          </w:p>
        </w:tc>
        <w:tc>
          <w:tcPr>
            <w:tcW w:type="dxa" w:w="1512"/>
            <w:vAlign w:val="top"/>
          </w:tcPr>
          <w:p>
            <w:pPr>
              <w:spacing w:after="40" w:before="0" w:line="259" w:lineRule="auto"/>
            </w:pPr>
            <w:r>
              <w:rPr>
                <w:rFonts w:ascii="Calibri" w:hAnsi="Calibri"/>
                <w:b w:val="0"/>
                <w:i w:val="0"/>
                <w:color w:val="212121"/>
                <w:sz w:val="19"/>
              </w:rPr>
              <w:t>Shower and change into dry clothes within ~30 minutes of heavy sweating</w:t>
            </w:r>
          </w:p>
        </w:tc>
        <w:tc>
          <w:tcPr>
            <w:tcW w:type="dxa" w:w="1512"/>
            <w:vAlign w:val="top"/>
          </w:tcPr>
          <w:p>
            <w:pPr>
              <w:spacing w:after="40" w:before="0" w:line="259" w:lineRule="auto"/>
            </w:pPr>
            <w:r>
              <w:rPr>
                <w:rFonts w:ascii="Calibri" w:hAnsi="Calibri"/>
                <w:b w:val="0"/>
                <w:i w:val="0"/>
                <w:color w:val="212121"/>
                <w:sz w:val="19"/>
              </w:rPr>
              <w:t>Remaining in sweat-soaked clothing for hours</w:t>
            </w:r>
          </w:p>
        </w:tc>
        <w:tc>
          <w:tcPr>
            <w:tcW w:type="dxa" w:w="1468"/>
            <w:vAlign w:val="top"/>
          </w:tcPr>
          <w:p>
            <w:pPr>
              <w:spacing w:after="40" w:before="0" w:line="259" w:lineRule="auto"/>
            </w:pPr>
            <w:r>
              <w:rPr>
                <w:rFonts w:ascii="Calibri" w:hAnsi="Calibri"/>
                <w:b w:val="0"/>
                <w:i w:val="0"/>
                <w:color w:val="212121"/>
                <w:sz w:val="19"/>
              </w:rPr>
              <w:t>Prompt drying removes the moisture and maceration that favour fungal growth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Overweight and obese adults</w:t>
            </w:r>
          </w:p>
        </w:tc>
        <w:tc>
          <w:tcPr>
            <w:tcW w:type="dxa" w:w="1512"/>
            <w:vAlign w:val="top"/>
          </w:tcPr>
          <w:p>
            <w:pPr>
              <w:spacing w:after="40" w:before="0" w:line="259" w:lineRule="auto"/>
            </w:pPr>
            <w:r>
              <w:rPr>
                <w:rFonts w:ascii="Calibri" w:hAnsi="Calibri"/>
                <w:b w:val="0"/>
                <w:i w:val="0"/>
                <w:color w:val="212121"/>
                <w:sz w:val="19"/>
              </w:rPr>
              <w:t>18.5–22.9 kg/m² (Asian-Indian cut-offs)</w:t>
            </w:r>
          </w:p>
        </w:tc>
        <w:tc>
          <w:tcPr>
            <w:tcW w:type="dxa" w:w="1512"/>
            <w:vAlign w:val="top"/>
          </w:tcPr>
          <w:p>
            <w:pPr>
              <w:spacing w:after="40" w:before="0" w:line="259" w:lineRule="auto"/>
            </w:pPr>
            <w:r>
              <w:rPr>
                <w:rFonts w:ascii="Calibri" w:hAnsi="Calibri"/>
                <w:b w:val="0"/>
                <w:i w:val="0"/>
                <w:color w:val="212121"/>
                <w:sz w:val="19"/>
              </w:rPr>
              <w:t>≥ 23 (overweight); ≥ 25 (obese) by Asian-Indian criteria</w:t>
            </w:r>
          </w:p>
        </w:tc>
        <w:tc>
          <w:tcPr>
            <w:tcW w:type="dxa" w:w="1468"/>
            <w:vAlign w:val="top"/>
          </w:tcPr>
          <w:p>
            <w:pPr>
              <w:spacing w:after="60" w:line="259" w:lineRule="auto"/>
            </w:pPr>
            <w:r>
              <w:rPr>
                <w:rFonts w:ascii="Calibri" w:hAnsi="Calibri"/>
                <w:b w:val="0"/>
                <w:i w:val="0"/>
                <w:color w:val="212121"/>
                <w:sz w:val="19"/>
              </w:rPr>
              <w:t>Higher BMI deepens moist, apposed skinfolds and coexists with diabetes</w:t>
            </w:r>
          </w:p>
          <w:p>
            <w:pPr>
              <w:spacing w:after="40" w:line="252" w:lineRule="auto"/>
            </w:pPr>
            <w:hyperlink r:id="rId10">
              <w:r>
                <w:rPr>
                  <w:rFonts w:ascii="Calibri" w:hAnsi="Calibri" w:cs="Calibri"/>
                  <w:sz w:val="18"/>
                  <w:color w:val="1155CC"/>
                  <w:u w:val="single"/>
                </w:rPr>
                <w:t xml:space="preserve">https://www.merckmanuals.com/professional/dermatologic-disorders/fungal-skin-infections/tinea-cruris-jock-itch</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control (HbA1c)</w:t>
            </w:r>
          </w:p>
        </w:tc>
        <w:tc>
          <w:tcPr>
            <w:tcW w:type="dxa" w:w="1655"/>
            <w:vAlign w:val="top"/>
          </w:tcPr>
          <w:p>
            <w:pPr>
              <w:spacing w:after="40" w:before="0" w:line="259" w:lineRule="auto"/>
            </w:pPr>
            <w:r>
              <w:rPr>
                <w:rFonts w:ascii="Calibri" w:hAnsi="Calibri"/>
                <w:b w:val="0"/>
                <w:i w:val="0"/>
                <w:color w:val="212121"/>
                <w:sz w:val="19"/>
              </w:rPr>
              <w:t>Patients with or at risk of diabetes; chronic/recurrent tinea</w:t>
            </w:r>
          </w:p>
        </w:tc>
        <w:tc>
          <w:tcPr>
            <w:tcW w:type="dxa" w:w="1512"/>
            <w:vAlign w:val="top"/>
          </w:tcPr>
          <w:p>
            <w:pPr>
              <w:spacing w:after="40" w:before="0" w:line="259" w:lineRule="auto"/>
            </w:pPr>
            <w:r>
              <w:rPr>
                <w:rFonts w:ascii="Calibri" w:hAnsi="Calibri"/>
                <w:b w:val="0"/>
                <w:i w:val="0"/>
                <w:color w:val="212121"/>
                <w:sz w:val="19"/>
              </w:rPr>
              <w:t>&lt; 5.7% (non-diabetic); individualised target if diabetic</w:t>
            </w:r>
          </w:p>
        </w:tc>
        <w:tc>
          <w:tcPr>
            <w:tcW w:type="dxa" w:w="1512"/>
            <w:vAlign w:val="top"/>
          </w:tcPr>
          <w:p>
            <w:pPr>
              <w:spacing w:after="40" w:before="0" w:line="259" w:lineRule="auto"/>
            </w:pPr>
            <w:r>
              <w:rPr>
                <w:rFonts w:ascii="Calibri" w:hAnsi="Calibri"/>
                <w:b w:val="0"/>
                <w:i w:val="0"/>
                <w:color w:val="212121"/>
                <w:sz w:val="19"/>
              </w:rPr>
              <w:t>≥ 6.5% (diabetes) or poorly controlled glucose</w:t>
            </w:r>
          </w:p>
        </w:tc>
        <w:tc>
          <w:tcPr>
            <w:tcW w:type="dxa" w:w="1468"/>
            <w:vAlign w:val="top"/>
          </w:tcPr>
          <w:p>
            <w:pPr>
              <w:spacing w:after="60" w:line="259" w:lineRule="auto"/>
            </w:pPr>
            <w:r>
              <w:rPr>
                <w:rFonts w:ascii="Calibri" w:hAnsi="Calibri"/>
                <w:b w:val="0"/>
                <w:i w:val="0"/>
                <w:color w:val="212121"/>
                <w:sz w:val="19"/>
              </w:rPr>
              <w:t>Diabetes is the strongest medical predictor of chronic tinea (adjusted OR 9.56)</w:t>
            </w:r>
          </w:p>
          <w:p>
            <w:pPr>
              <w:spacing w:after="40" w:line="252" w:lineRule="auto"/>
            </w:pPr>
            <w:hyperlink r:id="rId14">
              <w:r>
                <w:rPr>
                  <w:rFonts w:ascii="Calibri" w:hAnsi="Calibri" w:cs="Calibri"/>
                  <w:sz w:val="18"/>
                  <w:color w:val="1155CC"/>
                  <w:u w:val="single"/>
                </w:rPr>
                <w:t xml:space="preserve">https://ijdvl.com/risk-factors-for-chronic-and-chronic-relapsing-tinea-corporis-tinea-cruris-and-tinea-faciei-results-of-a-case-control-study/</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Treatment of coexisting tinea pedis / onychomycosis</w:t>
            </w:r>
          </w:p>
        </w:tc>
        <w:tc>
          <w:tcPr>
            <w:tcW w:type="dxa" w:w="1655"/>
            <w:vAlign w:val="top"/>
          </w:tcPr>
          <w:p>
            <w:pPr>
              <w:spacing w:after="40" w:before="0" w:line="259" w:lineRule="auto"/>
            </w:pPr>
            <w:r>
              <w:rPr>
                <w:rFonts w:ascii="Calibri" w:hAnsi="Calibri"/>
                <w:b w:val="0"/>
                <w:i w:val="0"/>
                <w:color w:val="212121"/>
                <w:sz w:val="19"/>
              </w:rPr>
              <w:t>Patients with foot or nail fungus</w:t>
            </w:r>
          </w:p>
        </w:tc>
        <w:tc>
          <w:tcPr>
            <w:tcW w:type="dxa" w:w="1512"/>
            <w:vAlign w:val="top"/>
          </w:tcPr>
          <w:p>
            <w:pPr>
              <w:spacing w:after="40" w:before="0" w:line="259" w:lineRule="auto"/>
            </w:pPr>
            <w:r>
              <w:rPr>
                <w:rFonts w:ascii="Calibri" w:hAnsi="Calibri"/>
                <w:b w:val="0"/>
                <w:i w:val="0"/>
                <w:color w:val="212121"/>
                <w:sz w:val="19"/>
              </w:rPr>
              <w:t>Feet and nails examined and treated concurrently until clear</w:t>
            </w:r>
          </w:p>
        </w:tc>
        <w:tc>
          <w:tcPr>
            <w:tcW w:type="dxa" w:w="1512"/>
            <w:vAlign w:val="top"/>
          </w:tcPr>
          <w:p>
            <w:pPr>
              <w:spacing w:after="40" w:before="0" w:line="259" w:lineRule="auto"/>
            </w:pPr>
            <w:r>
              <w:rPr>
                <w:rFonts w:ascii="Calibri" w:hAnsi="Calibri"/>
                <w:b w:val="0"/>
                <w:i w:val="0"/>
                <w:color w:val="212121"/>
                <w:sz w:val="19"/>
              </w:rPr>
              <w:t>Groin treated in isolation while feet/nails remain infected</w:t>
            </w:r>
          </w:p>
        </w:tc>
        <w:tc>
          <w:tcPr>
            <w:tcW w:type="dxa" w:w="1468"/>
            <w:vAlign w:val="top"/>
          </w:tcPr>
          <w:p>
            <w:pPr>
              <w:spacing w:after="60" w:line="259" w:lineRule="auto"/>
            </w:pPr>
            <w:r>
              <w:rPr>
                <w:rFonts w:ascii="Calibri" w:hAnsi="Calibri"/>
                <w:b w:val="0"/>
                <w:i w:val="0"/>
                <w:color w:val="212121"/>
                <w:sz w:val="19"/>
              </w:rPr>
              <w:t>Untreated feet and nails act as a reservoir causing repeated groin reinfection</w:t>
            </w:r>
          </w:p>
          <w:p>
            <w:pPr>
              <w:spacing w:after="40" w:line="252" w:lineRule="auto"/>
            </w:pPr>
            <w:hyperlink r:id="rId10">
              <w:r>
                <w:rPr>
                  <w:rFonts w:ascii="Calibri" w:hAnsi="Calibri" w:cs="Calibri"/>
                  <w:sz w:val="18"/>
                  <w:color w:val="1155CC"/>
                  <w:u w:val="single"/>
                </w:rPr>
                <w:t xml:space="preserve">https://www.merckmanuals.com/professional/dermatologic-disorders/fungal-skin-infections/tinea-cruris-jock-itch</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Antifungal course completion</w:t>
            </w:r>
          </w:p>
        </w:tc>
        <w:tc>
          <w:tcPr>
            <w:tcW w:type="dxa" w:w="1655"/>
            <w:vAlign w:val="top"/>
          </w:tcPr>
          <w:p>
            <w:pPr>
              <w:spacing w:after="40" w:before="0" w:line="259" w:lineRule="auto"/>
            </w:pPr>
            <w:r>
              <w:rPr>
                <w:rFonts w:ascii="Calibri" w:hAnsi="Calibri"/>
                <w:b w:val="0"/>
                <w:i w:val="0"/>
                <w:color w:val="212121"/>
                <w:sz w:val="19"/>
              </w:rPr>
              <w:t>All treated patients</w:t>
            </w:r>
          </w:p>
        </w:tc>
        <w:tc>
          <w:tcPr>
            <w:tcW w:type="dxa" w:w="1512"/>
            <w:vAlign w:val="top"/>
          </w:tcPr>
          <w:p>
            <w:pPr>
              <w:spacing w:after="40" w:before="0" w:line="259" w:lineRule="auto"/>
            </w:pPr>
            <w:r>
              <w:rPr>
                <w:rFonts w:ascii="Calibri" w:hAnsi="Calibri"/>
                <w:b w:val="0"/>
                <w:i w:val="0"/>
                <w:color w:val="212121"/>
                <w:sz w:val="19"/>
              </w:rPr>
              <w:t>Complete the full course and continue ≥ 1–2 weeks beyond clinical clearance; treat 2 cm beyond visible margin</w:t>
            </w:r>
          </w:p>
        </w:tc>
        <w:tc>
          <w:tcPr>
            <w:tcW w:type="dxa" w:w="1512"/>
            <w:vAlign w:val="top"/>
          </w:tcPr>
          <w:p>
            <w:pPr>
              <w:spacing w:after="40" w:before="0" w:line="259" w:lineRule="auto"/>
            </w:pPr>
            <w:r>
              <w:rPr>
                <w:rFonts w:ascii="Calibri" w:hAnsi="Calibri"/>
                <w:b w:val="0"/>
                <w:i w:val="0"/>
                <w:color w:val="212121"/>
                <w:sz w:val="19"/>
              </w:rPr>
              <w:t>Stopping antifungal as soon as itching settles</w:t>
            </w:r>
          </w:p>
        </w:tc>
        <w:tc>
          <w:tcPr>
            <w:tcW w:type="dxa" w:w="1468"/>
            <w:vAlign w:val="top"/>
          </w:tcPr>
          <w:p>
            <w:pPr>
              <w:spacing w:after="60" w:line="259" w:lineRule="auto"/>
            </w:pPr>
            <w:r>
              <w:rPr>
                <w:rFonts w:ascii="Calibri" w:hAnsi="Calibri"/>
                <w:b w:val="0"/>
                <w:i w:val="0"/>
                <w:color w:val="212121"/>
                <w:sz w:val="19"/>
              </w:rPr>
              <w:t>Premature stopping is a leading cause of relapse in the Indian epidemic</w:t>
            </w:r>
          </w:p>
          <w:p>
            <w:pPr>
              <w:spacing w:after="40" w:line="252" w:lineRule="auto"/>
            </w:pPr>
            <w:hyperlink r:id="rId12">
              <w:r>
                <w:rPr>
                  <w:rFonts w:ascii="Calibri" w:hAnsi="Calibri" w:cs="Calibri"/>
                  <w:sz w:val="18"/>
                  <w:color w:val="1155CC"/>
                  <w:u w:val="single"/>
                </w:rPr>
                <w:t xml:space="preserve">https://pmc.ncbi.nlm.nih.gov/articles/PMC6057051/</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w:t>
            </w:r>
          </w:p>
        </w:tc>
        <w:tc>
          <w:tcPr>
            <w:tcW w:type="dxa" w:w="1036"/>
            <w:vAlign w:val="top"/>
          </w:tcPr>
          <w:p>
            <w:pPr>
              <w:spacing w:after="40" w:before="0" w:line="259" w:lineRule="auto"/>
            </w:pPr>
            <w:r>
              <w:rPr>
                <w:rFonts w:ascii="Calibri" w:hAnsi="Calibri"/>
                <w:b w:val="0"/>
                <w:i w:val="0"/>
                <w:color w:val="212121"/>
                <w:sz w:val="16"/>
              </w:rPr>
              <w:t>Fungal hyphae in skin scraping</w:t>
            </w:r>
          </w:p>
        </w:tc>
        <w:tc>
          <w:tcPr>
            <w:tcW w:type="dxa" w:w="892"/>
            <w:vAlign w:val="top"/>
          </w:tcPr>
          <w:p>
            <w:pPr>
              <w:spacing w:after="40" w:before="0" w:line="259" w:lineRule="auto"/>
            </w:pPr>
            <w:r>
              <w:rPr>
                <w:rFonts w:ascii="Calibri" w:hAnsi="Calibri"/>
                <w:b w:val="0"/>
                <w:i w:val="0"/>
                <w:color w:val="212121"/>
                <w:sz w:val="16"/>
              </w:rPr>
              <w:t>KOH (potassium hydroxide) mount</w:t>
            </w:r>
          </w:p>
        </w:tc>
        <w:tc>
          <w:tcPr>
            <w:tcW w:type="dxa" w:w="950"/>
            <w:vAlign w:val="top"/>
          </w:tcPr>
          <w:p>
            <w:pPr>
              <w:spacing w:after="40" w:before="0" w:line="259" w:lineRule="auto"/>
            </w:pPr>
            <w:r>
              <w:rPr>
                <w:rFonts w:ascii="Calibri" w:hAnsi="Calibri"/>
                <w:b w:val="0"/>
                <w:i w:val="0"/>
                <w:color w:val="212121"/>
                <w:sz w:val="16"/>
              </w:rPr>
              <w:t>No fungal elements seen</w:t>
            </w:r>
          </w:p>
        </w:tc>
        <w:tc>
          <w:tcPr>
            <w:tcW w:type="dxa" w:w="950"/>
            <w:vAlign w:val="top"/>
          </w:tcPr>
          <w:p>
            <w:pPr>
              <w:spacing w:after="40" w:before="0" w:line="259" w:lineRule="auto"/>
            </w:pPr>
            <w:r>
              <w:rPr>
                <w:rFonts w:ascii="Calibri" w:hAnsi="Calibri"/>
                <w:b w:val="0"/>
                <w:i w:val="0"/>
                <w:color w:val="212121"/>
                <w:sz w:val="16"/>
              </w:rPr>
              <w:t>Branching, septate hyphae present</w:t>
            </w:r>
          </w:p>
        </w:tc>
        <w:tc>
          <w:tcPr>
            <w:tcW w:type="dxa" w:w="1036"/>
            <w:vAlign w:val="top"/>
          </w:tcPr>
          <w:p>
            <w:pPr>
              <w:spacing w:after="40" w:before="0" w:line="259" w:lineRule="auto"/>
            </w:pPr>
            <w:r>
              <w:rPr>
                <w:rFonts w:ascii="Calibri" w:hAnsi="Calibri"/>
                <w:b w:val="0"/>
                <w:i w:val="0"/>
                <w:color w:val="212121"/>
                <w:sz w:val="16"/>
              </w:rPr>
              <w:t>Confirms dermatophyte infection at the bedside</w:t>
            </w:r>
          </w:p>
        </w:tc>
        <w:tc>
          <w:tcPr>
            <w:tcW w:type="dxa" w:w="1036"/>
            <w:vAlign w:val="top"/>
          </w:tcPr>
          <w:p>
            <w:pPr>
              <w:spacing w:after="40" w:before="0" w:line="259" w:lineRule="auto"/>
            </w:pPr>
            <w:r>
              <w:rPr>
                <w:rFonts w:ascii="Calibri" w:hAnsi="Calibri"/>
                <w:b w:val="0"/>
                <w:i w:val="0"/>
                <w:color w:val="212121"/>
                <w:sz w:val="16"/>
              </w:rPr>
              <w:t>All suspected tinea cruris; steroid-modified/atypical lesions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 (bedside)</w:t>
            </w:r>
          </w:p>
        </w:tc>
        <w:tc>
          <w:tcPr>
            <w:tcW w:type="dxa" w:w="720"/>
            <w:vAlign w:val="top"/>
          </w:tcPr>
          <w:p>
            <w:pPr>
              <w:spacing w:after="40" w:before="0" w:line="259" w:lineRule="auto"/>
            </w:pPr>
            <w:r>
              <w:rPr>
                <w:rFonts w:ascii="Calibri" w:hAnsi="Calibri"/>
                <w:b w:val="0"/>
                <w:i w:val="0"/>
                <w:color w:val="212121"/>
                <w:sz w:val="16"/>
              </w:rPr>
              <w:t>Scrape the active raised edge; 10–20% KOH, gentle warming aids clearing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w:t>
            </w:r>
          </w:p>
        </w:tc>
        <w:tc>
          <w:tcPr>
            <w:tcW w:type="dxa" w:w="1036"/>
            <w:vAlign w:val="top"/>
          </w:tcPr>
          <w:p>
            <w:pPr>
              <w:spacing w:after="40" w:before="0" w:line="259" w:lineRule="auto"/>
            </w:pPr>
            <w:r>
              <w:rPr>
                <w:rFonts w:ascii="Calibri" w:hAnsi="Calibri"/>
                <w:b w:val="0"/>
                <w:i w:val="0"/>
                <w:color w:val="212121"/>
                <w:sz w:val="16"/>
              </w:rPr>
              <w:t>Dermatophyte species</w:t>
            </w:r>
          </w:p>
        </w:tc>
        <w:tc>
          <w:tcPr>
            <w:tcW w:type="dxa" w:w="892"/>
            <w:vAlign w:val="top"/>
          </w:tcPr>
          <w:p>
            <w:pPr>
              <w:spacing w:after="40" w:before="0" w:line="259" w:lineRule="auto"/>
            </w:pPr>
            <w:r>
              <w:rPr>
                <w:rFonts w:ascii="Calibri" w:hAnsi="Calibri"/>
                <w:b w:val="0"/>
                <w:i w:val="0"/>
                <w:color w:val="212121"/>
                <w:sz w:val="16"/>
              </w:rPr>
              <w:t>Fungal culture on Sabouraud dextrose agar</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Growth of Trichophyton / Epidermophyton species</w:t>
            </w:r>
          </w:p>
        </w:tc>
        <w:tc>
          <w:tcPr>
            <w:tcW w:type="dxa" w:w="1036"/>
            <w:vAlign w:val="top"/>
          </w:tcPr>
          <w:p>
            <w:pPr>
              <w:spacing w:after="40" w:before="0" w:line="259" w:lineRule="auto"/>
            </w:pPr>
            <w:r>
              <w:rPr>
                <w:rFonts w:ascii="Calibri" w:hAnsi="Calibri"/>
                <w:b w:val="0"/>
                <w:i w:val="0"/>
                <w:color w:val="212121"/>
                <w:sz w:val="16"/>
              </w:rPr>
              <w:t>Speciates the fungus and informs epidemiology</w:t>
            </w:r>
          </w:p>
        </w:tc>
        <w:tc>
          <w:tcPr>
            <w:tcW w:type="dxa" w:w="1036"/>
            <w:vAlign w:val="top"/>
          </w:tcPr>
          <w:p>
            <w:pPr>
              <w:spacing w:after="40" w:before="0" w:line="259" w:lineRule="auto"/>
            </w:pPr>
            <w:r>
              <w:rPr>
                <w:rFonts w:ascii="Calibri" w:hAnsi="Calibri"/>
                <w:b w:val="0"/>
                <w:i w:val="0"/>
                <w:color w:val="212121"/>
                <w:sz w:val="16"/>
              </w:rPr>
              <w:t>Chronic, recurrent, extensive or treatment-failing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SDA with cycloheximide/chloramphenicol, 25–28°C, up to 4 weeks; positivity only ~65–75% even if KOH-positive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 / susceptibility</w:t>
            </w:r>
          </w:p>
        </w:tc>
        <w:tc>
          <w:tcPr>
            <w:tcW w:type="dxa" w:w="1036"/>
            <w:vAlign w:val="top"/>
          </w:tcPr>
          <w:p>
            <w:pPr>
              <w:spacing w:after="40" w:before="0" w:line="259" w:lineRule="auto"/>
            </w:pPr>
            <w:r>
              <w:rPr>
                <w:rFonts w:ascii="Calibri" w:hAnsi="Calibri"/>
                <w:b w:val="0"/>
                <w:i w:val="0"/>
                <w:color w:val="212121"/>
                <w:sz w:val="16"/>
              </w:rPr>
              <w:t>Terbinafine MIC</w:t>
            </w:r>
          </w:p>
        </w:tc>
        <w:tc>
          <w:tcPr>
            <w:tcW w:type="dxa" w:w="892"/>
            <w:vAlign w:val="top"/>
          </w:tcPr>
          <w:p>
            <w:pPr>
              <w:spacing w:after="40" w:before="0" w:line="259" w:lineRule="auto"/>
            </w:pPr>
            <w:r>
              <w:rPr>
                <w:rFonts w:ascii="Calibri" w:hAnsi="Calibri"/>
                <w:b w:val="0"/>
                <w:i w:val="0"/>
                <w:color w:val="212121"/>
                <w:sz w:val="16"/>
              </w:rPr>
              <w:t>Antifungal susceptibility testing</w:t>
            </w:r>
          </w:p>
        </w:tc>
        <w:tc>
          <w:tcPr>
            <w:tcW w:type="dxa" w:w="950"/>
            <w:vAlign w:val="top"/>
          </w:tcPr>
          <w:p>
            <w:pPr>
              <w:spacing w:after="40" w:before="0" w:line="259" w:lineRule="auto"/>
            </w:pPr>
            <w:r>
              <w:rPr>
                <w:rFonts w:ascii="Calibri" w:hAnsi="Calibri"/>
                <w:b w:val="0"/>
                <w:i w:val="0"/>
                <w:color w:val="212121"/>
                <w:sz w:val="16"/>
              </w:rPr>
              <w:t>Terbinafine MIC &lt; 0.5 µg/mL (susceptible)</w:t>
            </w:r>
          </w:p>
        </w:tc>
        <w:tc>
          <w:tcPr>
            <w:tcW w:type="dxa" w:w="950"/>
            <w:vAlign w:val="top"/>
          </w:tcPr>
          <w:p>
            <w:pPr>
              <w:spacing w:after="40" w:before="0" w:line="259" w:lineRule="auto"/>
            </w:pPr>
            <w:r>
              <w:rPr>
                <w:rFonts w:ascii="Calibri" w:hAnsi="Calibri"/>
                <w:b w:val="0"/>
                <w:i w:val="0"/>
                <w:color w:val="212121"/>
                <w:sz w:val="16"/>
              </w:rPr>
              <w:t>MIC ≥ 0.5 µg/mL (resistant; e.g., T. indotineae)</w:t>
            </w:r>
          </w:p>
        </w:tc>
        <w:tc>
          <w:tcPr>
            <w:tcW w:type="dxa" w:w="1036"/>
            <w:vAlign w:val="top"/>
          </w:tcPr>
          <w:p>
            <w:pPr>
              <w:spacing w:after="40" w:before="0" w:line="259" w:lineRule="auto"/>
            </w:pPr>
            <w:r>
              <w:rPr>
                <w:rFonts w:ascii="Calibri" w:hAnsi="Calibri"/>
                <w:b w:val="0"/>
                <w:i w:val="0"/>
                <w:color w:val="212121"/>
                <w:sz w:val="16"/>
              </w:rPr>
              <w:t>Identifies terbinafine-resistant dermatophytes and guides drug choice</w:t>
            </w:r>
          </w:p>
        </w:tc>
        <w:tc>
          <w:tcPr>
            <w:tcW w:type="dxa" w:w="1036"/>
            <w:vAlign w:val="top"/>
          </w:tcPr>
          <w:p>
            <w:pPr>
              <w:spacing w:after="40" w:before="0" w:line="259" w:lineRule="auto"/>
            </w:pPr>
            <w:r>
              <w:rPr>
                <w:rFonts w:ascii="Calibri" w:hAnsi="Calibri"/>
                <w:b w:val="0"/>
                <w:i w:val="0"/>
                <w:color w:val="212121"/>
                <w:sz w:val="16"/>
              </w:rPr>
              <w:t>Recalcitrant / non-responding extensive dermatophytosis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Guides therapy</w:t>
            </w:r>
          </w:p>
        </w:tc>
        <w:tc>
          <w:tcPr>
            <w:tcW w:type="dxa" w:w="720"/>
            <w:vAlign w:val="top"/>
          </w:tcPr>
          <w:p>
            <w:pPr>
              <w:spacing w:after="40" w:before="0" w:line="259" w:lineRule="auto"/>
            </w:pPr>
            <w:r>
              <w:rPr>
                <w:rFonts w:ascii="Calibri" w:hAnsi="Calibri"/>
                <w:b w:val="0"/>
                <w:i w:val="0"/>
                <w:color w:val="212121"/>
                <w:sz w:val="16"/>
              </w:rPr>
              <w:t>~30–80% of T. indotineae isolates show raised terbinafine MIC via SQLE gene mutations; itraconazole preferred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Hyphae in stratum corneum</w:t>
            </w:r>
          </w:p>
        </w:tc>
        <w:tc>
          <w:tcPr>
            <w:tcW w:type="dxa" w:w="892"/>
            <w:vAlign w:val="top"/>
          </w:tcPr>
          <w:p>
            <w:pPr>
              <w:spacing w:after="40" w:before="0" w:line="259" w:lineRule="auto"/>
            </w:pPr>
            <w:r>
              <w:rPr>
                <w:rFonts w:ascii="Calibri" w:hAnsi="Calibri"/>
                <w:b w:val="0"/>
                <w:i w:val="0"/>
                <w:color w:val="212121"/>
                <w:sz w:val="16"/>
              </w:rPr>
              <w:t>Skin biopsy with PAS stain</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PAS-positive hyphae in the stratum corneum</w:t>
            </w:r>
          </w:p>
        </w:tc>
        <w:tc>
          <w:tcPr>
            <w:tcW w:type="dxa" w:w="1036"/>
            <w:vAlign w:val="top"/>
          </w:tcPr>
          <w:p>
            <w:pPr>
              <w:spacing w:after="40" w:before="0" w:line="259" w:lineRule="auto"/>
            </w:pPr>
            <w:r>
              <w:rPr>
                <w:rFonts w:ascii="Calibri" w:hAnsi="Calibri"/>
                <w:b w:val="0"/>
                <w:i w:val="0"/>
                <w:color w:val="212121"/>
                <w:sz w:val="16"/>
              </w:rPr>
              <w:t>Confirms tinea when KOH negative or morphology is steroid-modified</w:t>
            </w:r>
          </w:p>
        </w:tc>
        <w:tc>
          <w:tcPr>
            <w:tcW w:type="dxa" w:w="1036"/>
            <w:vAlign w:val="top"/>
          </w:tcPr>
          <w:p>
            <w:pPr>
              <w:spacing w:after="40" w:before="0" w:line="259" w:lineRule="auto"/>
            </w:pPr>
            <w:r>
              <w:rPr>
                <w:rFonts w:ascii="Calibri" w:hAnsi="Calibri"/>
                <w:b w:val="0"/>
                <w:i w:val="0"/>
                <w:color w:val="212121"/>
                <w:sz w:val="16"/>
              </w:rPr>
              <w:t>Tinea incognito / atypical or KOH-negative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(selected)</w:t>
            </w:r>
          </w:p>
        </w:tc>
        <w:tc>
          <w:tcPr>
            <w:tcW w:type="dxa" w:w="720"/>
            <w:vAlign w:val="top"/>
          </w:tcPr>
          <w:p>
            <w:pPr>
              <w:spacing w:after="40" w:before="0" w:line="259" w:lineRule="auto"/>
            </w:pPr>
            <w:r>
              <w:rPr>
                <w:rFonts w:ascii="Calibri" w:hAnsi="Calibri"/>
                <w:b w:val="0"/>
                <w:i w:val="0"/>
                <w:color w:val="212121"/>
                <w:sz w:val="16"/>
              </w:rPr>
              <w:t>Useful when topical steroids have obscured the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screening</w:t>
            </w:r>
          </w:p>
        </w:tc>
        <w:tc>
          <w:tcPr>
            <w:tcW w:type="dxa" w:w="950"/>
            <w:vAlign w:val="top"/>
          </w:tcPr>
          <w:p>
            <w:pPr>
              <w:spacing w:after="40" w:before="0" w:line="259" w:lineRule="auto"/>
            </w:pPr>
            <w:r>
              <w:rPr>
                <w:rFonts w:ascii="Calibri" w:hAnsi="Calibri"/>
                <w:b w:val="0"/>
                <w:i w:val="0"/>
                <w:color w:val="212121"/>
                <w:sz w:val="16"/>
              </w:rPr>
              <w:t>Fasting &lt; 100 mg/dL; HbA1c &lt; 5.7%</w:t>
            </w:r>
          </w:p>
        </w:tc>
        <w:tc>
          <w:tcPr>
            <w:tcW w:type="dxa" w:w="950"/>
            <w:vAlign w:val="top"/>
          </w:tcPr>
          <w:p>
            <w:pPr>
              <w:spacing w:after="40" w:before="0" w:line="259" w:lineRule="auto"/>
            </w:pPr>
            <w:r>
              <w:rPr>
                <w:rFonts w:ascii="Calibri" w:hAnsi="Calibri"/>
                <w:b w:val="0"/>
                <w:i w:val="0"/>
                <w:color w:val="212121"/>
                <w:sz w:val="16"/>
              </w:rPr>
              <w:t>Fasting ≥ 126 mg/dL; HbA1c ≥ 6.5%</w:t>
            </w:r>
          </w:p>
        </w:tc>
        <w:tc>
          <w:tcPr>
            <w:tcW w:type="dxa" w:w="1036"/>
            <w:vAlign w:val="top"/>
          </w:tcPr>
          <w:p>
            <w:pPr>
              <w:spacing w:after="40" w:before="0" w:line="259" w:lineRule="auto"/>
            </w:pPr>
            <w:r>
              <w:rPr>
                <w:rFonts w:ascii="Calibri" w:hAnsi="Calibri"/>
                <w:b w:val="0"/>
                <w:i w:val="0"/>
                <w:color w:val="212121"/>
                <w:sz w:val="16"/>
              </w:rPr>
              <w:t>Screens for underlying diabetes predisposing to chronicity</w:t>
            </w:r>
          </w:p>
        </w:tc>
        <w:tc>
          <w:tcPr>
            <w:tcW w:type="dxa" w:w="1036"/>
            <w:vAlign w:val="top"/>
          </w:tcPr>
          <w:p>
            <w:pPr>
              <w:spacing w:after="40" w:before="0" w:line="259" w:lineRule="auto"/>
            </w:pPr>
            <w:r>
              <w:rPr>
                <w:rFonts w:ascii="Calibri" w:hAnsi="Calibri"/>
                <w:b w:val="0"/>
                <w:i w:val="0"/>
                <w:color w:val="212121"/>
                <w:sz w:val="16"/>
              </w:rPr>
              <w:t>Chronic, recurrent or extensive tinea; older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 for predisposition</w:t>
            </w:r>
          </w:p>
        </w:tc>
        <w:tc>
          <w:tcPr>
            <w:tcW w:type="dxa" w:w="720"/>
            <w:vAlign w:val="top"/>
          </w:tcPr>
          <w:p>
            <w:pPr>
              <w:spacing w:after="40" w:before="0" w:line="259" w:lineRule="auto"/>
            </w:pPr>
            <w:r>
              <w:rPr>
                <w:rFonts w:ascii="Calibri" w:hAnsi="Calibri"/>
                <w:b w:val="0"/>
                <w:i w:val="0"/>
                <w:color w:val="212121"/>
                <w:sz w:val="16"/>
              </w:rPr>
              <w:t>Diabetes carries adjusted OR ~9.56 for chronic/relapsing tinea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(selected)</w:t>
            </w:r>
          </w:p>
        </w:tc>
        <w:tc>
          <w:tcPr>
            <w:tcW w:type="dxa" w:w="1036"/>
            <w:vAlign w:val="top"/>
          </w:tcPr>
          <w:p>
            <w:pPr>
              <w:spacing w:after="40" w:before="0" w:line="259" w:lineRule="auto"/>
            </w:pPr>
            <w:r>
              <w:rPr>
                <w:rFonts w:ascii="Calibri" w:hAnsi="Calibri"/>
                <w:b w:val="0"/>
                <w:i w:val="0"/>
                <w:color w:val="212121"/>
                <w:sz w:val="16"/>
              </w:rPr>
              <w:t>HIV / immune status</w:t>
            </w:r>
          </w:p>
        </w:tc>
        <w:tc>
          <w:tcPr>
            <w:tcW w:type="dxa" w:w="892"/>
            <w:vAlign w:val="top"/>
          </w:tcPr>
          <w:p>
            <w:pPr>
              <w:spacing w:after="40" w:before="0" w:line="259" w:lineRule="auto"/>
            </w:pPr>
            <w:r>
              <w:rPr>
                <w:rFonts w:ascii="Calibri" w:hAnsi="Calibri"/>
                <w:b w:val="0"/>
                <w:i w:val="0"/>
                <w:color w:val="212121"/>
                <w:sz w:val="16"/>
              </w:rPr>
              <w:t>HIV serology and immune workup</w:t>
            </w:r>
          </w:p>
        </w:tc>
        <w:tc>
          <w:tcPr>
            <w:tcW w:type="dxa" w:w="950"/>
            <w:vAlign w:val="top"/>
          </w:tcPr>
          <w:p>
            <w:pPr>
              <w:spacing w:after="40" w:before="0" w:line="259" w:lineRule="auto"/>
            </w:pPr>
            <w:r>
              <w:rPr>
                <w:rFonts w:ascii="Calibri" w:hAnsi="Calibri"/>
                <w:b w:val="0"/>
                <w:i w:val="0"/>
                <w:color w:val="212121"/>
                <w:sz w:val="16"/>
              </w:rPr>
              <w:t>Non-reactive; immune-competent</w:t>
            </w:r>
          </w:p>
        </w:tc>
        <w:tc>
          <w:tcPr>
            <w:tcW w:type="dxa" w:w="950"/>
            <w:vAlign w:val="top"/>
          </w:tcPr>
          <w:p>
            <w:pPr>
              <w:spacing w:after="40" w:before="0" w:line="259" w:lineRule="auto"/>
            </w:pPr>
            <w:r>
              <w:rPr>
                <w:rFonts w:ascii="Calibri" w:hAnsi="Calibri"/>
                <w:b w:val="0"/>
                <w:i w:val="0"/>
                <w:color w:val="212121"/>
                <w:sz w:val="16"/>
              </w:rPr>
              <w:t>Reactive / evidence of immunosuppression</w:t>
            </w:r>
          </w:p>
        </w:tc>
        <w:tc>
          <w:tcPr>
            <w:tcW w:type="dxa" w:w="1036"/>
            <w:vAlign w:val="top"/>
          </w:tcPr>
          <w:p>
            <w:pPr>
              <w:spacing w:after="40" w:before="0" w:line="259" w:lineRule="auto"/>
            </w:pPr>
            <w:r>
              <w:rPr>
                <w:rFonts w:ascii="Calibri" w:hAnsi="Calibri"/>
                <w:b w:val="0"/>
                <w:i w:val="0"/>
                <w:color w:val="212121"/>
                <w:sz w:val="16"/>
              </w:rPr>
              <w:t>Uncovers immunosuppression underlying widespread or recalcitrant disease</w:t>
            </w:r>
          </w:p>
        </w:tc>
        <w:tc>
          <w:tcPr>
            <w:tcW w:type="dxa" w:w="1036"/>
            <w:vAlign w:val="top"/>
          </w:tcPr>
          <w:p>
            <w:pPr>
              <w:spacing w:after="40" w:before="0" w:line="259" w:lineRule="auto"/>
            </w:pPr>
            <w:r>
              <w:rPr>
                <w:rFonts w:ascii="Calibri" w:hAnsi="Calibri"/>
                <w:b w:val="0"/>
                <w:i w:val="0"/>
                <w:color w:val="212121"/>
                <w:sz w:val="16"/>
              </w:rPr>
              <w:t>Extensive, atypical or unexplained recalcitrant dermatophytosis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Consider when disease is disproportionately severe or refractory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Itchy groin rash, duration and spread</w:t>
            </w:r>
          </w:p>
        </w:tc>
        <w:tc>
          <w:tcPr>
            <w:tcW w:type="dxa" w:w="950"/>
            <w:vAlign w:val="top"/>
          </w:tcPr>
          <w:p>
            <w:pPr>
              <w:spacing w:after="40" w:before="0" w:line="259" w:lineRule="auto"/>
            </w:pPr>
            <w:r>
              <w:rPr>
                <w:rFonts w:ascii="Calibri" w:hAnsi="Calibri"/>
                <w:b w:val="0"/>
                <w:i w:val="0"/>
                <w:color w:val="212121"/>
                <w:sz w:val="16"/>
              </w:rPr>
              <w:t>No groin symptoms</w:t>
            </w:r>
          </w:p>
        </w:tc>
        <w:tc>
          <w:tcPr>
            <w:tcW w:type="dxa" w:w="950"/>
            <w:vAlign w:val="top"/>
          </w:tcPr>
          <w:p>
            <w:pPr>
              <w:spacing w:after="40" w:before="0" w:line="259" w:lineRule="auto"/>
            </w:pPr>
            <w:r>
              <w:rPr>
                <w:rFonts w:ascii="Calibri" w:hAnsi="Calibri"/>
                <w:b w:val="0"/>
                <w:i w:val="0"/>
                <w:color w:val="212121"/>
                <w:sz w:val="16"/>
              </w:rPr>
              <w:t>Pruritic spreading rash, especially &gt; 4 weeks or recurrent</w:t>
            </w:r>
          </w:p>
        </w:tc>
        <w:tc>
          <w:tcPr>
            <w:tcW w:type="dxa" w:w="1036"/>
            <w:vAlign w:val="top"/>
          </w:tcPr>
          <w:p>
            <w:pPr>
              <w:spacing w:after="40" w:before="0" w:line="259" w:lineRule="auto"/>
            </w:pPr>
            <w:r>
              <w:rPr>
                <w:rFonts w:ascii="Calibri" w:hAnsi="Calibri"/>
                <w:b w:val="0"/>
                <w:i w:val="0"/>
                <w:color w:val="212121"/>
                <w:sz w:val="16"/>
              </w:rPr>
              <w:t>Establishes chronicity and the classic itch-plus-ring pattern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Itch worsening with heat and sweating is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Topical/OTC treatment history</w:t>
            </w:r>
          </w:p>
        </w:tc>
        <w:tc>
          <w:tcPr>
            <w:tcW w:type="dxa" w:w="979"/>
            <w:vAlign w:val="top"/>
          </w:tcPr>
          <w:p>
            <w:pPr>
              <w:spacing w:after="40" w:before="0" w:line="259" w:lineRule="auto"/>
            </w:pPr>
            <w:r>
              <w:rPr>
                <w:rFonts w:ascii="Calibri" w:hAnsi="Calibri"/>
                <w:b w:val="0"/>
                <w:i w:val="0"/>
                <w:color w:val="212121"/>
                <w:sz w:val="16"/>
              </w:rPr>
              <w:t>Use of steroid or combination creams</w:t>
            </w:r>
          </w:p>
        </w:tc>
        <w:tc>
          <w:tcPr>
            <w:tcW w:type="dxa" w:w="950"/>
            <w:vAlign w:val="top"/>
          </w:tcPr>
          <w:p>
            <w:pPr>
              <w:spacing w:after="40" w:before="0" w:line="259" w:lineRule="auto"/>
            </w:pPr>
            <w:r>
              <w:rPr>
                <w:rFonts w:ascii="Calibri" w:hAnsi="Calibri"/>
                <w:b w:val="0"/>
                <w:i w:val="0"/>
                <w:color w:val="212121"/>
                <w:sz w:val="16"/>
              </w:rPr>
              <w:t>No steroid/combination-cream use</w:t>
            </w:r>
          </w:p>
        </w:tc>
        <w:tc>
          <w:tcPr>
            <w:tcW w:type="dxa" w:w="950"/>
            <w:vAlign w:val="top"/>
          </w:tcPr>
          <w:p>
            <w:pPr>
              <w:spacing w:after="40" w:before="0" w:line="259" w:lineRule="auto"/>
            </w:pPr>
            <w:r>
              <w:rPr>
                <w:rFonts w:ascii="Calibri" w:hAnsi="Calibri"/>
                <w:b w:val="0"/>
                <w:i w:val="0"/>
                <w:color w:val="212121"/>
                <w:sz w:val="16"/>
              </w:rPr>
              <w:t>Any prior topical steroid or fixed-dose combination cream</w:t>
            </w:r>
          </w:p>
        </w:tc>
        <w:tc>
          <w:tcPr>
            <w:tcW w:type="dxa" w:w="1036"/>
            <w:vAlign w:val="top"/>
          </w:tcPr>
          <w:p>
            <w:pPr>
              <w:spacing w:after="40" w:before="0" w:line="259" w:lineRule="auto"/>
            </w:pPr>
            <w:r>
              <w:rPr>
                <w:rFonts w:ascii="Calibri" w:hAnsi="Calibri"/>
                <w:b w:val="0"/>
                <w:i w:val="0"/>
                <w:color w:val="212121"/>
                <w:sz w:val="16"/>
              </w:rPr>
              <w:t>Flags steroid-modified tinea and a driver of chronicity/resistance</w:t>
            </w:r>
          </w:p>
        </w:tc>
        <w:tc>
          <w:tcPr>
            <w:tcW w:type="dxa" w:w="1036"/>
            <w:vAlign w:val="top"/>
          </w:tcPr>
          <w:p>
            <w:pPr>
              <w:spacing w:after="40" w:before="0" w:line="259" w:lineRule="auto"/>
            </w:pPr>
            <w:r>
              <w:rPr>
                <w:rFonts w:ascii="Calibri" w:hAnsi="Calibri"/>
                <w:b w:val="0"/>
                <w:i w:val="0"/>
                <w:color w:val="212121"/>
                <w:sz w:val="16"/>
              </w:rPr>
              <w:t>Self-medicators; chronic/atypical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(must stop)</w:t>
            </w:r>
          </w:p>
        </w:tc>
        <w:tc>
          <w:tcPr>
            <w:tcW w:type="dxa" w:w="720"/>
            <w:vAlign w:val="top"/>
          </w:tcPr>
          <w:p>
            <w:pPr>
              <w:spacing w:after="40" w:before="0" w:line="259" w:lineRule="auto"/>
            </w:pPr>
            <w:r>
              <w:rPr>
                <w:rFonts w:ascii="Calibri" w:hAnsi="Calibri"/>
                <w:b w:val="0"/>
                <w:i w:val="0"/>
                <w:color w:val="212121"/>
                <w:sz w:val="16"/>
              </w:rPr>
              <w:t>Documented in ~42–81% of Indian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Household / contact history</w:t>
            </w:r>
          </w:p>
        </w:tc>
        <w:tc>
          <w:tcPr>
            <w:tcW w:type="dxa" w:w="979"/>
            <w:vAlign w:val="top"/>
          </w:tcPr>
          <w:p>
            <w:pPr>
              <w:spacing w:after="40" w:before="0" w:line="259" w:lineRule="auto"/>
            </w:pPr>
            <w:r>
              <w:rPr>
                <w:rFonts w:ascii="Calibri" w:hAnsi="Calibri"/>
                <w:b w:val="0"/>
                <w:i w:val="0"/>
                <w:color w:val="212121"/>
                <w:sz w:val="16"/>
              </w:rPr>
              <w:t>Similar rash in family or close contacts</w:t>
            </w:r>
          </w:p>
        </w:tc>
        <w:tc>
          <w:tcPr>
            <w:tcW w:type="dxa" w:w="950"/>
            <w:vAlign w:val="top"/>
          </w:tcPr>
          <w:p>
            <w:pPr>
              <w:spacing w:after="40" w:before="0" w:line="259" w:lineRule="auto"/>
            </w:pPr>
            <w:r>
              <w:rPr>
                <w:rFonts w:ascii="Calibri" w:hAnsi="Calibri"/>
                <w:b w:val="0"/>
                <w:i w:val="0"/>
                <w:color w:val="212121"/>
                <w:sz w:val="16"/>
              </w:rPr>
              <w:t>No affected contacts</w:t>
            </w:r>
          </w:p>
        </w:tc>
        <w:tc>
          <w:tcPr>
            <w:tcW w:type="dxa" w:w="950"/>
            <w:vAlign w:val="top"/>
          </w:tcPr>
          <w:p>
            <w:pPr>
              <w:spacing w:after="40" w:before="0" w:line="259" w:lineRule="auto"/>
            </w:pPr>
            <w:r>
              <w:rPr>
                <w:rFonts w:ascii="Calibri" w:hAnsi="Calibri"/>
                <w:b w:val="0"/>
                <w:i w:val="0"/>
                <w:color w:val="212121"/>
                <w:sz w:val="16"/>
              </w:rPr>
              <w:t>≥ 1 affected household member or partner</w:t>
            </w:r>
          </w:p>
        </w:tc>
        <w:tc>
          <w:tcPr>
            <w:tcW w:type="dxa" w:w="1036"/>
            <w:vAlign w:val="top"/>
          </w:tcPr>
          <w:p>
            <w:pPr>
              <w:spacing w:after="40" w:before="0" w:line="259" w:lineRule="auto"/>
            </w:pPr>
            <w:r>
              <w:rPr>
                <w:rFonts w:ascii="Calibri" w:hAnsi="Calibri"/>
                <w:b w:val="0"/>
                <w:i w:val="0"/>
                <w:color w:val="212121"/>
                <w:sz w:val="16"/>
              </w:rPr>
              <w:t>Identifies an ongoing reinfection source needing simultaneous treatment</w:t>
            </w:r>
          </w:p>
        </w:tc>
        <w:tc>
          <w:tcPr>
            <w:tcW w:type="dxa" w:w="1036"/>
            <w:vAlign w:val="top"/>
          </w:tcPr>
          <w:p>
            <w:pPr>
              <w:spacing w:after="40" w:before="0" w:line="259" w:lineRule="auto"/>
            </w:pPr>
            <w:r>
              <w:rPr>
                <w:rFonts w:ascii="Calibri" w:hAnsi="Calibri"/>
                <w:b w:val="0"/>
                <w:i w:val="0"/>
                <w:color w:val="212121"/>
                <w:sz w:val="16"/>
              </w:rPr>
              <w:t>Household clusters; recurrent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 / preventive</w:t>
            </w:r>
          </w:p>
        </w:tc>
        <w:tc>
          <w:tcPr>
            <w:tcW w:type="dxa" w:w="720"/>
            <w:vAlign w:val="top"/>
          </w:tcPr>
          <w:p>
            <w:pPr>
              <w:spacing w:after="40" w:before="0" w:line="259" w:lineRule="auto"/>
            </w:pPr>
            <w:r>
              <w:rPr>
                <w:rFonts w:ascii="Calibri" w:hAnsi="Calibri"/>
                <w:b w:val="0"/>
                <w:i w:val="0"/>
                <w:color w:val="212121"/>
                <w:sz w:val="16"/>
              </w:rPr>
              <w:t>Family history/contact carries adjusted OR ~5.06 for chronic tinea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screen</w:t>
            </w:r>
          </w:p>
        </w:tc>
        <w:tc>
          <w:tcPr>
            <w:tcW w:type="dxa" w:w="979"/>
            <w:vAlign w:val="top"/>
          </w:tcPr>
          <w:p>
            <w:pPr>
              <w:spacing w:after="40" w:before="0" w:line="259" w:lineRule="auto"/>
            </w:pPr>
            <w:r>
              <w:rPr>
                <w:rFonts w:ascii="Calibri" w:hAnsi="Calibri"/>
                <w:b w:val="0"/>
                <w:i w:val="0"/>
                <w:color w:val="212121"/>
                <w:sz w:val="16"/>
              </w:rPr>
              <w:t>Diabetes, obesity, immunosuppression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predisposing comorbidity present</w:t>
            </w:r>
          </w:p>
        </w:tc>
        <w:tc>
          <w:tcPr>
            <w:tcW w:type="dxa" w:w="1036"/>
            <w:vAlign w:val="top"/>
          </w:tcPr>
          <w:p>
            <w:pPr>
              <w:spacing w:after="40" w:before="0" w:line="259" w:lineRule="auto"/>
            </w:pPr>
            <w:r>
              <w:rPr>
                <w:rFonts w:ascii="Calibri" w:hAnsi="Calibri"/>
                <w:b w:val="0"/>
                <w:i w:val="0"/>
                <w:color w:val="212121"/>
                <w:sz w:val="16"/>
              </w:rPr>
              <w:t>Detects host factors that drive chronic and extensive disease</w:t>
            </w:r>
          </w:p>
        </w:tc>
        <w:tc>
          <w:tcPr>
            <w:tcW w:type="dxa" w:w="1036"/>
            <w:vAlign w:val="top"/>
          </w:tcPr>
          <w:p>
            <w:pPr>
              <w:spacing w:after="40" w:before="0" w:line="259" w:lineRule="auto"/>
            </w:pPr>
            <w:r>
              <w:rPr>
                <w:rFonts w:ascii="Calibri" w:hAnsi="Calibri"/>
                <w:b w:val="0"/>
                <w:i w:val="0"/>
                <w:color w:val="212121"/>
                <w:sz w:val="16"/>
              </w:rPr>
              <w:t>Chronic, recurrent, elderly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glycaemic control and immune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Morphology of active border</w:t>
            </w:r>
          </w:p>
        </w:tc>
        <w:tc>
          <w:tcPr>
            <w:tcW w:type="dxa" w:w="979"/>
            <w:vAlign w:val="top"/>
          </w:tcPr>
          <w:p>
            <w:pPr>
              <w:spacing w:after="40" w:before="0" w:line="259" w:lineRule="auto"/>
            </w:pPr>
            <w:r>
              <w:rPr>
                <w:rFonts w:ascii="Calibri" w:hAnsi="Calibri"/>
                <w:b w:val="0"/>
                <w:i w:val="0"/>
                <w:color w:val="212121"/>
                <w:sz w:val="16"/>
              </w:rPr>
              <w:t>Annular plaque with raised scaly edge, central clearing, scrotal sparing</w:t>
            </w:r>
          </w:p>
        </w:tc>
        <w:tc>
          <w:tcPr>
            <w:tcW w:type="dxa" w:w="950"/>
            <w:vAlign w:val="top"/>
          </w:tcPr>
          <w:p>
            <w:pPr>
              <w:spacing w:after="40" w:before="0" w:line="259" w:lineRule="auto"/>
            </w:pPr>
            <w:r>
              <w:rPr>
                <w:rFonts w:ascii="Calibri" w:hAnsi="Calibri"/>
                <w:b w:val="0"/>
                <w:i w:val="0"/>
                <w:color w:val="212121"/>
                <w:sz w:val="16"/>
              </w:rPr>
              <w:t>Normal groin skin</w:t>
            </w:r>
          </w:p>
        </w:tc>
        <w:tc>
          <w:tcPr>
            <w:tcW w:type="dxa" w:w="950"/>
            <w:vAlign w:val="top"/>
          </w:tcPr>
          <w:p>
            <w:pPr>
              <w:spacing w:after="40" w:before="0" w:line="259" w:lineRule="auto"/>
            </w:pPr>
            <w:r>
              <w:rPr>
                <w:rFonts w:ascii="Calibri" w:hAnsi="Calibri"/>
                <w:b w:val="0"/>
                <w:i w:val="0"/>
                <w:color w:val="212121"/>
                <w:sz w:val="16"/>
              </w:rPr>
              <w:t>Well-demarcated advancing scaly border; scrotum/penis usually spared</w:t>
            </w:r>
          </w:p>
        </w:tc>
        <w:tc>
          <w:tcPr>
            <w:tcW w:type="dxa" w:w="1036"/>
            <w:vAlign w:val="top"/>
          </w:tcPr>
          <w:p>
            <w:pPr>
              <w:spacing w:after="40" w:before="0" w:line="259" w:lineRule="auto"/>
            </w:pPr>
            <w:r>
              <w:rPr>
                <w:rFonts w:ascii="Calibri" w:hAnsi="Calibri"/>
                <w:b w:val="0"/>
                <w:i w:val="0"/>
                <w:color w:val="212121"/>
                <w:sz w:val="16"/>
              </w:rPr>
              <w:t>Confirms classic tinea cruris and distinguishes it from candidal intertrigo</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Steroid-modified lesions lose scaling and show diffuse erythema, pustules or brownish dots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Whole-skin, feet and nail survey</w:t>
            </w:r>
          </w:p>
        </w:tc>
        <w:tc>
          <w:tcPr>
            <w:tcW w:type="dxa" w:w="979"/>
            <w:vAlign w:val="top"/>
          </w:tcPr>
          <w:p>
            <w:pPr>
              <w:spacing w:after="40" w:before="0" w:line="259" w:lineRule="auto"/>
            </w:pPr>
            <w:r>
              <w:rPr>
                <w:rFonts w:ascii="Calibri" w:hAnsi="Calibri"/>
                <w:b w:val="0"/>
                <w:i w:val="0"/>
                <w:color w:val="212121"/>
                <w:sz w:val="16"/>
              </w:rPr>
              <w:t>Concurrent tinea pedis, onychomycosis, tinea corporis</w:t>
            </w:r>
          </w:p>
        </w:tc>
        <w:tc>
          <w:tcPr>
            <w:tcW w:type="dxa" w:w="950"/>
            <w:vAlign w:val="top"/>
          </w:tcPr>
          <w:p>
            <w:pPr>
              <w:spacing w:after="40" w:before="0" w:line="259" w:lineRule="auto"/>
            </w:pPr>
            <w:r>
              <w:rPr>
                <w:rFonts w:ascii="Calibri" w:hAnsi="Calibri"/>
                <w:b w:val="0"/>
                <w:i w:val="0"/>
                <w:color w:val="212121"/>
                <w:sz w:val="16"/>
              </w:rPr>
              <w:t>No other site involved</w:t>
            </w:r>
          </w:p>
        </w:tc>
        <w:tc>
          <w:tcPr>
            <w:tcW w:type="dxa" w:w="950"/>
            <w:vAlign w:val="top"/>
          </w:tcPr>
          <w:p>
            <w:pPr>
              <w:spacing w:after="40" w:before="0" w:line="259" w:lineRule="auto"/>
            </w:pPr>
            <w:r>
              <w:rPr>
                <w:rFonts w:ascii="Calibri" w:hAnsi="Calibri"/>
                <w:b w:val="0"/>
                <w:i w:val="0"/>
                <w:color w:val="212121"/>
                <w:sz w:val="16"/>
              </w:rPr>
              <w:t>Coexisting foot, nail or body dermatophytosis</w:t>
            </w:r>
          </w:p>
        </w:tc>
        <w:tc>
          <w:tcPr>
            <w:tcW w:type="dxa" w:w="1036"/>
            <w:vAlign w:val="top"/>
          </w:tcPr>
          <w:p>
            <w:pPr>
              <w:spacing w:after="40" w:before="0" w:line="259" w:lineRule="auto"/>
            </w:pPr>
            <w:r>
              <w:rPr>
                <w:rFonts w:ascii="Calibri" w:hAnsi="Calibri"/>
                <w:b w:val="0"/>
                <w:i w:val="0"/>
                <w:color w:val="212121"/>
                <w:sz w:val="16"/>
              </w:rPr>
              <w:t>Identifies reservoirs and extent (tinea corporis et cruris)</w:t>
            </w:r>
          </w:p>
        </w:tc>
        <w:tc>
          <w:tcPr>
            <w:tcW w:type="dxa" w:w="1036"/>
            <w:vAlign w:val="top"/>
          </w:tcPr>
          <w:p>
            <w:pPr>
              <w:spacing w:after="40" w:before="0" w:line="259" w:lineRule="auto"/>
            </w:pPr>
            <w:r>
              <w:rPr>
                <w:rFonts w:ascii="Calibri" w:hAnsi="Calibri"/>
                <w:b w:val="0"/>
                <w:i w:val="0"/>
                <w:color w:val="212121"/>
                <w:sz w:val="16"/>
              </w:rPr>
              <w:t>Recurrent and extensive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Prevents reinfection</w:t>
            </w:r>
          </w:p>
        </w:tc>
        <w:tc>
          <w:tcPr>
            <w:tcW w:type="dxa" w:w="720"/>
            <w:vAlign w:val="top"/>
          </w:tcPr>
          <w:p>
            <w:pPr>
              <w:spacing w:after="40" w:before="0" w:line="259" w:lineRule="auto"/>
            </w:pPr>
            <w:r>
              <w:rPr>
                <w:rFonts w:ascii="Calibri" w:hAnsi="Calibri"/>
                <w:b w:val="0"/>
                <w:i w:val="0"/>
                <w:color w:val="212121"/>
                <w:sz w:val="16"/>
              </w:rPr>
              <w:t>Feet and nails must be treated together with the groin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Intense itching (pruritus) of the groin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dominant complaint; typically worsens with heat, sweating and physical activity.</w:t>
            </w:r>
          </w:p>
        </w:tc>
      </w:tr>
      <w:tr>
        <w:trPr>
          <w:cantSplit/>
        </w:trPr>
        <w:tc>
          <w:tcPr>
            <w:tcW w:type="dxa" w:w="2304"/>
            <w:vAlign w:val="top"/>
          </w:tcPr>
          <w:p>
            <w:pPr>
              <w:spacing w:after="40" w:before="0" w:line="259" w:lineRule="auto"/>
            </w:pPr>
            <w:r>
              <w:rPr>
                <w:rFonts w:ascii="Calibri" w:hAnsi="Calibri"/>
                <w:b/>
                <w:i w:val="0"/>
                <w:color w:val="212121"/>
                <w:sz w:val="19"/>
              </w:rPr>
              <w:t>Red, spreading rash in the groin folds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Erythematous eruption beginning in the inguinal crease and extending outward.</w:t>
            </w:r>
          </w:p>
        </w:tc>
      </w:tr>
      <w:tr>
        <w:trPr>
          <w:cantSplit/>
        </w:trPr>
        <w:tc>
          <w:tcPr>
            <w:tcW w:type="dxa" w:w="2304"/>
            <w:vAlign w:val="top"/>
          </w:tcPr>
          <w:p>
            <w:pPr>
              <w:spacing w:after="40" w:before="0" w:line="259" w:lineRule="auto"/>
            </w:pPr>
            <w:r>
              <w:rPr>
                <w:rFonts w:ascii="Calibri" w:hAnsi="Calibri"/>
                <w:b/>
                <w:i w:val="0"/>
                <w:color w:val="212121"/>
                <w:sz w:val="19"/>
              </w:rPr>
              <w:t>Ring-shaped patch with a raised, scaly edge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annular/arciform lesion with an actively advancing border and relative central clearing.</w:t>
            </w:r>
          </w:p>
        </w:tc>
      </w:tr>
      <w:tr>
        <w:trPr>
          <w:cantSplit/>
        </w:trPr>
        <w:tc>
          <w:tcPr>
            <w:tcW w:type="dxa" w:w="2304"/>
            <w:vAlign w:val="top"/>
          </w:tcPr>
          <w:p>
            <w:pPr>
              <w:spacing w:after="40" w:before="0" w:line="259" w:lineRule="auto"/>
            </w:pPr>
            <w:r>
              <w:rPr>
                <w:rFonts w:ascii="Calibri" w:hAnsi="Calibri"/>
                <w:b/>
                <w:i w:val="0"/>
                <w:color w:val="212121"/>
                <w:sz w:val="19"/>
              </w:rPr>
              <w:t>Spread to inner thighs, perineum, buttocks and gluteal cleft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Centrifugal extension from the groin; scrotum and penis are usually spared.</w:t>
            </w:r>
          </w:p>
        </w:tc>
      </w:tr>
      <w:tr>
        <w:trPr>
          <w:cantSplit/>
        </w:trPr>
        <w:tc>
          <w:tcPr>
            <w:tcW w:type="dxa" w:w="2304"/>
            <w:vAlign w:val="top"/>
          </w:tcPr>
          <w:p>
            <w:pPr>
              <w:spacing w:after="40" w:before="0" w:line="259" w:lineRule="auto"/>
            </w:pPr>
            <w:r>
              <w:rPr>
                <w:rFonts w:ascii="Calibri" w:hAnsi="Calibri"/>
                <w:b/>
                <w:i w:val="0"/>
                <w:color w:val="212121"/>
                <w:sz w:val="19"/>
              </w:rPr>
              <w:t>Flaking, scaling or peeling at the margins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Fine scale along the leading edge; may be lost when steroids have been applied.</w:t>
            </w:r>
          </w:p>
        </w:tc>
      </w:tr>
      <w:tr>
        <w:trPr>
          <w:cantSplit/>
        </w:trPr>
        <w:tc>
          <w:tcPr>
            <w:tcW w:type="dxa" w:w="2304"/>
            <w:vAlign w:val="top"/>
          </w:tcPr>
          <w:p>
            <w:pPr>
              <w:spacing w:after="40" w:before="0" w:line="259" w:lineRule="auto"/>
            </w:pPr>
            <w:r>
              <w:rPr>
                <w:rFonts w:ascii="Calibri" w:hAnsi="Calibri"/>
                <w:b/>
                <w:i w:val="0"/>
                <w:color w:val="212121"/>
                <w:sz w:val="19"/>
              </w:rPr>
              <w:t>Burning or stinging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over macerated or excoriated skin and with sweating.</w:t>
            </w:r>
          </w:p>
        </w:tc>
      </w:tr>
      <w:tr>
        <w:trPr>
          <w:cantSplit/>
        </w:trPr>
        <w:tc>
          <w:tcPr>
            <w:tcW w:type="dxa" w:w="2304"/>
            <w:vAlign w:val="top"/>
          </w:tcPr>
          <w:p>
            <w:pPr>
              <w:spacing w:after="40" w:before="0" w:line="259" w:lineRule="auto"/>
            </w:pPr>
            <w:r>
              <w:rPr>
                <w:rFonts w:ascii="Calibri" w:hAnsi="Calibri"/>
                <w:b/>
                <w:i w:val="0"/>
                <w:color w:val="212121"/>
                <w:sz w:val="19"/>
              </w:rPr>
              <w:t>Skin discolouration / darkening (post-inflammatory hyperpigmentation)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in Indian skin of colour and in chronic disease.</w:t>
            </w:r>
          </w:p>
        </w:tc>
      </w:tr>
      <w:tr>
        <w:trPr>
          <w:cantSplit/>
        </w:trPr>
        <w:tc>
          <w:tcPr>
            <w:tcW w:type="dxa" w:w="2304"/>
            <w:vAlign w:val="top"/>
          </w:tcPr>
          <w:p>
            <w:pPr>
              <w:spacing w:after="40" w:before="0" w:line="259" w:lineRule="auto"/>
            </w:pPr>
            <w:r>
              <w:rPr>
                <w:rFonts w:ascii="Calibri" w:hAnsi="Calibri"/>
                <w:b/>
                <w:i w:val="0"/>
                <w:color w:val="212121"/>
                <w:sz w:val="19"/>
              </w:rPr>
              <w:t>Worsening with sweating, exercise or hot humid weather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the heat- and moisture-dependent growth of dermatophytes.</w:t>
            </w:r>
          </w:p>
        </w:tc>
      </w:tr>
      <w:tr>
        <w:trPr>
          <w:cantSplit/>
        </w:trPr>
        <w:tc>
          <w:tcPr>
            <w:tcW w:type="dxa" w:w="2304"/>
            <w:vAlign w:val="top"/>
          </w:tcPr>
          <w:p>
            <w:pPr>
              <w:spacing w:after="40" w:before="0" w:line="259" w:lineRule="auto"/>
            </w:pPr>
            <w:r>
              <w:rPr>
                <w:rFonts w:ascii="Calibri" w:hAnsi="Calibri"/>
                <w:b/>
                <w:i w:val="0"/>
                <w:color w:val="212121"/>
                <w:sz w:val="19"/>
              </w:rPr>
              <w:t>Recurrence soon after apparently successful treatment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the current Indian epidemic; relapse rates around 60%.</w:t>
            </w:r>
          </w:p>
        </w:tc>
      </w:tr>
      <w:tr>
        <w:trPr>
          <w:cantSplit/>
        </w:trPr>
        <w:tc>
          <w:tcPr>
            <w:tcW w:type="dxa" w:w="2304"/>
            <w:vAlign w:val="top"/>
          </w:tcPr>
          <w:p>
            <w:pPr>
              <w:spacing w:after="40" w:before="0" w:line="259" w:lineRule="auto"/>
            </w:pPr>
            <w:r>
              <w:rPr>
                <w:rFonts w:ascii="Calibri" w:hAnsi="Calibri"/>
                <w:b/>
                <w:i w:val="0"/>
                <w:color w:val="212121"/>
                <w:sz w:val="19"/>
              </w:rPr>
              <w:t>Oozing, weeping or maceration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secondary bacterial or candidal infection of the macerated fold.</w:t>
            </w:r>
          </w:p>
        </w:tc>
      </w:tr>
      <w:tr>
        <w:trPr>
          <w:cantSplit/>
        </w:trPr>
        <w:tc>
          <w:tcPr>
            <w:tcW w:type="dxa" w:w="2304"/>
            <w:vAlign w:val="top"/>
          </w:tcPr>
          <w:p>
            <w:pPr>
              <w:spacing w:after="40" w:before="0" w:line="259" w:lineRule="auto"/>
            </w:pPr>
            <w:r>
              <w:rPr>
                <w:rFonts w:ascii="Calibri" w:hAnsi="Calibri"/>
                <w:b/>
                <w:i w:val="0"/>
                <w:color w:val="212121"/>
                <w:sz w:val="19"/>
              </w:rPr>
              <w:t>Pustules or bumps at the border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in steroid-modified tinea and follicular (Majocchi) involvement.</w:t>
            </w:r>
          </w:p>
        </w:tc>
      </w:tr>
      <w:tr>
        <w:trPr>
          <w:cantSplit/>
        </w:trPr>
        <w:tc>
          <w:tcPr>
            <w:tcW w:type="dxa" w:w="2304"/>
            <w:vAlign w:val="top"/>
          </w:tcPr>
          <w:p>
            <w:pPr>
              <w:spacing w:after="40" w:before="0" w:line="259" w:lineRule="auto"/>
            </w:pPr>
            <w:r>
              <w:rPr>
                <w:rFonts w:ascii="Calibri" w:hAnsi="Calibri"/>
                <w:b/>
                <w:i w:val="0"/>
                <w:color w:val="212121"/>
                <w:sz w:val="19"/>
              </w:rPr>
              <w:t>Thickened, leathery skin (lichenification)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Results from chronic scratching and rubbing.</w:t>
            </w:r>
          </w:p>
        </w:tc>
      </w:tr>
      <w:tr>
        <w:trPr>
          <w:cantSplit/>
        </w:trPr>
        <w:tc>
          <w:tcPr>
            <w:tcW w:type="dxa" w:w="2304"/>
            <w:vAlign w:val="top"/>
          </w:tcPr>
          <w:p>
            <w:pPr>
              <w:spacing w:after="40" w:before="0" w:line="259" w:lineRule="auto"/>
            </w:pPr>
            <w:r>
              <w:rPr>
                <w:rFonts w:ascii="Calibri" w:hAnsi="Calibri"/>
                <w:b/>
                <w:i w:val="0"/>
                <w:color w:val="212121"/>
                <w:sz w:val="19"/>
              </w:rPr>
              <w:t>Pain or fissuring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Occurs with deep fissures or secondary bacterial infection.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Well-demarcated erythematous annular/arciform plaque in the groin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With a raised, active leading border — the defining sign of tinea cruris.</w:t>
            </w:r>
          </w:p>
        </w:tc>
      </w:tr>
      <w:tr>
        <w:trPr>
          <w:cantSplit/>
        </w:trPr>
        <w:tc>
          <w:tcPr>
            <w:tcW w:type="dxa" w:w="3456"/>
            <w:vAlign w:val="top"/>
          </w:tcPr>
          <w:p>
            <w:pPr>
              <w:spacing w:after="40" w:before="0" w:line="259" w:lineRule="auto"/>
            </w:pPr>
            <w:r>
              <w:rPr>
                <w:rFonts w:ascii="Calibri" w:hAnsi="Calibri"/>
                <w:b/>
                <w:i w:val="0"/>
                <w:color w:val="212121"/>
                <w:sz w:val="19"/>
              </w:rPr>
              <w:t>Relative central clearing within the plaque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Older central skin appears less inflamed than the advancing edge.</w:t>
            </w:r>
          </w:p>
        </w:tc>
      </w:tr>
      <w:tr>
        <w:trPr>
          <w:cantSplit/>
        </w:trPr>
        <w:tc>
          <w:tcPr>
            <w:tcW w:type="dxa" w:w="3456"/>
            <w:vAlign w:val="top"/>
          </w:tcPr>
          <w:p>
            <w:pPr>
              <w:spacing w:after="40" w:before="0" w:line="259" w:lineRule="auto"/>
            </w:pPr>
            <w:r>
              <w:rPr>
                <w:rFonts w:ascii="Calibri" w:hAnsi="Calibri"/>
                <w:b/>
                <w:i w:val="0"/>
                <w:color w:val="212121"/>
                <w:sz w:val="19"/>
              </w:rPr>
              <w:t>Fine peripheral scaling along the advancing edge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Best appreciated at the border and on dermoscopy; scrape here for KOH.</w:t>
            </w:r>
          </w:p>
        </w:tc>
      </w:tr>
      <w:tr>
        <w:trPr>
          <w:cantSplit/>
        </w:trPr>
        <w:tc>
          <w:tcPr>
            <w:tcW w:type="dxa" w:w="3456"/>
            <w:vAlign w:val="top"/>
          </w:tcPr>
          <w:p>
            <w:pPr>
              <w:spacing w:after="40" w:before="0" w:line="259" w:lineRule="auto"/>
            </w:pPr>
            <w:r>
              <w:rPr>
                <w:rFonts w:ascii="Calibri" w:hAnsi="Calibri"/>
                <w:b/>
                <w:i w:val="0"/>
                <w:color w:val="212121"/>
                <w:sz w:val="19"/>
              </w:rPr>
              <w:t>Sparing of the scrotum and penis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Helps distinguish tinea from candidal intertrigo, which often involves the scrotum.</w:t>
            </w:r>
          </w:p>
        </w:tc>
      </w:tr>
      <w:tr>
        <w:trPr>
          <w:cantSplit/>
        </w:trPr>
        <w:tc>
          <w:tcPr>
            <w:tcW w:type="dxa" w:w="3456"/>
            <w:vAlign w:val="top"/>
          </w:tcPr>
          <w:p>
            <w:pPr>
              <w:spacing w:after="40" w:before="0" w:line="259" w:lineRule="auto"/>
            </w:pPr>
            <w:r>
              <w:rPr>
                <w:rFonts w:ascii="Calibri" w:hAnsi="Calibri"/>
                <w:b/>
                <w:i w:val="0"/>
                <w:color w:val="212121"/>
                <w:sz w:val="19"/>
              </w:rPr>
              <w:t>Bilateral, roughly symmetrical involvement of both groin folds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Commonly affects both sides and extends onto the upper inner thighs.</w:t>
            </w:r>
          </w:p>
        </w:tc>
      </w:tr>
      <w:tr>
        <w:trPr>
          <w:cantSplit/>
        </w:trPr>
        <w:tc>
          <w:tcPr>
            <w:tcW w:type="dxa" w:w="3456"/>
            <w:vAlign w:val="top"/>
          </w:tcPr>
          <w:p>
            <w:pPr>
              <w:spacing w:after="40" w:before="0" w:line="259" w:lineRule="auto"/>
            </w:pPr>
            <w:r>
              <w:rPr>
                <w:rFonts w:ascii="Calibri" w:hAnsi="Calibri"/>
                <w:b/>
                <w:i w:val="0"/>
                <w:color w:val="212121"/>
                <w:sz w:val="19"/>
              </w:rPr>
              <w:t>Post-inflammatory hyperpigmentation / lichenified plaques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chronic disease, especially in Indian skin of colour.</w:t>
            </w:r>
          </w:p>
        </w:tc>
      </w:tr>
      <w:tr>
        <w:trPr>
          <w:cantSplit/>
        </w:trPr>
        <w:tc>
          <w:tcPr>
            <w:tcW w:type="dxa" w:w="3456"/>
            <w:vAlign w:val="top"/>
          </w:tcPr>
          <w:p>
            <w:pPr>
              <w:spacing w:after="40" w:before="0" w:line="259" w:lineRule="auto"/>
            </w:pPr>
            <w:r>
              <w:rPr>
                <w:rFonts w:ascii="Calibri" w:hAnsi="Calibri"/>
                <w:b/>
                <w:i w:val="0"/>
                <w:color w:val="212121"/>
                <w:sz w:val="19"/>
              </w:rPr>
              <w:t>Steroid-modified features (loss of scaling, diffuse erythema, telangiectasia, brownish dots, pustules)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Tinea incognito from topical steroid or combination-cream misuse.</w:t>
            </w:r>
          </w:p>
        </w:tc>
      </w:tr>
      <w:tr>
        <w:trPr>
          <w:cantSplit/>
        </w:trPr>
        <w:tc>
          <w:tcPr>
            <w:tcW w:type="dxa" w:w="3456"/>
            <w:vAlign w:val="top"/>
          </w:tcPr>
          <w:p>
            <w:pPr>
              <w:spacing w:after="40" w:before="0" w:line="259" w:lineRule="auto"/>
            </w:pPr>
            <w:r>
              <w:rPr>
                <w:rFonts w:ascii="Calibri" w:hAnsi="Calibri"/>
                <w:b/>
                <w:i w:val="0"/>
                <w:color w:val="212121"/>
                <w:sz w:val="19"/>
              </w:rPr>
              <w:t>Positive KOH mount from the active edge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Branching septate hyphae confirm the diagnosis at the bedside.</w:t>
            </w:r>
          </w:p>
        </w:tc>
      </w:tr>
      <w:tr>
        <w:trPr>
          <w:cantSplit/>
        </w:trPr>
        <w:tc>
          <w:tcPr>
            <w:tcW w:type="dxa" w:w="3456"/>
            <w:vAlign w:val="top"/>
          </w:tcPr>
          <w:p>
            <w:pPr>
              <w:spacing w:after="40" w:before="0" w:line="259" w:lineRule="auto"/>
            </w:pPr>
            <w:r>
              <w:rPr>
                <w:rFonts w:ascii="Calibri" w:hAnsi="Calibri"/>
                <w:b/>
                <w:i w:val="0"/>
                <w:color w:val="212121"/>
                <w:sz w:val="19"/>
              </w:rPr>
              <w:t>Concurrent tinea pedis, onychomycosis or tinea corporis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Indicates a reservoir and extensive disease (tinea corporis et cruris).</w:t>
            </w:r>
          </w:p>
        </w:tc>
      </w:tr>
      <w:tr>
        <w:trPr>
          <w:cantSplit/>
        </w:trPr>
        <w:tc>
          <w:tcPr>
            <w:tcW w:type="dxa" w:w="3456"/>
            <w:vAlign w:val="top"/>
          </w:tcPr>
          <w:p>
            <w:pPr>
              <w:spacing w:after="40" w:before="0" w:line="259" w:lineRule="auto"/>
            </w:pPr>
            <w:r>
              <w:rPr>
                <w:rFonts w:ascii="Calibri" w:hAnsi="Calibri"/>
                <w:b/>
                <w:i w:val="0"/>
                <w:color w:val="212121"/>
                <w:sz w:val="19"/>
              </w:rPr>
              <w:t>Excoriation marks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intense scratching of the pruritic plaques.</w:t>
            </w:r>
          </w:p>
        </w:tc>
      </w:tr>
      <w:tr>
        <w:trPr>
          <w:cantSplit/>
        </w:trPr>
        <w:tc>
          <w:tcPr>
            <w:tcW w:type="dxa" w:w="3456"/>
            <w:vAlign w:val="top"/>
          </w:tcPr>
          <w:p>
            <w:pPr>
              <w:spacing w:after="40" w:before="0" w:line="259" w:lineRule="auto"/>
            </w:pPr>
            <w:r>
              <w:rPr>
                <w:rFonts w:ascii="Calibri" w:hAnsi="Calibri"/>
                <w:b/>
                <w:i w:val="0"/>
                <w:color w:val="212121"/>
                <w:sz w:val="19"/>
              </w:rPr>
              <w:t>Satellite pustules or follicular papules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 steroid modification or Majocchi granuloma (deep follicular infection).</w:t>
            </w:r>
          </w:p>
        </w:tc>
      </w:tr>
      <w:tr>
        <w:trPr>
          <w:cantSplit/>
        </w:trPr>
        <w:tc>
          <w:tcPr>
            <w:tcW w:type="dxa" w:w="3456"/>
            <w:vAlign w:val="top"/>
          </w:tcPr>
          <w:p>
            <w:pPr>
              <w:spacing w:after="40" w:before="0" w:line="259" w:lineRule="auto"/>
            </w:pPr>
            <w:r>
              <w:rPr>
                <w:rFonts w:ascii="Calibri" w:hAnsi="Calibri"/>
                <w:b/>
                <w:i w:val="0"/>
                <w:color w:val="212121"/>
                <w:sz w:val="19"/>
              </w:rPr>
              <w:t>Maceration / secondary bacterial impetiginisation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Oozing, crusting or foul odour in a moist, secondarily infected fold.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(impetiginisation, folliculitis, occasionally cellulitis)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candidal intertrigo of the macerated fold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Excoriation, lichen simplex chronicus and lichenification from chronic scratching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Maceration and fissuring of the groin skin</w:t>
            </w:r>
          </w:p>
        </w:tc>
        <w:tc>
          <w:tcPr>
            <w:tcW w:type="dxa" w:w="2980"/>
            <w:vAlign w:val="top"/>
          </w:tcPr>
          <w:p>
            <w:pPr>
              <w:spacing w:after="40" w:before="0" w:line="259" w:lineRule="auto"/>
            </w:pPr>
            <w:r>
              <w:rPr>
                <w:rFonts w:ascii="Calibri" w:hAnsi="Calibri"/>
                <w:b w:val="0"/>
                <w:i w:val="0"/>
                <w:color w:val="212121"/>
                <w:sz w:val="19"/>
              </w:rPr>
              <w:t>Direct local consequences of persistent infection, scratching and moisture in the fold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 and recurrent dermatophytosis (disease running into months or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 to tinea corporis, tinea faciei and multiple body sites (extensive dermatophytosis)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Majocchi granuloma — deep follicular/dermal dermatophyte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Tinea incognito from topical corticosteroid / combination-cream misuse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hyperpigmentation and, occasionally, scarring</w:t>
            </w:r>
          </w:p>
        </w:tc>
        <w:tc>
          <w:tcPr>
            <w:tcW w:type="dxa" w:w="2980"/>
            <w:vAlign w:val="top"/>
          </w:tcPr>
          <w:p>
            <w:pPr>
              <w:spacing w:after="40" w:before="0" w:line="259" w:lineRule="auto"/>
            </w:pPr>
            <w:r>
              <w:rPr>
                <w:rFonts w:ascii="Calibri" w:hAnsi="Calibri"/>
                <w:b w:val="0"/>
                <w:i w:val="0"/>
                <w:color w:val="212121"/>
                <w:sz w:val="19"/>
              </w:rPr>
              <w:t>Result from ongoing infection, host susceptibility and steroid misuse extending and altering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Terbinafine-resistant, recalcitrant disease (T. mentagrophytes / indotineae) needing prolonged, higher-dose systemic antifungals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Substantial psychosocial morbidity — stigma, embarrassment, anxiety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Ongoing household and community transmission with cycles of reinfection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effects, drug interactions and out-of-pocket cost from repeated/prolonged systemic antifungal therapy</w:t>
            </w:r>
          </w:p>
        </w:tc>
        <w:tc>
          <w:tcPr>
            <w:tcW w:type="dxa" w:w="2980"/>
            <w:vAlign w:val="top"/>
          </w:tcPr>
          <w:p>
            <w:pPr>
              <w:spacing w:after="40" w:before="0" w:line="259" w:lineRule="auto"/>
            </w:pPr>
            <w:r>
              <w:rPr>
                <w:rFonts w:ascii="Calibri" w:hAnsi="Calibri"/>
                <w:b w:val="0"/>
                <w:i w:val="0"/>
                <w:color w:val="212121"/>
                <w:sz w:val="19"/>
              </w:rPr>
              <w:t>Irreversible or system-level burdens of longstanding, resistant and mismanaged dermatophytosis in India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Tinea corporis (and tinea faciei)</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Coexists so often that combined “tinea corporis et cruris” is the commonest presentation; same dermatophyte spreads contiguously to trunk, limbs and face.</w:t>
            </w:r>
          </w:p>
          <w:p>
            <w:pPr>
              <w:spacing w:after="40" w:before="0" w:line="259" w:lineRule="auto"/>
            </w:pPr>
            <w:r>
              <w:rPr>
                <w:rFonts w:ascii="Calibri" w:hAnsi="Calibri"/>
                <w:b/>
                <w:i w:val="0"/>
                <w:color w:val="212121"/>
                <w:sz w:val="19"/>
              </w:rPr>
              <w:t>Tinea corporis ~32.4% of dermatophytosis</w:t>
            </w:r>
          </w:p>
        </w:tc>
      </w:tr>
      <w:tr>
        <w:trPr>
          <w:cantSplit/>
        </w:trPr>
        <w:tc>
          <w:tcPr>
            <w:tcW w:type="dxa" w:w="2232"/>
            <w:vAlign w:val="top"/>
          </w:tcPr>
          <w:p>
            <w:pPr>
              <w:spacing w:after="40" w:before="0" w:line="259" w:lineRule="auto"/>
            </w:pPr>
            <w:r>
              <w:rPr>
                <w:rFonts w:ascii="Calibri" w:hAnsi="Calibri"/>
                <w:b/>
                <w:i w:val="0"/>
                <w:color w:val="212121"/>
                <w:sz w:val="19"/>
              </w:rPr>
              <w:t>Tinea pedis / onychomycosis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Foot and nail fungus act as a persistent reservoir, seeding the groin by autoinoculation and driving recurrence unless treated together.</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immunity and enriches skin glucose; it is the strongest medical predictor of chronic/relapsing tinea and must be screened for and controlled.</w:t>
            </w:r>
          </w:p>
          <w:p>
            <w:pPr>
              <w:spacing w:after="40" w:before="0" w:line="259" w:lineRule="auto"/>
            </w:pPr>
            <w:r>
              <w:rPr>
                <w:rFonts w:ascii="Calibri" w:hAnsi="Calibri"/>
                <w:b/>
                <w:i w:val="0"/>
                <w:color w:val="212121"/>
                <w:sz w:val="19"/>
              </w:rPr>
              <w:t>Adjusted OR ~9.56 for chronic/relapsing tinea</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Deep moist apposed skinfolds cause friction, occlusion and intertrigo that favour dermatophyte colonisation and persistence.</w:t>
            </w:r>
          </w:p>
        </w:tc>
      </w:tr>
      <w:tr>
        <w:trPr>
          <w:cantSplit/>
        </w:trPr>
        <w:tc>
          <w:tcPr>
            <w:tcW w:type="dxa" w:w="2232"/>
            <w:vAlign w:val="top"/>
          </w:tcPr>
          <w:p>
            <w:pPr>
              <w:spacing w:after="40" w:before="0" w:line="259" w:lineRule="auto"/>
            </w:pPr>
            <w:r>
              <w:rPr>
                <w:rFonts w:ascii="Calibri" w:hAnsi="Calibri"/>
                <w:b/>
                <w:i w:val="0"/>
                <w:color w:val="212121"/>
                <w:sz w:val="19"/>
              </w:rPr>
              <w:t>Tinea incognito / topical steroid-induced dermatitis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Misuse of OTC steroids and combination creams produces atypical, extensive, steroid-modified disease and rebound flares; stopping the steroid is essential.</w:t>
            </w:r>
          </w:p>
          <w:p>
            <w:pPr>
              <w:spacing w:after="40" w:before="0" w:line="259" w:lineRule="auto"/>
            </w:pPr>
            <w:r>
              <w:rPr>
                <w:rFonts w:ascii="Calibri" w:hAnsi="Calibri"/>
                <w:b/>
                <w:i w:val="0"/>
                <w:color w:val="212121"/>
                <w:sz w:val="19"/>
              </w:rPr>
              <w:t>Steroid use in ~42–81% of Indian cases</w:t>
            </w:r>
          </w:p>
        </w:tc>
      </w:tr>
      <w:tr>
        <w:trPr>
          <w:cantSplit/>
        </w:trPr>
        <w:tc>
          <w:tcPr>
            <w:tcW w:type="dxa" w:w="2232"/>
            <w:vAlign w:val="top"/>
          </w:tcPr>
          <w:p>
            <w:pPr>
              <w:spacing w:after="40" w:before="0" w:line="259" w:lineRule="auto"/>
            </w:pPr>
            <w:r>
              <w:rPr>
                <w:rFonts w:ascii="Calibri" w:hAnsi="Calibri"/>
                <w:b/>
                <w:i w:val="0"/>
                <w:color w:val="212121"/>
                <w:sz w:val="19"/>
              </w:rPr>
              <w:t>HIV / systemic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Immunosuppression (HIV, transplantation, chemotherapy, chronic steroids) predisposes to widespread, atypical and recalcitrant dermatophytosis.</w:t>
            </w:r>
          </w:p>
        </w:tc>
      </w:tr>
      <w:tr>
        <w:trPr>
          <w:cantSplit/>
        </w:trPr>
        <w:tc>
          <w:tcPr>
            <w:tcW w:type="dxa" w:w="2232"/>
            <w:vAlign w:val="top"/>
          </w:tcPr>
          <w:p>
            <w:pPr>
              <w:spacing w:after="40" w:before="0" w:line="259" w:lineRule="auto"/>
            </w:pPr>
            <w:r>
              <w:rPr>
                <w:rFonts w:ascii="Calibri" w:hAnsi="Calibri"/>
                <w:b/>
                <w:i w:val="0"/>
                <w:color w:val="212121"/>
                <w:sz w:val="19"/>
              </w:rPr>
              <w:t>Secondary bacterial / candidal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Macerated, scratched groin skin is readily super-infected by bacteria or Candida, altering appearance and requiring added therapy.</w:t>
            </w:r>
          </w:p>
        </w:tc>
      </w:tr>
      <w:tr>
        <w:trPr>
          <w:cantSplit/>
        </w:trPr>
        <w:tc>
          <w:tcPr>
            <w:tcW w:type="dxa" w:w="2232"/>
            <w:vAlign w:val="top"/>
          </w:tcPr>
          <w:p>
            <w:pPr>
              <w:spacing w:after="40" w:before="0" w:line="259" w:lineRule="auto"/>
            </w:pPr>
            <w:r>
              <w:rPr>
                <w:rFonts w:ascii="Calibri" w:hAnsi="Calibri"/>
                <w:b/>
                <w:i w:val="0"/>
                <w:color w:val="212121"/>
                <w:sz w:val="19"/>
              </w:rPr>
              <w:t>Erythrasma (Corynebacterium minutissimum)</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common groin mimic that can coexist with tinea; coral-red Wood's-lamp fluorescence and negative KOH distinguish it and change treatment.</w:t>
            </w:r>
          </w:p>
        </w:tc>
      </w:tr>
      <w:tr>
        <w:trPr>
          <w:cantSplit/>
        </w:trPr>
        <w:tc>
          <w:tcPr>
            <w:tcW w:type="dxa" w:w="2232"/>
            <w:vAlign w:val="top"/>
          </w:tcPr>
          <w:p>
            <w:pPr>
              <w:spacing w:after="40" w:before="0" w:line="259" w:lineRule="auto"/>
            </w:pPr>
            <w:r>
              <w:rPr>
                <w:rFonts w:ascii="Calibri" w:hAnsi="Calibri"/>
                <w:b/>
                <w:i w:val="0"/>
                <w:color w:val="212121"/>
                <w:sz w:val="19"/>
              </w:rPr>
              <w:t>Anxiety / depression and impaired quality of life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recurrent, itchy genital disease carries stigma and psychological distress, which reduce adherence and perpetuate the condition.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early ring-shaped, itchy groin rash and seek proper medical treatment early instead of self-medicating.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use over-the-counter topical steroids or steroid-antifungal-antibacterial combination creams — they worsen and prolong the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antifungal course and continue for 1–2 weeks after the rash clears; apply cream about 2 cm beyond the visible edge.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all affected household members and partners treated at the same time to break the reinfection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your own feet and nails checked and treated, as tinea pedis and nail fungus reinfect the groin.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groin cool and dry, wear loose cotton innerwear, and do not share towels, clothes or bed linen.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an affected member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Self-medicators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Recurrent/chronic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Bathe daily and dry the groin thoroughly (pat dry, dry the groin before the feet, or use a separate towel for the feet).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Change into clean, dry innerwear at least once a day and immediately after heavy sweating or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breathable cotton underwear and trousers; avoid tight synthetic (nylon) clothing.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Hot-wash (≥ 60°C), iron and sun-dry clothing, towels and bed linen; never share these items.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plain absorbent or antifungal dusting powder in the groin folds to reduce moisture.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scratching, which spreads the fungus and damages the skin.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heavy sweaters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the prescribed topical antifungal to the whole affected area and about 2 cm of surrounding normal-looking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treated area clean and dry throughout the course; change damp clothing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treatment for the full duration advised (often beyond visible clearance) to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Decontaminate clothing and linen during treatment and avoid sharing them.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tinea pedis, onychomycosis and tinea corporis simultaneously.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antifungal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Recurrent/chronic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concurrent foot/nail fungus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change out of sweaty gym, sports or work clothes within about 30 minutes of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loose, moisture-wicking or cotton clothing during exercise and avoid prolonged sitting in tight damp clothes.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reduction if overweight or obese to reduce moist skinfold occlusion and friction.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Dry the groin well after swimming or bathing before dressing.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sportspersons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 and PPE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diet and limit refined carbohydrates and sugary foods to prevent and control diabetes and obesity, which predispose to chronic tinea.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if diabetic, as diabetes is the strongest medical driver of chronic/relapsing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zinc and vitamins A, C and D to support skin barrier and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to reduce deep, moist skinfolds.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 at risk of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Chronic/recurrent cases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immune competence.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itching with prescribed treatment (and, if advised, a night-time antihistamine) so that sleep is not disturbed.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cool and use light, breathable cotton bedclothes to reduce night-time sweating.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 nocturnal itch</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support skin microcirculation and overall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cessation support (counselling, nicotine replacement) if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Chronic/recurrent cases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intake, which can impair immunity, worsen glycaemic control and reduce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especially while on systemic antifungal therapy, to reduce liver strain and interactions.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oral antifungals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embarrassment, stigma and frustration of chronic, recurrent genital itch and offer reassurance that most cases are curable with correct, complete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the reasons for recurrence (steroid misuse, untreated contacts, damp clothing) to restore a sense of control and improve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itch-related sleep loss and low mood; consider counselling or referral if anxiety or depression is significant.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treating the whole household together to reduce blame and relapse-related distress.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chronic/recurrent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marked distress or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repeated reinfection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dvl.com/the-unprecedented-epidemic-like-scenario-of-dermatophytosis-in-india-i-epidemiology-risk-factors-and-clinical-features/" TargetMode="External"/><Relationship Id="rId10" Type="http://schemas.openxmlformats.org/officeDocument/2006/relationships/hyperlink" Target="https://www.merckmanuals.com/professional/dermatologic-disorders/fungal-skin-infections/tinea-cruris-jock-itch" TargetMode="External"/><Relationship Id="rId11" Type="http://schemas.openxmlformats.org/officeDocument/2006/relationships/hyperlink" Target="https://www.ijced.org/html-article/18569" TargetMode="External"/><Relationship Id="rId12" Type="http://schemas.openxmlformats.org/officeDocument/2006/relationships/hyperlink" Target="https://pmc.ncbi.nlm.nih.gov/articles/PMC6057051/" TargetMode="External"/><Relationship Id="rId13" Type="http://schemas.openxmlformats.org/officeDocument/2006/relationships/hyperlink" Target="https://www.ncbi.nlm.nih.gov/books/NBK554602/" TargetMode="External"/><Relationship Id="rId14" Type="http://schemas.openxmlformats.org/officeDocument/2006/relationships/hyperlink" Target="https://ijdvl.com/risk-factors-for-chronic-and-chronic-relapsing-tinea-corporis-tinea-cruris-and-tinea-faciei-results-of-a-case-control-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