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Tinea Pedis</w:t>
      </w:r>
    </w:p>
    <w:p>
      <w:pPr>
        <w:spacing w:before="0" w:after="160"/>
      </w:pPr>
      <w:r>
        <w:rPr>
          <w:rFonts w:ascii="Calibri" w:hAnsi="Calibri"/>
          <w:b/>
          <w:i w:val="0"/>
          <w:color w:val="212121"/>
          <w:sz w:val="22"/>
        </w:rPr>
        <w:t xml:space="preserve">AKA </w:t>
      </w:r>
      <w:r>
        <w:rPr>
          <w:rFonts w:ascii="Calibri" w:hAnsi="Calibri"/>
          <w:b w:val="0"/>
          <w:i w:val="0"/>
          <w:color w:val="212121"/>
          <w:sz w:val="22"/>
        </w:rPr>
        <w:t>i.e., Athlete's foot, Ringworm of the foot, Foot ringworm, Moccasin foot, “Hong Kong foot”, Daad / dermatophytosis of the feet, Tinea of the feet</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Tinea pedis is a superficial dermatophyte (fungal) infection of the skin of the feet — the interdigital web spaces, soles and lateral borders — caused by keratinophilic dermatophytes, chiefly Trichophyton rubrum, T. interdigitale (formerly T. mentagrophytes var. interdigitale), the resistant Indian genotype T. indotineae, and Epidermophyton floccosum. It is the most common dermatophytosis worldwide, favoured by the warm, moist, occluded microclimate of shod, sweaty feet, and characteristically produces itching, scaling, maceration and fissuring of the toe clefts or dry “moccasin” scaling of the soles. It is contagious and frequently chronic or relapsing, and it commonly coexists with — and acts as a reservoir for — tinea unguium (nails), tinea cruris (groin) and tinea manuum (hands). Against India's current epidemic of steroid-modified, recalcitrant dermatophytosis, tinea pedis is an important portal of entry for bacterial cellulitis, especially in people with diabetes.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Tinea pedis is the commonest dermatophyte infection globally, affecting roughly 3–10% of the population at any time with a lifetime risk cited as high as 70%, peaking between about 16 and 45 years and with a male preponderance (male-to-female ratio around 3:1). In India it forms part of an unprecedented, epidemic-like surge of chronic and recurrent dermatophytosis: reported prevalence of dermatophytosis in hospital series ranges widely from about 6% to over 60%, with more than 60% of patients having disease lasting beyond three months and high relapse and recurrence rates, driven by a shift to Trichophyton mentagrophytes/interdigitale (the T. indotineae complex, 93–97% of isolates) and by rampant over-the-counter topical steroid–antifungal misuse. In the current Indian epidemic the feet are a less common primary site than the trunk and groin — for example, tinea pedis accounted for about 8% of paediatric dermatophytosis in a Kolkata series — but it remains a clinically important, chronic and frequently overlooked pattern, particularly in the hot, humid, urban and occupationally shod population.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Tinea pedis is largely a clinical diagnosis, but because its accuracy on inspection alone is low and several conditions mimic it, confirmation and screening for co-infection are advised.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characteristic clinical patterns — itchy scaling, maceration and fissuring of the toe web spaces (especially the 4th/5th cleft), diffuse fine “moccasin” scaling of the soles and sides with an erythematous active border, or grouped vesicles/bullae on the instep — typically asymmetrical and often unilateral;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potassium hydroxide (KOH 10–20%) wet-mount microscopy of skin scrapings from the active scaling edge or macerated web space, demonstrating branching, septate fungal hyphae — the key bedside confirmatory test (pooled sensitivity ~73%, specificity ~43%);</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fungal culture on Sabouraud dextrose agar (with cycloheximide) as the gold standard for speciation, growing the dermatophyte over roughly 1–3 weeks;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Wood's lamp examination — dermatophytes do NOT fluoresce, which is chiefly useful to exclude the main interdigital mimic erythrasma (Corynebacterium minutissimum), which shows coral-red fluorescence;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examination of the toenails, groin, palms and other body sites for concurrent tinea unguium, cruris, corporis or manuum (including the two-feet–one-hand pattern), which are common reservoirs and drive relapse;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recalcitrant, extensive or steroid-modified (tinea incognito) disease — increasingly the norm in India — molecular identification (ITS sequencing for T. indotineae) and antifungal susceptibility/terbinafine MIC testing, with skin biopsy and PAS staining reserved for atypical cases.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Tinea pedis is classified by clinical morphology, which reflects the causative organism, guides treatment and predicts chronicity. Four principal patterns are recognised, with two important additional forms:</w:t>
      </w:r>
    </w:p>
    <w:p>
      <w:pPr>
        <w:spacing w:before="0" w:after="80"/>
      </w:pPr>
      <w:r>
        <w:rPr>
          <w:rFonts w:ascii="Calibri" w:hAnsi="Calibri"/>
          <w:b w:val="0"/>
          <w:i w:val="0"/>
          <w:color w:val="212121"/>
          <w:sz w:val="21"/>
        </w:rPr>
        <w:t>(1) Interdigital (intertriginous) tinea pedis — by far the commonest form, presenting as itching, erythema, silvery-white scaling, peeling, maceration and fissuring of the toe web spaces, characteristically the lateral 4th/5th cleft; usually due to T. rubrum or T. interdigitale and prone to bacterial co-infection (“dermatophytosis complex”);</w:t>
      </w:r>
    </w:p>
    <w:p>
      <w:pPr>
        <w:spacing w:before="0" w:after="80"/>
      </w:pPr>
      <w:r>
        <w:rPr>
          <w:rFonts w:ascii="Calibri" w:hAnsi="Calibri"/>
          <w:b w:val="0"/>
          <w:i w:val="0"/>
          <w:color w:val="212121"/>
          <w:sz w:val="21"/>
        </w:rPr>
        <w:t>(2) Chronic hyperkeratotic (moccasin-type) tinea pedis — the second commonest, with diffuse, dry, fine, powdery scaling and hyperkeratosis over the soles, heels and lateral/medial borders in a moccasin distribution, often bilateral, typically caused by T. rubrum, frequently asymptomatic and highly resistant to treatment; commonly associated with toenail onychomycosis;</w:t>
      </w:r>
    </w:p>
    <w:p>
      <w:pPr>
        <w:spacing w:before="0" w:after="80"/>
      </w:pPr>
      <w:r>
        <w:rPr>
          <w:rFonts w:ascii="Calibri" w:hAnsi="Calibri"/>
          <w:b w:val="0"/>
          <w:i w:val="0"/>
          <w:color w:val="212121"/>
          <w:sz w:val="21"/>
        </w:rPr>
        <w:t>(3) Vesiculobullous (inflammatory) tinea pedis — an intensely itchy, sometimes painful eruption of tense vesicles or bullae on the instep and sole, usually caused by T. interdigitale/T. mentagrophytes and precipitated by heat, humidity and occlusion; may trigger a distant dermatophytid (id) reaction;</w:t>
      </w:r>
    </w:p>
    <w:p>
      <w:pPr>
        <w:spacing w:before="0" w:after="80"/>
      </w:pPr>
      <w:r>
        <w:rPr>
          <w:rFonts w:ascii="Calibri" w:hAnsi="Calibri"/>
          <w:b w:val="0"/>
          <w:i w:val="0"/>
          <w:color w:val="212121"/>
          <w:sz w:val="21"/>
        </w:rPr>
        <w:t>(4) Acute ulcerative tinea pedis — an uncommon, rapidly extending, macerated and ulcerating infection of the web spaces with secondary Gram-negative/Gram-positive bacterial infection, most often in immunocompromised or diabetic patients; and</w:t>
      </w:r>
    </w:p>
    <w:p>
      <w:pPr>
        <w:spacing w:before="0" w:after="80"/>
      </w:pPr>
      <w:r>
        <w:rPr>
          <w:rFonts w:ascii="Calibri" w:hAnsi="Calibri"/>
          <w:b w:val="0"/>
          <w:i w:val="0"/>
          <w:color w:val="212121"/>
          <w:sz w:val="21"/>
        </w:rPr>
        <w:t>(additional forms) occult / asymptomatic colonisation (culture-positive feet without visible lesions, common in swimmers and runners) and tinea incognito — an atypical, ill-defined, extensive presentation modified by inappropriate topical corticosteroid (or steroid-antifungal combination) use, which is now epidemic in India.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Dermatophyte infection: Invasion of the keratinised stratum corneum by keratinophilic dermatophytes — chiefly Trichophyton rubrum (historically ~70% of cases) and T. interdigitale/T. mentagrophytes, with the resistant T. indotineae complex now dominant in India, and Epidermophyton floccosum — which secrete keratinases to digest and colonise skin keratin.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Warm, moist occlusion: The humid, macerated microclimate created by closed/occlusive footwear, synthetic socks, hyperhidrosis and a hot, humid tropical climate provides ideal conditions for dermatophyte growth and is the central environmental driver.</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Impaired skin-barrier and maceration: Sweating, prolonged wet feet, fissures and inter-toe maceration breach the barrier and allow the fungus (and secondary bacteria) to establish.</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Host susceptibility: Diabetes mellitus, immunosuppression (HIV, transplant, systemic steroids), peripheral vascular disease, lymphoedema, atopy and older age all raise susceptibility, chronicity and severity.</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Exposure and transmission: Walking barefoot on contaminated communal wet floors (swimming pools, gyms, locker rooms, shared bathrooms, mosques/temples), sharing footwear, socks or towels, and close household contact spread infective arthroconidia; autoinoculation from the patient's own nails or groin sustains it.</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Topical corticosteroid misuse: Widespread over-the-counter use of potent steroid–antifungal combination creams in India suppresses inflammation, produces tinea incognito, and promotes chronic, extensive and antifungal-resistant disease.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Genetic predisposition: An inherited (often autosomal-dominant, atopy-associated) susceptibility to chronic T. rubrum infection, together with familial/household clustering, favours persistent and recurrent tinea pedis.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(working-age, 16–45 years)</w:t>
            </w:r>
          </w:p>
        </w:tc>
        <w:tc>
          <w:tcPr>
            <w:tcW w:type="dxa" w:w="4276"/>
            <w:vAlign w:val="top"/>
          </w:tcPr>
          <w:p>
            <w:pPr>
              <w:spacing w:after="60" w:line="259" w:lineRule="auto"/>
            </w:pPr>
            <w:r>
              <w:rPr>
                <w:rFonts w:ascii="Calibri" w:hAnsi="Calibri"/>
                <w:b w:val="0"/>
                <w:i w:val="0"/>
                <w:color w:val="212121"/>
                <w:sz w:val="19"/>
              </w:rPr>
              <w:t>Peak incidence is in working-age adults who spend long hours in occlusive footwear at work, commute and sport, generating the warm, sweaty, occluded environment dermatophytes need. Cumulative communal barefoot exposure adds to risk.</w:t>
            </w:r>
          </w:p>
          <w:p>
            <w:pPr>
              <w:spacing w:after="40" w:before="60" w:line="259" w:lineRule="auto"/>
            </w:pPr>
            <w:r>
              <w:rPr>
                <w:rFonts w:ascii="Calibri" w:hAnsi="Calibri"/>
                <w:b w:val="0"/>
                <w:i w:val="0"/>
                <w:color w:val="212121"/>
                <w:sz w:val="19"/>
              </w:rPr>
              <w:t>Tinea pedis peaks between about 16 and 45 years of age and is the most common dermatophyte infection.</w:t>
            </w:r>
          </w:p>
          <w:p>
            <w:pPr>
              <w:spacing w:after="40" w:line="252" w:lineRule="auto"/>
            </w:pPr>
            <w:hyperlink r:id="rId9">
              <w:r>
                <w:rPr>
                  <w:rFonts w:ascii="Calibri" w:hAnsi="Calibri" w:cs="Calibri"/>
                  <w:sz w:val="18"/>
                  <w:color w:val="1155CC"/>
                  <w:u w:val="single"/>
                </w:rPr>
                <w:t xml:space="preserve">drugsincontext.com — tinea pedis: an updated review</w:t>
              </w:r>
            </w:hyperlink>
          </w:p>
          <w:p>
            <w:pPr>
              <w:spacing w:before="60" w:after="40"/>
            </w:pPr>
            <w:r>
              <w:rPr>
                <w:rFonts w:ascii="Calibri" w:hAnsi="Calibri"/>
                <w:b w:val="0"/>
                <w:i w:val="0"/>
                <w:color w:val="5A5A5A"/>
                <w:sz w:val="18"/>
              </w:rPr>
              <w:t>#tineapedis  #athletesfoot  #workingage  #occlusivefootwear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Older adults have reduced peripheral circulation, immunosenescence, drier and more fissured skin, impaired self-care and a high burden of toenail onychomycosis that seeds the skin — all of which make moccasin-type tinea pedis common, chronic and hard to clear.</w:t>
            </w:r>
          </w:p>
          <w:p>
            <w:pPr>
              <w:spacing w:after="40" w:before="60" w:line="259" w:lineRule="auto"/>
            </w:pPr>
            <w:r>
              <w:rPr>
                <w:rFonts w:ascii="Calibri" w:hAnsi="Calibri"/>
                <w:b w:val="0"/>
                <w:i w:val="0"/>
                <w:color w:val="212121"/>
                <w:sz w:val="19"/>
              </w:rPr>
              <w:t>Onychomycosis, a major reservoir for and companion of tinea pedis, rises sharply with age and affects 22–30% of people with diabetes.</w:t>
            </w:r>
          </w:p>
          <w:p>
            <w:pPr>
              <w:spacing w:after="40" w:line="252" w:lineRule="auto"/>
            </w:pPr>
            <w:hyperlink r:id="rId10">
              <w:r>
                <w:rPr>
                  <w:rFonts w:ascii="Calibri" w:hAnsi="Calibri" w:cs="Calibri"/>
                  <w:sz w:val="18"/>
                  <w:color w:val="1155CC"/>
                  <w:u w:val="single"/>
                </w:rPr>
                <w:t xml:space="preserve">pmc.ncbi.nlm.nih.gov — diabetic foot and fungal infections</w:t>
              </w:r>
            </w:hyperlink>
          </w:p>
          <w:p>
            <w:pPr>
              <w:spacing w:before="60" w:after="40"/>
            </w:pPr>
            <w:r>
              <w:rPr>
                <w:rFonts w:ascii="Calibri" w:hAnsi="Calibri"/>
                <w:b w:val="0"/>
                <w:i w:val="0"/>
                <w:color w:val="5A5A5A"/>
                <w:sz w:val="18"/>
              </w:rPr>
              <w:t>#elderly  #onychomycosis  #moccasin  #circulation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are affected more often than women, reflecting greater use of closed occupational and athletic footwear, more foot sweating, and communal sports/bathing exposure.</w:t>
            </w:r>
          </w:p>
          <w:p>
            <w:pPr>
              <w:spacing w:after="40" w:before="60" w:line="259" w:lineRule="auto"/>
            </w:pPr>
            <w:r>
              <w:rPr>
                <w:rFonts w:ascii="Calibri" w:hAnsi="Calibri"/>
                <w:b w:val="0"/>
                <w:i w:val="0"/>
                <w:color w:val="212121"/>
                <w:sz w:val="19"/>
              </w:rPr>
              <w:t>Adult males have a higher prevalence than females, with a male-to-female ratio of roughly 3:1.</w:t>
            </w:r>
          </w:p>
          <w:p>
            <w:pPr>
              <w:spacing w:after="40" w:line="252" w:lineRule="auto"/>
            </w:pPr>
            <w:hyperlink r:id="rId9">
              <w:r>
                <w:rPr>
                  <w:rFonts w:ascii="Calibri" w:hAnsi="Calibri" w:cs="Calibri"/>
                  <w:sz w:val="18"/>
                  <w:color w:val="1155CC"/>
                  <w:u w:val="single"/>
                </w:rPr>
                <w:t xml:space="preserve">drugsincontext.com — male-to-female ratio ~3:1</w:t>
              </w:r>
            </w:hyperlink>
          </w:p>
          <w:p>
            <w:pPr>
              <w:spacing w:before="60" w:after="40"/>
            </w:pPr>
            <w:r>
              <w:rPr>
                <w:rFonts w:ascii="Calibri" w:hAnsi="Calibri"/>
                <w:b w:val="0"/>
                <w:i w:val="0"/>
                <w:color w:val="5A5A5A"/>
                <w:sz w:val="18"/>
              </w:rPr>
              <w:t>#male  #sweatyfeet  #sports  #boots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&amp; overcrowded households</w:t>
            </w:r>
          </w:p>
        </w:tc>
        <w:tc>
          <w:tcPr>
            <w:tcW w:type="dxa" w:w="4276"/>
            <w:vAlign w:val="top"/>
          </w:tcPr>
          <w:p>
            <w:pPr>
              <w:spacing w:after="60" w:line="259" w:lineRule="auto"/>
            </w:pPr>
            <w:r>
              <w:rPr>
                <w:rFonts w:ascii="Calibri" w:hAnsi="Calibri"/>
                <w:b w:val="0"/>
                <w:i w:val="0"/>
                <w:color w:val="212121"/>
                <w:sz w:val="19"/>
              </w:rPr>
              <w:t>Overcrowding, shared footwear/towels, limited access to clean dry socks and washing facilities, and reliance on cheap over-the-counter steroid-antifungal creams promote transmission, chronicity and recurrence — central features of India's dermatophytosis epidemic.</w:t>
            </w:r>
          </w:p>
          <w:p>
            <w:pPr>
              <w:spacing w:after="40" w:before="60" w:line="259" w:lineRule="auto"/>
            </w:pPr>
            <w:r>
              <w:rPr>
                <w:rFonts w:ascii="Calibri" w:hAnsi="Calibri"/>
                <w:b w:val="0"/>
                <w:i w:val="0"/>
                <w:color w:val="212121"/>
                <w:sz w:val="19"/>
              </w:rPr>
              <w:t>In Indian series 61–67% of dermatophytosis patients are from lower socioeconomic groups, and 72–82% report affected close contacts.</w:t>
            </w:r>
          </w:p>
          <w:p>
            <w:pPr>
              <w:spacing w:after="40" w:line="252" w:lineRule="auto"/>
            </w:pPr>
            <w:hyperlink r:id="rId11">
              <w:r>
                <w:rPr>
                  <w:rFonts w:ascii="Calibri" w:hAnsi="Calibri" w:cs="Calibri"/>
                  <w:sz w:val="18"/>
                  <w:color w:val="1155CC"/>
                  <w:u w:val="single"/>
                </w:rPr>
                <w:t xml:space="preserve">ijdvl.com — Indian dermatophytosis epidemic (risk factors)</w:t>
              </w:r>
            </w:hyperlink>
          </w:p>
          <w:p>
            <w:pPr>
              <w:spacing w:before="60" w:after="40"/>
            </w:pPr>
            <w:r>
              <w:rPr>
                <w:rFonts w:ascii="Calibri" w:hAnsi="Calibri"/>
                <w:b w:val="0"/>
                <w:i w:val="0"/>
                <w:color w:val="5A5A5A"/>
                <w:sz w:val="18"/>
              </w:rPr>
              <w:t>#lowSES  #overcrowding  #householdspread  #steroidmisuse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Hot, humid tropical India</w:t>
            </w:r>
          </w:p>
        </w:tc>
        <w:tc>
          <w:tcPr>
            <w:tcW w:type="dxa" w:w="4276"/>
            <w:vAlign w:val="top"/>
          </w:tcPr>
          <w:p>
            <w:pPr>
              <w:spacing w:after="60" w:line="259" w:lineRule="auto"/>
            </w:pPr>
            <w:r>
              <w:rPr>
                <w:rFonts w:ascii="Calibri" w:hAnsi="Calibri"/>
                <w:b w:val="0"/>
                <w:i w:val="0"/>
                <w:color w:val="212121"/>
                <w:sz w:val="19"/>
              </w:rPr>
              <w:t>India's hot, humid climate keeps feet warm and sweaty inside footwear for much of the year, sustaining a perennial rather than seasonal disease and fuelling an epidemic of chronic dermatophytosis dominated by T. mentagrophytes/interdigitale (T. indotineae).</w:t>
            </w:r>
          </w:p>
          <w:p>
            <w:pPr>
              <w:spacing w:after="40" w:before="60" w:line="259" w:lineRule="auto"/>
            </w:pPr>
            <w:r>
              <w:rPr>
                <w:rFonts w:ascii="Calibri" w:hAnsi="Calibri"/>
                <w:b w:val="0"/>
                <w:i w:val="0"/>
                <w:color w:val="212121"/>
                <w:sz w:val="19"/>
              </w:rPr>
              <w:t>Reported dermatophytosis prevalence in India ranges from about 6% to 61.5%, with T. mentagrophytes/interdigitale now 93–97% of isolates.</w:t>
            </w:r>
          </w:p>
          <w:p>
            <w:pPr>
              <w:spacing w:after="40" w:line="252" w:lineRule="auto"/>
            </w:pPr>
            <w:hyperlink r:id="rId11">
              <w:r>
                <w:rPr>
                  <w:rFonts w:ascii="Calibri" w:hAnsi="Calibri" w:cs="Calibri"/>
                  <w:sz w:val="18"/>
                  <w:color w:val="1155CC"/>
                  <w:u w:val="single"/>
                </w:rPr>
                <w:t xml:space="preserve">ijdvl.com — epidemiology of Indian dermatophytosis</w:t>
              </w:r>
            </w:hyperlink>
          </w:p>
          <w:p>
            <w:pPr>
              <w:spacing w:before="60" w:after="40"/>
            </w:pPr>
            <w:r>
              <w:rPr>
                <w:rFonts w:ascii="Calibri" w:hAnsi="Calibri"/>
                <w:b w:val="0"/>
                <w:i w:val="0"/>
                <w:color w:val="5A5A5A"/>
                <w:sz w:val="18"/>
              </w:rPr>
              <w:t>#tropical  #humidity  #Tindotineae  #perennial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Geographic region</w:t>
            </w:r>
          </w:p>
        </w:tc>
        <w:tc>
          <w:tcPr>
            <w:tcW w:type="dxa" w:w="2160"/>
            <w:vAlign w:val="top"/>
          </w:tcPr>
          <w:p>
            <w:pPr>
              <w:spacing w:after="40" w:before="0" w:line="259" w:lineRule="auto"/>
            </w:pPr>
            <w:r>
              <w:rPr>
                <w:rFonts w:ascii="Calibri" w:hAnsi="Calibri"/>
                <w:b w:val="0"/>
                <w:i w:val="0"/>
                <w:color w:val="212121"/>
                <w:sz w:val="19"/>
              </w:rPr>
              <w:t>Urban India</w:t>
            </w:r>
          </w:p>
        </w:tc>
        <w:tc>
          <w:tcPr>
            <w:tcW w:type="dxa" w:w="4276"/>
            <w:vAlign w:val="top"/>
          </w:tcPr>
          <w:p>
            <w:pPr>
              <w:spacing w:after="60" w:line="259" w:lineRule="auto"/>
            </w:pPr>
            <w:r>
              <w:rPr>
                <w:rFonts w:ascii="Calibri" w:hAnsi="Calibri"/>
                <w:b w:val="0"/>
                <w:i w:val="0"/>
                <w:color w:val="212121"/>
                <w:sz w:val="19"/>
              </w:rPr>
              <w:t>Urban populations wear closed footwear for long commutes and desk/factory work, live in crowded conditions, and have easy access to unregulated potent steroid-antifungal combination creams, shifting the disease burden towards cities.</w:t>
            </w:r>
          </w:p>
          <w:p>
            <w:pPr>
              <w:spacing w:after="40" w:before="60" w:line="259" w:lineRule="auto"/>
            </w:pPr>
            <w:r>
              <w:rPr>
                <w:rFonts w:ascii="Calibri" w:hAnsi="Calibri"/>
                <w:b w:val="0"/>
                <w:i w:val="0"/>
                <w:color w:val="212121"/>
                <w:sz w:val="19"/>
              </w:rPr>
              <w:t>Recent Indian studies report that around 80% of dermatophytosis patients are from urban areas.</w:t>
            </w:r>
          </w:p>
          <w:p>
            <w:pPr>
              <w:spacing w:after="40" w:line="252" w:lineRule="auto"/>
            </w:pPr>
            <w:hyperlink r:id="rId11">
              <w:r>
                <w:rPr>
                  <w:rFonts w:ascii="Calibri" w:hAnsi="Calibri" w:cs="Calibri"/>
                  <w:sz w:val="18"/>
                  <w:color w:val="1155CC"/>
                  <w:u w:val="single"/>
                </w:rPr>
                <w:t xml:space="preserve">ijdvl.com — urban predominance in Indian dermatophytosis</w:t>
              </w:r>
            </w:hyperlink>
          </w:p>
          <w:p>
            <w:pPr>
              <w:spacing w:before="60" w:after="40"/>
            </w:pPr>
            <w:r>
              <w:rPr>
                <w:rFonts w:ascii="Calibri" w:hAnsi="Calibri"/>
                <w:b w:val="0"/>
                <w:i w:val="0"/>
                <w:color w:val="5A5A5A"/>
                <w:sz w:val="18"/>
              </w:rPr>
              <w:t>#urban  #citylife  #OTCsteroids  #footwearhours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Occupational / occlusive footwear</w:t>
            </w:r>
          </w:p>
        </w:tc>
        <w:tc>
          <w:tcPr>
            <w:tcW w:type="dxa" w:w="2160"/>
            <w:vAlign w:val="top"/>
          </w:tcPr>
          <w:p>
            <w:pPr>
              <w:spacing w:after="40" w:before="0" w:line="259" w:lineRule="auto"/>
            </w:pPr>
            <w:r>
              <w:rPr>
                <w:rFonts w:ascii="Calibri" w:hAnsi="Calibri"/>
                <w:b w:val="0"/>
                <w:i w:val="0"/>
                <w:color w:val="212121"/>
                <w:sz w:val="19"/>
              </w:rPr>
              <w:t>Soldiers, police, industrial &amp; boot workers</w:t>
            </w:r>
          </w:p>
        </w:tc>
        <w:tc>
          <w:tcPr>
            <w:tcW w:type="dxa" w:w="4276"/>
            <w:vAlign w:val="top"/>
          </w:tcPr>
          <w:p>
            <w:pPr>
              <w:spacing w:after="60" w:line="259" w:lineRule="auto"/>
            </w:pPr>
            <w:r>
              <w:rPr>
                <w:rFonts w:ascii="Calibri" w:hAnsi="Calibri"/>
                <w:b w:val="0"/>
                <w:i w:val="0"/>
                <w:color w:val="212121"/>
                <w:sz w:val="19"/>
              </w:rPr>
              <w:t>Prolonged wear of heavy, non-breathable industrial boots, gumboots or military footwear traps heat and sweat against the skin for hours, macerating the web spaces and creating an ideal fungal microenvironment.</w:t>
            </w:r>
          </w:p>
          <w:p>
            <w:pPr>
              <w:spacing w:after="40" w:before="60" w:line="259" w:lineRule="auto"/>
            </w:pPr>
            <w:r>
              <w:rPr>
                <w:rFonts w:ascii="Calibri" w:hAnsi="Calibri"/>
                <w:b w:val="0"/>
                <w:i w:val="0"/>
                <w:color w:val="212121"/>
                <w:sz w:val="19"/>
              </w:rPr>
              <w:t>Occlusive footwear and hyperhidrosis are established primary risk factors for tinea pedis.</w:t>
            </w:r>
          </w:p>
          <w:p>
            <w:pPr>
              <w:spacing w:after="40" w:line="252" w:lineRule="auto"/>
            </w:pPr>
            <w:hyperlink r:id="rId12">
              <w:r>
                <w:rPr>
                  <w:rFonts w:ascii="Calibri" w:hAnsi="Calibri" w:cs="Calibri"/>
                  <w:sz w:val="18"/>
                  <w:color w:val="1155CC"/>
                  <w:u w:val="single"/>
                </w:rPr>
                <w:t xml:space="preserve">dermnetnz.org — tinea pedis risk factors</w:t>
              </w:r>
            </w:hyperlink>
          </w:p>
          <w:p>
            <w:pPr>
              <w:spacing w:before="60" w:after="40"/>
            </w:pPr>
            <w:r>
              <w:rPr>
                <w:rFonts w:ascii="Calibri" w:hAnsi="Calibri"/>
                <w:b w:val="0"/>
                <w:i w:val="0"/>
                <w:color w:val="5A5A5A"/>
                <w:sz w:val="18"/>
              </w:rPr>
              <w:t>#boots  #military  #occupational  #occlusion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Communal barefoot exposure / sport</w:t>
            </w:r>
          </w:p>
        </w:tc>
        <w:tc>
          <w:tcPr>
            <w:tcW w:type="dxa" w:w="2160"/>
            <w:vAlign w:val="top"/>
          </w:tcPr>
          <w:p>
            <w:pPr>
              <w:spacing w:after="40" w:before="0" w:line="259" w:lineRule="auto"/>
            </w:pPr>
            <w:r>
              <w:rPr>
                <w:rFonts w:ascii="Calibri" w:hAnsi="Calibri"/>
                <w:b w:val="0"/>
                <w:i w:val="0"/>
                <w:color w:val="212121"/>
                <w:sz w:val="19"/>
              </w:rPr>
              <w:t>Swimmers, runners, gym &amp; locker-room users</w:t>
            </w:r>
          </w:p>
        </w:tc>
        <w:tc>
          <w:tcPr>
            <w:tcW w:type="dxa" w:w="4276"/>
            <w:vAlign w:val="top"/>
          </w:tcPr>
          <w:p>
            <w:pPr>
              <w:spacing w:after="60" w:line="259" w:lineRule="auto"/>
            </w:pPr>
            <w:r>
              <w:rPr>
                <w:rFonts w:ascii="Calibri" w:hAnsi="Calibri"/>
                <w:b w:val="0"/>
                <w:i w:val="0"/>
                <w:color w:val="212121"/>
                <w:sz w:val="19"/>
              </w:rPr>
              <w:t>Walking barefoot on damp communal floors of pools, gyms, changing rooms and shared bathrooms exposes the feet to infective arthroconidia, while sweaty athletic footwear promotes colonisation — often asymptomatic (occult) at first.</w:t>
            </w:r>
          </w:p>
          <w:p>
            <w:pPr>
              <w:spacing w:after="40" w:before="60" w:line="259" w:lineRule="auto"/>
            </w:pPr>
            <w:r>
              <w:rPr>
                <w:rFonts w:ascii="Calibri" w:hAnsi="Calibri"/>
                <w:b w:val="0"/>
                <w:i w:val="0"/>
                <w:color w:val="212121"/>
                <w:sz w:val="19"/>
              </w:rPr>
              <w:t>Cultures were dermatophyte-positive in ~15% of swimmers and ~22% of marathon runners, many (around 10%) without visible lesions.</w:t>
            </w:r>
          </w:p>
          <w:p>
            <w:pPr>
              <w:spacing w:after="40" w:line="252" w:lineRule="auto"/>
            </w:pPr>
            <w:hyperlink r:id="rId9">
              <w:r>
                <w:rPr>
                  <w:rFonts w:ascii="Calibri" w:hAnsi="Calibri" w:cs="Calibri"/>
                  <w:sz w:val="18"/>
                  <w:color w:val="1155CC"/>
                  <w:u w:val="single"/>
                </w:rPr>
                <w:t xml:space="preserve">drugsincontext.com — athletes and occult tinea pedis</w:t>
              </w:r>
            </w:hyperlink>
          </w:p>
          <w:p>
            <w:pPr>
              <w:spacing w:before="60" w:after="40"/>
            </w:pPr>
            <w:r>
              <w:rPr>
                <w:rFonts w:ascii="Calibri" w:hAnsi="Calibri"/>
                <w:b w:val="0"/>
                <w:i w:val="0"/>
                <w:color w:val="5A5A5A"/>
                <w:sz w:val="18"/>
              </w:rPr>
              <w:t>#athletesfoot  #swimmers  #lockerroom  #occult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Hyperhidrosis</w:t>
            </w:r>
          </w:p>
        </w:tc>
        <w:tc>
          <w:tcPr>
            <w:tcW w:type="dxa" w:w="2160"/>
            <w:vAlign w:val="top"/>
          </w:tcPr>
          <w:p>
            <w:pPr>
              <w:spacing w:after="40" w:before="0" w:line="259" w:lineRule="auto"/>
            </w:pPr>
            <w:r>
              <w:rPr>
                <w:rFonts w:ascii="Calibri" w:hAnsi="Calibri"/>
                <w:b w:val="0"/>
                <w:i w:val="0"/>
                <w:color w:val="212121"/>
                <w:sz w:val="19"/>
              </w:rPr>
              <w:t>People with sweaty feet</w:t>
            </w:r>
          </w:p>
        </w:tc>
        <w:tc>
          <w:tcPr>
            <w:tcW w:type="dxa" w:w="4276"/>
            <w:vAlign w:val="top"/>
          </w:tcPr>
          <w:p>
            <w:pPr>
              <w:spacing w:after="60" w:line="259" w:lineRule="auto"/>
            </w:pPr>
            <w:r>
              <w:rPr>
                <w:rFonts w:ascii="Calibri" w:hAnsi="Calibri"/>
                <w:b w:val="0"/>
                <w:i w:val="0"/>
                <w:color w:val="212121"/>
                <w:sz w:val="19"/>
              </w:rPr>
              <w:t>Excessive plantar and interdigital sweating keeps the stratum corneum moist and macerated, lowering barrier resistance and providing the humidity dermatophytes require to grow and persist.</w:t>
            </w:r>
          </w:p>
          <w:p>
            <w:pPr>
              <w:spacing w:after="40" w:before="60" w:line="259" w:lineRule="auto"/>
            </w:pPr>
            <w:r>
              <w:rPr>
                <w:rFonts w:ascii="Calibri" w:hAnsi="Calibri"/>
                <w:b w:val="0"/>
                <w:i w:val="0"/>
                <w:color w:val="212121"/>
                <w:sz w:val="19"/>
              </w:rPr>
              <w:t>Hyperhidrosis (excessive foot sweating) is a well-recognised risk factor and driver of recurrence.</w:t>
            </w:r>
          </w:p>
          <w:p>
            <w:pPr>
              <w:spacing w:after="40" w:line="252" w:lineRule="auto"/>
            </w:pPr>
            <w:hyperlink r:id="rId13">
              <w:r>
                <w:rPr>
                  <w:rFonts w:ascii="Calibri" w:hAnsi="Calibri" w:cs="Calibri"/>
                  <w:sz w:val="18"/>
                  <w:color w:val="1155CC"/>
                  <w:u w:val="single"/>
                </w:rPr>
                <w:t xml:space="preserve">ncbi.nlm.nih.gov — StatPearls: Tinea Pedis risk factors</w:t>
              </w:r>
            </w:hyperlink>
          </w:p>
          <w:p>
            <w:pPr>
              <w:spacing w:before="60" w:after="40"/>
            </w:pPr>
            <w:r>
              <w:rPr>
                <w:rFonts w:ascii="Calibri" w:hAnsi="Calibri"/>
                <w:b w:val="0"/>
                <w:i w:val="0"/>
                <w:color w:val="5A5A5A"/>
                <w:sz w:val="18"/>
              </w:rPr>
              <w:t>#hyperhidrosis  #sweat  #maceration  #moisture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Topical steroid misuse</w:t>
            </w:r>
          </w:p>
        </w:tc>
        <w:tc>
          <w:tcPr>
            <w:tcW w:type="dxa" w:w="2160"/>
            <w:vAlign w:val="top"/>
          </w:tcPr>
          <w:p>
            <w:pPr>
              <w:spacing w:after="40" w:before="0" w:line="259" w:lineRule="auto"/>
            </w:pPr>
            <w:r>
              <w:rPr>
                <w:rFonts w:ascii="Calibri" w:hAnsi="Calibri"/>
                <w:b w:val="0"/>
                <w:i w:val="0"/>
                <w:color w:val="212121"/>
                <w:sz w:val="19"/>
              </w:rPr>
              <w:t>Users of OTC steroid-antifungal creams</w:t>
            </w:r>
          </w:p>
        </w:tc>
        <w:tc>
          <w:tcPr>
            <w:tcW w:type="dxa" w:w="4276"/>
            <w:vAlign w:val="top"/>
          </w:tcPr>
          <w:p>
            <w:pPr>
              <w:spacing w:after="60" w:line="259" w:lineRule="auto"/>
            </w:pPr>
            <w:r>
              <w:rPr>
                <w:rFonts w:ascii="Calibri" w:hAnsi="Calibri"/>
                <w:b w:val="0"/>
                <w:i w:val="0"/>
                <w:color w:val="212121"/>
                <w:sz w:val="19"/>
              </w:rPr>
              <w:t>Self-application of potent corticosteroid–antifungal combination creams (freely sold in India) suppresses the inflammatory response, produces atypical tinea incognito, and promotes extensive, chronic and antifungal-resistant infection.</w:t>
            </w:r>
          </w:p>
          <w:p>
            <w:pPr>
              <w:spacing w:after="40" w:before="60" w:line="259" w:lineRule="auto"/>
            </w:pPr>
            <w:r>
              <w:rPr>
                <w:rFonts w:ascii="Calibri" w:hAnsi="Calibri"/>
                <w:b w:val="0"/>
                <w:i w:val="0"/>
                <w:color w:val="212121"/>
                <w:sz w:val="19"/>
              </w:rPr>
              <w:t>42–81% of patients in the Indian epidemic had used prior topical steroid-containing combination creams before presentation.</w:t>
            </w:r>
          </w:p>
          <w:p>
            <w:pPr>
              <w:spacing w:after="40" w:line="252" w:lineRule="auto"/>
            </w:pPr>
            <w:hyperlink r:id="rId11">
              <w:r>
                <w:rPr>
                  <w:rFonts w:ascii="Calibri" w:hAnsi="Calibri" w:cs="Calibri"/>
                  <w:sz w:val="18"/>
                  <w:color w:val="1155CC"/>
                  <w:u w:val="single"/>
                </w:rPr>
                <w:t xml:space="preserve">ijdvl.com — topical steroid misuse in Indian tinea</w:t>
              </w:r>
            </w:hyperlink>
          </w:p>
          <w:p>
            <w:pPr>
              <w:spacing w:before="60" w:after="40"/>
            </w:pPr>
            <w:r>
              <w:rPr>
                <w:rFonts w:ascii="Calibri" w:hAnsi="Calibri"/>
                <w:b w:val="0"/>
                <w:i w:val="0"/>
                <w:color w:val="5A5A5A"/>
                <w:sz w:val="18"/>
              </w:rPr>
              <w:t>#steroidmisuse  #tineaincognito  #OTC  #recalcitrant</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Obesity / metabolic</w:t>
            </w:r>
          </w:p>
        </w:tc>
        <w:tc>
          <w:tcPr>
            <w:tcW w:type="dxa" w:w="2160"/>
            <w:vAlign w:val="top"/>
          </w:tcPr>
          <w:p>
            <w:pPr>
              <w:spacing w:after="40" w:before="0" w:line="259" w:lineRule="auto"/>
            </w:pPr>
            <w:r>
              <w:rPr>
                <w:rFonts w:ascii="Calibri" w:hAnsi="Calibri"/>
                <w:b w:val="0"/>
                <w:i w:val="0"/>
                <w:color w:val="212121"/>
                <w:sz w:val="19"/>
              </w:rPr>
              <w:t>Overweight &amp; obese individuals</w:t>
            </w:r>
          </w:p>
        </w:tc>
        <w:tc>
          <w:tcPr>
            <w:tcW w:type="dxa" w:w="4276"/>
            <w:vAlign w:val="top"/>
          </w:tcPr>
          <w:p>
            <w:pPr>
              <w:spacing w:after="60" w:line="259" w:lineRule="auto"/>
            </w:pPr>
            <w:r>
              <w:rPr>
                <w:rFonts w:ascii="Calibri" w:hAnsi="Calibri"/>
                <w:b w:val="0"/>
                <w:i w:val="0"/>
                <w:color w:val="212121"/>
                <w:sz w:val="19"/>
              </w:rPr>
              <w:t>Obesity increases foot sweating, deep skin-fold occlusion and difficulty with foot self-care, and clusters with type 2 diabetes — together raising the likelihood and chronicity of tinea pedis and toe-web maceration.</w:t>
            </w:r>
          </w:p>
          <w:p>
            <w:pPr>
              <w:spacing w:after="40" w:before="60" w:line="259" w:lineRule="auto"/>
            </w:pPr>
            <w:r>
              <w:rPr>
                <w:rFonts w:ascii="Calibri" w:hAnsi="Calibri"/>
                <w:b w:val="0"/>
                <w:i w:val="0"/>
                <w:color w:val="212121"/>
                <w:sz w:val="19"/>
              </w:rPr>
              <w:t>Obesity commonly coexists with diabetes, in whom tinea pedis is 2.5–2.8 times more frequent than in the general population.</w:t>
            </w:r>
          </w:p>
          <w:p>
            <w:pPr>
              <w:spacing w:after="40" w:line="252" w:lineRule="auto"/>
            </w:pPr>
            <w:hyperlink r:id="rId10">
              <w:r>
                <w:rPr>
                  <w:rFonts w:ascii="Calibri" w:hAnsi="Calibri" w:cs="Calibri"/>
                  <w:sz w:val="18"/>
                  <w:color w:val="1155CC"/>
                  <w:u w:val="single"/>
                </w:rPr>
                <w:t xml:space="preserve">pmc.ncbi.nlm.nih.gov — diabetes, obesity and fungal foot disease</w:t>
              </w:r>
            </w:hyperlink>
          </w:p>
          <w:p>
            <w:pPr>
              <w:spacing w:before="60" w:after="40"/>
            </w:pPr>
            <w:r>
              <w:rPr>
                <w:rFonts w:ascii="Calibri" w:hAnsi="Calibri"/>
                <w:b w:val="0"/>
                <w:i w:val="0"/>
                <w:color w:val="5A5A5A"/>
                <w:sz w:val="18"/>
              </w:rPr>
              <w:t>#obesity  #sweating  #metabolic  #diabetesrisk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Immunonutrition / deficiency</w:t>
            </w:r>
          </w:p>
        </w:tc>
        <w:tc>
          <w:tcPr>
            <w:tcW w:type="dxa" w:w="2160"/>
            <w:vAlign w:val="top"/>
          </w:tcPr>
          <w:p>
            <w:pPr>
              <w:spacing w:after="40" w:before="0" w:line="259" w:lineRule="auto"/>
            </w:pPr>
            <w:r>
              <w:rPr>
                <w:rFonts w:ascii="Calibri" w:hAnsi="Calibri"/>
                <w:b w:val="0"/>
                <w:i w:val="0"/>
                <w:color w:val="212121"/>
                <w:sz w:val="19"/>
              </w:rPr>
              <w:t>Undernourished or micronutrient-deficient individuals</w:t>
            </w:r>
          </w:p>
        </w:tc>
        <w:tc>
          <w:tcPr>
            <w:tcW w:type="dxa" w:w="4276"/>
            <w:vAlign w:val="top"/>
          </w:tcPr>
          <w:p>
            <w:pPr>
              <w:spacing w:after="60" w:line="259" w:lineRule="auto"/>
            </w:pPr>
            <w:r>
              <w:rPr>
                <w:rFonts w:ascii="Calibri" w:hAnsi="Calibri"/>
                <w:b w:val="0"/>
                <w:i w:val="0"/>
                <w:color w:val="212121"/>
                <w:sz w:val="19"/>
              </w:rPr>
              <w:t>Poor protein-energy nutrition and deficiencies of zinc, iron and vitamins impair cell-mediated immunity and skin-barrier repair, which can favour more extensive or persistent dermatophyte infection; this is a general clinical association rather than a tinea-specific dietary cause.</w:t>
            </w:r>
          </w:p>
          <w:p>
            <w:pPr>
              <w:spacing w:before="60" w:after="40"/>
            </w:pPr>
            <w:r>
              <w:rPr>
                <w:rFonts w:ascii="Calibri" w:hAnsi="Calibri"/>
                <w:b w:val="0"/>
                <w:i w:val="0"/>
                <w:color w:val="5A5A5A"/>
                <w:sz w:val="18"/>
              </w:rPr>
              <w:t>#nutrition  #immunity  #zinc  #barrier</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household contact</w:t>
            </w:r>
          </w:p>
        </w:tc>
        <w:tc>
          <w:tcPr>
            <w:tcW w:type="dxa" w:w="2160"/>
            <w:vAlign w:val="top"/>
          </w:tcPr>
          <w:p>
            <w:pPr>
              <w:spacing w:after="40" w:before="0" w:line="259" w:lineRule="auto"/>
            </w:pPr>
            <w:r>
              <w:rPr>
                <w:rFonts w:ascii="Calibri" w:hAnsi="Calibri"/>
                <w:b w:val="0"/>
                <w:i w:val="0"/>
                <w:color w:val="212121"/>
                <w:sz w:val="19"/>
              </w:rPr>
              <w:t>Members of affected households</w:t>
            </w:r>
          </w:p>
        </w:tc>
        <w:tc>
          <w:tcPr>
            <w:tcW w:type="dxa" w:w="4276"/>
            <w:vAlign w:val="top"/>
          </w:tcPr>
          <w:p>
            <w:pPr>
              <w:spacing w:after="60" w:line="259" w:lineRule="auto"/>
            </w:pPr>
            <w:r>
              <w:rPr>
                <w:rFonts w:ascii="Calibri" w:hAnsi="Calibri"/>
                <w:b w:val="0"/>
                <w:i w:val="0"/>
                <w:color w:val="212121"/>
                <w:sz w:val="19"/>
              </w:rPr>
              <w:t>Dermatophytes spread readily within families through shared footwear, towels, floors and bedding, so a household contact with tinea markedly raises risk; genetic susceptibility may compound the environmental sharing.</w:t>
            </w:r>
          </w:p>
          <w:p>
            <w:pPr>
              <w:spacing w:after="40" w:before="60" w:line="259" w:lineRule="auto"/>
            </w:pPr>
            <w:r>
              <w:rPr>
                <w:rFonts w:ascii="Calibri" w:hAnsi="Calibri"/>
                <w:b w:val="0"/>
                <w:i w:val="0"/>
                <w:color w:val="212121"/>
                <w:sz w:val="19"/>
              </w:rPr>
              <w:t>72–82% of Indian dermatophytosis patients report a history of the infection in close contacts.</w:t>
            </w:r>
          </w:p>
          <w:p>
            <w:pPr>
              <w:spacing w:after="40" w:line="252" w:lineRule="auto"/>
            </w:pPr>
            <w:hyperlink r:id="rId11">
              <w:r>
                <w:rPr>
                  <w:rFonts w:ascii="Calibri" w:hAnsi="Calibri" w:cs="Calibri"/>
                  <w:sz w:val="18"/>
                  <w:color w:val="1155CC"/>
                  <w:u w:val="single"/>
                </w:rPr>
                <w:t xml:space="preserve">ijdvl.com — household contacts in Indian tinea</w:t>
              </w:r>
            </w:hyperlink>
          </w:p>
          <w:p>
            <w:pPr>
              <w:spacing w:before="60" w:after="40"/>
            </w:pPr>
            <w:r>
              <w:rPr>
                <w:rFonts w:ascii="Calibri" w:hAnsi="Calibri"/>
                <w:b w:val="0"/>
                <w:i w:val="0"/>
                <w:color w:val="5A5A5A"/>
                <w:sz w:val="18"/>
              </w:rPr>
              <w:t>#familyspread  #householdcontacts  #sharedfootwear  #fomites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Inherited susceptibility</w:t>
            </w:r>
          </w:p>
        </w:tc>
        <w:tc>
          <w:tcPr>
            <w:tcW w:type="dxa" w:w="2160"/>
            <w:vAlign w:val="top"/>
          </w:tcPr>
          <w:p>
            <w:pPr>
              <w:spacing w:after="40" w:before="0" w:line="259" w:lineRule="auto"/>
            </w:pPr>
            <w:r>
              <w:rPr>
                <w:rFonts w:ascii="Calibri" w:hAnsi="Calibri"/>
                <w:b w:val="0"/>
                <w:i w:val="0"/>
                <w:color w:val="212121"/>
                <w:sz w:val="19"/>
              </w:rPr>
              <w:t>Atopics &amp; those with chronic T. rubrum infection</w:t>
            </w:r>
          </w:p>
        </w:tc>
        <w:tc>
          <w:tcPr>
            <w:tcW w:type="dxa" w:w="4276"/>
            <w:vAlign w:val="top"/>
          </w:tcPr>
          <w:p>
            <w:pPr>
              <w:spacing w:after="60" w:line="259" w:lineRule="auto"/>
            </w:pPr>
            <w:r>
              <w:rPr>
                <w:rFonts w:ascii="Calibri" w:hAnsi="Calibri"/>
                <w:b w:val="0"/>
                <w:i w:val="0"/>
                <w:color w:val="212121"/>
                <w:sz w:val="19"/>
              </w:rPr>
              <w:t>A subset of people carry an inherited (often atopy-linked, autosomal-dominant) predisposition to chronic, widespread T. rubrum dermatophytosis with weak cell-mediated responses, giving persistent moccasin tinea pedis and onychomycosis that relapse despite treatment.</w:t>
            </w:r>
          </w:p>
          <w:p>
            <w:pPr>
              <w:spacing w:after="40" w:before="60" w:line="259" w:lineRule="auto"/>
            </w:pPr>
            <w:r>
              <w:rPr>
                <w:rFonts w:ascii="Calibri" w:hAnsi="Calibri"/>
                <w:b w:val="0"/>
                <w:i w:val="0"/>
                <w:color w:val="212121"/>
                <w:sz w:val="19"/>
              </w:rPr>
              <w:t>Chronic T. rubrum dermatophytosis shows familial clustering and an association with atopy and impaired cell-mediated immunity.</w:t>
            </w:r>
          </w:p>
          <w:p>
            <w:pPr>
              <w:spacing w:after="40" w:line="252" w:lineRule="auto"/>
            </w:pPr>
            <w:hyperlink r:id="rId13">
              <w:r>
                <w:rPr>
                  <w:rFonts w:ascii="Calibri" w:hAnsi="Calibri" w:cs="Calibri"/>
                  <w:sz w:val="18"/>
                  <w:color w:val="1155CC"/>
                  <w:u w:val="single"/>
                </w:rPr>
                <w:t xml:space="preserve">ncbi.nlm.nih.gov — StatPearls: Tinea Pedis</w:t>
              </w:r>
            </w:hyperlink>
          </w:p>
          <w:p>
            <w:pPr>
              <w:spacing w:before="60" w:after="40"/>
            </w:pPr>
            <w:r>
              <w:rPr>
                <w:rFonts w:ascii="Calibri" w:hAnsi="Calibri"/>
                <w:b w:val="0"/>
                <w:i w:val="0"/>
                <w:color w:val="5A5A5A"/>
                <w:sz w:val="18"/>
              </w:rPr>
              <w:t>#atopy  #Trubrum  #chronic  #geneticsusceptibility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diabetes</w:t>
            </w:r>
          </w:p>
        </w:tc>
        <w:tc>
          <w:tcPr>
            <w:tcW w:type="dxa" w:w="4276"/>
            <w:vAlign w:val="top"/>
          </w:tcPr>
          <w:p>
            <w:pPr>
              <w:spacing w:after="60" w:line="259" w:lineRule="auto"/>
            </w:pPr>
            <w:r>
              <w:rPr>
                <w:rFonts w:ascii="Calibri" w:hAnsi="Calibri"/>
                <w:b w:val="0"/>
                <w:i w:val="0"/>
                <w:color w:val="212121"/>
                <w:sz w:val="19"/>
              </w:rPr>
              <w:t>Hyperglycaemia, peripheral neuropathy, poor circulation and impaired immunity make diabetics far more prone to tinea pedis and onychomycosis; the interdigital fissures then act as a portal of entry for bacterial cellulitis and diabetic foot ulceration.</w:t>
            </w:r>
          </w:p>
          <w:p>
            <w:pPr>
              <w:spacing w:after="40" w:before="60" w:line="259" w:lineRule="auto"/>
            </w:pPr>
            <w:r>
              <w:rPr>
                <w:rFonts w:ascii="Calibri" w:hAnsi="Calibri"/>
                <w:b w:val="0"/>
                <w:i w:val="0"/>
                <w:color w:val="212121"/>
                <w:sz w:val="19"/>
              </w:rPr>
              <w:t>Tinea pedis is 2.5–2.8 times more frequent in people with diabetes, and diabetic foot infections originate from the interdigital spaces in about 60% of cases.</w:t>
            </w:r>
          </w:p>
          <w:p>
            <w:pPr>
              <w:spacing w:after="40" w:line="252" w:lineRule="auto"/>
            </w:pPr>
            <w:hyperlink r:id="rId10">
              <w:r>
                <w:rPr>
                  <w:rFonts w:ascii="Calibri" w:hAnsi="Calibri" w:cs="Calibri"/>
                  <w:sz w:val="18"/>
                  <w:color w:val="1155CC"/>
                  <w:u w:val="single"/>
                </w:rPr>
                <w:t xml:space="preserve">pmc.ncbi.nlm.nih.gov — diabetic foot and fungal infections</w:t>
              </w:r>
            </w:hyperlink>
          </w:p>
          <w:p>
            <w:pPr>
              <w:spacing w:before="60" w:after="40"/>
            </w:pPr>
            <w:r>
              <w:rPr>
                <w:rFonts w:ascii="Calibri" w:hAnsi="Calibri"/>
                <w:b w:val="0"/>
                <w:i w:val="0"/>
                <w:color w:val="5A5A5A"/>
                <w:sz w:val="18"/>
              </w:rPr>
              <w:t>#diabetes  #portalofentry  #footulcer  #cellulitis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Onychomycosis</w:t>
            </w:r>
          </w:p>
        </w:tc>
        <w:tc>
          <w:tcPr>
            <w:tcW w:type="dxa" w:w="2160"/>
            <w:vAlign w:val="top"/>
          </w:tcPr>
          <w:p>
            <w:pPr>
              <w:spacing w:after="40" w:before="0" w:line="259" w:lineRule="auto"/>
            </w:pPr>
            <w:r>
              <w:rPr>
                <w:rFonts w:ascii="Calibri" w:hAnsi="Calibri"/>
                <w:b w:val="0"/>
                <w:i w:val="0"/>
                <w:color w:val="212121"/>
                <w:sz w:val="19"/>
              </w:rPr>
              <w:t>Patients with fungal toenails</w:t>
            </w:r>
          </w:p>
        </w:tc>
        <w:tc>
          <w:tcPr>
            <w:tcW w:type="dxa" w:w="4276"/>
            <w:vAlign w:val="top"/>
          </w:tcPr>
          <w:p>
            <w:pPr>
              <w:spacing w:after="60" w:line="259" w:lineRule="auto"/>
            </w:pPr>
            <w:r>
              <w:rPr>
                <w:rFonts w:ascii="Calibri" w:hAnsi="Calibri"/>
                <w:b w:val="0"/>
                <w:i w:val="0"/>
                <w:color w:val="212121"/>
                <w:sz w:val="19"/>
              </w:rPr>
              <w:t>Infected toenails are a persistent fungal reservoir that continually re-seeds the surrounding skin; tinea pedis and onychomycosis frequently coexist and perpetuate one another, so nails must be treated to prevent relapse.</w:t>
            </w:r>
          </w:p>
          <w:p>
            <w:pPr>
              <w:spacing w:after="40" w:before="60" w:line="259" w:lineRule="auto"/>
            </w:pPr>
            <w:r>
              <w:rPr>
                <w:rFonts w:ascii="Calibri" w:hAnsi="Calibri"/>
                <w:b w:val="0"/>
                <w:i w:val="0"/>
                <w:color w:val="212121"/>
                <w:sz w:val="19"/>
              </w:rPr>
              <w:t>Up to two-thirds of diabetics with onychomycosis have concurrent tinea pedis; in children, ~22% with onychomycosis have coexisting tinea pedis.</w:t>
            </w:r>
          </w:p>
          <w:p>
            <w:pPr>
              <w:spacing w:after="40" w:line="252" w:lineRule="auto"/>
            </w:pPr>
            <w:hyperlink r:id="rId10">
              <w:r>
                <w:rPr>
                  <w:rFonts w:ascii="Calibri" w:hAnsi="Calibri" w:cs="Calibri"/>
                  <w:sz w:val="18"/>
                  <w:color w:val="1155CC"/>
                  <w:u w:val="single"/>
                </w:rPr>
                <w:t xml:space="preserve">pmc.ncbi.nlm.nih.gov — onychomycosis and tinea pedis coexistence</w:t>
              </w:r>
            </w:hyperlink>
          </w:p>
          <w:p>
            <w:pPr>
              <w:spacing w:before="60" w:after="40"/>
            </w:pPr>
            <w:r>
              <w:rPr>
                <w:rFonts w:ascii="Calibri" w:hAnsi="Calibri"/>
                <w:b w:val="0"/>
                <w:i w:val="0"/>
                <w:color w:val="5A5A5A"/>
                <w:sz w:val="18"/>
              </w:rPr>
              <w:t>#onychomycosis  #reservoir  #relapse  #nailinfection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 / HIV</w:t>
            </w:r>
          </w:p>
        </w:tc>
        <w:tc>
          <w:tcPr>
            <w:tcW w:type="dxa" w:w="2160"/>
            <w:vAlign w:val="top"/>
          </w:tcPr>
          <w:p>
            <w:pPr>
              <w:spacing w:after="40" w:before="0" w:line="259" w:lineRule="auto"/>
            </w:pPr>
            <w:r>
              <w:rPr>
                <w:rFonts w:ascii="Calibri" w:hAnsi="Calibri"/>
                <w:b w:val="0"/>
                <w:i w:val="0"/>
                <w:color w:val="212121"/>
                <w:sz w:val="19"/>
              </w:rPr>
              <w:t>Immunocompromised patients</w:t>
            </w:r>
          </w:p>
        </w:tc>
        <w:tc>
          <w:tcPr>
            <w:tcW w:type="dxa" w:w="4276"/>
            <w:vAlign w:val="top"/>
          </w:tcPr>
          <w:p>
            <w:pPr>
              <w:spacing w:after="60" w:line="259" w:lineRule="auto"/>
            </w:pPr>
            <w:r>
              <w:rPr>
                <w:rFonts w:ascii="Calibri" w:hAnsi="Calibri"/>
                <w:b w:val="0"/>
                <w:i w:val="0"/>
                <w:color w:val="212121"/>
                <w:sz w:val="19"/>
              </w:rPr>
              <w:t>HIV, transplantation, chemotherapy and systemic corticosteroids blunt cell-mediated immunity, producing more extensive, atypical, ulcerative and treatment-resistant tinea pedis with a higher risk of secondary infection.</w:t>
            </w:r>
          </w:p>
          <w:p>
            <w:pPr>
              <w:spacing w:after="40" w:before="60" w:line="259" w:lineRule="auto"/>
            </w:pPr>
            <w:r>
              <w:rPr>
                <w:rFonts w:ascii="Calibri" w:hAnsi="Calibri"/>
                <w:b w:val="0"/>
                <w:i w:val="0"/>
                <w:color w:val="212121"/>
                <w:sz w:val="19"/>
              </w:rPr>
              <w:t>Immunodeficiency (including HIV) and immunosuppressive/systemic-steroid therapy are established risk factors for severe and ulcerative tinea pedis.</w:t>
            </w:r>
          </w:p>
          <w:p>
            <w:pPr>
              <w:spacing w:after="40" w:line="252" w:lineRule="auto"/>
            </w:pPr>
            <w:hyperlink r:id="rId9">
              <w:r>
                <w:rPr>
                  <w:rFonts w:ascii="Calibri" w:hAnsi="Calibri" w:cs="Calibri"/>
                  <w:sz w:val="18"/>
                  <w:color w:val="1155CC"/>
                  <w:u w:val="single"/>
                </w:rPr>
                <w:t xml:space="preserve">drugsincontext.com — host risk factors for tinea pedis</w:t>
              </w:r>
            </w:hyperlink>
          </w:p>
          <w:p>
            <w:pPr>
              <w:spacing w:before="60" w:after="40"/>
            </w:pPr>
            <w:r>
              <w:rPr>
                <w:rFonts w:ascii="Calibri" w:hAnsi="Calibri"/>
                <w:b w:val="0"/>
                <w:i w:val="0"/>
                <w:color w:val="5A5A5A"/>
                <w:sz w:val="18"/>
              </w:rPr>
              <w:t>#HIV  #immunosuppression  #ulcerative  #atypical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Peripheral vascular disease / lymphoedema</w:t>
            </w:r>
          </w:p>
        </w:tc>
        <w:tc>
          <w:tcPr>
            <w:tcW w:type="dxa" w:w="2160"/>
            <w:vAlign w:val="top"/>
          </w:tcPr>
          <w:p>
            <w:pPr>
              <w:spacing w:after="40" w:before="0" w:line="259" w:lineRule="auto"/>
            </w:pPr>
            <w:r>
              <w:rPr>
                <w:rFonts w:ascii="Calibri" w:hAnsi="Calibri"/>
                <w:b w:val="0"/>
                <w:i w:val="0"/>
                <w:color w:val="212121"/>
                <w:sz w:val="19"/>
              </w:rPr>
              <w:t>Patients with poor circulation or chronic leg swelling</w:t>
            </w:r>
          </w:p>
        </w:tc>
        <w:tc>
          <w:tcPr>
            <w:tcW w:type="dxa" w:w="4276"/>
            <w:vAlign w:val="top"/>
          </w:tcPr>
          <w:p>
            <w:pPr>
              <w:spacing w:after="60" w:line="259" w:lineRule="auto"/>
            </w:pPr>
            <w:r>
              <w:rPr>
                <w:rFonts w:ascii="Calibri" w:hAnsi="Calibri"/>
                <w:b w:val="0"/>
                <w:i w:val="0"/>
                <w:color w:val="212121"/>
                <w:sz w:val="19"/>
              </w:rPr>
              <w:t>Impaired arterial supply, venous stasis and lymphoedema compromise skin nutrition and immune surveillance of the feet, favouring chronic tinea pedis; the resulting fissures in turn precipitate recurrent cellulitis that worsens the lymphoedema.</w:t>
            </w:r>
          </w:p>
          <w:p>
            <w:pPr>
              <w:spacing w:after="40" w:before="60" w:line="259" w:lineRule="auto"/>
            </w:pPr>
            <w:r>
              <w:rPr>
                <w:rFonts w:ascii="Calibri" w:hAnsi="Calibri"/>
                <w:b w:val="0"/>
                <w:i w:val="0"/>
                <w:color w:val="212121"/>
                <w:sz w:val="19"/>
              </w:rPr>
              <w:t>Poor peripheral circulation and lymphoedema are recognised predisposing factors, and toe-web tinea pedis is an important portal of entry for lower-limb cellulitis.</w:t>
            </w:r>
          </w:p>
          <w:p>
            <w:pPr>
              <w:spacing w:after="40" w:line="252" w:lineRule="auto"/>
            </w:pPr>
            <w:hyperlink r:id="rId12">
              <w:r>
                <w:rPr>
                  <w:rFonts w:ascii="Calibri" w:hAnsi="Calibri" w:cs="Calibri"/>
                  <w:sz w:val="18"/>
                  <w:color w:val="1155CC"/>
                  <w:u w:val="single"/>
                </w:rPr>
                <w:t xml:space="preserve">dermnetnz.org — predisposing factors for tinea pedis</w:t>
              </w:r>
            </w:hyperlink>
          </w:p>
          <w:p>
            <w:pPr>
              <w:spacing w:before="60" w:after="40"/>
            </w:pPr>
            <w:r>
              <w:rPr>
                <w:rFonts w:ascii="Calibri" w:hAnsi="Calibri"/>
                <w:b w:val="0"/>
                <w:i w:val="0"/>
                <w:color w:val="5A5A5A"/>
                <w:sz w:val="18"/>
              </w:rPr>
              <w:t>#PVD  #lymphoedema  #venousstasis  #cellulitis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Activity itself is healthy, but sport increases risk indirectly through sweaty occlusive athletic footwear and barefoot exposure in communal showers and locker rooms; ~15% of swimmers and ~22% of marathon runners culture positive for dermatophytes, often without lesions.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dietary cause; obesity and poorly controlled diabetes raise risk indirectly through sweating, skin-fold occlusion and impaired immunity, and micronutrient deficiency may weaken barrier defence.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link; chronic sleep deprivation may modestly impair immune function, and the persistent night-time itch of inflammatory tinea pedis can disturb sleep.</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impairs peripheral circulation and immunity and worsens peripheral vascular and diabetic foot disease, indirectly favouring chronic foot infection; no direct causal role is established.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role; heavy alcohol use impairs immunity and worsens diabetes and peripheral neuropathy, which can predispose to and complicate foot infections.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relapsing, itchy and malodorous foot infection can cause embarrassment, social withdrawal and reduced quality of life and adherence, though it is not a driver of the infection itself.</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Drinking-water hydration has no direct role, but external moisture is central: prolonged wet feet, occupational water exposure and walking on damp communal floors strongly promote infection, while meticulous drying of the feet is a key preventive measure.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known association between caffeine intake and tinea pedis.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dominant modifiable factor: thorough foot drying (especially between the toes), clean dry moisture-wicking socks, breathable footwear, not sharing footwear/towels, wearing sandals in communal wet areas and decontaminating shoes prevent infection, transmission and relapse.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Occlusive footwear, hyperhidrosis, maceration/fissuring, communal barefoot exposure, diabetes and immunosuppression, and — in India — topical corticosteroid misuse all provoke, spread and perpetuate the disease.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Foot drying after washing (esp. web spaces)</w:t>
            </w:r>
          </w:p>
        </w:tc>
        <w:tc>
          <w:tcPr>
            <w:tcW w:type="dxa" w:w="1655"/>
            <w:vAlign w:val="top"/>
          </w:tcPr>
          <w:p>
            <w:pPr>
              <w:spacing w:after="40" w:before="0" w:line="259" w:lineRule="auto"/>
            </w:pPr>
            <w:r>
              <w:rPr>
                <w:rFonts w:ascii="Calibri" w:hAnsi="Calibri"/>
                <w:b w:val="0"/>
                <w:i w:val="0"/>
                <w:color w:val="212121"/>
                <w:sz w:val="19"/>
              </w:rPr>
              <w:t>All, athletes, sweaty-footed</w:t>
            </w:r>
          </w:p>
        </w:tc>
        <w:tc>
          <w:tcPr>
            <w:tcW w:type="dxa" w:w="1512"/>
            <w:vAlign w:val="top"/>
          </w:tcPr>
          <w:p>
            <w:pPr>
              <w:spacing w:after="40" w:before="0" w:line="259" w:lineRule="auto"/>
            </w:pPr>
            <w:r>
              <w:rPr>
                <w:rFonts w:ascii="Calibri" w:hAnsi="Calibri"/>
                <w:b w:val="0"/>
                <w:i w:val="0"/>
                <w:color w:val="212121"/>
                <w:sz w:val="19"/>
              </w:rPr>
              <w:t>Feet fully dried, including between all toes, each time</w:t>
            </w:r>
          </w:p>
        </w:tc>
        <w:tc>
          <w:tcPr>
            <w:tcW w:type="dxa" w:w="1512"/>
            <w:vAlign w:val="top"/>
          </w:tcPr>
          <w:p>
            <w:pPr>
              <w:spacing w:after="40" w:before="0" w:line="259" w:lineRule="auto"/>
            </w:pPr>
            <w:r>
              <w:rPr>
                <w:rFonts w:ascii="Calibri" w:hAnsi="Calibri"/>
                <w:b w:val="0"/>
                <w:i w:val="0"/>
                <w:color w:val="212121"/>
                <w:sz w:val="19"/>
              </w:rPr>
              <w:t>Feet left damp inside socks/shoes</w:t>
            </w:r>
          </w:p>
        </w:tc>
        <w:tc>
          <w:tcPr>
            <w:tcW w:type="dxa" w:w="1468"/>
            <w:vAlign w:val="top"/>
          </w:tcPr>
          <w:p>
            <w:pPr>
              <w:spacing w:after="60" w:line="259" w:lineRule="auto"/>
            </w:pPr>
            <w:r>
              <w:rPr>
                <w:rFonts w:ascii="Calibri" w:hAnsi="Calibri"/>
                <w:b w:val="0"/>
                <w:i w:val="0"/>
                <w:color w:val="212121"/>
                <w:sz w:val="19"/>
              </w:rPr>
              <w:t>Residual inter-toe moisture is the key macerating trigger</w:t>
            </w:r>
          </w:p>
          <w:p>
            <w:pPr>
              <w:spacing w:after="40" w:line="252" w:lineRule="auto"/>
            </w:pPr>
            <w:hyperlink r:id="rId12">
              <w:r>
                <w:rPr>
                  <w:rFonts w:ascii="Calibri" w:hAnsi="Calibri" w:cs="Calibri"/>
                  <w:sz w:val="18"/>
                  <w:color w:val="1155CC"/>
                  <w:u w:val="single"/>
                </w:rPr>
                <w:t xml:space="preserve">https://dermnetnz.org/topics/tinea-pedis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Daily occlusive-footwear hours</w:t>
            </w:r>
          </w:p>
        </w:tc>
        <w:tc>
          <w:tcPr>
            <w:tcW w:type="dxa" w:w="1655"/>
            <w:vAlign w:val="top"/>
          </w:tcPr>
          <w:p>
            <w:pPr>
              <w:spacing w:after="40" w:before="0" w:line="259" w:lineRule="auto"/>
            </w:pPr>
            <w:r>
              <w:rPr>
                <w:rFonts w:ascii="Calibri" w:hAnsi="Calibri"/>
                <w:b w:val="0"/>
                <w:i w:val="0"/>
                <w:color w:val="212121"/>
                <w:sz w:val="19"/>
              </w:rPr>
              <w:t>Boot/uniform workers, students</w:t>
            </w:r>
          </w:p>
        </w:tc>
        <w:tc>
          <w:tcPr>
            <w:tcW w:type="dxa" w:w="1512"/>
            <w:vAlign w:val="top"/>
          </w:tcPr>
          <w:p>
            <w:pPr>
              <w:spacing w:after="40" w:before="0" w:line="259" w:lineRule="auto"/>
            </w:pPr>
            <w:r>
              <w:rPr>
                <w:rFonts w:ascii="Calibri" w:hAnsi="Calibri"/>
                <w:b w:val="0"/>
                <w:i w:val="0"/>
                <w:color w:val="212121"/>
                <w:sz w:val="19"/>
              </w:rPr>
              <w:t>Minimised; breathable/open footwear when possible</w:t>
            </w:r>
          </w:p>
        </w:tc>
        <w:tc>
          <w:tcPr>
            <w:tcW w:type="dxa" w:w="1512"/>
            <w:vAlign w:val="top"/>
          </w:tcPr>
          <w:p>
            <w:pPr>
              <w:spacing w:after="40" w:before="0" w:line="259" w:lineRule="auto"/>
            </w:pPr>
            <w:r>
              <w:rPr>
                <w:rFonts w:ascii="Calibri" w:hAnsi="Calibri"/>
                <w:b w:val="0"/>
                <w:i w:val="0"/>
                <w:color w:val="212121"/>
                <w:sz w:val="19"/>
              </w:rPr>
              <w:t>Prolonged closed non-breathable boots &gt;8 h/day</w:t>
            </w:r>
          </w:p>
        </w:tc>
        <w:tc>
          <w:tcPr>
            <w:tcW w:type="dxa" w:w="1468"/>
            <w:vAlign w:val="top"/>
          </w:tcPr>
          <w:p>
            <w:pPr>
              <w:spacing w:after="60" w:line="259" w:lineRule="auto"/>
            </w:pPr>
            <w:r>
              <w:rPr>
                <w:rFonts w:ascii="Calibri" w:hAnsi="Calibri"/>
                <w:b w:val="0"/>
                <w:i w:val="0"/>
                <w:color w:val="212121"/>
                <w:sz w:val="19"/>
              </w:rPr>
              <w:t>Occlusion traps heat and sweat</w:t>
            </w:r>
          </w:p>
          <w:p>
            <w:pPr>
              <w:spacing w:after="40" w:line="252" w:lineRule="auto"/>
            </w:pPr>
            <w:hyperlink r:id="rId12">
              <w:r>
                <w:rPr>
                  <w:rFonts w:ascii="Calibri" w:hAnsi="Calibri" w:cs="Calibri"/>
                  <w:sz w:val="18"/>
                  <w:color w:val="1155CC"/>
                  <w:u w:val="single"/>
                </w:rPr>
                <w:t xml:space="preserve">https://dermnetnz.org/topics/tinea-pedis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Sock hygiene &amp; material</w:t>
            </w:r>
          </w:p>
        </w:tc>
        <w:tc>
          <w:tcPr>
            <w:tcW w:type="dxa" w:w="1655"/>
            <w:vAlign w:val="top"/>
          </w:tcPr>
          <w:p>
            <w:pPr>
              <w:spacing w:after="40" w:before="0" w:line="259" w:lineRule="auto"/>
            </w:pPr>
            <w:r>
              <w:rPr>
                <w:rFonts w:ascii="Calibri" w:hAnsi="Calibri"/>
                <w:b w:val="0"/>
                <w:i w:val="0"/>
                <w:color w:val="212121"/>
                <w:sz w:val="19"/>
              </w:rPr>
              <w:t>All, hyperhidrosis</w:t>
            </w:r>
          </w:p>
        </w:tc>
        <w:tc>
          <w:tcPr>
            <w:tcW w:type="dxa" w:w="1512"/>
            <w:vAlign w:val="top"/>
          </w:tcPr>
          <w:p>
            <w:pPr>
              <w:spacing w:after="40" w:before="0" w:line="259" w:lineRule="auto"/>
            </w:pPr>
            <w:r>
              <w:rPr>
                <w:rFonts w:ascii="Calibri" w:hAnsi="Calibri"/>
                <w:b w:val="0"/>
                <w:i w:val="0"/>
                <w:color w:val="212121"/>
                <w:sz w:val="19"/>
              </w:rPr>
              <w:t>Clean dry cotton/moisture-wicking socks, changed daily</w:t>
            </w:r>
          </w:p>
        </w:tc>
        <w:tc>
          <w:tcPr>
            <w:tcW w:type="dxa" w:w="1512"/>
            <w:vAlign w:val="top"/>
          </w:tcPr>
          <w:p>
            <w:pPr>
              <w:spacing w:after="40" w:before="0" w:line="259" w:lineRule="auto"/>
            </w:pPr>
            <w:r>
              <w:rPr>
                <w:rFonts w:ascii="Calibri" w:hAnsi="Calibri"/>
                <w:b w:val="0"/>
                <w:i w:val="0"/>
                <w:color w:val="212121"/>
                <w:sz w:val="19"/>
              </w:rPr>
              <w:t>Reused, damp or synthetic socks</w:t>
            </w:r>
          </w:p>
        </w:tc>
        <w:tc>
          <w:tcPr>
            <w:tcW w:type="dxa" w:w="1468"/>
            <w:vAlign w:val="top"/>
          </w:tcPr>
          <w:p>
            <w:pPr>
              <w:spacing w:after="60" w:line="259" w:lineRule="auto"/>
            </w:pPr>
            <w:r>
              <w:rPr>
                <w:rFonts w:ascii="Calibri" w:hAnsi="Calibri"/>
                <w:b w:val="0"/>
                <w:i w:val="0"/>
                <w:color w:val="212121"/>
                <w:sz w:val="19"/>
              </w:rPr>
              <w:t>Damp socks sustain the fungal microclimate</w:t>
            </w:r>
          </w:p>
          <w:p>
            <w:pPr>
              <w:spacing w:after="40" w:line="252" w:lineRule="auto"/>
            </w:pPr>
            <w:hyperlink r:id="rId12">
              <w:r>
                <w:rPr>
                  <w:rFonts w:ascii="Calibri" w:hAnsi="Calibri" w:cs="Calibri"/>
                  <w:sz w:val="18"/>
                  <w:color w:val="1155CC"/>
                  <w:u w:val="single"/>
                </w:rPr>
                <w:t xml:space="preserve">https://dermnetnz.org/topics/tinea-pedis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Barefoot exposure in communal wet areas</w:t>
            </w:r>
          </w:p>
        </w:tc>
        <w:tc>
          <w:tcPr>
            <w:tcW w:type="dxa" w:w="1655"/>
            <w:vAlign w:val="top"/>
          </w:tcPr>
          <w:p>
            <w:pPr>
              <w:spacing w:after="40" w:before="0" w:line="259" w:lineRule="auto"/>
            </w:pPr>
            <w:r>
              <w:rPr>
                <w:rFonts w:ascii="Calibri" w:hAnsi="Calibri"/>
                <w:b w:val="0"/>
                <w:i w:val="0"/>
                <w:color w:val="212121"/>
                <w:sz w:val="19"/>
              </w:rPr>
              <w:t>Swimmers, gym &amp; shared-bath users</w:t>
            </w:r>
          </w:p>
        </w:tc>
        <w:tc>
          <w:tcPr>
            <w:tcW w:type="dxa" w:w="1512"/>
            <w:vAlign w:val="top"/>
          </w:tcPr>
          <w:p>
            <w:pPr>
              <w:spacing w:after="40" w:before="0" w:line="259" w:lineRule="auto"/>
            </w:pPr>
            <w:r>
              <w:rPr>
                <w:rFonts w:ascii="Calibri" w:hAnsi="Calibri"/>
                <w:b w:val="0"/>
                <w:i w:val="0"/>
                <w:color w:val="212121"/>
                <w:sz w:val="19"/>
              </w:rPr>
              <w:t>Wear sandals/flip-flops in pools, gyms, changing rooms</w:t>
            </w:r>
          </w:p>
        </w:tc>
        <w:tc>
          <w:tcPr>
            <w:tcW w:type="dxa" w:w="1512"/>
            <w:vAlign w:val="top"/>
          </w:tcPr>
          <w:p>
            <w:pPr>
              <w:spacing w:after="40" w:before="0" w:line="259" w:lineRule="auto"/>
            </w:pPr>
            <w:r>
              <w:rPr>
                <w:rFonts w:ascii="Calibri" w:hAnsi="Calibri"/>
                <w:b w:val="0"/>
                <w:i w:val="0"/>
                <w:color w:val="212121"/>
                <w:sz w:val="19"/>
              </w:rPr>
              <w:t>Walking barefoot on damp communal floors</w:t>
            </w:r>
          </w:p>
        </w:tc>
        <w:tc>
          <w:tcPr>
            <w:tcW w:type="dxa" w:w="1468"/>
            <w:vAlign w:val="top"/>
          </w:tcPr>
          <w:p>
            <w:pPr>
              <w:spacing w:after="60" w:line="259" w:lineRule="auto"/>
            </w:pPr>
            <w:r>
              <w:rPr>
                <w:rFonts w:ascii="Calibri" w:hAnsi="Calibri"/>
                <w:b w:val="0"/>
                <w:i w:val="0"/>
                <w:color w:val="212121"/>
                <w:sz w:val="19"/>
              </w:rPr>
              <w:t>Communal floors carry infective arthroconidia</w:t>
            </w:r>
          </w:p>
          <w:p>
            <w:pPr>
              <w:spacing w:after="40" w:line="252" w:lineRule="auto"/>
            </w:pPr>
            <w:hyperlink r:id="rId9">
              <w:r>
                <w:rPr>
                  <w:rFonts w:ascii="Calibri" w:hAnsi="Calibri" w:cs="Calibri"/>
                  <w:sz w:val="18"/>
                  <w:color w:val="1155CC"/>
                  <w:u w:val="single"/>
                </w:rPr>
                <w:t xml:space="preserve">https://www.drugsincontext.com/wp-content/uploads/2023/06/dic.2023-5-1.pdf</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Hyperhidrosis / plantar sweating</w:t>
            </w:r>
          </w:p>
        </w:tc>
        <w:tc>
          <w:tcPr>
            <w:tcW w:type="dxa" w:w="1655"/>
            <w:vAlign w:val="top"/>
          </w:tcPr>
          <w:p>
            <w:pPr>
              <w:spacing w:after="40" w:before="0" w:line="259" w:lineRule="auto"/>
            </w:pPr>
            <w:r>
              <w:rPr>
                <w:rFonts w:ascii="Calibri" w:hAnsi="Calibri"/>
                <w:b w:val="0"/>
                <w:i w:val="0"/>
                <w:color w:val="212121"/>
                <w:sz w:val="19"/>
              </w:rPr>
              <w:t>Sweaty-footed individuals</w:t>
            </w:r>
          </w:p>
        </w:tc>
        <w:tc>
          <w:tcPr>
            <w:tcW w:type="dxa" w:w="1512"/>
            <w:vAlign w:val="top"/>
          </w:tcPr>
          <w:p>
            <w:pPr>
              <w:spacing w:after="40" w:before="0" w:line="259" w:lineRule="auto"/>
            </w:pPr>
            <w:r>
              <w:rPr>
                <w:rFonts w:ascii="Calibri" w:hAnsi="Calibri"/>
                <w:b w:val="0"/>
                <w:i w:val="0"/>
                <w:color w:val="212121"/>
                <w:sz w:val="19"/>
              </w:rPr>
              <w:t>Dry feet; antiperspirant/desiccant powder as needed</w:t>
            </w:r>
          </w:p>
        </w:tc>
        <w:tc>
          <w:tcPr>
            <w:tcW w:type="dxa" w:w="1512"/>
            <w:vAlign w:val="top"/>
          </w:tcPr>
          <w:p>
            <w:pPr>
              <w:spacing w:after="40" w:before="0" w:line="259" w:lineRule="auto"/>
            </w:pPr>
            <w:r>
              <w:rPr>
                <w:rFonts w:ascii="Calibri" w:hAnsi="Calibri"/>
                <w:b w:val="0"/>
                <w:i w:val="0"/>
                <w:color w:val="212121"/>
                <w:sz w:val="19"/>
              </w:rPr>
              <w:t>Persistent visible foot sweating &amp; maceration</w:t>
            </w:r>
          </w:p>
        </w:tc>
        <w:tc>
          <w:tcPr>
            <w:tcW w:type="dxa" w:w="1468"/>
            <w:vAlign w:val="top"/>
          </w:tcPr>
          <w:p>
            <w:pPr>
              <w:spacing w:after="60" w:line="259" w:lineRule="auto"/>
            </w:pPr>
            <w:r>
              <w:rPr>
                <w:rFonts w:ascii="Calibri" w:hAnsi="Calibri"/>
                <w:b w:val="0"/>
                <w:i w:val="0"/>
                <w:color w:val="212121"/>
                <w:sz w:val="19"/>
              </w:rPr>
              <w:t>Moisture is essential for dermatophyte growth</w:t>
            </w:r>
          </w:p>
          <w:p>
            <w:pPr>
              <w:spacing w:after="40" w:line="252" w:lineRule="auto"/>
            </w:pPr>
            <w:hyperlink r:id="rId13">
              <w:r>
                <w:rPr>
                  <w:rFonts w:ascii="Calibri" w:hAnsi="Calibri" w:cs="Calibri"/>
                  <w:sz w:val="18"/>
                  <w:color w:val="1155CC"/>
                  <w:u w:val="single"/>
                </w:rPr>
                <w:t xml:space="preserve">https://www.ncbi.nlm.nih.gov/books/NBK470421/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Topical steroid / steroid-antifungal use</w:t>
            </w:r>
          </w:p>
        </w:tc>
        <w:tc>
          <w:tcPr>
            <w:tcW w:type="dxa" w:w="1655"/>
            <w:vAlign w:val="top"/>
          </w:tcPr>
          <w:p>
            <w:pPr>
              <w:spacing w:after="40" w:before="0" w:line="259" w:lineRule="auto"/>
            </w:pPr>
            <w:r>
              <w:rPr>
                <w:rFonts w:ascii="Calibri" w:hAnsi="Calibri"/>
                <w:b w:val="0"/>
                <w:i w:val="0"/>
                <w:color w:val="212121"/>
                <w:sz w:val="19"/>
              </w:rPr>
              <w:t>Self-treating patients (India)</w:t>
            </w:r>
          </w:p>
        </w:tc>
        <w:tc>
          <w:tcPr>
            <w:tcW w:type="dxa" w:w="1512"/>
            <w:vAlign w:val="top"/>
          </w:tcPr>
          <w:p>
            <w:pPr>
              <w:spacing w:after="40" w:before="0" w:line="259" w:lineRule="auto"/>
            </w:pPr>
            <w:r>
              <w:rPr>
                <w:rFonts w:ascii="Calibri" w:hAnsi="Calibri"/>
                <w:b w:val="0"/>
                <w:i w:val="0"/>
                <w:color w:val="212121"/>
                <w:sz w:val="19"/>
              </w:rPr>
              <w:t>No OTC steroid-antifungal combination creams</w:t>
            </w:r>
          </w:p>
        </w:tc>
        <w:tc>
          <w:tcPr>
            <w:tcW w:type="dxa" w:w="1512"/>
            <w:vAlign w:val="top"/>
          </w:tcPr>
          <w:p>
            <w:pPr>
              <w:spacing w:after="40" w:before="0" w:line="259" w:lineRule="auto"/>
            </w:pPr>
            <w:r>
              <w:rPr>
                <w:rFonts w:ascii="Calibri" w:hAnsi="Calibri"/>
                <w:b w:val="0"/>
                <w:i w:val="0"/>
                <w:color w:val="212121"/>
                <w:sz w:val="19"/>
              </w:rPr>
              <w:t>Any potent topical steroid on suspected tinea</w:t>
            </w:r>
          </w:p>
        </w:tc>
        <w:tc>
          <w:tcPr>
            <w:tcW w:type="dxa" w:w="1468"/>
            <w:vAlign w:val="top"/>
          </w:tcPr>
          <w:p>
            <w:pPr>
              <w:spacing w:after="60" w:line="259" w:lineRule="auto"/>
            </w:pPr>
            <w:r>
              <w:rPr>
                <w:rFonts w:ascii="Calibri" w:hAnsi="Calibri"/>
                <w:b w:val="0"/>
                <w:i w:val="0"/>
                <w:color w:val="212121"/>
                <w:sz w:val="19"/>
              </w:rPr>
              <w:t>Causes tinea incognito, chronicity and resistance</w:t>
            </w:r>
          </w:p>
          <w:p>
            <w:pPr>
              <w:spacing w:after="40" w:line="252" w:lineRule="auto"/>
            </w:pPr>
            <w:hyperlink r:id="rId11">
              <w:r>
                <w:rPr>
                  <w:rFonts w:ascii="Calibri" w:hAnsi="Calibri" w:cs="Calibri"/>
                  <w:sz w:val="18"/>
                  <w:color w:val="1155CC"/>
                  <w:u w:val="single"/>
                </w:rPr>
                <w:t xml:space="preserve">https://ijdvl.com/the-unprecedented-epidemic-like-scenario-of-dermatophytosis-in-india-i-epidemiology-risk-factors-and-clinical-features/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Glycaemic control (HbA1c)</w:t>
            </w:r>
          </w:p>
        </w:tc>
        <w:tc>
          <w:tcPr>
            <w:tcW w:type="dxa" w:w="1655"/>
            <w:vAlign w:val="top"/>
          </w:tcPr>
          <w:p>
            <w:pPr>
              <w:spacing w:after="40" w:before="0" w:line="259" w:lineRule="auto"/>
            </w:pPr>
            <w:r>
              <w:rPr>
                <w:rFonts w:ascii="Calibri" w:hAnsi="Calibri"/>
                <w:b w:val="0"/>
                <w:i w:val="0"/>
                <w:color w:val="212121"/>
                <w:sz w:val="19"/>
              </w:rPr>
              <w:t>Diabetics with foot infection</w:t>
            </w:r>
          </w:p>
        </w:tc>
        <w:tc>
          <w:tcPr>
            <w:tcW w:type="dxa" w:w="1512"/>
            <w:vAlign w:val="top"/>
          </w:tcPr>
          <w:p>
            <w:pPr>
              <w:spacing w:after="40" w:before="0" w:line="259" w:lineRule="auto"/>
            </w:pPr>
            <w:r>
              <w:rPr>
                <w:rFonts w:ascii="Calibri" w:hAnsi="Calibri"/>
                <w:b w:val="0"/>
                <w:i w:val="0"/>
                <w:color w:val="212121"/>
                <w:sz w:val="19"/>
              </w:rPr>
              <w:t>HbA1c &lt; 7% (individualised)</w:t>
            </w:r>
          </w:p>
        </w:tc>
        <w:tc>
          <w:tcPr>
            <w:tcW w:type="dxa" w:w="1512"/>
            <w:vAlign w:val="top"/>
          </w:tcPr>
          <w:p>
            <w:pPr>
              <w:spacing w:after="40" w:before="0" w:line="259" w:lineRule="auto"/>
            </w:pPr>
            <w:r>
              <w:rPr>
                <w:rFonts w:ascii="Calibri" w:hAnsi="Calibri"/>
                <w:b w:val="0"/>
                <w:i w:val="0"/>
                <w:color w:val="212121"/>
                <w:sz w:val="19"/>
              </w:rPr>
              <w:t>Persistent hyperglycaemia / HbA1c ≥ 8%</w:t>
            </w:r>
          </w:p>
        </w:tc>
        <w:tc>
          <w:tcPr>
            <w:tcW w:type="dxa" w:w="1468"/>
            <w:vAlign w:val="top"/>
          </w:tcPr>
          <w:p>
            <w:pPr>
              <w:spacing w:after="60" w:line="259" w:lineRule="auto"/>
            </w:pPr>
            <w:r>
              <w:rPr>
                <w:rFonts w:ascii="Calibri" w:hAnsi="Calibri"/>
                <w:b w:val="0"/>
                <w:i w:val="0"/>
                <w:color w:val="212121"/>
                <w:sz w:val="19"/>
              </w:rPr>
              <w:t>Tinea pedis 2.5–2.8× commoner in diabetes</w:t>
            </w:r>
          </w:p>
          <w:p>
            <w:pPr>
              <w:spacing w:after="40" w:line="252" w:lineRule="auto"/>
            </w:pPr>
            <w:hyperlink r:id="rId10">
              <w:r>
                <w:rPr>
                  <w:rFonts w:ascii="Calibri" w:hAnsi="Calibri" w:cs="Calibri"/>
                  <w:sz w:val="18"/>
                  <w:color w:val="1155CC"/>
                  <w:u w:val="single"/>
                </w:rPr>
                <w:t xml:space="preserve">https://pmc.ncbi.nlm.nih.gov/articles/PMC11355269/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Concurrent onychomycosis</w:t>
            </w:r>
          </w:p>
        </w:tc>
        <w:tc>
          <w:tcPr>
            <w:tcW w:type="dxa" w:w="1655"/>
            <w:vAlign w:val="top"/>
          </w:tcPr>
          <w:p>
            <w:pPr>
              <w:spacing w:after="40" w:before="0" w:line="259" w:lineRule="auto"/>
            </w:pPr>
            <w:r>
              <w:rPr>
                <w:rFonts w:ascii="Calibri" w:hAnsi="Calibri"/>
                <w:b w:val="0"/>
                <w:i w:val="0"/>
                <w:color w:val="212121"/>
                <w:sz w:val="19"/>
              </w:rPr>
              <w:t>Patients with fungal toenails</w:t>
            </w:r>
          </w:p>
        </w:tc>
        <w:tc>
          <w:tcPr>
            <w:tcW w:type="dxa" w:w="1512"/>
            <w:vAlign w:val="top"/>
          </w:tcPr>
          <w:p>
            <w:pPr>
              <w:spacing w:after="40" w:before="0" w:line="259" w:lineRule="auto"/>
            </w:pPr>
            <w:r>
              <w:rPr>
                <w:rFonts w:ascii="Calibri" w:hAnsi="Calibri"/>
                <w:b w:val="0"/>
                <w:i w:val="0"/>
                <w:color w:val="212121"/>
                <w:sz w:val="19"/>
              </w:rPr>
              <w:t>Nails clear / actively treated</w:t>
            </w:r>
          </w:p>
        </w:tc>
        <w:tc>
          <w:tcPr>
            <w:tcW w:type="dxa" w:w="1512"/>
            <w:vAlign w:val="top"/>
          </w:tcPr>
          <w:p>
            <w:pPr>
              <w:spacing w:after="40" w:before="0" w:line="259" w:lineRule="auto"/>
            </w:pPr>
            <w:r>
              <w:rPr>
                <w:rFonts w:ascii="Calibri" w:hAnsi="Calibri"/>
                <w:b w:val="0"/>
                <w:i w:val="0"/>
                <w:color w:val="212121"/>
                <w:sz w:val="19"/>
              </w:rPr>
              <w:t>Untreated dystrophic fungal toenails</w:t>
            </w:r>
          </w:p>
        </w:tc>
        <w:tc>
          <w:tcPr>
            <w:tcW w:type="dxa" w:w="1468"/>
            <w:vAlign w:val="top"/>
          </w:tcPr>
          <w:p>
            <w:pPr>
              <w:spacing w:after="60" w:line="259" w:lineRule="auto"/>
            </w:pPr>
            <w:r>
              <w:rPr>
                <w:rFonts w:ascii="Calibri" w:hAnsi="Calibri"/>
                <w:b w:val="0"/>
                <w:i w:val="0"/>
                <w:color w:val="212121"/>
                <w:sz w:val="19"/>
              </w:rPr>
              <w:t>Nail reservoir drives skin relapse</w:t>
            </w:r>
          </w:p>
          <w:p>
            <w:pPr>
              <w:spacing w:after="40" w:line="252" w:lineRule="auto"/>
            </w:pPr>
            <w:hyperlink r:id="rId10">
              <w:r>
                <w:rPr>
                  <w:rFonts w:ascii="Calibri" w:hAnsi="Calibri" w:cs="Calibri"/>
                  <w:sz w:val="18"/>
                  <w:color w:val="1155CC"/>
                  <w:u w:val="single"/>
                </w:rPr>
                <w:t xml:space="preserve">https://pmc.ncbi.nlm.nih.gov/articles/PMC11355269/</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Overweight/obese adults</w:t>
            </w:r>
          </w:p>
        </w:tc>
        <w:tc>
          <w:tcPr>
            <w:tcW w:type="dxa" w:w="1512"/>
            <w:vAlign w:val="top"/>
          </w:tcPr>
          <w:p>
            <w:pPr>
              <w:spacing w:after="40" w:before="0" w:line="259" w:lineRule="auto"/>
            </w:pPr>
            <w:r>
              <w:rPr>
                <w:rFonts w:ascii="Calibri" w:hAnsi="Calibri"/>
                <w:b w:val="0"/>
                <w:i w:val="0"/>
                <w:color w:val="212121"/>
                <w:sz w:val="19"/>
              </w:rPr>
              <w:t>18.5–24.9 kg/m² (Asian-Indian &lt; 23)</w:t>
            </w:r>
          </w:p>
        </w:tc>
        <w:tc>
          <w:tcPr>
            <w:tcW w:type="dxa" w:w="1512"/>
            <w:vAlign w:val="top"/>
          </w:tcPr>
          <w:p>
            <w:pPr>
              <w:spacing w:after="40" w:before="0" w:line="259" w:lineRule="auto"/>
            </w:pPr>
            <w:r>
              <w:rPr>
                <w:rFonts w:ascii="Calibri" w:hAnsi="Calibri"/>
                <w:b w:val="0"/>
                <w:i w:val="0"/>
                <w:color w:val="212121"/>
                <w:sz w:val="19"/>
              </w:rPr>
              <w:t>≥ 25 kg/m² (raised sweating &amp; diabetes risk)</w:t>
            </w:r>
          </w:p>
        </w:tc>
        <w:tc>
          <w:tcPr>
            <w:tcW w:type="dxa" w:w="1468"/>
            <w:vAlign w:val="top"/>
          </w:tcPr>
          <w:p>
            <w:pPr>
              <w:spacing w:after="60" w:line="259" w:lineRule="auto"/>
            </w:pPr>
            <w:r>
              <w:rPr>
                <w:rFonts w:ascii="Calibri" w:hAnsi="Calibri"/>
                <w:b w:val="0"/>
                <w:i w:val="0"/>
                <w:color w:val="212121"/>
                <w:sz w:val="19"/>
              </w:rPr>
              <w:t>Obesity clusters with diabetes and foot maceration</w:t>
            </w:r>
          </w:p>
          <w:p>
            <w:pPr>
              <w:spacing w:after="40" w:line="252" w:lineRule="auto"/>
            </w:pPr>
            <w:hyperlink r:id="rId10">
              <w:r>
                <w:rPr>
                  <w:rFonts w:ascii="Calibri" w:hAnsi="Calibri" w:cs="Calibri"/>
                  <w:sz w:val="18"/>
                  <w:color w:val="1155CC"/>
                  <w:u w:val="single"/>
                </w:rPr>
                <w:t xml:space="preserve">https://pmc.ncbi.nlm.nih.gov/articles/PMC11355269/</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Prolonged wet-foot exposure</w:t>
            </w:r>
          </w:p>
        </w:tc>
        <w:tc>
          <w:tcPr>
            <w:tcW w:type="dxa" w:w="1655"/>
            <w:vAlign w:val="top"/>
          </w:tcPr>
          <w:p>
            <w:pPr>
              <w:spacing w:after="40" w:before="0" w:line="259" w:lineRule="auto"/>
            </w:pPr>
            <w:r>
              <w:rPr>
                <w:rFonts w:ascii="Calibri" w:hAnsi="Calibri"/>
                <w:b w:val="0"/>
                <w:i w:val="0"/>
                <w:color w:val="212121"/>
                <w:sz w:val="19"/>
              </w:rPr>
              <w:t>Water-exposed workers, monsoon exposure</w:t>
            </w:r>
          </w:p>
        </w:tc>
        <w:tc>
          <w:tcPr>
            <w:tcW w:type="dxa" w:w="1512"/>
            <w:vAlign w:val="top"/>
          </w:tcPr>
          <w:p>
            <w:pPr>
              <w:spacing w:after="40" w:before="0" w:line="259" w:lineRule="auto"/>
            </w:pPr>
            <w:r>
              <w:rPr>
                <w:rFonts w:ascii="Calibri" w:hAnsi="Calibri"/>
                <w:b w:val="0"/>
                <w:i w:val="0"/>
                <w:color w:val="212121"/>
                <w:sz w:val="19"/>
              </w:rPr>
              <w:t>Feet kept dry; wet footwear removed and dried</w:t>
            </w:r>
          </w:p>
        </w:tc>
        <w:tc>
          <w:tcPr>
            <w:tcW w:type="dxa" w:w="1512"/>
            <w:vAlign w:val="top"/>
          </w:tcPr>
          <w:p>
            <w:pPr>
              <w:spacing w:after="40" w:before="0" w:line="259" w:lineRule="auto"/>
            </w:pPr>
            <w:r>
              <w:rPr>
                <w:rFonts w:ascii="Calibri" w:hAnsi="Calibri"/>
                <w:b w:val="0"/>
                <w:i w:val="0"/>
                <w:color w:val="212121"/>
                <w:sz w:val="19"/>
              </w:rPr>
              <w:t>Hours in wet shoes/socks or waterlogged conditions</w:t>
            </w:r>
          </w:p>
        </w:tc>
        <w:tc>
          <w:tcPr>
            <w:tcW w:type="dxa" w:w="1468"/>
            <w:vAlign w:val="top"/>
          </w:tcPr>
          <w:p>
            <w:pPr>
              <w:spacing w:after="60" w:line="259" w:lineRule="auto"/>
            </w:pPr>
            <w:r>
              <w:rPr>
                <w:rFonts w:ascii="Calibri" w:hAnsi="Calibri"/>
                <w:b w:val="0"/>
                <w:i w:val="0"/>
                <w:color w:val="212121"/>
                <w:sz w:val="19"/>
              </w:rPr>
              <w:t>Sustained external moisture macerates the skin</w:t>
            </w:r>
          </w:p>
          <w:p>
            <w:pPr>
              <w:spacing w:after="40" w:line="252" w:lineRule="auto"/>
            </w:pPr>
            <w:hyperlink r:id="rId12">
              <w:r>
                <w:rPr>
                  <w:rFonts w:ascii="Calibri" w:hAnsi="Calibri" w:cs="Calibri"/>
                  <w:sz w:val="18"/>
                  <w:color w:val="1155CC"/>
                  <w:u w:val="single"/>
                </w:rPr>
                <w:t xml:space="preserve">https://dermnetnz.org/topics/tinea-pedis</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Microscopy</w:t>
            </w:r>
          </w:p>
        </w:tc>
        <w:tc>
          <w:tcPr>
            <w:tcW w:type="dxa" w:w="1036"/>
            <w:vAlign w:val="top"/>
          </w:tcPr>
          <w:p>
            <w:pPr>
              <w:spacing w:after="40" w:before="0" w:line="259" w:lineRule="auto"/>
            </w:pPr>
            <w:r>
              <w:rPr>
                <w:rFonts w:ascii="Calibri" w:hAnsi="Calibri"/>
                <w:b w:val="0"/>
                <w:i w:val="0"/>
                <w:color w:val="212121"/>
                <w:sz w:val="16"/>
              </w:rPr>
              <w:t>Fungal hyphae in stratum corneum</w:t>
            </w:r>
          </w:p>
        </w:tc>
        <w:tc>
          <w:tcPr>
            <w:tcW w:type="dxa" w:w="892"/>
            <w:vAlign w:val="top"/>
          </w:tcPr>
          <w:p>
            <w:pPr>
              <w:spacing w:after="40" w:before="0" w:line="259" w:lineRule="auto"/>
            </w:pPr>
            <w:r>
              <w:rPr>
                <w:rFonts w:ascii="Calibri" w:hAnsi="Calibri"/>
                <w:b w:val="0"/>
                <w:i w:val="0"/>
                <w:color w:val="212121"/>
                <w:sz w:val="16"/>
              </w:rPr>
              <w:t>KOH (10–20%) wet-mount of skin scrapings</w:t>
            </w:r>
          </w:p>
        </w:tc>
        <w:tc>
          <w:tcPr>
            <w:tcW w:type="dxa" w:w="950"/>
            <w:vAlign w:val="top"/>
          </w:tcPr>
          <w:p>
            <w:pPr>
              <w:spacing w:after="40" w:before="0" w:line="259" w:lineRule="auto"/>
            </w:pPr>
            <w:r>
              <w:rPr>
                <w:rFonts w:ascii="Calibri" w:hAnsi="Calibri"/>
                <w:b w:val="0"/>
                <w:i w:val="0"/>
                <w:color w:val="212121"/>
                <w:sz w:val="16"/>
              </w:rPr>
              <w:t>No hyphae seen</w:t>
            </w:r>
          </w:p>
        </w:tc>
        <w:tc>
          <w:tcPr>
            <w:tcW w:type="dxa" w:w="950"/>
            <w:vAlign w:val="top"/>
          </w:tcPr>
          <w:p>
            <w:pPr>
              <w:spacing w:after="40" w:before="0" w:line="259" w:lineRule="auto"/>
            </w:pPr>
            <w:r>
              <w:rPr>
                <w:rFonts w:ascii="Calibri" w:hAnsi="Calibri"/>
                <w:b w:val="0"/>
                <w:i w:val="0"/>
                <w:color w:val="212121"/>
                <w:sz w:val="16"/>
              </w:rPr>
              <w:t>Branching, septate fungal hyphae</w:t>
            </w:r>
          </w:p>
        </w:tc>
        <w:tc>
          <w:tcPr>
            <w:tcW w:type="dxa" w:w="1036"/>
            <w:vAlign w:val="top"/>
          </w:tcPr>
          <w:p>
            <w:pPr>
              <w:spacing w:after="40" w:before="0" w:line="259" w:lineRule="auto"/>
            </w:pPr>
            <w:r>
              <w:rPr>
                <w:rFonts w:ascii="Calibri" w:hAnsi="Calibri"/>
                <w:b w:val="0"/>
                <w:i w:val="0"/>
                <w:color w:val="212121"/>
                <w:sz w:val="16"/>
              </w:rPr>
              <w:t>Bedside confirmation of dermatophyte infection</w:t>
            </w:r>
          </w:p>
        </w:tc>
        <w:tc>
          <w:tcPr>
            <w:tcW w:type="dxa" w:w="1036"/>
            <w:vAlign w:val="top"/>
          </w:tcPr>
          <w:p>
            <w:pPr>
              <w:spacing w:after="40" w:before="0" w:line="259" w:lineRule="auto"/>
            </w:pPr>
            <w:r>
              <w:rPr>
                <w:rFonts w:ascii="Calibri" w:hAnsi="Calibri"/>
                <w:b w:val="0"/>
                <w:i w:val="0"/>
                <w:color w:val="212121"/>
                <w:sz w:val="16"/>
              </w:rPr>
              <w:t>All suspected tinea pedis, before starting therapy</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Pooled sensitivity ~73%, specificity ~43%; scrape the active edge/macerated web</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Mycology culture</w:t>
            </w:r>
          </w:p>
        </w:tc>
        <w:tc>
          <w:tcPr>
            <w:tcW w:type="dxa" w:w="1036"/>
            <w:vAlign w:val="top"/>
          </w:tcPr>
          <w:p>
            <w:pPr>
              <w:spacing w:after="40" w:before="0" w:line="259" w:lineRule="auto"/>
            </w:pPr>
            <w:r>
              <w:rPr>
                <w:rFonts w:ascii="Calibri" w:hAnsi="Calibri"/>
                <w:b w:val="0"/>
                <w:i w:val="0"/>
                <w:color w:val="212121"/>
                <w:sz w:val="16"/>
              </w:rPr>
              <w:t>Dermatophyte species</w:t>
            </w:r>
          </w:p>
        </w:tc>
        <w:tc>
          <w:tcPr>
            <w:tcW w:type="dxa" w:w="892"/>
            <w:vAlign w:val="top"/>
          </w:tcPr>
          <w:p>
            <w:pPr>
              <w:spacing w:after="40" w:before="0" w:line="259" w:lineRule="auto"/>
            </w:pPr>
            <w:r>
              <w:rPr>
                <w:rFonts w:ascii="Calibri" w:hAnsi="Calibri"/>
                <w:b w:val="0"/>
                <w:i w:val="0"/>
                <w:color w:val="212121"/>
                <w:sz w:val="16"/>
              </w:rPr>
              <w:t>Fungal culture on Sabouraud dextrose agar</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Growth of T. rubrum / T. interdigitale / E. floccosum</w:t>
            </w:r>
          </w:p>
        </w:tc>
        <w:tc>
          <w:tcPr>
            <w:tcW w:type="dxa" w:w="1036"/>
            <w:vAlign w:val="top"/>
          </w:tcPr>
          <w:p>
            <w:pPr>
              <w:spacing w:after="40" w:before="0" w:line="259" w:lineRule="auto"/>
            </w:pPr>
            <w:r>
              <w:rPr>
                <w:rFonts w:ascii="Calibri" w:hAnsi="Calibri"/>
                <w:b w:val="0"/>
                <w:i w:val="0"/>
                <w:color w:val="212121"/>
                <w:sz w:val="16"/>
              </w:rPr>
              <w:t>Gold standard; identifies species to guide therapy</w:t>
            </w:r>
          </w:p>
        </w:tc>
        <w:tc>
          <w:tcPr>
            <w:tcW w:type="dxa" w:w="1036"/>
            <w:vAlign w:val="top"/>
          </w:tcPr>
          <w:p>
            <w:pPr>
              <w:spacing w:after="40" w:before="0" w:line="259" w:lineRule="auto"/>
            </w:pPr>
            <w:r>
              <w:rPr>
                <w:rFonts w:ascii="Calibri" w:hAnsi="Calibri"/>
                <w:b w:val="0"/>
                <w:i w:val="0"/>
                <w:color w:val="212121"/>
                <w:sz w:val="16"/>
              </w:rPr>
              <w:t>Recurrent, extensive or treatment-failing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Takes ~1–3 weeks; add cycloheximide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 / susceptibility</w:t>
            </w:r>
          </w:p>
        </w:tc>
        <w:tc>
          <w:tcPr>
            <w:tcW w:type="dxa" w:w="1036"/>
            <w:vAlign w:val="top"/>
          </w:tcPr>
          <w:p>
            <w:pPr>
              <w:spacing w:after="40" w:before="0" w:line="259" w:lineRule="auto"/>
            </w:pPr>
            <w:r>
              <w:rPr>
                <w:rFonts w:ascii="Calibri" w:hAnsi="Calibri"/>
                <w:b w:val="0"/>
                <w:i w:val="0"/>
                <w:color w:val="212121"/>
                <w:sz w:val="16"/>
              </w:rPr>
              <w:t>T. indotineae; terbinafine MIC / SQLE mutation</w:t>
            </w:r>
          </w:p>
        </w:tc>
        <w:tc>
          <w:tcPr>
            <w:tcW w:type="dxa" w:w="892"/>
            <w:vAlign w:val="top"/>
          </w:tcPr>
          <w:p>
            <w:pPr>
              <w:spacing w:after="40" w:before="0" w:line="259" w:lineRule="auto"/>
            </w:pPr>
            <w:r>
              <w:rPr>
                <w:rFonts w:ascii="Calibri" w:hAnsi="Calibri"/>
                <w:b w:val="0"/>
                <w:i w:val="0"/>
                <w:color w:val="212121"/>
                <w:sz w:val="16"/>
              </w:rPr>
              <w:t>ITS sequencing &amp; antifungal susceptibility</w:t>
            </w:r>
          </w:p>
        </w:tc>
        <w:tc>
          <w:tcPr>
            <w:tcW w:type="dxa" w:w="950"/>
            <w:vAlign w:val="top"/>
          </w:tcPr>
          <w:p>
            <w:pPr>
              <w:spacing w:after="40" w:before="0" w:line="259" w:lineRule="auto"/>
            </w:pPr>
            <w:r>
              <w:rPr>
                <w:rFonts w:ascii="Calibri" w:hAnsi="Calibri"/>
                <w:b w:val="0"/>
                <w:i w:val="0"/>
                <w:color w:val="212121"/>
                <w:sz w:val="16"/>
              </w:rPr>
              <w:t>Susceptible dermatophyte</w:t>
            </w:r>
          </w:p>
        </w:tc>
        <w:tc>
          <w:tcPr>
            <w:tcW w:type="dxa" w:w="950"/>
            <w:vAlign w:val="top"/>
          </w:tcPr>
          <w:p>
            <w:pPr>
              <w:spacing w:after="40" w:before="0" w:line="259" w:lineRule="auto"/>
            </w:pPr>
            <w:r>
              <w:rPr>
                <w:rFonts w:ascii="Calibri" w:hAnsi="Calibri"/>
                <w:b w:val="0"/>
                <w:i w:val="0"/>
                <w:color w:val="212121"/>
                <w:sz w:val="16"/>
              </w:rPr>
              <w:t>T. indotineae / raised terbinafine MIC</w:t>
            </w:r>
          </w:p>
        </w:tc>
        <w:tc>
          <w:tcPr>
            <w:tcW w:type="dxa" w:w="1036"/>
            <w:vAlign w:val="top"/>
          </w:tcPr>
          <w:p>
            <w:pPr>
              <w:spacing w:after="40" w:before="0" w:line="259" w:lineRule="auto"/>
            </w:pPr>
            <w:r>
              <w:rPr>
                <w:rFonts w:ascii="Calibri" w:hAnsi="Calibri"/>
                <w:b w:val="0"/>
                <w:i w:val="0"/>
                <w:color w:val="212121"/>
                <w:sz w:val="16"/>
              </w:rPr>
              <w:t>Detects the resistant genotype driving India's epidemic</w:t>
            </w:r>
          </w:p>
        </w:tc>
        <w:tc>
          <w:tcPr>
            <w:tcW w:type="dxa" w:w="1036"/>
            <w:vAlign w:val="top"/>
          </w:tcPr>
          <w:p>
            <w:pPr>
              <w:spacing w:after="40" w:before="0" w:line="259" w:lineRule="auto"/>
            </w:pPr>
            <w:r>
              <w:rPr>
                <w:rFonts w:ascii="Calibri" w:hAnsi="Calibri"/>
                <w:b w:val="0"/>
                <w:i w:val="0"/>
                <w:color w:val="212121"/>
                <w:sz w:val="16"/>
              </w:rPr>
              <w:t>Recalcitrant, steroid-modified, epidemic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Explains terbinafine failure; guides itraconazole use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Wood's lamp</w:t>
            </w:r>
          </w:p>
        </w:tc>
        <w:tc>
          <w:tcPr>
            <w:tcW w:type="dxa" w:w="1036"/>
            <w:vAlign w:val="top"/>
          </w:tcPr>
          <w:p>
            <w:pPr>
              <w:spacing w:after="40" w:before="0" w:line="259" w:lineRule="auto"/>
            </w:pPr>
            <w:r>
              <w:rPr>
                <w:rFonts w:ascii="Calibri" w:hAnsi="Calibri"/>
                <w:b w:val="0"/>
                <w:i w:val="0"/>
                <w:color w:val="212121"/>
                <w:sz w:val="16"/>
              </w:rPr>
              <w:t>Interdigital fluorescence</w:t>
            </w:r>
          </w:p>
        </w:tc>
        <w:tc>
          <w:tcPr>
            <w:tcW w:type="dxa" w:w="892"/>
            <w:vAlign w:val="top"/>
          </w:tcPr>
          <w:p>
            <w:pPr>
              <w:spacing w:after="40" w:before="0" w:line="259" w:lineRule="auto"/>
            </w:pPr>
            <w:r>
              <w:rPr>
                <w:rFonts w:ascii="Calibri" w:hAnsi="Calibri"/>
                <w:b w:val="0"/>
                <w:i w:val="0"/>
                <w:color w:val="212121"/>
                <w:sz w:val="16"/>
              </w:rPr>
              <w:t>Wood's (UV) lamp examination</w:t>
            </w:r>
          </w:p>
        </w:tc>
        <w:tc>
          <w:tcPr>
            <w:tcW w:type="dxa" w:w="950"/>
            <w:vAlign w:val="top"/>
          </w:tcPr>
          <w:p>
            <w:pPr>
              <w:spacing w:after="40" w:before="0" w:line="259" w:lineRule="auto"/>
            </w:pPr>
            <w:r>
              <w:rPr>
                <w:rFonts w:ascii="Calibri" w:hAnsi="Calibri"/>
                <w:b w:val="0"/>
                <w:i w:val="0"/>
                <w:color w:val="212121"/>
                <w:sz w:val="16"/>
              </w:rPr>
              <w:t>Dermatophytes non-fluorescent</w:t>
            </w:r>
          </w:p>
        </w:tc>
        <w:tc>
          <w:tcPr>
            <w:tcW w:type="dxa" w:w="950"/>
            <w:vAlign w:val="top"/>
          </w:tcPr>
          <w:p>
            <w:pPr>
              <w:spacing w:after="40" w:before="0" w:line="259" w:lineRule="auto"/>
            </w:pPr>
            <w:r>
              <w:rPr>
                <w:rFonts w:ascii="Calibri" w:hAnsi="Calibri"/>
                <w:b w:val="0"/>
                <w:i w:val="0"/>
                <w:color w:val="212121"/>
                <w:sz w:val="16"/>
              </w:rPr>
              <w:t>Coral-red fluorescence suggests erythrasma</w:t>
            </w:r>
          </w:p>
        </w:tc>
        <w:tc>
          <w:tcPr>
            <w:tcW w:type="dxa" w:w="1036"/>
            <w:vAlign w:val="top"/>
          </w:tcPr>
          <w:p>
            <w:pPr>
              <w:spacing w:after="40" w:before="0" w:line="259" w:lineRule="auto"/>
            </w:pPr>
            <w:r>
              <w:rPr>
                <w:rFonts w:ascii="Calibri" w:hAnsi="Calibri"/>
                <w:b w:val="0"/>
                <w:i w:val="0"/>
                <w:color w:val="212121"/>
                <w:sz w:val="16"/>
              </w:rPr>
              <w:t>Excludes the main bacterial interdigital mimic</w:t>
            </w:r>
          </w:p>
        </w:tc>
        <w:tc>
          <w:tcPr>
            <w:tcW w:type="dxa" w:w="1036"/>
            <w:vAlign w:val="top"/>
          </w:tcPr>
          <w:p>
            <w:pPr>
              <w:spacing w:after="40" w:before="0" w:line="259" w:lineRule="auto"/>
            </w:pPr>
            <w:r>
              <w:rPr>
                <w:rFonts w:ascii="Calibri" w:hAnsi="Calibri"/>
                <w:b w:val="0"/>
                <w:i w:val="0"/>
                <w:color w:val="212121"/>
                <w:sz w:val="16"/>
              </w:rPr>
              <w:t>Interdigital maceration, diagnostic doubt</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Low</w:t>
            </w:r>
          </w:p>
        </w:tc>
        <w:tc>
          <w:tcPr>
            <w:tcW w:type="dxa" w:w="720"/>
            <w:vAlign w:val="top"/>
          </w:tcPr>
          <w:p>
            <w:pPr>
              <w:spacing w:after="40" w:before="0" w:line="259" w:lineRule="auto"/>
            </w:pPr>
            <w:r>
              <w:rPr>
                <w:rFonts w:ascii="Calibri" w:hAnsi="Calibri"/>
                <w:b w:val="0"/>
                <w:i w:val="0"/>
                <w:color w:val="212121"/>
                <w:sz w:val="16"/>
              </w:rPr>
              <w:t>Negative in tinea; positive coral-red in erythrasma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Glycaemic screen</w:t>
            </w:r>
          </w:p>
        </w:tc>
        <w:tc>
          <w:tcPr>
            <w:tcW w:type="dxa" w:w="950"/>
            <w:vAlign w:val="top"/>
          </w:tcPr>
          <w:p>
            <w:pPr>
              <w:spacing w:after="40" w:before="0" w:line="259" w:lineRule="auto"/>
            </w:pPr>
            <w:r>
              <w:rPr>
                <w:rFonts w:ascii="Calibri" w:hAnsi="Calibri"/>
                <w:b w:val="0"/>
                <w:i w:val="0"/>
                <w:color w:val="212121"/>
                <w:sz w:val="16"/>
              </w:rPr>
              <w:t>FPG &lt; 100 mg/dL; HbA1c &lt; 5.7%</w:t>
            </w:r>
          </w:p>
        </w:tc>
        <w:tc>
          <w:tcPr>
            <w:tcW w:type="dxa" w:w="950"/>
            <w:vAlign w:val="top"/>
          </w:tcPr>
          <w:p>
            <w:pPr>
              <w:spacing w:after="40" w:before="0" w:line="259" w:lineRule="auto"/>
            </w:pPr>
            <w:r>
              <w:rPr>
                <w:rFonts w:ascii="Calibri" w:hAnsi="Calibri"/>
                <w:b w:val="0"/>
                <w:i w:val="0"/>
                <w:color w:val="212121"/>
                <w:sz w:val="16"/>
              </w:rPr>
              <w:t>FPG ≥ 126 mg/dL; HbA1c ≥ 6.5%</w:t>
            </w:r>
          </w:p>
        </w:tc>
        <w:tc>
          <w:tcPr>
            <w:tcW w:type="dxa" w:w="1036"/>
            <w:vAlign w:val="top"/>
          </w:tcPr>
          <w:p>
            <w:pPr>
              <w:spacing w:after="40" w:before="0" w:line="259" w:lineRule="auto"/>
            </w:pPr>
            <w:r>
              <w:rPr>
                <w:rFonts w:ascii="Calibri" w:hAnsi="Calibri"/>
                <w:b w:val="0"/>
                <w:i w:val="0"/>
                <w:color w:val="212121"/>
                <w:sz w:val="16"/>
              </w:rPr>
              <w:t>Screens for underlying/uncontrolled diabetes</w:t>
            </w:r>
          </w:p>
        </w:tc>
        <w:tc>
          <w:tcPr>
            <w:tcW w:type="dxa" w:w="1036"/>
            <w:vAlign w:val="top"/>
          </w:tcPr>
          <w:p>
            <w:pPr>
              <w:spacing w:after="40" w:before="0" w:line="259" w:lineRule="auto"/>
            </w:pPr>
            <w:r>
              <w:rPr>
                <w:rFonts w:ascii="Calibri" w:hAnsi="Calibri"/>
                <w:b w:val="0"/>
                <w:i w:val="0"/>
                <w:color w:val="212121"/>
                <w:sz w:val="16"/>
              </w:rPr>
              <w:t>Chronic, recurrent, or severe tinea pedis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Tinea pedis 2.5–2.8× commoner in diabetes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Bacteriology</w:t>
            </w:r>
          </w:p>
        </w:tc>
        <w:tc>
          <w:tcPr>
            <w:tcW w:type="dxa" w:w="1036"/>
            <w:vAlign w:val="top"/>
          </w:tcPr>
          <w:p>
            <w:pPr>
              <w:spacing w:after="40" w:before="0" w:line="259" w:lineRule="auto"/>
            </w:pPr>
            <w:r>
              <w:rPr>
                <w:rFonts w:ascii="Calibri" w:hAnsi="Calibri"/>
                <w:b w:val="0"/>
                <w:i w:val="0"/>
                <w:color w:val="212121"/>
                <w:sz w:val="16"/>
              </w:rPr>
              <w:t>Secondary bacterial infection</w:t>
            </w:r>
          </w:p>
        </w:tc>
        <w:tc>
          <w:tcPr>
            <w:tcW w:type="dxa" w:w="892"/>
            <w:vAlign w:val="top"/>
          </w:tcPr>
          <w:p>
            <w:pPr>
              <w:spacing w:after="40" w:before="0" w:line="259" w:lineRule="auto"/>
            </w:pPr>
            <w:r>
              <w:rPr>
                <w:rFonts w:ascii="Calibri" w:hAnsi="Calibri"/>
                <w:b w:val="0"/>
                <w:i w:val="0"/>
                <w:color w:val="212121"/>
                <w:sz w:val="16"/>
              </w:rPr>
              <w:t>Bacterial swab &amp; culture</w:t>
            </w:r>
          </w:p>
        </w:tc>
        <w:tc>
          <w:tcPr>
            <w:tcW w:type="dxa" w:w="950"/>
            <w:vAlign w:val="top"/>
          </w:tcPr>
          <w:p>
            <w:pPr>
              <w:spacing w:after="40" w:before="0" w:line="259" w:lineRule="auto"/>
            </w:pPr>
            <w:r>
              <w:rPr>
                <w:rFonts w:ascii="Calibri" w:hAnsi="Calibri"/>
                <w:b w:val="0"/>
                <w:i w:val="0"/>
                <w:color w:val="212121"/>
                <w:sz w:val="16"/>
              </w:rPr>
              <w:t>No pathogenic growth</w:t>
            </w:r>
          </w:p>
        </w:tc>
        <w:tc>
          <w:tcPr>
            <w:tcW w:type="dxa" w:w="950"/>
            <w:vAlign w:val="top"/>
          </w:tcPr>
          <w:p>
            <w:pPr>
              <w:spacing w:after="40" w:before="0" w:line="259" w:lineRule="auto"/>
            </w:pPr>
            <w:r>
              <w:rPr>
                <w:rFonts w:ascii="Calibri" w:hAnsi="Calibri"/>
                <w:b w:val="0"/>
                <w:i w:val="0"/>
                <w:color w:val="212121"/>
                <w:sz w:val="16"/>
              </w:rPr>
              <w:t>S. aureus / streptococci / Gram-negatives</w:t>
            </w:r>
          </w:p>
        </w:tc>
        <w:tc>
          <w:tcPr>
            <w:tcW w:type="dxa" w:w="1036"/>
            <w:vAlign w:val="top"/>
          </w:tcPr>
          <w:p>
            <w:pPr>
              <w:spacing w:after="40" w:before="0" w:line="259" w:lineRule="auto"/>
            </w:pPr>
            <w:r>
              <w:rPr>
                <w:rFonts w:ascii="Calibri" w:hAnsi="Calibri"/>
                <w:b w:val="0"/>
                <w:i w:val="0"/>
                <w:color w:val="212121"/>
                <w:sz w:val="16"/>
              </w:rPr>
              <w:t>Confirms dermatophytosis-complex superinfection</w:t>
            </w:r>
          </w:p>
        </w:tc>
        <w:tc>
          <w:tcPr>
            <w:tcW w:type="dxa" w:w="1036"/>
            <w:vAlign w:val="top"/>
          </w:tcPr>
          <w:p>
            <w:pPr>
              <w:spacing w:after="40" w:before="0" w:line="259" w:lineRule="auto"/>
            </w:pPr>
            <w:r>
              <w:rPr>
                <w:rFonts w:ascii="Calibri" w:hAnsi="Calibri"/>
                <w:b w:val="0"/>
                <w:i w:val="0"/>
                <w:color w:val="212121"/>
                <w:sz w:val="16"/>
              </w:rPr>
              <w:t>Macerated, ulcerative, malodorous or cellulitic feet</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Guides antibacterial therapy in acute ulcerative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Immune screen</w:t>
            </w:r>
          </w:p>
        </w:tc>
        <w:tc>
          <w:tcPr>
            <w:tcW w:type="dxa" w:w="1036"/>
            <w:vAlign w:val="top"/>
          </w:tcPr>
          <w:p>
            <w:pPr>
              <w:spacing w:after="40" w:before="0" w:line="259" w:lineRule="auto"/>
            </w:pPr>
            <w:r>
              <w:rPr>
                <w:rFonts w:ascii="Calibri" w:hAnsi="Calibri"/>
                <w:b w:val="0"/>
                <w:i w:val="0"/>
                <w:color w:val="212121"/>
                <w:sz w:val="16"/>
              </w:rPr>
              <w:t>HIV / immune status</w:t>
            </w:r>
          </w:p>
        </w:tc>
        <w:tc>
          <w:tcPr>
            <w:tcW w:type="dxa" w:w="892"/>
            <w:vAlign w:val="top"/>
          </w:tcPr>
          <w:p>
            <w:pPr>
              <w:spacing w:after="40" w:before="0" w:line="259" w:lineRule="auto"/>
            </w:pPr>
            <w:r>
              <w:rPr>
                <w:rFonts w:ascii="Calibri" w:hAnsi="Calibri"/>
                <w:b w:val="0"/>
                <w:i w:val="0"/>
                <w:color w:val="212121"/>
                <w:sz w:val="16"/>
              </w:rPr>
              <w:t>HIV test &amp; immune assessment</w:t>
            </w:r>
          </w:p>
        </w:tc>
        <w:tc>
          <w:tcPr>
            <w:tcW w:type="dxa" w:w="950"/>
            <w:vAlign w:val="top"/>
          </w:tcPr>
          <w:p>
            <w:pPr>
              <w:spacing w:after="40" w:before="0" w:line="259" w:lineRule="auto"/>
            </w:pPr>
            <w:r>
              <w:rPr>
                <w:rFonts w:ascii="Calibri" w:hAnsi="Calibri"/>
                <w:b w:val="0"/>
                <w:i w:val="0"/>
                <w:color w:val="212121"/>
                <w:sz w:val="16"/>
              </w:rPr>
              <w:t>Immunocompetent</w:t>
            </w:r>
          </w:p>
        </w:tc>
        <w:tc>
          <w:tcPr>
            <w:tcW w:type="dxa" w:w="950"/>
            <w:vAlign w:val="top"/>
          </w:tcPr>
          <w:p>
            <w:pPr>
              <w:spacing w:after="40" w:before="0" w:line="259" w:lineRule="auto"/>
            </w:pPr>
            <w:r>
              <w:rPr>
                <w:rFonts w:ascii="Calibri" w:hAnsi="Calibri"/>
                <w:b w:val="0"/>
                <w:i w:val="0"/>
                <w:color w:val="212121"/>
                <w:sz w:val="16"/>
              </w:rPr>
              <w:t>HIV-positive / immunosuppressed</w:t>
            </w:r>
          </w:p>
        </w:tc>
        <w:tc>
          <w:tcPr>
            <w:tcW w:type="dxa" w:w="1036"/>
            <w:vAlign w:val="top"/>
          </w:tcPr>
          <w:p>
            <w:pPr>
              <w:spacing w:after="40" w:before="0" w:line="259" w:lineRule="auto"/>
            </w:pPr>
            <w:r>
              <w:rPr>
                <w:rFonts w:ascii="Calibri" w:hAnsi="Calibri"/>
                <w:b w:val="0"/>
                <w:i w:val="0"/>
                <w:color w:val="212121"/>
                <w:sz w:val="16"/>
              </w:rPr>
              <w:t>Explains extensive, atypical or ulcerative disease</w:t>
            </w:r>
          </w:p>
        </w:tc>
        <w:tc>
          <w:tcPr>
            <w:tcW w:type="dxa" w:w="1036"/>
            <w:vAlign w:val="top"/>
          </w:tcPr>
          <w:p>
            <w:pPr>
              <w:spacing w:after="40" w:before="0" w:line="259" w:lineRule="auto"/>
            </w:pPr>
            <w:r>
              <w:rPr>
                <w:rFonts w:ascii="Calibri" w:hAnsi="Calibri"/>
                <w:b w:val="0"/>
                <w:i w:val="0"/>
                <w:color w:val="212121"/>
                <w:sz w:val="16"/>
              </w:rPr>
              <w:t>Widespread, ulcerative or recalcitrant tinea pedis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Low</w:t>
            </w:r>
          </w:p>
        </w:tc>
        <w:tc>
          <w:tcPr>
            <w:tcW w:type="dxa" w:w="720"/>
            <w:vAlign w:val="top"/>
          </w:tcPr>
          <w:p>
            <w:pPr>
              <w:spacing w:after="40" w:before="0" w:line="259" w:lineRule="auto"/>
            </w:pPr>
            <w:r>
              <w:rPr>
                <w:rFonts w:ascii="Calibri" w:hAnsi="Calibri"/>
                <w:b w:val="0"/>
                <w:i w:val="0"/>
                <w:color w:val="212121"/>
                <w:sz w:val="16"/>
              </w:rPr>
              <w:t>Consider when disease is unusually severe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Fungal elements in keratin</w:t>
            </w:r>
          </w:p>
        </w:tc>
        <w:tc>
          <w:tcPr>
            <w:tcW w:type="dxa" w:w="892"/>
            <w:vAlign w:val="top"/>
          </w:tcPr>
          <w:p>
            <w:pPr>
              <w:spacing w:after="40" w:before="0" w:line="259" w:lineRule="auto"/>
            </w:pPr>
            <w:r>
              <w:rPr>
                <w:rFonts w:ascii="Calibri" w:hAnsi="Calibri"/>
                <w:b w:val="0"/>
                <w:i w:val="0"/>
                <w:color w:val="212121"/>
                <w:sz w:val="16"/>
              </w:rPr>
              <w:t>Skin biopsy with PAS stain</w:t>
            </w:r>
          </w:p>
        </w:tc>
        <w:tc>
          <w:tcPr>
            <w:tcW w:type="dxa" w:w="950"/>
            <w:vAlign w:val="top"/>
          </w:tcPr>
          <w:p>
            <w:pPr>
              <w:spacing w:after="40" w:before="0" w:line="259" w:lineRule="auto"/>
            </w:pPr>
            <w:r>
              <w:rPr>
                <w:rFonts w:ascii="Calibri" w:hAnsi="Calibri"/>
                <w:b w:val="0"/>
                <w:i w:val="0"/>
                <w:color w:val="212121"/>
                <w:sz w:val="16"/>
              </w:rPr>
              <w:t>No fungal elements</w:t>
            </w:r>
          </w:p>
        </w:tc>
        <w:tc>
          <w:tcPr>
            <w:tcW w:type="dxa" w:w="950"/>
            <w:vAlign w:val="top"/>
          </w:tcPr>
          <w:p>
            <w:pPr>
              <w:spacing w:after="40" w:before="0" w:line="259" w:lineRule="auto"/>
            </w:pPr>
            <w:r>
              <w:rPr>
                <w:rFonts w:ascii="Calibri" w:hAnsi="Calibri"/>
                <w:b w:val="0"/>
                <w:i w:val="0"/>
                <w:color w:val="212121"/>
                <w:sz w:val="16"/>
              </w:rPr>
              <w:t>PAS-positive hyphae in stratum corneum</w:t>
            </w:r>
          </w:p>
        </w:tc>
        <w:tc>
          <w:tcPr>
            <w:tcW w:type="dxa" w:w="1036"/>
            <w:vAlign w:val="top"/>
          </w:tcPr>
          <w:p>
            <w:pPr>
              <w:spacing w:after="40" w:before="0" w:line="259" w:lineRule="auto"/>
            </w:pPr>
            <w:r>
              <w:rPr>
                <w:rFonts w:ascii="Calibri" w:hAnsi="Calibri"/>
                <w:b w:val="0"/>
                <w:i w:val="0"/>
                <w:color w:val="212121"/>
                <w:sz w:val="16"/>
              </w:rPr>
              <w:t>Confirms diagnosis in atypical/steroid-modified cases</w:t>
            </w:r>
          </w:p>
        </w:tc>
        <w:tc>
          <w:tcPr>
            <w:tcW w:type="dxa" w:w="1036"/>
            <w:vAlign w:val="top"/>
          </w:tcPr>
          <w:p>
            <w:pPr>
              <w:spacing w:after="40" w:before="0" w:line="259" w:lineRule="auto"/>
            </w:pPr>
            <w:r>
              <w:rPr>
                <w:rFonts w:ascii="Calibri" w:hAnsi="Calibri"/>
                <w:b w:val="0"/>
                <w:i w:val="0"/>
                <w:color w:val="212121"/>
                <w:sz w:val="16"/>
              </w:rPr>
              <w:t>Tinea incognito, diagnostic uncertainty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Low</w:t>
            </w:r>
          </w:p>
        </w:tc>
        <w:tc>
          <w:tcPr>
            <w:tcW w:type="dxa" w:w="720"/>
            <w:vAlign w:val="top"/>
          </w:tcPr>
          <w:p>
            <w:pPr>
              <w:spacing w:after="40" w:before="0" w:line="259" w:lineRule="auto"/>
            </w:pPr>
            <w:r>
              <w:rPr>
                <w:rFonts w:ascii="Calibri" w:hAnsi="Calibri"/>
                <w:b w:val="0"/>
                <w:i w:val="0"/>
                <w:color w:val="212121"/>
                <w:sz w:val="16"/>
              </w:rPr>
              <w:t>Rarely needed; useful when KOH/culture negative but suspicion high</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 &amp; morphology</w:t>
            </w:r>
          </w:p>
        </w:tc>
        <w:tc>
          <w:tcPr>
            <w:tcW w:type="dxa" w:w="979"/>
            <w:vAlign w:val="top"/>
          </w:tcPr>
          <w:p>
            <w:pPr>
              <w:spacing w:after="40" w:before="0" w:line="259" w:lineRule="auto"/>
            </w:pPr>
            <w:r>
              <w:rPr>
                <w:rFonts w:ascii="Calibri" w:hAnsi="Calibri"/>
                <w:b w:val="0"/>
                <w:i w:val="0"/>
                <w:color w:val="212121"/>
                <w:sz w:val="16"/>
              </w:rPr>
              <w:t>Itch, scaling, maceration, blisters — site &amp; duration</w:t>
            </w:r>
          </w:p>
        </w:tc>
        <w:tc>
          <w:tcPr>
            <w:tcW w:type="dxa" w:w="950"/>
            <w:vAlign w:val="top"/>
          </w:tcPr>
          <w:p>
            <w:pPr>
              <w:spacing w:after="40" w:before="0" w:line="259" w:lineRule="auto"/>
            </w:pPr>
            <w:r>
              <w:rPr>
                <w:rFonts w:ascii="Calibri" w:hAnsi="Calibri"/>
                <w:b w:val="0"/>
                <w:i w:val="0"/>
                <w:color w:val="212121"/>
                <w:sz w:val="16"/>
              </w:rPr>
              <w:t>No foot lesions</w:t>
            </w:r>
          </w:p>
        </w:tc>
        <w:tc>
          <w:tcPr>
            <w:tcW w:type="dxa" w:w="950"/>
            <w:vAlign w:val="top"/>
          </w:tcPr>
          <w:p>
            <w:pPr>
              <w:spacing w:after="40" w:before="0" w:line="259" w:lineRule="auto"/>
            </w:pPr>
            <w:r>
              <w:rPr>
                <w:rFonts w:ascii="Calibri" w:hAnsi="Calibri"/>
                <w:b w:val="0"/>
                <w:i w:val="0"/>
                <w:color w:val="212121"/>
                <w:sz w:val="16"/>
              </w:rPr>
              <w:t>Itchy scaling/maceration of toe webs, sole scaling or vesicles</w:t>
            </w:r>
          </w:p>
        </w:tc>
        <w:tc>
          <w:tcPr>
            <w:tcW w:type="dxa" w:w="1036"/>
            <w:vAlign w:val="top"/>
          </w:tcPr>
          <w:p>
            <w:pPr>
              <w:spacing w:after="40" w:before="0" w:line="259" w:lineRule="auto"/>
            </w:pPr>
            <w:r>
              <w:rPr>
                <w:rFonts w:ascii="Calibri" w:hAnsi="Calibri"/>
                <w:b w:val="0"/>
                <w:i w:val="0"/>
                <w:color w:val="212121"/>
                <w:sz w:val="16"/>
              </w:rPr>
              <w:t>Establishes pattern, chronicity and type</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Note asymmetry/unilaterality typical of tinea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Footwear, sweating &amp; exposure</w:t>
            </w:r>
          </w:p>
        </w:tc>
        <w:tc>
          <w:tcPr>
            <w:tcW w:type="dxa" w:w="979"/>
            <w:vAlign w:val="top"/>
          </w:tcPr>
          <w:p>
            <w:pPr>
              <w:spacing w:after="40" w:before="0" w:line="259" w:lineRule="auto"/>
            </w:pPr>
            <w:r>
              <w:rPr>
                <w:rFonts w:ascii="Calibri" w:hAnsi="Calibri"/>
                <w:b w:val="0"/>
                <w:i w:val="0"/>
                <w:color w:val="212121"/>
                <w:sz w:val="16"/>
              </w:rPr>
              <w:t>Occlusive footwear hours, hyperhidrosis, communal barefoot exposure</w:t>
            </w:r>
          </w:p>
        </w:tc>
        <w:tc>
          <w:tcPr>
            <w:tcW w:type="dxa" w:w="950"/>
            <w:vAlign w:val="top"/>
          </w:tcPr>
          <w:p>
            <w:pPr>
              <w:spacing w:after="40" w:before="0" w:line="259" w:lineRule="auto"/>
            </w:pPr>
            <w:r>
              <w:rPr>
                <w:rFonts w:ascii="Calibri" w:hAnsi="Calibri"/>
                <w:b w:val="0"/>
                <w:i w:val="0"/>
                <w:color w:val="212121"/>
                <w:sz w:val="16"/>
              </w:rPr>
              <w:t>Breathable footwear; dry feet; no communal exposure</w:t>
            </w:r>
          </w:p>
        </w:tc>
        <w:tc>
          <w:tcPr>
            <w:tcW w:type="dxa" w:w="950"/>
            <w:vAlign w:val="top"/>
          </w:tcPr>
          <w:p>
            <w:pPr>
              <w:spacing w:after="40" w:before="0" w:line="259" w:lineRule="auto"/>
            </w:pPr>
            <w:r>
              <w:rPr>
                <w:rFonts w:ascii="Calibri" w:hAnsi="Calibri"/>
                <w:b w:val="0"/>
                <w:i w:val="0"/>
                <w:color w:val="212121"/>
                <w:sz w:val="16"/>
              </w:rPr>
              <w:t>Prolonged boots, sweaty feet, pools/gym/shared baths</w:t>
            </w:r>
          </w:p>
        </w:tc>
        <w:tc>
          <w:tcPr>
            <w:tcW w:type="dxa" w:w="1036"/>
            <w:vAlign w:val="top"/>
          </w:tcPr>
          <w:p>
            <w:pPr>
              <w:spacing w:after="40" w:before="0" w:line="259" w:lineRule="auto"/>
            </w:pPr>
            <w:r>
              <w:rPr>
                <w:rFonts w:ascii="Calibri" w:hAnsi="Calibri"/>
                <w:b w:val="0"/>
                <w:i w:val="0"/>
                <w:color w:val="212121"/>
                <w:sz w:val="16"/>
              </w:rPr>
              <w:t>Identifies modifiable environmental drivers</w:t>
            </w:r>
          </w:p>
        </w:tc>
        <w:tc>
          <w:tcPr>
            <w:tcW w:type="dxa" w:w="1036"/>
            <w:vAlign w:val="top"/>
          </w:tcPr>
          <w:p>
            <w:pPr>
              <w:spacing w:after="40" w:before="0" w:line="259" w:lineRule="auto"/>
            </w:pPr>
            <w:r>
              <w:rPr>
                <w:rFonts w:ascii="Calibri" w:hAnsi="Calibri"/>
                <w:b w:val="0"/>
                <w:i w:val="0"/>
                <w:color w:val="212121"/>
                <w:sz w:val="16"/>
              </w:rPr>
              <w:t>Soldiers, athletes, industrial workers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Directs hygiene and footwear advice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Prior treatment &amp; steroid use</w:t>
            </w:r>
          </w:p>
        </w:tc>
        <w:tc>
          <w:tcPr>
            <w:tcW w:type="dxa" w:w="979"/>
            <w:vAlign w:val="top"/>
          </w:tcPr>
          <w:p>
            <w:pPr>
              <w:spacing w:after="40" w:before="0" w:line="259" w:lineRule="auto"/>
            </w:pPr>
            <w:r>
              <w:rPr>
                <w:rFonts w:ascii="Calibri" w:hAnsi="Calibri"/>
                <w:b w:val="0"/>
                <w:i w:val="0"/>
                <w:color w:val="212121"/>
                <w:sz w:val="16"/>
              </w:rPr>
              <w:t>Previous antifungals, OTC steroid-antifungal creams, recurrence</w:t>
            </w:r>
          </w:p>
        </w:tc>
        <w:tc>
          <w:tcPr>
            <w:tcW w:type="dxa" w:w="950"/>
            <w:vAlign w:val="top"/>
          </w:tcPr>
          <w:p>
            <w:pPr>
              <w:spacing w:after="40" w:before="0" w:line="259" w:lineRule="auto"/>
            </w:pPr>
            <w:r>
              <w:rPr>
                <w:rFonts w:ascii="Calibri" w:hAnsi="Calibri"/>
                <w:b w:val="0"/>
                <w:i w:val="0"/>
                <w:color w:val="212121"/>
                <w:sz w:val="16"/>
              </w:rPr>
              <w:t>No steroid misuse; single episode</w:t>
            </w:r>
          </w:p>
        </w:tc>
        <w:tc>
          <w:tcPr>
            <w:tcW w:type="dxa" w:w="950"/>
            <w:vAlign w:val="top"/>
          </w:tcPr>
          <w:p>
            <w:pPr>
              <w:spacing w:after="40" w:before="0" w:line="259" w:lineRule="auto"/>
            </w:pPr>
            <w:r>
              <w:rPr>
                <w:rFonts w:ascii="Calibri" w:hAnsi="Calibri"/>
                <w:b w:val="0"/>
                <w:i w:val="0"/>
                <w:color w:val="212121"/>
                <w:sz w:val="16"/>
              </w:rPr>
              <w:t>Prior potent topical steroids; chronic/relapsing course</w:t>
            </w:r>
          </w:p>
        </w:tc>
        <w:tc>
          <w:tcPr>
            <w:tcW w:type="dxa" w:w="1036"/>
            <w:vAlign w:val="top"/>
          </w:tcPr>
          <w:p>
            <w:pPr>
              <w:spacing w:after="40" w:before="0" w:line="259" w:lineRule="auto"/>
            </w:pPr>
            <w:r>
              <w:rPr>
                <w:rFonts w:ascii="Calibri" w:hAnsi="Calibri"/>
                <w:b w:val="0"/>
                <w:i w:val="0"/>
                <w:color w:val="212121"/>
                <w:sz w:val="16"/>
              </w:rPr>
              <w:t>Flags tinea incognito and resistance risk</w:t>
            </w:r>
          </w:p>
        </w:tc>
        <w:tc>
          <w:tcPr>
            <w:tcW w:type="dxa" w:w="1036"/>
            <w:vAlign w:val="top"/>
          </w:tcPr>
          <w:p>
            <w:pPr>
              <w:spacing w:after="40" w:before="0" w:line="259" w:lineRule="auto"/>
            </w:pPr>
            <w:r>
              <w:rPr>
                <w:rFonts w:ascii="Calibri" w:hAnsi="Calibri"/>
                <w:b w:val="0"/>
                <w:i w:val="0"/>
                <w:color w:val="212121"/>
                <w:sz w:val="16"/>
              </w:rPr>
              <w:t>Recalcitrant, steroid-modified (India)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Steroid misuse in 42–81% of Indian cases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Comorbidity &amp; household contacts</w:t>
            </w:r>
          </w:p>
        </w:tc>
        <w:tc>
          <w:tcPr>
            <w:tcW w:type="dxa" w:w="979"/>
            <w:vAlign w:val="top"/>
          </w:tcPr>
          <w:p>
            <w:pPr>
              <w:spacing w:after="40" w:before="0" w:line="259" w:lineRule="auto"/>
            </w:pPr>
            <w:r>
              <w:rPr>
                <w:rFonts w:ascii="Calibri" w:hAnsi="Calibri"/>
                <w:b w:val="0"/>
                <w:i w:val="0"/>
                <w:color w:val="212121"/>
                <w:sz w:val="16"/>
              </w:rPr>
              <w:t>Diabetes, immunosuppression, PVD; affected family members</w:t>
            </w:r>
          </w:p>
        </w:tc>
        <w:tc>
          <w:tcPr>
            <w:tcW w:type="dxa" w:w="950"/>
            <w:vAlign w:val="top"/>
          </w:tcPr>
          <w:p>
            <w:pPr>
              <w:spacing w:after="40" w:before="0" w:line="259" w:lineRule="auto"/>
            </w:pPr>
            <w:r>
              <w:rPr>
                <w:rFonts w:ascii="Calibri" w:hAnsi="Calibri"/>
                <w:b w:val="0"/>
                <w:i w:val="0"/>
                <w:color w:val="212121"/>
                <w:sz w:val="16"/>
              </w:rPr>
              <w:t>No comorbidity; no contacts affected</w:t>
            </w:r>
          </w:p>
        </w:tc>
        <w:tc>
          <w:tcPr>
            <w:tcW w:type="dxa" w:w="950"/>
            <w:vAlign w:val="top"/>
          </w:tcPr>
          <w:p>
            <w:pPr>
              <w:spacing w:after="40" w:before="0" w:line="259" w:lineRule="auto"/>
            </w:pPr>
            <w:r>
              <w:rPr>
                <w:rFonts w:ascii="Calibri" w:hAnsi="Calibri"/>
                <w:b w:val="0"/>
                <w:i w:val="0"/>
                <w:color w:val="212121"/>
                <w:sz w:val="16"/>
              </w:rPr>
              <w:t>Diabetes/immunosuppression; infected household contacts</w:t>
            </w:r>
          </w:p>
        </w:tc>
        <w:tc>
          <w:tcPr>
            <w:tcW w:type="dxa" w:w="1036"/>
            <w:vAlign w:val="top"/>
          </w:tcPr>
          <w:p>
            <w:pPr>
              <w:spacing w:after="40" w:before="0" w:line="259" w:lineRule="auto"/>
            </w:pPr>
            <w:r>
              <w:rPr>
                <w:rFonts w:ascii="Calibri" w:hAnsi="Calibri"/>
                <w:b w:val="0"/>
                <w:i w:val="0"/>
                <w:color w:val="212121"/>
                <w:sz w:val="16"/>
              </w:rPr>
              <w:t>Assesses host risk and reinfection source</w:t>
            </w:r>
          </w:p>
        </w:tc>
        <w:tc>
          <w:tcPr>
            <w:tcW w:type="dxa" w:w="1036"/>
            <w:vAlign w:val="top"/>
          </w:tcPr>
          <w:p>
            <w:pPr>
              <w:spacing w:after="40" w:before="0" w:line="259" w:lineRule="auto"/>
            </w:pPr>
            <w:r>
              <w:rPr>
                <w:rFonts w:ascii="Calibri" w:hAnsi="Calibri"/>
                <w:b w:val="0"/>
                <w:i w:val="0"/>
                <w:color w:val="212121"/>
                <w:sz w:val="16"/>
              </w:rPr>
              <w:t>Diabetics, immunocompromised, crowded homes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72–82% report affected close contacts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Interdigital web spaces</w:t>
            </w:r>
          </w:p>
        </w:tc>
        <w:tc>
          <w:tcPr>
            <w:tcW w:type="dxa" w:w="979"/>
            <w:vAlign w:val="top"/>
          </w:tcPr>
          <w:p>
            <w:pPr>
              <w:spacing w:after="40" w:before="0" w:line="259" w:lineRule="auto"/>
            </w:pPr>
            <w:r>
              <w:rPr>
                <w:rFonts w:ascii="Calibri" w:hAnsi="Calibri"/>
                <w:b w:val="0"/>
                <w:i w:val="0"/>
                <w:color w:val="212121"/>
                <w:sz w:val="16"/>
              </w:rPr>
              <w:t>Erythema, scaling, maceration, fissuring (esp. 4th/5th cleft)</w:t>
            </w:r>
          </w:p>
        </w:tc>
        <w:tc>
          <w:tcPr>
            <w:tcW w:type="dxa" w:w="950"/>
            <w:vAlign w:val="top"/>
          </w:tcPr>
          <w:p>
            <w:pPr>
              <w:spacing w:after="40" w:before="0" w:line="259" w:lineRule="auto"/>
            </w:pPr>
            <w:r>
              <w:rPr>
                <w:rFonts w:ascii="Calibri" w:hAnsi="Calibri"/>
                <w:b w:val="0"/>
                <w:i w:val="0"/>
                <w:color w:val="212121"/>
                <w:sz w:val="16"/>
              </w:rPr>
              <w:t>Clean dry intact web spaces</w:t>
            </w:r>
          </w:p>
        </w:tc>
        <w:tc>
          <w:tcPr>
            <w:tcW w:type="dxa" w:w="950"/>
            <w:vAlign w:val="top"/>
          </w:tcPr>
          <w:p>
            <w:pPr>
              <w:spacing w:after="40" w:before="0" w:line="259" w:lineRule="auto"/>
            </w:pPr>
            <w:r>
              <w:rPr>
                <w:rFonts w:ascii="Calibri" w:hAnsi="Calibri"/>
                <w:b w:val="0"/>
                <w:i w:val="0"/>
                <w:color w:val="212121"/>
                <w:sz w:val="16"/>
              </w:rPr>
              <w:t>Macerated, scaly, fissured, malodorous toe clefts</w:t>
            </w:r>
          </w:p>
        </w:tc>
        <w:tc>
          <w:tcPr>
            <w:tcW w:type="dxa" w:w="1036"/>
            <w:vAlign w:val="top"/>
          </w:tcPr>
          <w:p>
            <w:pPr>
              <w:spacing w:after="40" w:before="0" w:line="259" w:lineRule="auto"/>
            </w:pPr>
            <w:r>
              <w:rPr>
                <w:rFonts w:ascii="Calibri" w:hAnsi="Calibri"/>
                <w:b w:val="0"/>
                <w:i w:val="0"/>
                <w:color w:val="212121"/>
                <w:sz w:val="16"/>
              </w:rPr>
              <w:t>Confirms commonest (interdigital) pattern &amp; superinfection</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Lateral clefts are the classic site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Soles &amp; distribution</w:t>
            </w:r>
          </w:p>
        </w:tc>
        <w:tc>
          <w:tcPr>
            <w:tcW w:type="dxa" w:w="979"/>
            <w:vAlign w:val="top"/>
          </w:tcPr>
          <w:p>
            <w:pPr>
              <w:spacing w:after="40" w:before="0" w:line="259" w:lineRule="auto"/>
            </w:pPr>
            <w:r>
              <w:rPr>
                <w:rFonts w:ascii="Calibri" w:hAnsi="Calibri"/>
                <w:b w:val="0"/>
                <w:i w:val="0"/>
                <w:color w:val="212121"/>
                <w:sz w:val="16"/>
              </w:rPr>
              <w:t>Moccasin scaling; vesicles/bullae; unilateral vs bilateral</w:t>
            </w:r>
          </w:p>
        </w:tc>
        <w:tc>
          <w:tcPr>
            <w:tcW w:type="dxa" w:w="950"/>
            <w:vAlign w:val="top"/>
          </w:tcPr>
          <w:p>
            <w:pPr>
              <w:spacing w:after="40" w:before="0" w:line="259" w:lineRule="auto"/>
            </w:pPr>
            <w:r>
              <w:rPr>
                <w:rFonts w:ascii="Calibri" w:hAnsi="Calibri"/>
                <w:b w:val="0"/>
                <w:i w:val="0"/>
                <w:color w:val="212121"/>
                <w:sz w:val="16"/>
              </w:rPr>
              <w:t>Normal plantar skin</w:t>
            </w:r>
          </w:p>
        </w:tc>
        <w:tc>
          <w:tcPr>
            <w:tcW w:type="dxa" w:w="950"/>
            <w:vAlign w:val="top"/>
          </w:tcPr>
          <w:p>
            <w:pPr>
              <w:spacing w:after="40" w:before="0" w:line="259" w:lineRule="auto"/>
            </w:pPr>
            <w:r>
              <w:rPr>
                <w:rFonts w:ascii="Calibri" w:hAnsi="Calibri"/>
                <w:b w:val="0"/>
                <w:i w:val="0"/>
                <w:color w:val="212121"/>
                <w:sz w:val="16"/>
              </w:rPr>
              <w:t>Diffuse fine sole scaling with active border, or instep vesicles</w:t>
            </w:r>
          </w:p>
        </w:tc>
        <w:tc>
          <w:tcPr>
            <w:tcW w:type="dxa" w:w="1036"/>
            <w:vAlign w:val="top"/>
          </w:tcPr>
          <w:p>
            <w:pPr>
              <w:spacing w:after="40" w:before="0" w:line="259" w:lineRule="auto"/>
            </w:pPr>
            <w:r>
              <w:rPr>
                <w:rFonts w:ascii="Calibri" w:hAnsi="Calibri"/>
                <w:b w:val="0"/>
                <w:i w:val="0"/>
                <w:color w:val="212121"/>
                <w:sz w:val="16"/>
              </w:rPr>
              <w:t>Identifies hyperkeratotic and vesiculobullous types</w:t>
            </w:r>
          </w:p>
        </w:tc>
        <w:tc>
          <w:tcPr>
            <w:tcW w:type="dxa" w:w="1036"/>
            <w:vAlign w:val="top"/>
          </w:tcPr>
          <w:p>
            <w:pPr>
              <w:spacing w:after="40" w:before="0" w:line="259" w:lineRule="auto"/>
            </w:pPr>
            <w:r>
              <w:rPr>
                <w:rFonts w:ascii="Calibri" w:hAnsi="Calibri"/>
                <w:b w:val="0"/>
                <w:i w:val="0"/>
                <w:color w:val="212121"/>
                <w:sz w:val="16"/>
              </w:rPr>
              <w:t>Chronic scaling or acute blistering feet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Moccasin type is often bilateral and asymptomatic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Other sites &amp; concurrent tinea</w:t>
            </w:r>
          </w:p>
        </w:tc>
        <w:tc>
          <w:tcPr>
            <w:tcW w:type="dxa" w:w="979"/>
            <w:vAlign w:val="top"/>
          </w:tcPr>
          <w:p>
            <w:pPr>
              <w:spacing w:after="40" w:before="0" w:line="259" w:lineRule="auto"/>
            </w:pPr>
            <w:r>
              <w:rPr>
                <w:rFonts w:ascii="Calibri" w:hAnsi="Calibri"/>
                <w:b w:val="0"/>
                <w:i w:val="0"/>
                <w:color w:val="212121"/>
                <w:sz w:val="16"/>
              </w:rPr>
              <w:t>Toenails, groin, palms/hands, body</w:t>
            </w:r>
          </w:p>
        </w:tc>
        <w:tc>
          <w:tcPr>
            <w:tcW w:type="dxa" w:w="950"/>
            <w:vAlign w:val="top"/>
          </w:tcPr>
          <w:p>
            <w:pPr>
              <w:spacing w:after="40" w:before="0" w:line="259" w:lineRule="auto"/>
            </w:pPr>
            <w:r>
              <w:rPr>
                <w:rFonts w:ascii="Calibri" w:hAnsi="Calibri"/>
                <w:b w:val="0"/>
                <w:i w:val="0"/>
                <w:color w:val="212121"/>
                <w:sz w:val="16"/>
              </w:rPr>
              <w:t>No other affected site</w:t>
            </w:r>
          </w:p>
        </w:tc>
        <w:tc>
          <w:tcPr>
            <w:tcW w:type="dxa" w:w="950"/>
            <w:vAlign w:val="top"/>
          </w:tcPr>
          <w:p>
            <w:pPr>
              <w:spacing w:after="40" w:before="0" w:line="259" w:lineRule="auto"/>
            </w:pPr>
            <w:r>
              <w:rPr>
                <w:rFonts w:ascii="Calibri" w:hAnsi="Calibri"/>
                <w:b w:val="0"/>
                <w:i w:val="0"/>
                <w:color w:val="212121"/>
                <w:sz w:val="16"/>
              </w:rPr>
              <w:t>Onychomycosis, tinea cruris/corporis, tinea manuum (one hand)</w:t>
            </w:r>
          </w:p>
        </w:tc>
        <w:tc>
          <w:tcPr>
            <w:tcW w:type="dxa" w:w="1036"/>
            <w:vAlign w:val="top"/>
          </w:tcPr>
          <w:p>
            <w:pPr>
              <w:spacing w:after="40" w:before="0" w:line="259" w:lineRule="auto"/>
            </w:pPr>
            <w:r>
              <w:rPr>
                <w:rFonts w:ascii="Calibri" w:hAnsi="Calibri"/>
                <w:b w:val="0"/>
                <w:i w:val="0"/>
                <w:color w:val="212121"/>
                <w:sz w:val="16"/>
              </w:rPr>
              <w:t>Detects reservoirs and two-feet–one-hand pattern</w:t>
            </w:r>
          </w:p>
        </w:tc>
        <w:tc>
          <w:tcPr>
            <w:tcW w:type="dxa" w:w="1036"/>
            <w:vAlign w:val="top"/>
          </w:tcPr>
          <w:p>
            <w:pPr>
              <w:spacing w:after="40" w:before="0" w:line="259" w:lineRule="auto"/>
            </w:pPr>
            <w:r>
              <w:rPr>
                <w:rFonts w:ascii="Calibri" w:hAnsi="Calibri"/>
                <w:b w:val="0"/>
                <w:i w:val="0"/>
                <w:color w:val="212121"/>
                <w:sz w:val="16"/>
              </w:rPr>
              <w:t>All patients, especially recurrent disease</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~84% with tinea manuum have concurrent tinea pedis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Secondary infection &amp; id reaction</w:t>
            </w:r>
          </w:p>
        </w:tc>
        <w:tc>
          <w:tcPr>
            <w:tcW w:type="dxa" w:w="979"/>
            <w:vAlign w:val="top"/>
          </w:tcPr>
          <w:p>
            <w:pPr>
              <w:spacing w:after="40" w:before="0" w:line="259" w:lineRule="auto"/>
            </w:pPr>
            <w:r>
              <w:rPr>
                <w:rFonts w:ascii="Calibri" w:hAnsi="Calibri"/>
                <w:b w:val="0"/>
                <w:i w:val="0"/>
                <w:color w:val="212121"/>
                <w:sz w:val="16"/>
              </w:rPr>
              <w:t>Cellulitis, lymphangitis, pus/odour; distant vesicular hand rash</w:t>
            </w:r>
          </w:p>
        </w:tc>
        <w:tc>
          <w:tcPr>
            <w:tcW w:type="dxa" w:w="950"/>
            <w:vAlign w:val="top"/>
          </w:tcPr>
          <w:p>
            <w:pPr>
              <w:spacing w:after="40" w:before="0" w:line="259" w:lineRule="auto"/>
            </w:pPr>
            <w:r>
              <w:rPr>
                <w:rFonts w:ascii="Calibri" w:hAnsi="Calibri"/>
                <w:b w:val="0"/>
                <w:i w:val="0"/>
                <w:color w:val="212121"/>
                <w:sz w:val="16"/>
              </w:rPr>
              <w:t>No secondary features</w:t>
            </w:r>
          </w:p>
        </w:tc>
        <w:tc>
          <w:tcPr>
            <w:tcW w:type="dxa" w:w="950"/>
            <w:vAlign w:val="top"/>
          </w:tcPr>
          <w:p>
            <w:pPr>
              <w:spacing w:after="40" w:before="0" w:line="259" w:lineRule="auto"/>
            </w:pPr>
            <w:r>
              <w:rPr>
                <w:rFonts w:ascii="Calibri" w:hAnsi="Calibri"/>
                <w:b w:val="0"/>
                <w:i w:val="0"/>
                <w:color w:val="212121"/>
                <w:sz w:val="16"/>
              </w:rPr>
              <w:t>Spreading erythema/streaking, purulent maceration, palmar vesicles</w:t>
            </w:r>
          </w:p>
        </w:tc>
        <w:tc>
          <w:tcPr>
            <w:tcW w:type="dxa" w:w="1036"/>
            <w:vAlign w:val="top"/>
          </w:tcPr>
          <w:p>
            <w:pPr>
              <w:spacing w:after="40" w:before="0" w:line="259" w:lineRule="auto"/>
            </w:pPr>
            <w:r>
              <w:rPr>
                <w:rFonts w:ascii="Calibri" w:hAnsi="Calibri"/>
                <w:b w:val="0"/>
                <w:i w:val="0"/>
                <w:color w:val="212121"/>
                <w:sz w:val="16"/>
              </w:rPr>
              <w:t>Identifies bacterial superinfection and dermatophytid</w:t>
            </w:r>
          </w:p>
        </w:tc>
        <w:tc>
          <w:tcPr>
            <w:tcW w:type="dxa" w:w="1036"/>
            <w:vAlign w:val="top"/>
          </w:tcPr>
          <w:p>
            <w:pPr>
              <w:spacing w:after="40" w:before="0" w:line="259" w:lineRule="auto"/>
            </w:pPr>
            <w:r>
              <w:rPr>
                <w:rFonts w:ascii="Calibri" w:hAnsi="Calibri"/>
                <w:b w:val="0"/>
                <w:i w:val="0"/>
                <w:color w:val="212121"/>
                <w:sz w:val="16"/>
              </w:rPr>
              <w:t>Diabetics, ulcerative disease, inflammatory type</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Toe-web tinea is a portal of entry for cellulitis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Itching between the toes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classic and usually first symptom, worse after removing sweaty shoes.</w:t>
            </w:r>
          </w:p>
        </w:tc>
      </w:tr>
      <w:tr>
        <w:trPr>
          <w:cantSplit/>
        </w:trPr>
        <w:tc>
          <w:tcPr>
            <w:tcW w:type="dxa" w:w="2304"/>
            <w:vAlign w:val="top"/>
          </w:tcPr>
          <w:p>
            <w:pPr>
              <w:spacing w:after="40" w:before="0" w:line="259" w:lineRule="auto"/>
            </w:pPr>
            <w:r>
              <w:rPr>
                <w:rFonts w:ascii="Calibri" w:hAnsi="Calibri"/>
                <w:b/>
                <w:i w:val="0"/>
                <w:color w:val="212121"/>
                <w:sz w:val="19"/>
              </w:rPr>
              <w:t>Scaling and peeling of skin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Flaking, silvery-white scale in the toe clefts or over the soles.</w:t>
            </w:r>
          </w:p>
        </w:tc>
      </w:tr>
      <w:tr>
        <w:trPr>
          <w:cantSplit/>
        </w:trPr>
        <w:tc>
          <w:tcPr>
            <w:tcW w:type="dxa" w:w="2304"/>
            <w:vAlign w:val="top"/>
          </w:tcPr>
          <w:p>
            <w:pPr>
              <w:spacing w:after="40" w:before="0" w:line="259" w:lineRule="auto"/>
            </w:pPr>
            <w:r>
              <w:rPr>
                <w:rFonts w:ascii="Calibri" w:hAnsi="Calibri"/>
                <w:b/>
                <w:i w:val="0"/>
                <w:color w:val="212121"/>
                <w:sz w:val="19"/>
              </w:rPr>
              <w:t>Maceration (white, soggy skin) in web spaces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Moist, whitened, softened skin between the toes, especially the 4th/5th cleft.</w:t>
            </w:r>
          </w:p>
        </w:tc>
      </w:tr>
      <w:tr>
        <w:trPr>
          <w:cantSplit/>
        </w:trPr>
        <w:tc>
          <w:tcPr>
            <w:tcW w:type="dxa" w:w="2304"/>
            <w:vAlign w:val="top"/>
          </w:tcPr>
          <w:p>
            <w:pPr>
              <w:spacing w:after="40" w:before="0" w:line="259" w:lineRule="auto"/>
            </w:pPr>
            <w:r>
              <w:rPr>
                <w:rFonts w:ascii="Calibri" w:hAnsi="Calibri"/>
                <w:b/>
                <w:i w:val="0"/>
                <w:color w:val="212121"/>
                <w:sz w:val="19"/>
              </w:rPr>
              <w:t>Malodour of the feet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Unpleasant smell, particularly when bacteria co-infect the macerated clefts.</w:t>
            </w:r>
          </w:p>
        </w:tc>
      </w:tr>
      <w:tr>
        <w:trPr>
          <w:cantSplit/>
        </w:trPr>
        <w:tc>
          <w:tcPr>
            <w:tcW w:type="dxa" w:w="2304"/>
            <w:vAlign w:val="top"/>
          </w:tcPr>
          <w:p>
            <w:pPr>
              <w:spacing w:after="40" w:before="0" w:line="259" w:lineRule="auto"/>
            </w:pPr>
            <w:r>
              <w:rPr>
                <w:rFonts w:ascii="Calibri" w:hAnsi="Calibri"/>
                <w:b/>
                <w:i w:val="0"/>
                <w:color w:val="212121"/>
                <w:sz w:val="19"/>
              </w:rPr>
              <w:t>Burning or stinging sensation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Discomfort in affected web spaces and soles, aggravated by heat and occlusion.</w:t>
            </w:r>
          </w:p>
        </w:tc>
      </w:tr>
      <w:tr>
        <w:trPr>
          <w:cantSplit/>
        </w:trPr>
        <w:tc>
          <w:tcPr>
            <w:tcW w:type="dxa" w:w="2304"/>
            <w:vAlign w:val="top"/>
          </w:tcPr>
          <w:p>
            <w:pPr>
              <w:spacing w:after="40" w:before="0" w:line="259" w:lineRule="auto"/>
            </w:pPr>
            <w:r>
              <w:rPr>
                <w:rFonts w:ascii="Calibri" w:hAnsi="Calibri"/>
                <w:b/>
                <w:i w:val="0"/>
                <w:color w:val="212121"/>
                <w:sz w:val="19"/>
              </w:rPr>
              <w:t>Dry, powdery scaling of the soles (moccasin)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Chronic fine scaling over soles, heels and sides, often mistaken for dry skin.</w:t>
            </w:r>
          </w:p>
        </w:tc>
      </w:tr>
      <w:tr>
        <w:trPr>
          <w:cantSplit/>
        </w:trPr>
        <w:tc>
          <w:tcPr>
            <w:tcW w:type="dxa" w:w="2304"/>
            <w:vAlign w:val="top"/>
          </w:tcPr>
          <w:p>
            <w:pPr>
              <w:spacing w:after="40" w:before="0" w:line="259" w:lineRule="auto"/>
            </w:pPr>
            <w:r>
              <w:rPr>
                <w:rFonts w:ascii="Calibri" w:hAnsi="Calibri"/>
                <w:b/>
                <w:i w:val="0"/>
                <w:color w:val="212121"/>
                <w:sz w:val="19"/>
              </w:rPr>
              <w:t>Cracks / fissures between or under the toes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Painful splits in macerated skin that can bleed and admit bacteria.</w:t>
            </w:r>
          </w:p>
        </w:tc>
      </w:tr>
      <w:tr>
        <w:trPr>
          <w:cantSplit/>
        </w:trPr>
        <w:tc>
          <w:tcPr>
            <w:tcW w:type="dxa" w:w="2304"/>
            <w:vAlign w:val="top"/>
          </w:tcPr>
          <w:p>
            <w:pPr>
              <w:spacing w:after="40" w:before="0" w:line="259" w:lineRule="auto"/>
            </w:pPr>
            <w:r>
              <w:rPr>
                <w:rFonts w:ascii="Calibri" w:hAnsi="Calibri"/>
                <w:b/>
                <w:i w:val="0"/>
                <w:color w:val="212121"/>
                <w:sz w:val="19"/>
              </w:rPr>
              <w:t>Painful blisters or vesicles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Intensely itchy or painful fluid-filled blisters on the instep in the vesiculobullous type.</w:t>
            </w:r>
          </w:p>
        </w:tc>
      </w:tr>
      <w:tr>
        <w:trPr>
          <w:cantSplit/>
        </w:trPr>
        <w:tc>
          <w:tcPr>
            <w:tcW w:type="dxa" w:w="2304"/>
            <w:vAlign w:val="top"/>
          </w:tcPr>
          <w:p>
            <w:pPr>
              <w:spacing w:after="40" w:before="0" w:line="259" w:lineRule="auto"/>
            </w:pPr>
            <w:r>
              <w:rPr>
                <w:rFonts w:ascii="Calibri" w:hAnsi="Calibri"/>
                <w:b/>
                <w:i w:val="0"/>
                <w:color w:val="212121"/>
                <w:sz w:val="19"/>
              </w:rPr>
              <w:t>Weeping / oozing between toes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Serous or purulent discharge in acute, macerated or ulcerative disease.</w:t>
            </w:r>
          </w:p>
        </w:tc>
      </w:tr>
      <w:tr>
        <w:trPr>
          <w:cantSplit/>
        </w:trPr>
        <w:tc>
          <w:tcPr>
            <w:tcW w:type="dxa" w:w="2304"/>
            <w:vAlign w:val="top"/>
          </w:tcPr>
          <w:p>
            <w:pPr>
              <w:spacing w:after="40" w:before="0" w:line="259" w:lineRule="auto"/>
            </w:pPr>
            <w:r>
              <w:rPr>
                <w:rFonts w:ascii="Calibri" w:hAnsi="Calibri"/>
                <w:b/>
                <w:i w:val="0"/>
                <w:color w:val="212121"/>
                <w:sz w:val="19"/>
              </w:rPr>
              <w:t>Pain on walking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deep fissures, ulceration or secondary infection of the sole and clefts.</w:t>
            </w:r>
          </w:p>
        </w:tc>
      </w:tr>
      <w:tr>
        <w:trPr>
          <w:cantSplit/>
        </w:trPr>
        <w:tc>
          <w:tcPr>
            <w:tcW w:type="dxa" w:w="2304"/>
            <w:vAlign w:val="top"/>
          </w:tcPr>
          <w:p>
            <w:pPr>
              <w:spacing w:after="40" w:before="0" w:line="259" w:lineRule="auto"/>
            </w:pPr>
            <w:r>
              <w:rPr>
                <w:rFonts w:ascii="Calibri" w:hAnsi="Calibri"/>
                <w:b/>
                <w:i w:val="0"/>
                <w:color w:val="212121"/>
                <w:sz w:val="19"/>
              </w:rPr>
              <w:t>Itchy vesicular rash on the hands (id reaction)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distant, fungus-free dermatophytid reaction on the palms/fingers, driven by immune sensitisation.</w:t>
            </w:r>
          </w:p>
        </w:tc>
      </w:tr>
      <w:tr>
        <w:trPr>
          <w:cantSplit/>
        </w:trPr>
        <w:tc>
          <w:tcPr>
            <w:tcW w:type="dxa" w:w="2304"/>
            <w:vAlign w:val="top"/>
          </w:tcPr>
          <w:p>
            <w:pPr>
              <w:spacing w:after="40" w:before="0" w:line="259" w:lineRule="auto"/>
            </w:pPr>
            <w:r>
              <w:rPr>
                <w:rFonts w:ascii="Calibri" w:hAnsi="Calibri"/>
                <w:b/>
                <w:i w:val="0"/>
                <w:color w:val="212121"/>
                <w:sz w:val="19"/>
              </w:rPr>
              <w:t>Fever, redness and swelling spreading up the foot/leg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Signals secondary bacterial cellulitis/lymphangitis — a red flag, especially in diabetics.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Interdigital erythema, scaling, maceration &amp; fissuring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hallmark of interdigital tinea pedis, classically in the lateral (4th/5th) web space.</w:t>
            </w:r>
          </w:p>
        </w:tc>
      </w:tr>
      <w:tr>
        <w:trPr>
          <w:cantSplit/>
        </w:trPr>
        <w:tc>
          <w:tcPr>
            <w:tcW w:type="dxa" w:w="3456"/>
            <w:vAlign w:val="top"/>
          </w:tcPr>
          <w:p>
            <w:pPr>
              <w:spacing w:after="40" w:before="0" w:line="259" w:lineRule="auto"/>
            </w:pPr>
            <w:r>
              <w:rPr>
                <w:rFonts w:ascii="Calibri" w:hAnsi="Calibri"/>
                <w:b/>
                <w:i w:val="0"/>
                <w:color w:val="212121"/>
                <w:sz w:val="19"/>
              </w:rPr>
              <w:t>Silvery-white scaling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Fine adherent scale in the web spaces and over the soles.</w:t>
            </w:r>
          </w:p>
        </w:tc>
      </w:tr>
      <w:tr>
        <w:trPr>
          <w:cantSplit/>
        </w:trPr>
        <w:tc>
          <w:tcPr>
            <w:tcW w:type="dxa" w:w="3456"/>
            <w:vAlign w:val="top"/>
          </w:tcPr>
          <w:p>
            <w:pPr>
              <w:spacing w:after="40" w:before="0" w:line="259" w:lineRule="auto"/>
            </w:pPr>
            <w:r>
              <w:rPr>
                <w:rFonts w:ascii="Calibri" w:hAnsi="Calibri"/>
                <w:b/>
                <w:i w:val="0"/>
                <w:color w:val="212121"/>
                <w:sz w:val="19"/>
              </w:rPr>
              <w:t>Moccasin-distribution hyperkeratotic scaling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Diffuse dry, fine, powdery scaling of soles, heels and lateral borders with an erythematous edge.</w:t>
            </w:r>
          </w:p>
        </w:tc>
      </w:tr>
      <w:tr>
        <w:trPr>
          <w:cantSplit/>
        </w:trPr>
        <w:tc>
          <w:tcPr>
            <w:tcW w:type="dxa" w:w="3456"/>
            <w:vAlign w:val="top"/>
          </w:tcPr>
          <w:p>
            <w:pPr>
              <w:spacing w:after="40" w:before="0" w:line="259" w:lineRule="auto"/>
            </w:pPr>
            <w:r>
              <w:rPr>
                <w:rFonts w:ascii="Calibri" w:hAnsi="Calibri"/>
                <w:b/>
                <w:i w:val="0"/>
                <w:color w:val="212121"/>
                <w:sz w:val="19"/>
              </w:rPr>
              <w:t>Positive KOH microscopy (septate hyphae)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Branching, septate fungal hyphae on wet-mount confirm the diagnosis at the bedside.</w:t>
            </w:r>
          </w:p>
        </w:tc>
      </w:tr>
      <w:tr>
        <w:trPr>
          <w:cantSplit/>
        </w:trPr>
        <w:tc>
          <w:tcPr>
            <w:tcW w:type="dxa" w:w="3456"/>
            <w:vAlign w:val="top"/>
          </w:tcPr>
          <w:p>
            <w:pPr>
              <w:spacing w:after="40" w:before="0" w:line="259" w:lineRule="auto"/>
            </w:pPr>
            <w:r>
              <w:rPr>
                <w:rFonts w:ascii="Calibri" w:hAnsi="Calibri"/>
                <w:b/>
                <w:i w:val="0"/>
                <w:color w:val="212121"/>
                <w:sz w:val="19"/>
              </w:rPr>
              <w:t>Toenail onychomycosis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Thickened, discoloured, crumbly nails with subungual hyperkeratosis — a common companion and reservoir.</w:t>
            </w:r>
          </w:p>
        </w:tc>
      </w:tr>
      <w:tr>
        <w:trPr>
          <w:cantSplit/>
        </w:trPr>
        <w:tc>
          <w:tcPr>
            <w:tcW w:type="dxa" w:w="3456"/>
            <w:vAlign w:val="top"/>
          </w:tcPr>
          <w:p>
            <w:pPr>
              <w:spacing w:after="40" w:before="0" w:line="259" w:lineRule="auto"/>
            </w:pPr>
            <w:r>
              <w:rPr>
                <w:rFonts w:ascii="Calibri" w:hAnsi="Calibri"/>
                <w:b/>
                <w:i w:val="0"/>
                <w:color w:val="212121"/>
                <w:sz w:val="19"/>
              </w:rPr>
              <w:t>Vesicles / bullae on the instep and sole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Tense blisters on an erythematous base in the inflammatory (vesiculobullous) type.</w:t>
            </w:r>
          </w:p>
        </w:tc>
      </w:tr>
      <w:tr>
        <w:trPr>
          <w:cantSplit/>
        </w:trPr>
        <w:tc>
          <w:tcPr>
            <w:tcW w:type="dxa" w:w="3456"/>
            <w:vAlign w:val="top"/>
          </w:tcPr>
          <w:p>
            <w:pPr>
              <w:spacing w:after="40" w:before="0" w:line="259" w:lineRule="auto"/>
            </w:pPr>
            <w:r>
              <w:rPr>
                <w:rFonts w:ascii="Calibri" w:hAnsi="Calibri"/>
                <w:b/>
                <w:i w:val="0"/>
                <w:color w:val="212121"/>
                <w:sz w:val="19"/>
              </w:rPr>
              <w:t>Concurrent tinea manuum (one hand)</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Dry scaling of one palm with both feet involved — the two-feet–one-hand pattern.</w:t>
            </w:r>
          </w:p>
        </w:tc>
      </w:tr>
      <w:tr>
        <w:trPr>
          <w:cantSplit/>
        </w:trPr>
        <w:tc>
          <w:tcPr>
            <w:tcW w:type="dxa" w:w="3456"/>
            <w:vAlign w:val="top"/>
          </w:tcPr>
          <w:p>
            <w:pPr>
              <w:spacing w:after="40" w:before="0" w:line="259" w:lineRule="auto"/>
            </w:pPr>
            <w:r>
              <w:rPr>
                <w:rFonts w:ascii="Calibri" w:hAnsi="Calibri"/>
                <w:b/>
                <w:i w:val="0"/>
                <w:color w:val="212121"/>
                <w:sz w:val="19"/>
              </w:rPr>
              <w:t>Erosion, purulent maceration &amp; malodour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Denotes secondary bacterial infection (“dermatophytosis complex”) of the web spaces.</w:t>
            </w:r>
          </w:p>
        </w:tc>
      </w:tr>
      <w:tr>
        <w:trPr>
          <w:cantSplit/>
        </w:trPr>
        <w:tc>
          <w:tcPr>
            <w:tcW w:type="dxa" w:w="3456"/>
            <w:vAlign w:val="top"/>
          </w:tcPr>
          <w:p>
            <w:pPr>
              <w:spacing w:after="40" w:before="0" w:line="259" w:lineRule="auto"/>
            </w:pPr>
            <w:r>
              <w:rPr>
                <w:rFonts w:ascii="Calibri" w:hAnsi="Calibri"/>
                <w:b/>
                <w:i w:val="0"/>
                <w:color w:val="212121"/>
                <w:sz w:val="19"/>
              </w:rPr>
              <w:t>Cellulitis / lymphangitis of the foot or leg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Spreading warm erythema, swelling and red streaking — the feet acting as a portal of entry.</w:t>
            </w:r>
          </w:p>
        </w:tc>
      </w:tr>
      <w:tr>
        <w:trPr>
          <w:cantSplit/>
        </w:trPr>
        <w:tc>
          <w:tcPr>
            <w:tcW w:type="dxa" w:w="3456"/>
            <w:vAlign w:val="top"/>
          </w:tcPr>
          <w:p>
            <w:pPr>
              <w:spacing w:after="40" w:before="0" w:line="259" w:lineRule="auto"/>
            </w:pPr>
            <w:r>
              <w:rPr>
                <w:rFonts w:ascii="Calibri" w:hAnsi="Calibri"/>
                <w:b/>
                <w:i w:val="0"/>
                <w:color w:val="212121"/>
                <w:sz w:val="19"/>
              </w:rPr>
              <w:t>Dermatophytid (id) reaction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Sterile, KOH-negative vesicular eruption on the palms/fingers reflecting immune hypersensitivity.</w:t>
            </w:r>
          </w:p>
        </w:tc>
      </w:tr>
      <w:tr>
        <w:trPr>
          <w:cantSplit/>
        </w:trPr>
        <w:tc>
          <w:tcPr>
            <w:tcW w:type="dxa" w:w="3456"/>
            <w:vAlign w:val="top"/>
          </w:tcPr>
          <w:p>
            <w:pPr>
              <w:spacing w:after="40" w:before="0" w:line="259" w:lineRule="auto"/>
            </w:pPr>
            <w:r>
              <w:rPr>
                <w:rFonts w:ascii="Calibri" w:hAnsi="Calibri"/>
                <w:b/>
                <w:i w:val="0"/>
                <w:color w:val="212121"/>
                <w:sz w:val="19"/>
              </w:rPr>
              <w:t>Tinea incognito (ill-defined, extensive, steroid-modified)</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Atypical, poorly demarcated, widespread lesions following topical corticosteroid misuse.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relapsing and treatment-resistant infection (especially moccasin type)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Spread to the toenails (onychomycosis), groin (tinea cruris), body (tinea corporis) and hands (tinea manuum / two-feet–one-hand)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Painful fissuring, maceration and erosion of the toe web spaces and soles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Autoinoculation and household transmission from an untreated foot/nail reservoir</w:t>
            </w:r>
          </w:p>
        </w:tc>
        <w:tc>
          <w:tcPr>
            <w:tcW w:type="dxa" w:w="2980"/>
            <w:vAlign w:val="top"/>
          </w:tcPr>
          <w:p>
            <w:pPr>
              <w:spacing w:after="40" w:before="0" w:line="259" w:lineRule="auto"/>
            </w:pPr>
            <w:r>
              <w:rPr>
                <w:rFonts w:ascii="Calibri" w:hAnsi="Calibri"/>
                <w:b w:val="0"/>
                <w:i w:val="0"/>
                <w:color w:val="212121"/>
                <w:sz w:val="19"/>
              </w:rPr>
              <w:t>Direct consequences of persistent dermatophyte colonisation and its spread.</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infection — cellulitis, erysipelas, lymphangitis and pyoderma (“dermatophytosis complex”)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Dermatophytid (id) reaction — sterile vesicular eruption on the hands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Allergic contact dermatitis to topical antifungal agents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Tinea incognito and antifungal-resistant (T. indotineae) recalcitrant disease from steroid misuse</w:t>
            </w:r>
          </w:p>
        </w:tc>
        <w:tc>
          <w:tcPr>
            <w:tcW w:type="dxa" w:w="2980"/>
            <w:vAlign w:val="top"/>
          </w:tcPr>
          <w:p>
            <w:pPr>
              <w:spacing w:after="40" w:before="0" w:line="259" w:lineRule="auto"/>
            </w:pPr>
            <w:r>
              <w:rPr>
                <w:rFonts w:ascii="Calibri" w:hAnsi="Calibri"/>
                <w:b w:val="0"/>
                <w:i w:val="0"/>
                <w:color w:val="212121"/>
                <w:sz w:val="19"/>
              </w:rPr>
              <w:t>Arise from barrier breach with bacterial entry, immune hypersensitivity, and inappropriate treatment.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diabetics/immunocompromised: diabetic foot ulcer, deep soft-tissue infection, osteomyelitis and, rarely, lower-limb amputation or 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lower-limb cellulitis with progressive lymphoedema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Substantial impairment of quality of life, mobility, footwear and social confidence from chronic relapsing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Sustained community reservoir driving continued transmission and reinfection</w:t>
            </w:r>
          </w:p>
        </w:tc>
        <w:tc>
          <w:tcPr>
            <w:tcW w:type="dxa" w:w="2980"/>
            <w:vAlign w:val="top"/>
          </w:tcPr>
          <w:p>
            <w:pPr>
              <w:spacing w:after="40" w:before="0" w:line="259" w:lineRule="auto"/>
            </w:pPr>
            <w:r>
              <w:rPr>
                <w:rFonts w:ascii="Calibri" w:hAnsi="Calibri"/>
                <w:b w:val="0"/>
                <w:i w:val="0"/>
                <w:color w:val="212121"/>
                <w:sz w:val="19"/>
              </w:rPr>
              <w:t>Long-term, potentially disabling outcomes, dominated by diabetic-foot and recurrent-cellulitis morbidity.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Onychomycosis (tinea unguium)</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Infected toenails are a fungal reservoir that re-seeds the skin; the two coexist and perpetuate each other, and nails must be treated to prevent relapse.</w:t>
            </w:r>
          </w:p>
          <w:p>
            <w:pPr>
              <w:spacing w:after="40" w:before="0" w:line="259" w:lineRule="auto"/>
            </w:pPr>
            <w:r>
              <w:rPr>
                <w:rFonts w:ascii="Calibri" w:hAnsi="Calibri"/>
                <w:b/>
                <w:i w:val="0"/>
                <w:color w:val="212121"/>
                <w:sz w:val="19"/>
              </w:rPr>
              <w:t>Up to ~66% (in diabetics with onychomycosis)</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Diabetes strongly predisposes to tinea pedis, which then acts as a portal of entry for cellulitis and diabetic foot ulceration; coexistence alters screening, treatment choice and follow-up.</w:t>
            </w:r>
          </w:p>
          <w:p>
            <w:pPr>
              <w:spacing w:after="40" w:before="0" w:line="259" w:lineRule="auto"/>
            </w:pPr>
            <w:r>
              <w:rPr>
                <w:rFonts w:ascii="Calibri" w:hAnsi="Calibri"/>
                <w:b/>
                <w:i w:val="0"/>
                <w:color w:val="212121"/>
                <w:sz w:val="19"/>
              </w:rPr>
              <w:t>2.5–2.8× more frequent</w:t>
            </w:r>
          </w:p>
        </w:tc>
      </w:tr>
      <w:tr>
        <w:trPr>
          <w:cantSplit/>
        </w:trPr>
        <w:tc>
          <w:tcPr>
            <w:tcW w:type="dxa" w:w="2232"/>
            <w:vAlign w:val="top"/>
          </w:tcPr>
          <w:p>
            <w:pPr>
              <w:spacing w:after="40" w:before="0" w:line="259" w:lineRule="auto"/>
            </w:pPr>
            <w:r>
              <w:rPr>
                <w:rFonts w:ascii="Calibri" w:hAnsi="Calibri"/>
                <w:b/>
                <w:i w:val="0"/>
                <w:color w:val="212121"/>
                <w:sz w:val="19"/>
              </w:rPr>
              <w:t>Tinea cruris / corporis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Same dermatophyte spreads by autoinoculation between feet, groin and body; concurrent sites are common and must all be treated simultaneously.</w:t>
            </w:r>
          </w:p>
        </w:tc>
      </w:tr>
      <w:tr>
        <w:trPr>
          <w:cantSplit/>
        </w:trPr>
        <w:tc>
          <w:tcPr>
            <w:tcW w:type="dxa" w:w="2232"/>
            <w:vAlign w:val="top"/>
          </w:tcPr>
          <w:p>
            <w:pPr>
              <w:spacing w:after="40" w:before="0" w:line="259" w:lineRule="auto"/>
            </w:pPr>
            <w:r>
              <w:rPr>
                <w:rFonts w:ascii="Calibri" w:hAnsi="Calibri"/>
                <w:b/>
                <w:i w:val="0"/>
                <w:color w:val="212121"/>
                <w:sz w:val="19"/>
              </w:rPr>
              <w:t>Tinea manuum (two-feet–one-hand syndrome)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Infection spreads from the feet to one hand through scratching/contact, producing the classic asymmetrical pattern.</w:t>
            </w:r>
          </w:p>
          <w:p>
            <w:pPr>
              <w:spacing w:after="40" w:before="0" w:line="259" w:lineRule="auto"/>
            </w:pPr>
            <w:r>
              <w:rPr>
                <w:rFonts w:ascii="Calibri" w:hAnsi="Calibri"/>
                <w:b/>
                <w:i w:val="0"/>
                <w:color w:val="212121"/>
                <w:sz w:val="19"/>
              </w:rPr>
              <w:t>~84% of tinea manuum have concurrent tinea pedis</w:t>
            </w:r>
          </w:p>
        </w:tc>
      </w:tr>
      <w:tr>
        <w:trPr>
          <w:cantSplit/>
        </w:trPr>
        <w:tc>
          <w:tcPr>
            <w:tcW w:type="dxa" w:w="2232"/>
            <w:vAlign w:val="top"/>
          </w:tcPr>
          <w:p>
            <w:pPr>
              <w:spacing w:after="40" w:before="0" w:line="259" w:lineRule="auto"/>
            </w:pPr>
            <w:r>
              <w:rPr>
                <w:rFonts w:ascii="Calibri" w:hAnsi="Calibri"/>
                <w:b/>
                <w:i w:val="0"/>
                <w:color w:val="212121"/>
                <w:sz w:val="19"/>
              </w:rPr>
              <w:t>Bacterial cellulitis / erysipelas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Macerated, fissured toe webs are a recognised portal of entry for streptococcal/staphylococcal lower-limb cellulitis; treating the tinea reduces recurrence.</w:t>
            </w:r>
          </w:p>
          <w:p>
            <w:pPr>
              <w:spacing w:after="40" w:before="0" w:line="259" w:lineRule="auto"/>
            </w:pPr>
            <w:r>
              <w:rPr>
                <w:rFonts w:ascii="Calibri" w:hAnsi="Calibri"/>
                <w:b/>
                <w:i w:val="0"/>
                <w:color w:val="212121"/>
                <w:sz w:val="19"/>
              </w:rPr>
              <w:t>~60% of diabetic foot infections start interdigitally</w:t>
            </w:r>
          </w:p>
        </w:tc>
      </w:tr>
      <w:tr>
        <w:trPr>
          <w:cantSplit/>
        </w:trPr>
        <w:tc>
          <w:tcPr>
            <w:tcW w:type="dxa" w:w="2232"/>
            <w:vAlign w:val="top"/>
          </w:tcPr>
          <w:p>
            <w:pPr>
              <w:spacing w:after="40" w:before="0" w:line="259" w:lineRule="auto"/>
            </w:pPr>
            <w:r>
              <w:rPr>
                <w:rFonts w:ascii="Calibri" w:hAnsi="Calibri"/>
                <w:b/>
                <w:i w:val="0"/>
                <w:color w:val="212121"/>
                <w:sz w:val="19"/>
              </w:rPr>
              <w:t>Hyperhidrosis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Excessive foot sweating creates the moist, macerated microclimate that dermatophytes require, predisposing to and sustaining infection.</w:t>
            </w:r>
          </w:p>
        </w:tc>
      </w:tr>
      <w:tr>
        <w:trPr>
          <w:cantSplit/>
        </w:trPr>
        <w:tc>
          <w:tcPr>
            <w:tcW w:type="dxa" w:w="2232"/>
            <w:vAlign w:val="top"/>
          </w:tcPr>
          <w:p>
            <w:pPr>
              <w:spacing w:after="40" w:before="0" w:line="259" w:lineRule="auto"/>
            </w:pPr>
            <w:r>
              <w:rPr>
                <w:rFonts w:ascii="Calibri" w:hAnsi="Calibri"/>
                <w:b/>
                <w:i w:val="0"/>
                <w:color w:val="212121"/>
                <w:sz w:val="19"/>
              </w:rPr>
              <w:t>Peripheral vascular disease / lymphoedema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Poor circulation and chronic swelling impair skin defence and foster chronic tinea, whose fissures precipitate recurrent cellulitis that worsens the lymphoedema.</w:t>
            </w:r>
          </w:p>
        </w:tc>
      </w:tr>
      <w:tr>
        <w:trPr>
          <w:cantSplit/>
        </w:trPr>
        <w:tc>
          <w:tcPr>
            <w:tcW w:type="dxa" w:w="2232"/>
            <w:vAlign w:val="top"/>
          </w:tcPr>
          <w:p>
            <w:pPr>
              <w:spacing w:after="40" w:before="0" w:line="259" w:lineRule="auto"/>
            </w:pPr>
            <w:r>
              <w:rPr>
                <w:rFonts w:ascii="Calibri" w:hAnsi="Calibri"/>
                <w:b/>
                <w:i w:val="0"/>
                <w:color w:val="212121"/>
                <w:sz w:val="19"/>
              </w:rPr>
              <w:t>HIV / immunosuppression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Blunted cell-mediated immunity produces extensive, atypical, ulcerative and treatment-resistant tinea pedis with higher secondary-infection risk.</w:t>
            </w:r>
          </w:p>
        </w:tc>
      </w:tr>
      <w:tr>
        <w:trPr>
          <w:cantSplit/>
        </w:trPr>
        <w:tc>
          <w:tcPr>
            <w:tcW w:type="dxa" w:w="2232"/>
            <w:vAlign w:val="top"/>
          </w:tcPr>
          <w:p>
            <w:pPr>
              <w:spacing w:after="40" w:before="0" w:line="259" w:lineRule="auto"/>
            </w:pPr>
            <w:r>
              <w:rPr>
                <w:rFonts w:ascii="Calibri" w:hAnsi="Calibri"/>
                <w:b/>
                <w:i w:val="0"/>
                <w:color w:val="212121"/>
                <w:sz w:val="19"/>
              </w:rPr>
              <w:t>Atopic dermatitis / eczema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 impaired skin barrier predisposes to dermatophyte colonisation, and tinea can be mistaken for or coexist with eczema, complicating diagnosis and steroid use.</w:t>
            </w:r>
          </w:p>
        </w:tc>
      </w:tr>
      <w:tr>
        <w:trPr>
          <w:cantSplit/>
        </w:trPr>
        <w:tc>
          <w:tcPr>
            <w:tcW w:type="dxa" w:w="2232"/>
            <w:vAlign w:val="top"/>
          </w:tcPr>
          <w:p>
            <w:pPr>
              <w:spacing w:after="40" w:before="0" w:line="259" w:lineRule="auto"/>
            </w:pPr>
            <w:r>
              <w:rPr>
                <w:rFonts w:ascii="Calibri" w:hAnsi="Calibri"/>
                <w:b/>
                <w:i w:val="0"/>
                <w:color w:val="212121"/>
                <w:sz w:val="19"/>
              </w:rPr>
              <w:t>Dermatophytid (id) reaction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 distant, sterile hypersensitivity eruption (usually on the hands) triggered by an inflammatory focus of tinea pedis; resolves as the foot infection is treated.</w:t>
            </w:r>
          </w:p>
        </w:tc>
      </w:tr>
      <w:tr>
        <w:trPr>
          <w:cantSplit/>
        </w:trPr>
        <w:tc>
          <w:tcPr>
            <w:tcW w:type="dxa" w:w="2232"/>
            <w:vAlign w:val="top"/>
          </w:tcPr>
          <w:p>
            <w:pPr>
              <w:spacing w:after="40" w:before="0" w:line="259" w:lineRule="auto"/>
            </w:pPr>
            <w:r>
              <w:rPr>
                <w:rFonts w:ascii="Calibri" w:hAnsi="Calibri"/>
                <w:b/>
                <w:i w:val="0"/>
                <w:color w:val="212121"/>
                <w:sz w:val="19"/>
              </w:rPr>
              <w:t>Allergic / irritant contact dermatitis to antifungals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Topical antifungal or additive sensitisation can complicate and mimic treatment failure, altering management.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feet clean and, above all, DRY — dry carefully between every toe after bathing, swimming or sweating, using a separate towel.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breathable, well-fitting footwear; alternate shoes to let them dry fully, and change into clean, dry cotton or moisture-wicking socks at least daily.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sandals or flip-flops in communal wet areas — swimming pools, gyms, changing rooms, shared bathrooms and around religious/temple washing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share footwear, socks, towels or nail clippers, and treat infected household contacts to stop reinfection.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desiccating antifungal foot powder in shoes and socks if you have sweaty feet or are prone to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over-the-counter steroid or steroid-antifungal combination creams on the feet — they worsen and disguise the infection (tinea incognito) and breed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signs (itchy, scaly, macerated toe clefts) and treat promptly; seek care for spreading redness, swelling or fever, especially if diabetic.</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public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&amp; swimmers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Uniformed/boot-wearing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Overcrowded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Confirm dermatophyte infection (KOH ± culture) before prolonged therapy, particularly in chronic or steroid-modified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topical antifungal (terbinafine, or an azole such as clotrimazole/ketoconazole, or ciclopirox/butenafine) once–twice daily, usually for 2–4 weeks, and continue 1–2 weeks after clearing.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Reserve oral antifungals (terbinafine, itraconazole, fluconazole) for extensive, moccasin, vesiculobullous, recurrent or nail-associated disease and immunocompromised or diabetic patients; note terbinafine resistance (T. indotineae) in India often needs itraconazole.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ALL infected sites simultaneously — feet, nails, groin, body and hands — to remove reservoirs and prevent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secondary bacterial infection (soaks/Burow solution, topical or oral antibacterials) and add a keratolytic (salicylic acid/urea) for thick moccasin scaling.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Decontaminate footwear and socks (antifungal powder, hot washing, thorough drying) and STOP any topical steroid misuse.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glycaemic control and daily foot inspection in diabetics, and arrange follow-up for the frequently relapsing, resistant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tinea pedis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Chronic/moccasin &amp; recurrent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Steroid-modified (tinea incognito)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&amp; immunocompromised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active for general health, but shower and dry the feet thoroughly immediately after sport.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sandals/flip-flops in gym and pool changing rooms and showers, and never walk barefoot on communal wet floors.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breathable athletic footwear and moisture-wicking socks; change out of sweaty shoes and socks promptly after exercise.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antifungal foot powder before sport if prone to sweaty feet or recurrence, and do not share sports shoes, socks or towels.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Swimmers &amp; runners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Gym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sweaty feet</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and maintain good glycaemic control and a healthy weight — obesity and diabetes markedly raise the risk and chronicity of tinea pedis.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adequate-protein diet with sufficient zinc, iron and vitamins to support skin-barrier integrity and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high-sugar, high-calorie ultra-processed foods that drive obesity and hyperglycaemia.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There is no proven ‘antifungal diet’ that cures tinea pedis — diet acts chiefly by controlling diabetes/obesity and supporting immunity.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recurrent infection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7–9 hours of good-quality sleep to support general immune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the night-time itch of inflammatory tinea pedis with prompt antifungal (and, if needed, symptomatic) treatment so sleep is not disturbed.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itchy inflammatory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 individuals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it impairs peripheral circulation and immunity and worsens peripheral vascular and diabetic foot disease, indirectly favouring chronic foot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Smoking cessation improves overall foot and wound-healing outcomes, particularly in diabetics.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peripheral vascular disease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moderate limits, as heavy use impairs immunity and worsens diabetes and peripheral neuropathy that predispose to foot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drinking, which can also reduce adherence to foot care and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frustration, embarrassment and social discomfort of chronic, itchy, malodorous or relapsing foot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that consistent hygiene and completing antifungal therapy achieve control, and support adherence to the often lengthy, relapse-prone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itch- or odour-related sleep disturbance and social withdrawal, and treat any coexisting anxiety about recurrence.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chronic/recurrent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visible/odorous involvement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young adults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rugsincontext.com/wp-content/uploads/2023/06/dic.2023-5-1.pdf" TargetMode="External"/><Relationship Id="rId10" Type="http://schemas.openxmlformats.org/officeDocument/2006/relationships/hyperlink" Target="https://pmc.ncbi.nlm.nih.gov/articles/PMC11355269/" TargetMode="External"/><Relationship Id="rId11" Type="http://schemas.openxmlformats.org/officeDocument/2006/relationships/hyperlink" Target="https://ijdvl.com/the-unprecedented-epidemic-like-scenario-of-dermatophytosis-in-india-i-epidemiology-risk-factors-and-clinical-features/" TargetMode="External"/><Relationship Id="rId12" Type="http://schemas.openxmlformats.org/officeDocument/2006/relationships/hyperlink" Target="https://dermnetnz.org/topics/tinea-pedis" TargetMode="External"/><Relationship Id="rId13" Type="http://schemas.openxmlformats.org/officeDocument/2006/relationships/hyperlink" Target="https://www.ncbi.nlm.nih.gov/books/NBK4704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