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Tinea Capitis</w:t>
      </w:r>
    </w:p>
    <w:p>
      <w:pPr>
        <w:spacing w:before="0" w:after="160"/>
      </w:pPr>
      <w:r>
        <w:rPr>
          <w:rFonts w:ascii="Calibri" w:hAnsi="Calibri"/>
          <w:b/>
          <w:i w:val="0"/>
          <w:color w:val="212121"/>
          <w:sz w:val="22"/>
        </w:rPr>
        <w:t xml:space="preserve">AKA </w:t>
      </w:r>
      <w:r>
        <w:rPr>
          <w:rFonts w:ascii="Calibri" w:hAnsi="Calibri"/>
          <w:b w:val="0"/>
          <w:i w:val="0"/>
          <w:color w:val="212121"/>
          <w:sz w:val="22"/>
        </w:rPr>
        <w:t>i.e., Scalp ringworm, Ringworm of the scalp, Tinea tonsurans, Fungal infection of the scalp, Daad of the head / dermatophytosis of the scalp, Herpes tonsurans; (favus variant: Tinea favosa)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Tinea capitis is a dermatophyte (fungal) infection of the scalp skin and hair shafts caused by keratinophilic dermatophytes of the genera Trichophyton and Microsporum, which invade the hair follicle and shaft either within it (endothrix) or around its surface (ectothrix). It is predominantly a disease of prepubertal children (peak 3–7 years), because postpubertal sebum contains fungistatic medium-chain fatty acids that protect the adult scalp. Clinically it ranges from non-inflammatory scaly patches with hair loss and “black dots” to intensely inflammatory, boggy, pus-filled kerions and crusted favus, and it is contagious — spread person-to-person and through shared combs, caps, pillows and barber tools, or from animals. In India the great majority of cases are caused by the anthropophilic endothrix organism Trichophyton violaceum, which does not fluoresce under Wood’s lamp, and, because the fungus lives inside the hair follicle, cure requires oral (systemic) antifungal therapy — topical agents alone are ineffective.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Tinea capitis is the commonest dermatophytosis of childhood worldwide, overwhelmingly affecting prepubertal children (typically 3–14 years, peaking at 3–7 years), with adults accounting for only about 3–11% of all cases. In India it is a common paediatric scalp disease with a clear endothrix, Trichophyton violaceum–dominant pattern: in a North Indian hospital study of 214 children with suspected tinea capitis, KOH microscopy was positive in 82.3% and culture in 73%, with T. violaceum isolated in 88.6% of culture-positive cases and kerion seen in 13.5%. Community burden is substantial too — a school survey in Kolkata found tinea capitis in about 10% of schoolchildren, with a significantly higher rate in boys (around 14%) and a dull grey-patch, endothrix-spore pattern predominating. The disease clusters in low-income, overcrowded households where combs, caps, towels and pillows are shared, and it spreads readily between siblings and classmates; asymptomatic carriers act as a hidden reservoir that sustains transmission and reinfection.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Tinea capitis is suspected clinically from scaling with patchy hair loss in a child and should be confirmed mycologically before committing to weeks of systemic therapy, because several conditions mimic it.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clinical patterns — one or more scaly patches of hair loss with broken hairs or “black dots”, dull grey scaly patches, diffuse dandruff-like scaling, or a painful boggy inflammatory swelling (kerion); tender occipital/posterior-cervical lymphadenopathy is a useful supportive sign whose absence makes tinea capitis unlikely;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potassium hydroxide (KOH 10–20%) microscopy of plucked hairs and scalp scrapings, showing fungal hyphae and arthrospores and distinguishing endothrix (spores packed within the hair shaft — T. violaceum, T. tonsurans) from ectothrix (spores coating the shaft surface — Microsporum) — the key bedside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fungal culture on Sabouraud dextrose agar (with cycloheximide) — the gold standard for species identification, growing the dermatophyte over roughly 2–4 weeks and guiding drug choice;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Wood’s (ultraviolet) lamp examination — Microsporum-infected (ectothrix) hairs fluoresce bright green/yellow-green and favus (T. schoenleinii) a dull blue-green, but endothrix organisms including India’s dominant T. violaceum and T. tonsurans do NOT fluoresce, so a negative lamp does not exclude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dermoscopy/trichoscopy of the scalp — comma hairs, corkscrew (coiled) hairs, Morse-code (barcode) hairs, zigzag hairs, broken hairs and black dots are rapid, non-invasive supportive clues and help target sampling;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atypical, recurrent, steroid-modified or epidemic settings, molecular identification (PCR/ITS sequencing) for rapid speciation, a bacterial swab if a kerion is superinfected, and skin biopsy with PAS staining reserved for diagnostic uncertainty; examine household contacts and check for asymptomatic carriage.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Tinea capitis is classified by the pattern of hair invasion and the clinical morphology, which reflect the causative organism, predict inflammation and scarring, and guide treatment. The principal forms are:</w:t>
      </w:r>
    </w:p>
    <w:p>
      <w:pPr>
        <w:spacing w:before="0" w:after="80"/>
      </w:pPr>
      <w:r>
        <w:rPr>
          <w:rFonts w:ascii="Calibri" w:hAnsi="Calibri"/>
          <w:b w:val="0"/>
          <w:i w:val="0"/>
          <w:color w:val="212121"/>
          <w:sz w:val="21"/>
        </w:rPr>
        <w:t>(1) Grey-patch (non-inflammatory, ectothrix) tinea capitis — one or more round, well-demarcated scaly patches with fine “grey” scaling and dull, lustreless hairs broken a few millimetres above the scalp; typically caused by Microsporum species (M. canis, M. audouinii), fluoresces green under Wood’s lamp, and is the classic epidemic “school” ringworm;</w:t>
      </w:r>
    </w:p>
    <w:p>
      <w:pPr>
        <w:spacing w:before="0" w:after="80"/>
      </w:pPr>
      <w:r>
        <w:rPr>
          <w:rFonts w:ascii="Calibri" w:hAnsi="Calibri"/>
          <w:b w:val="0"/>
          <w:i w:val="0"/>
          <w:color w:val="212121"/>
          <w:sz w:val="21"/>
        </w:rPr>
        <w:t>(2) Black-dot (non-inflammatory, endothrix) tinea capitis — hairs weakened by intra-shaft infection break flush with the scalp surface, leaving characteristic black dots within scaly patches of alopecia; caused by anthropophilic Trichophyton species (T. violaceum — dominant in India — and T. tonsurans), non-fluorescent, and prone to a chronic, low-grade course;</w:t>
      </w:r>
    </w:p>
    <w:p>
      <w:pPr>
        <w:spacing w:before="0" w:after="80"/>
      </w:pPr>
      <w:r>
        <w:rPr>
          <w:rFonts w:ascii="Calibri" w:hAnsi="Calibri"/>
          <w:b w:val="0"/>
          <w:i w:val="0"/>
          <w:color w:val="212121"/>
          <w:sz w:val="21"/>
        </w:rPr>
        <w:t>(3) Diffuse scaling / seborrhoeic and diffuse pustular types — subtle, widespread dandruff-like scaling with minimal hair loss, or scattered follicular pustules (agminate folliculitis); easily missed, a common source of the asymptomatic/low-symptom carrier state and of household spread;</w:t>
      </w:r>
    </w:p>
    <w:p>
      <w:pPr>
        <w:spacing w:before="0" w:after="80"/>
      </w:pPr>
      <w:r>
        <w:rPr>
          <w:rFonts w:ascii="Calibri" w:hAnsi="Calibri"/>
          <w:b w:val="0"/>
          <w:i w:val="0"/>
          <w:color w:val="212121"/>
          <w:sz w:val="21"/>
        </w:rPr>
        <w:t>(4) Kerion — an intensely inflammatory, boggy, tender, pustular plaque with matted hairs, crusting and purulent discharge, representing a delayed (cell-mediated) hypersensitivity response, often to zoophilic (M. canis, T. verrucosum/T. mentagrophytes) organisms; carries a real risk of permanent scarring alopecia; and</w:t>
      </w:r>
    </w:p>
    <w:p>
      <w:pPr>
        <w:spacing w:before="0" w:after="80"/>
      </w:pPr>
      <w:r>
        <w:rPr>
          <w:rFonts w:ascii="Calibri" w:hAnsi="Calibri"/>
          <w:b w:val="0"/>
          <w:i w:val="0"/>
          <w:color w:val="212121"/>
          <w:sz w:val="21"/>
        </w:rPr>
        <w:t>(5) Favus (tinea favosa) — a rare, chronic, severe form caused chiefly by T. schoenleinii, with yellow, cup-shaped crusts (scutula) around hair shafts, a characteristic mousy odour and progressive scarring (cicatricial) alopecia; alongside these, an asymptomatic carrier state (culture-positive, lesion-free scalp) is epidemiologically important as a reservoir.</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Dermatophyte follicle invasion: Keratinophilic dermatophytes — chiefly Trichophyton species (T. violaceum, dominant in India, and T. tonsurans as endothrix; plus T. mentagrophytes, T. verrucosum, T. schoenleinii) and Microsporum species (M. canis, M. audouinii as ectothrix) — secrete keratinases to invade the stratum corneum, follicle and hair shaft, producing endothrix (within-shaft) or ectothrix (surface) infection.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Anthropophilic (person-to-person) transmission and fomites: Human-adapted organisms such as T. violaceum and T. tonsurans spread directly between people and via shared combs, brushes, caps, helmets, pillows, towels, bedding and barber/salon clippers — the central route in crowded Indian households and schools.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Zoophilic (animal-to-human) transmission: Contact with infected cats, dogs (M. canis), cattle and other livestock (T. verrucosum) transmits dermatophytes that tend to provoke a brisk, inflammatory kerion response.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Host susceptibility: Prepubertal children are most vulnerable because their scalp sebum lacks the fungistatic medium-chain fatty acids of postpubertal sebum; immunosuppression (HIV, transplantation, systemic steroids, chemotherapy), diabetes and undernutrition raise susceptibility, chronicity and severity, especially in adults.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Overcrowding and low socioeconomic status: Household crowding, sharing of hair items, limited washing facilities and delayed care promote transmission, clustering among siblings/classmates, and asymptomatic carriage.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Warm, humid tropical climate: Heat, humidity and sweating favour dermatophyte growth and help make the disease perennial in much of India.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Geophilic (soil) exposure: Uncommonly, soil-dwelling dermatophytes (e.g., M. gypseum/Nannizzia) infect the scalp after direct soil contact, usually producing inflammatory lesions.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Prepubertal children (3–7 years)</w:t>
            </w:r>
          </w:p>
        </w:tc>
        <w:tc>
          <w:tcPr>
            <w:tcW w:type="dxa" w:w="4276"/>
            <w:vAlign w:val="top"/>
          </w:tcPr>
          <w:p>
            <w:pPr>
              <w:spacing w:after="60" w:line="259" w:lineRule="auto"/>
            </w:pPr>
            <w:r>
              <w:rPr>
                <w:rFonts w:ascii="Calibri" w:hAnsi="Calibri"/>
                <w:b w:val="0"/>
                <w:i w:val="0"/>
                <w:color w:val="212121"/>
                <w:sz w:val="19"/>
              </w:rPr>
              <w:t>Children are the primary hosts because their scalp sebum has not yet developed the fungistatic medium-chain fatty acids that protect the postpubertal scalp, and they have intense close contact and fomite sharing at home and school. This makes tinea capitis overwhelmingly a paediatric disease.</w:t>
            </w:r>
          </w:p>
          <w:p>
            <w:pPr>
              <w:spacing w:after="40" w:before="60" w:line="259" w:lineRule="auto"/>
            </w:pPr>
            <w:r>
              <w:rPr>
                <w:rFonts w:ascii="Calibri" w:hAnsi="Calibri"/>
                <w:b w:val="0"/>
                <w:i w:val="0"/>
                <w:color w:val="212121"/>
                <w:sz w:val="19"/>
              </w:rPr>
              <w:t>Tinea capitis predominantly affects children aged 3–14 years, peaking around 3–7 years; adults account for only about 3–11% of all cases.</w:t>
            </w:r>
          </w:p>
          <w:p>
            <w:pPr>
              <w:spacing w:after="40" w:line="252" w:lineRule="auto"/>
            </w:pPr>
            <w:hyperlink r:id="rId9">
              <w:r>
                <w:rPr>
                  <w:rFonts w:ascii="Calibri" w:hAnsi="Calibri" w:cs="Calibri"/>
                  <w:sz w:val="18"/>
                  <w:color w:val="1155CC"/>
                  <w:u w:val="single"/>
                </w:rPr>
                <w:t xml:space="preserve">mdpi.com — review of tinea capitis in adults (3–11% of cases)</w:t>
              </w:r>
            </w:hyperlink>
          </w:p>
          <w:p>
            <w:pPr>
              <w:spacing w:before="60" w:after="40"/>
            </w:pPr>
            <w:r>
              <w:rPr>
                <w:rFonts w:ascii="Calibri" w:hAnsi="Calibri"/>
                <w:b w:val="0"/>
                <w:i w:val="0"/>
                <w:color w:val="5A5A5A"/>
                <w:sz w:val="18"/>
              </w:rPr>
              <w:t>#children  #prepubertal  #sebumprotection  #scalpringworm</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elderly &amp; postmenopausal women</w:t>
            </w:r>
          </w:p>
        </w:tc>
        <w:tc>
          <w:tcPr>
            <w:tcW w:type="dxa" w:w="4276"/>
            <w:vAlign w:val="top"/>
          </w:tcPr>
          <w:p>
            <w:pPr>
              <w:spacing w:after="60" w:line="259" w:lineRule="auto"/>
            </w:pPr>
            <w:r>
              <w:rPr>
                <w:rFonts w:ascii="Calibri" w:hAnsi="Calibri"/>
                <w:b w:val="0"/>
                <w:i w:val="0"/>
                <w:color w:val="212121"/>
                <w:sz w:val="19"/>
              </w:rPr>
              <w:t>Adult tinea capitis is uncommon and usually signals reduced host defence — postmenopausal women have lower oestrogen, sebum and scalp acidity, while elderly and adult patients are often immunosuppressed; disease is then atypical and easily mistaken for seborrhoeic dermatitis.</w:t>
            </w:r>
          </w:p>
          <w:p>
            <w:pPr>
              <w:spacing w:after="40" w:before="60" w:line="259" w:lineRule="auto"/>
            </w:pPr>
            <w:r>
              <w:rPr>
                <w:rFonts w:ascii="Calibri" w:hAnsi="Calibri"/>
                <w:b w:val="0"/>
                <w:i w:val="0"/>
                <w:color w:val="212121"/>
                <w:sz w:val="19"/>
              </w:rPr>
              <w:t>In an adult series 80% of patients were immunocompromised (diabetes, corticosteroids, HIV, transplantation), and postmenopausal women are the group most often affected.</w:t>
            </w:r>
          </w:p>
          <w:p>
            <w:pPr>
              <w:spacing w:after="40" w:line="252" w:lineRule="auto"/>
            </w:pPr>
            <w:hyperlink r:id="rId9">
              <w:r>
                <w:rPr>
                  <w:rFonts w:ascii="Calibri" w:hAnsi="Calibri" w:cs="Calibri"/>
                  <w:sz w:val="18"/>
                  <w:color w:val="1155CC"/>
                  <w:u w:val="single"/>
                </w:rPr>
                <w:t xml:space="preserve">mdpi.com — adult tinea capitis (80% immunocompromised)</w:t>
              </w:r>
            </w:hyperlink>
          </w:p>
          <w:p>
            <w:pPr>
              <w:spacing w:before="60" w:after="40"/>
            </w:pPr>
            <w:r>
              <w:rPr>
                <w:rFonts w:ascii="Calibri" w:hAnsi="Calibri"/>
                <w:b w:val="0"/>
                <w:i w:val="0"/>
                <w:color w:val="5A5A5A"/>
                <w:sz w:val="18"/>
              </w:rPr>
              <w:t>#adults  #postmenopausal  #immunocompromised  #atypical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Boys (male children)</w:t>
            </w:r>
          </w:p>
        </w:tc>
        <w:tc>
          <w:tcPr>
            <w:tcW w:type="dxa" w:w="4276"/>
            <w:vAlign w:val="top"/>
          </w:tcPr>
          <w:p>
            <w:pPr>
              <w:spacing w:after="60" w:line="259" w:lineRule="auto"/>
            </w:pPr>
            <w:r>
              <w:rPr>
                <w:rFonts w:ascii="Calibri" w:hAnsi="Calibri"/>
                <w:b w:val="0"/>
                <w:i w:val="0"/>
                <w:color w:val="212121"/>
                <w:sz w:val="19"/>
              </w:rPr>
              <w:t>Among children, boys are affected more often than girls, reflecting shorter shared haircuts and barber exposure, closer rough contact and greater fomite sharing; the male preponderance reverses in adulthood, where postmenopausal women predominate.</w:t>
            </w:r>
          </w:p>
          <w:p>
            <w:pPr>
              <w:spacing w:after="40" w:before="60" w:line="259" w:lineRule="auto"/>
            </w:pPr>
            <w:r>
              <w:rPr>
                <w:rFonts w:ascii="Calibri" w:hAnsi="Calibri"/>
                <w:b w:val="0"/>
                <w:i w:val="0"/>
                <w:color w:val="212121"/>
                <w:sz w:val="19"/>
              </w:rPr>
              <w:t>In a Kolkata school survey the prevalence was significantly higher in boys (around 14%).</w:t>
            </w:r>
          </w:p>
          <w:p>
            <w:pPr>
              <w:spacing w:after="40" w:line="252" w:lineRule="auto"/>
            </w:pPr>
            <w:hyperlink r:id="rId10">
              <w:r>
                <w:rPr>
                  <w:rFonts w:ascii="Calibri" w:hAnsi="Calibri" w:cs="Calibri"/>
                  <w:sz w:val="18"/>
                  <w:color w:val="1155CC"/>
                  <w:u w:val="single"/>
                </w:rPr>
                <w:t xml:space="preserve">jnsbm.org — Kolkata schoolchildren (boys ~14%)</w:t>
              </w:r>
            </w:hyperlink>
          </w:p>
          <w:p>
            <w:pPr>
              <w:spacing w:before="60" w:after="40"/>
            </w:pPr>
            <w:r>
              <w:rPr>
                <w:rFonts w:ascii="Calibri" w:hAnsi="Calibri"/>
                <w:b w:val="0"/>
                <w:i w:val="0"/>
                <w:color w:val="5A5A5A"/>
                <w:sz w:val="18"/>
              </w:rPr>
              <w:t>#boys  #barber  #malechildren  #contactspread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overcrowded households</w:t>
            </w:r>
          </w:p>
        </w:tc>
        <w:tc>
          <w:tcPr>
            <w:tcW w:type="dxa" w:w="4276"/>
            <w:vAlign w:val="top"/>
          </w:tcPr>
          <w:p>
            <w:pPr>
              <w:spacing w:after="60" w:line="259" w:lineRule="auto"/>
            </w:pPr>
            <w:r>
              <w:rPr>
                <w:rFonts w:ascii="Calibri" w:hAnsi="Calibri"/>
                <w:b w:val="0"/>
                <w:i w:val="0"/>
                <w:color w:val="212121"/>
                <w:sz w:val="19"/>
              </w:rPr>
              <w:t>Overcrowding, shared combs, caps, towels and pillows, limited washing facilities and delayed care promote transmission and sibling/classmate clustering, and foster asymptomatic carriage that sustains reinfection — the classic setting of Indian tinea capitis.</w:t>
            </w:r>
          </w:p>
          <w:p>
            <w:pPr>
              <w:spacing w:after="40" w:before="60" w:line="259" w:lineRule="auto"/>
            </w:pPr>
            <w:r>
              <w:rPr>
                <w:rFonts w:ascii="Calibri" w:hAnsi="Calibri"/>
                <w:b w:val="0"/>
                <w:i w:val="0"/>
                <w:color w:val="212121"/>
                <w:sz w:val="19"/>
              </w:rPr>
              <w:t>In a North Indian paediatric series 74% of children were from lower-middle-income families, and 62% shared combs or hair accessories.</w:t>
            </w:r>
          </w:p>
          <w:p>
            <w:pPr>
              <w:spacing w:after="40" w:line="252" w:lineRule="auto"/>
            </w:pPr>
            <w:hyperlink r:id="rId11">
              <w:r>
                <w:rPr>
                  <w:rFonts w:ascii="Calibri" w:hAnsi="Calibri" w:cs="Calibri"/>
                  <w:sz w:val="18"/>
                  <w:color w:val="1155CC"/>
                  <w:u w:val="single"/>
                </w:rPr>
                <w:t xml:space="preserve">ijdvl.com — North India paediatric tinea capitis (SES &amp; sharing)</w:t>
              </w:r>
            </w:hyperlink>
          </w:p>
          <w:p>
            <w:pPr>
              <w:spacing w:before="60" w:after="40"/>
            </w:pPr>
            <w:r>
              <w:rPr>
                <w:rFonts w:ascii="Calibri" w:hAnsi="Calibri"/>
                <w:b w:val="0"/>
                <w:i w:val="0"/>
                <w:color w:val="5A5A5A"/>
                <w:sz w:val="18"/>
              </w:rPr>
              <w:t>#lowSES  #overcrowding  #sharedcombs  #householdspread</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 (T. violaceum endothrix belt)</w:t>
            </w:r>
          </w:p>
        </w:tc>
        <w:tc>
          <w:tcPr>
            <w:tcW w:type="dxa" w:w="4276"/>
            <w:vAlign w:val="top"/>
          </w:tcPr>
          <w:p>
            <w:pPr>
              <w:spacing w:after="60" w:line="259" w:lineRule="auto"/>
            </w:pPr>
            <w:r>
              <w:rPr>
                <w:rFonts w:ascii="Calibri" w:hAnsi="Calibri"/>
                <w:b w:val="0"/>
                <w:i w:val="0"/>
                <w:color w:val="212121"/>
                <w:sz w:val="19"/>
              </w:rPr>
              <w:t>India lies in the anthropophilic endothrix zone where Trichophyton violaceum dominates scalp ringworm; because this organism grows inside the hair shaft and does not fluoresce, Wood’s lamp is often negative and diagnosis rests on KOH, culture and trichoscopy.</w:t>
            </w:r>
          </w:p>
          <w:p>
            <w:pPr>
              <w:spacing w:after="40" w:before="60" w:line="259" w:lineRule="auto"/>
            </w:pPr>
            <w:r>
              <w:rPr>
                <w:rFonts w:ascii="Calibri" w:hAnsi="Calibri"/>
                <w:b w:val="0"/>
                <w:i w:val="0"/>
                <w:color w:val="212121"/>
                <w:sz w:val="19"/>
              </w:rPr>
              <w:t>In a North Indian study T. violaceum was isolated in 88.6% of culture-positive childhood tinea capitis, with a predominantly endothrix (black-dot/grey-patch) pattern.</w:t>
            </w:r>
          </w:p>
          <w:p>
            <w:pPr>
              <w:spacing w:after="40" w:line="252" w:lineRule="auto"/>
            </w:pPr>
            <w:hyperlink r:id="rId11">
              <w:r>
                <w:rPr>
                  <w:rFonts w:ascii="Calibri" w:hAnsi="Calibri" w:cs="Calibri"/>
                  <w:sz w:val="18"/>
                  <w:color w:val="1155CC"/>
                  <w:u w:val="single"/>
                </w:rPr>
                <w:t xml:space="preserve">ijdvl.com — T. violaceum 88.6% in North India</w:t>
              </w:r>
            </w:hyperlink>
          </w:p>
          <w:p>
            <w:pPr>
              <w:spacing w:before="60" w:after="40"/>
            </w:pPr>
            <w:r>
              <w:rPr>
                <w:rFonts w:ascii="Calibri" w:hAnsi="Calibri"/>
                <w:b w:val="0"/>
                <w:i w:val="0"/>
                <w:color w:val="5A5A5A"/>
                <w:sz w:val="18"/>
              </w:rPr>
              <w:t>#Tviolaceum  #endothrix  #nonfluorescent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 region</w:t>
            </w:r>
          </w:p>
        </w:tc>
        <w:tc>
          <w:tcPr>
            <w:tcW w:type="dxa" w:w="2160"/>
            <w:vAlign w:val="top"/>
          </w:tcPr>
          <w:p>
            <w:pPr>
              <w:spacing w:after="40" w:before="0" w:line="259" w:lineRule="auto"/>
            </w:pPr>
            <w:r>
              <w:rPr>
                <w:rFonts w:ascii="Calibri" w:hAnsi="Calibri"/>
                <w:b w:val="0"/>
                <w:i w:val="0"/>
                <w:color w:val="212121"/>
                <w:sz w:val="19"/>
              </w:rPr>
              <w:t>Hot, humid tropical India (rural &amp; urban slums)</w:t>
            </w:r>
          </w:p>
        </w:tc>
        <w:tc>
          <w:tcPr>
            <w:tcW w:type="dxa" w:w="4276"/>
            <w:vAlign w:val="top"/>
          </w:tcPr>
          <w:p>
            <w:pPr>
              <w:spacing w:after="60" w:line="259" w:lineRule="auto"/>
            </w:pPr>
            <w:r>
              <w:rPr>
                <w:rFonts w:ascii="Calibri" w:hAnsi="Calibri"/>
                <w:b w:val="0"/>
                <w:i w:val="0"/>
                <w:color w:val="212121"/>
                <w:sz w:val="19"/>
              </w:rPr>
              <w:t>Warm, humid conditions and sweating favour dermatophyte growth and make the disease perennial, while rural livestock contact and crowded urban slums each provide efficient transmission routes for zoophilic and anthropophilic organisms respectively.</w:t>
            </w:r>
          </w:p>
          <w:p>
            <w:pPr>
              <w:spacing w:after="40" w:before="60" w:line="259" w:lineRule="auto"/>
            </w:pPr>
            <w:r>
              <w:rPr>
                <w:rFonts w:ascii="Calibri" w:hAnsi="Calibri"/>
                <w:b w:val="0"/>
                <w:i w:val="0"/>
                <w:color w:val="212121"/>
                <w:sz w:val="19"/>
              </w:rPr>
              <w:t>A Kolkata school survey found tinea capitis in about 10% of schoolchildren; prevalence is highest in hot, humid, overcrowded, low-income settings.</w:t>
            </w:r>
          </w:p>
          <w:p>
            <w:pPr>
              <w:spacing w:after="40" w:line="252" w:lineRule="auto"/>
            </w:pPr>
            <w:hyperlink r:id="rId10">
              <w:r>
                <w:rPr>
                  <w:rFonts w:ascii="Calibri" w:hAnsi="Calibri" w:cs="Calibri"/>
                  <w:sz w:val="18"/>
                  <w:color w:val="1155CC"/>
                  <w:u w:val="single"/>
                </w:rPr>
                <w:t xml:space="preserve">jnsbm.org — ~10% of Kolkata schoolchildren</w:t>
              </w:r>
            </w:hyperlink>
          </w:p>
          <w:p>
            <w:pPr>
              <w:spacing w:before="60" w:after="40"/>
            </w:pPr>
            <w:r>
              <w:rPr>
                <w:rFonts w:ascii="Calibri" w:hAnsi="Calibri"/>
                <w:b w:val="0"/>
                <w:i w:val="0"/>
                <w:color w:val="5A5A5A"/>
                <w:sz w:val="18"/>
              </w:rPr>
              <w:t>#tropical  #humidity  #slums  #perennial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Shared hair items / fomites</w:t>
            </w:r>
          </w:p>
        </w:tc>
        <w:tc>
          <w:tcPr>
            <w:tcW w:type="dxa" w:w="2160"/>
            <w:vAlign w:val="top"/>
          </w:tcPr>
          <w:p>
            <w:pPr>
              <w:spacing w:after="40" w:before="0" w:line="259" w:lineRule="auto"/>
            </w:pPr>
            <w:r>
              <w:rPr>
                <w:rFonts w:ascii="Calibri" w:hAnsi="Calibri"/>
                <w:b w:val="0"/>
                <w:i w:val="0"/>
                <w:color w:val="212121"/>
                <w:sz w:val="19"/>
              </w:rPr>
              <w:t>Children sharing combs, caps, pillows, towels</w:t>
            </w:r>
          </w:p>
        </w:tc>
        <w:tc>
          <w:tcPr>
            <w:tcW w:type="dxa" w:w="4276"/>
            <w:vAlign w:val="top"/>
          </w:tcPr>
          <w:p>
            <w:pPr>
              <w:spacing w:after="60" w:line="259" w:lineRule="auto"/>
            </w:pPr>
            <w:r>
              <w:rPr>
                <w:rFonts w:ascii="Calibri" w:hAnsi="Calibri"/>
                <w:b w:val="0"/>
                <w:i w:val="0"/>
                <w:color w:val="212121"/>
                <w:sz w:val="19"/>
              </w:rPr>
              <w:t>Dermatophyte arthrospores survive for months on combs, brushes, caps, helmets, pillows and bedding, so sharing these items readily transfers infection between siblings and classmates and drives the household clustering typical of tinea capitis.</w:t>
            </w:r>
          </w:p>
          <w:p>
            <w:pPr>
              <w:spacing w:after="40" w:before="60" w:line="259" w:lineRule="auto"/>
            </w:pPr>
            <w:r>
              <w:rPr>
                <w:rFonts w:ascii="Calibri" w:hAnsi="Calibri"/>
                <w:b w:val="0"/>
                <w:i w:val="0"/>
                <w:color w:val="212121"/>
                <w:sz w:val="19"/>
              </w:rPr>
              <w:t>62% of children in a North Indian series shared combs or hair accessories, and infected hairs can shed viable spores for many months.</w:t>
            </w:r>
          </w:p>
          <w:p>
            <w:pPr>
              <w:spacing w:after="40" w:line="252" w:lineRule="auto"/>
            </w:pPr>
            <w:hyperlink r:id="rId11">
              <w:r>
                <w:rPr>
                  <w:rFonts w:ascii="Calibri" w:hAnsi="Calibri" w:cs="Calibri"/>
                  <w:sz w:val="18"/>
                  <w:color w:val="1155CC"/>
                  <w:u w:val="single"/>
                </w:rPr>
                <w:t xml:space="preserve">ijdvl.com — shared combs in 62%</w:t>
              </w:r>
            </w:hyperlink>
          </w:p>
          <w:p>
            <w:pPr>
              <w:spacing w:before="60" w:after="40"/>
            </w:pPr>
            <w:r>
              <w:rPr>
                <w:rFonts w:ascii="Calibri" w:hAnsi="Calibri"/>
                <w:b w:val="0"/>
                <w:i w:val="0"/>
                <w:color w:val="5A5A5A"/>
                <w:sz w:val="18"/>
              </w:rPr>
              <w:t>#fomites  #sharedcombs  #sporeshedding  #siblingspread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Barber / salon exposure</w:t>
            </w:r>
          </w:p>
        </w:tc>
        <w:tc>
          <w:tcPr>
            <w:tcW w:type="dxa" w:w="2160"/>
            <w:vAlign w:val="top"/>
          </w:tcPr>
          <w:p>
            <w:pPr>
              <w:spacing w:after="40" w:before="0" w:line="259" w:lineRule="auto"/>
            </w:pPr>
            <w:r>
              <w:rPr>
                <w:rFonts w:ascii="Calibri" w:hAnsi="Calibri"/>
                <w:b w:val="0"/>
                <w:i w:val="0"/>
                <w:color w:val="212121"/>
                <w:sz w:val="19"/>
              </w:rPr>
              <w:t>Children &amp; men using shared barber tools</w:t>
            </w:r>
          </w:p>
        </w:tc>
        <w:tc>
          <w:tcPr>
            <w:tcW w:type="dxa" w:w="4276"/>
            <w:vAlign w:val="top"/>
          </w:tcPr>
          <w:p>
            <w:pPr>
              <w:spacing w:after="60" w:line="259" w:lineRule="auto"/>
            </w:pPr>
            <w:r>
              <w:rPr>
                <w:rFonts w:ascii="Calibri" w:hAnsi="Calibri"/>
                <w:b w:val="0"/>
                <w:i w:val="0"/>
                <w:color w:val="212121"/>
                <w:sz w:val="19"/>
              </w:rPr>
              <w:t>Frequent haircuts and head-shaving with inadequately disinfected clippers, combs and razors at barber shops transmit anthropophilic dermatophytes and can seed multiple customers, a recognised route for scalp and beard-area ringworm.</w:t>
            </w:r>
          </w:p>
          <w:p>
            <w:pPr>
              <w:spacing w:after="40" w:before="60" w:line="259" w:lineRule="auto"/>
            </w:pPr>
            <w:r>
              <w:rPr>
                <w:rFonts w:ascii="Calibri" w:hAnsi="Calibri"/>
                <w:b w:val="0"/>
                <w:i w:val="0"/>
                <w:color w:val="212121"/>
                <w:sz w:val="19"/>
              </w:rPr>
              <w:t>Sharing of barber/hair tools and household hair items is an established transmission route for anthropophilic tinea capitis.</w:t>
            </w:r>
          </w:p>
          <w:p>
            <w:pPr>
              <w:spacing w:after="40" w:line="252" w:lineRule="auto"/>
            </w:pPr>
            <w:hyperlink r:id="rId12">
              <w:r>
                <w:rPr>
                  <w:rFonts w:ascii="Calibri" w:hAnsi="Calibri" w:cs="Calibri"/>
                  <w:sz w:val="18"/>
                  <w:color w:val="1155CC"/>
                  <w:u w:val="single"/>
                </w:rPr>
                <w:t xml:space="preserve">dermnetnz.org — fomite/contact transmission</w:t>
              </w:r>
            </w:hyperlink>
          </w:p>
          <w:p>
            <w:pPr>
              <w:spacing w:before="60" w:after="40"/>
            </w:pPr>
            <w:r>
              <w:rPr>
                <w:rFonts w:ascii="Calibri" w:hAnsi="Calibri"/>
                <w:b w:val="0"/>
                <w:i w:val="0"/>
                <w:color w:val="5A5A5A"/>
                <w:sz w:val="18"/>
              </w:rPr>
              <w:t>#barber  #clippers  #salonhygiene  #anthropophilic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Contact sports</w:t>
            </w:r>
          </w:p>
        </w:tc>
        <w:tc>
          <w:tcPr>
            <w:tcW w:type="dxa" w:w="2160"/>
            <w:vAlign w:val="top"/>
          </w:tcPr>
          <w:p>
            <w:pPr>
              <w:spacing w:after="40" w:before="0" w:line="259" w:lineRule="auto"/>
            </w:pPr>
            <w:r>
              <w:rPr>
                <w:rFonts w:ascii="Calibri" w:hAnsi="Calibri"/>
                <w:b w:val="0"/>
                <w:i w:val="0"/>
                <w:color w:val="212121"/>
                <w:sz w:val="19"/>
              </w:rPr>
              <w:t>Wrestlers &amp; close-contact athletes</w:t>
            </w:r>
          </w:p>
        </w:tc>
        <w:tc>
          <w:tcPr>
            <w:tcW w:type="dxa" w:w="4276"/>
            <w:vAlign w:val="top"/>
          </w:tcPr>
          <w:p>
            <w:pPr>
              <w:spacing w:after="60" w:line="259" w:lineRule="auto"/>
            </w:pPr>
            <w:r>
              <w:rPr>
                <w:rFonts w:ascii="Calibri" w:hAnsi="Calibri"/>
                <w:b w:val="0"/>
                <w:i w:val="0"/>
                <w:color w:val="212121"/>
                <w:sz w:val="19"/>
              </w:rPr>
              <w:t>Skin-to-skin contact and shared mats, helmets and headgear in wrestling and other contact sports transmit dermatophytes (tinea capitis/corporis “gladiatorum”), extending risk into adolescents and young adults who would otherwise be relatively protected.</w:t>
            </w:r>
          </w:p>
          <w:p>
            <w:pPr>
              <w:spacing w:after="40" w:before="60" w:line="259" w:lineRule="auto"/>
            </w:pPr>
            <w:r>
              <w:rPr>
                <w:rFonts w:ascii="Calibri" w:hAnsi="Calibri"/>
                <w:b w:val="0"/>
                <w:i w:val="0"/>
                <w:color w:val="212121"/>
                <w:sz w:val="19"/>
              </w:rPr>
              <w:t>Contact sport is a recognised risk factor for dermatophyte transmission, including scalp and body ringworm.</w:t>
            </w:r>
          </w:p>
          <w:p>
            <w:pPr>
              <w:spacing w:after="40" w:line="252" w:lineRule="auto"/>
            </w:pPr>
            <w:hyperlink r:id="rId12">
              <w:r>
                <w:rPr>
                  <w:rFonts w:ascii="Calibri" w:hAnsi="Calibri" w:cs="Calibri"/>
                  <w:sz w:val="18"/>
                  <w:color w:val="1155CC"/>
                  <w:u w:val="single"/>
                </w:rPr>
                <w:t xml:space="preserve">dermnetnz.org — contact sport risk factor</w:t>
              </w:r>
            </w:hyperlink>
          </w:p>
          <w:p>
            <w:pPr>
              <w:spacing w:before="60" w:after="40"/>
            </w:pPr>
            <w:r>
              <w:rPr>
                <w:rFonts w:ascii="Calibri" w:hAnsi="Calibri"/>
                <w:b w:val="0"/>
                <w:i w:val="0"/>
                <w:color w:val="5A5A5A"/>
                <w:sz w:val="18"/>
              </w:rPr>
              <w:t>#wrestling  #gladiatorum  #sharedmats  #contactsport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Animal contact</w:t>
            </w:r>
          </w:p>
        </w:tc>
        <w:tc>
          <w:tcPr>
            <w:tcW w:type="dxa" w:w="2160"/>
            <w:vAlign w:val="top"/>
          </w:tcPr>
          <w:p>
            <w:pPr>
              <w:spacing w:after="40" w:before="0" w:line="259" w:lineRule="auto"/>
            </w:pPr>
            <w:r>
              <w:rPr>
                <w:rFonts w:ascii="Calibri" w:hAnsi="Calibri"/>
                <w:b w:val="0"/>
                <w:i w:val="0"/>
                <w:color w:val="212121"/>
                <w:sz w:val="19"/>
              </w:rPr>
              <w:t>Children with pet or cattle contact</w:t>
            </w:r>
          </w:p>
        </w:tc>
        <w:tc>
          <w:tcPr>
            <w:tcW w:type="dxa" w:w="4276"/>
            <w:vAlign w:val="top"/>
          </w:tcPr>
          <w:p>
            <w:pPr>
              <w:spacing w:after="60" w:line="259" w:lineRule="auto"/>
            </w:pPr>
            <w:r>
              <w:rPr>
                <w:rFonts w:ascii="Calibri" w:hAnsi="Calibri"/>
                <w:b w:val="0"/>
                <w:i w:val="0"/>
                <w:color w:val="212121"/>
                <w:sz w:val="19"/>
              </w:rPr>
              <w:t>Contact with infected cats, dogs (Microsporum canis), cattle and other livestock transmits zoophilic dermatophytes, which typically provoke a brisk, inflammatory kerion; this route is common in rural and pet-owning households.</w:t>
            </w:r>
          </w:p>
          <w:p>
            <w:pPr>
              <w:spacing w:after="40" w:before="60" w:line="259" w:lineRule="auto"/>
            </w:pPr>
            <w:r>
              <w:rPr>
                <w:rFonts w:ascii="Calibri" w:hAnsi="Calibri"/>
                <w:b w:val="0"/>
                <w:i w:val="0"/>
                <w:color w:val="212121"/>
                <w:sz w:val="19"/>
              </w:rPr>
              <w:t>14% of children in a North Indian series reported animal/pet contact; zoophilic infection favours inflammatory kerion.</w:t>
            </w:r>
          </w:p>
          <w:p>
            <w:pPr>
              <w:spacing w:after="40" w:line="252" w:lineRule="auto"/>
            </w:pPr>
            <w:hyperlink r:id="rId11">
              <w:r>
                <w:rPr>
                  <w:rFonts w:ascii="Calibri" w:hAnsi="Calibri" w:cs="Calibri"/>
                  <w:sz w:val="18"/>
                  <w:color w:val="1155CC"/>
                  <w:u w:val="single"/>
                </w:rPr>
                <w:t xml:space="preserve">ijdvl.com — animal contact in 14%</w:t>
              </w:r>
            </w:hyperlink>
          </w:p>
          <w:p>
            <w:pPr>
              <w:spacing w:before="60" w:after="40"/>
            </w:pPr>
            <w:r>
              <w:rPr>
                <w:rFonts w:ascii="Calibri" w:hAnsi="Calibri"/>
                <w:b w:val="0"/>
                <w:i w:val="0"/>
                <w:color w:val="5A5A5A"/>
                <w:sz w:val="18"/>
              </w:rPr>
              <w:t>#zoophilic  #Mcanis  #petcontact  #kerion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Undernutrition / micronutrient deficiency</w:t>
            </w:r>
          </w:p>
        </w:tc>
        <w:tc>
          <w:tcPr>
            <w:tcW w:type="dxa" w:w="2160"/>
            <w:vAlign w:val="top"/>
          </w:tcPr>
          <w:p>
            <w:pPr>
              <w:spacing w:after="40" w:before="0" w:line="259" w:lineRule="auto"/>
            </w:pPr>
            <w:r>
              <w:rPr>
                <w:rFonts w:ascii="Calibri" w:hAnsi="Calibri"/>
                <w:b w:val="0"/>
                <w:i w:val="0"/>
                <w:color w:val="212121"/>
                <w:sz w:val="19"/>
              </w:rPr>
              <w:t>Malnourished children</w:t>
            </w:r>
          </w:p>
        </w:tc>
        <w:tc>
          <w:tcPr>
            <w:tcW w:type="dxa" w:w="4276"/>
            <w:vAlign w:val="top"/>
          </w:tcPr>
          <w:p>
            <w:pPr>
              <w:spacing w:after="60" w:line="259" w:lineRule="auto"/>
            </w:pPr>
            <w:r>
              <w:rPr>
                <w:rFonts w:ascii="Calibri" w:hAnsi="Calibri"/>
                <w:b w:val="0"/>
                <w:i w:val="0"/>
                <w:color w:val="212121"/>
                <w:sz w:val="19"/>
              </w:rPr>
              <w:t>Protein-energy undernutrition and deficiencies of iron, zinc and vitamins impair cell-mediated immunity and skin-barrier defence, which can favour more extensive or persistent scalp infection; this is a general clinical association rather than a tinea-specific dietary cause.</w:t>
            </w:r>
          </w:p>
          <w:p>
            <w:pPr>
              <w:spacing w:before="60" w:after="40"/>
            </w:pPr>
            <w:r>
              <w:rPr>
                <w:rFonts w:ascii="Calibri" w:hAnsi="Calibri"/>
                <w:b w:val="0"/>
                <w:i w:val="0"/>
                <w:color w:val="5A5A5A"/>
                <w:sz w:val="18"/>
              </w:rPr>
              <w:t>#malnutrition  #immunity  #zinc  #childhealth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 / diabetes (adults)</w:t>
            </w:r>
          </w:p>
        </w:tc>
        <w:tc>
          <w:tcPr>
            <w:tcW w:type="dxa" w:w="2160"/>
            <w:vAlign w:val="top"/>
          </w:tcPr>
          <w:p>
            <w:pPr>
              <w:spacing w:after="40" w:before="0" w:line="259" w:lineRule="auto"/>
            </w:pPr>
            <w:r>
              <w:rPr>
                <w:rFonts w:ascii="Calibri" w:hAnsi="Calibri"/>
                <w:b w:val="0"/>
                <w:i w:val="0"/>
                <w:color w:val="212121"/>
                <w:sz w:val="19"/>
              </w:rPr>
              <w:t>Adults with metabolic disease</w:t>
            </w:r>
          </w:p>
        </w:tc>
        <w:tc>
          <w:tcPr>
            <w:tcW w:type="dxa" w:w="4276"/>
            <w:vAlign w:val="top"/>
          </w:tcPr>
          <w:p>
            <w:pPr>
              <w:spacing w:after="60" w:line="259" w:lineRule="auto"/>
            </w:pPr>
            <w:r>
              <w:rPr>
                <w:rFonts w:ascii="Calibri" w:hAnsi="Calibri"/>
                <w:b w:val="0"/>
                <w:i w:val="0"/>
                <w:color w:val="212121"/>
                <w:sz w:val="19"/>
              </w:rPr>
              <w:t>In the uncommon adult cases, obesity and diabetes contribute to the immunocompromised state that permits scalp dermatophyte infection, and poor glycaemic control favours chronic, atypical disease and secondary infection.</w:t>
            </w:r>
          </w:p>
          <w:p>
            <w:pPr>
              <w:spacing w:after="40" w:before="60" w:line="259" w:lineRule="auto"/>
            </w:pPr>
            <w:r>
              <w:rPr>
                <w:rFonts w:ascii="Calibri" w:hAnsi="Calibri"/>
                <w:b w:val="0"/>
                <w:i w:val="0"/>
                <w:color w:val="212121"/>
                <w:sz w:val="19"/>
              </w:rPr>
              <w:t>In an adult tinea capitis cohort 22.4% had diabetes mellitus, part of a broadly immunocompromised adult population.</w:t>
            </w:r>
          </w:p>
          <w:p>
            <w:pPr>
              <w:spacing w:after="40" w:line="252" w:lineRule="auto"/>
            </w:pPr>
            <w:hyperlink r:id="rId9">
              <w:r>
                <w:rPr>
                  <w:rFonts w:ascii="Calibri" w:hAnsi="Calibri" w:cs="Calibri"/>
                  <w:sz w:val="18"/>
                  <w:color w:val="1155CC"/>
                  <w:u w:val="single"/>
                </w:rPr>
                <w:t xml:space="preserve">mdpi.com — diabetes in 22.4% of adult cases</w:t>
              </w:r>
            </w:hyperlink>
          </w:p>
          <w:p>
            <w:pPr>
              <w:spacing w:before="60" w:after="40"/>
            </w:pPr>
            <w:r>
              <w:rPr>
                <w:rFonts w:ascii="Calibri" w:hAnsi="Calibri"/>
                <w:b w:val="0"/>
                <w:i w:val="0"/>
                <w:color w:val="5A5A5A"/>
                <w:sz w:val="18"/>
              </w:rPr>
              <w:t>#diabetes  #obesity  #adultTC  #immunosuppression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household contact</w:t>
            </w:r>
          </w:p>
        </w:tc>
        <w:tc>
          <w:tcPr>
            <w:tcW w:type="dxa" w:w="2160"/>
            <w:vAlign w:val="top"/>
          </w:tcPr>
          <w:p>
            <w:pPr>
              <w:spacing w:after="40" w:before="0" w:line="259" w:lineRule="auto"/>
            </w:pPr>
            <w:r>
              <w:rPr>
                <w:rFonts w:ascii="Calibri" w:hAnsi="Calibri"/>
                <w:b w:val="0"/>
                <w:i w:val="0"/>
                <w:color w:val="212121"/>
                <w:sz w:val="19"/>
              </w:rPr>
              <w:t>Siblings &amp; children of affected contacts</w:t>
            </w:r>
          </w:p>
        </w:tc>
        <w:tc>
          <w:tcPr>
            <w:tcW w:type="dxa" w:w="4276"/>
            <w:vAlign w:val="top"/>
          </w:tcPr>
          <w:p>
            <w:pPr>
              <w:spacing w:after="60" w:line="259" w:lineRule="auto"/>
            </w:pPr>
            <w:r>
              <w:rPr>
                <w:rFonts w:ascii="Calibri" w:hAnsi="Calibri"/>
                <w:b w:val="0"/>
                <w:i w:val="0"/>
                <w:color w:val="212121"/>
                <w:sz w:val="19"/>
              </w:rPr>
              <w:t>Anthropophilic dermatophytes spread efficiently within families through shared items and close contact, so an affected sibling, parent or asymptomatic carrier in the home markedly raises a child’s risk and drives relapse if contacts are untreated.</w:t>
            </w:r>
          </w:p>
          <w:p>
            <w:pPr>
              <w:spacing w:after="40" w:before="60" w:line="259" w:lineRule="auto"/>
            </w:pPr>
            <w:r>
              <w:rPr>
                <w:rFonts w:ascii="Calibri" w:hAnsi="Calibri"/>
                <w:b w:val="0"/>
                <w:i w:val="0"/>
                <w:color w:val="212121"/>
                <w:sz w:val="19"/>
              </w:rPr>
              <w:t>Asymptomatic carriers were found in 32% of studied households, and adult contacts made up about 33% of carriers — a hidden reservoir sustaining reinfection.</w:t>
            </w:r>
          </w:p>
          <w:p>
            <w:pPr>
              <w:spacing w:after="40" w:line="252" w:lineRule="auto"/>
            </w:pPr>
            <w:hyperlink r:id="rId9">
              <w:r>
                <w:rPr>
                  <w:rFonts w:ascii="Calibri" w:hAnsi="Calibri" w:cs="Calibri"/>
                  <w:sz w:val="18"/>
                  <w:color w:val="1155CC"/>
                  <w:u w:val="single"/>
                </w:rPr>
                <w:t xml:space="preserve">mdpi.com — carriers in 32% of households</w:t>
              </w:r>
            </w:hyperlink>
          </w:p>
          <w:p>
            <w:pPr>
              <w:spacing w:before="60" w:after="40"/>
            </w:pPr>
            <w:r>
              <w:rPr>
                <w:rFonts w:ascii="Calibri" w:hAnsi="Calibri"/>
                <w:b w:val="0"/>
                <w:i w:val="0"/>
                <w:color w:val="5A5A5A"/>
                <w:sz w:val="18"/>
              </w:rPr>
              <w:t>#householdcontacts  #carrierstate  #siblingclusters  #reinfection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Inherited susceptibility / atopy</w:t>
            </w:r>
          </w:p>
        </w:tc>
        <w:tc>
          <w:tcPr>
            <w:tcW w:type="dxa" w:w="2160"/>
            <w:vAlign w:val="top"/>
          </w:tcPr>
          <w:p>
            <w:pPr>
              <w:spacing w:after="40" w:before="0" w:line="259" w:lineRule="auto"/>
            </w:pPr>
            <w:r>
              <w:rPr>
                <w:rFonts w:ascii="Calibri" w:hAnsi="Calibri"/>
                <w:b w:val="0"/>
                <w:i w:val="0"/>
                <w:color w:val="212121"/>
                <w:sz w:val="19"/>
              </w:rPr>
              <w:t>Atopic &amp; susceptible children</w:t>
            </w:r>
          </w:p>
        </w:tc>
        <w:tc>
          <w:tcPr>
            <w:tcW w:type="dxa" w:w="4276"/>
            <w:vAlign w:val="top"/>
          </w:tcPr>
          <w:p>
            <w:pPr>
              <w:spacing w:after="60" w:line="259" w:lineRule="auto"/>
            </w:pPr>
            <w:r>
              <w:rPr>
                <w:rFonts w:ascii="Calibri" w:hAnsi="Calibri"/>
                <w:b w:val="0"/>
                <w:i w:val="0"/>
                <w:color w:val="212121"/>
                <w:sz w:val="19"/>
              </w:rPr>
              <w:t>A subset of children carry an impaired skin-barrier or weak cell-mediated antifungal response (often atopy-associated), predisposing to more chronic or recurrent dermatophyte infection and to the carrier state despite treatment of obvious cases.</w:t>
            </w:r>
          </w:p>
          <w:p>
            <w:pPr>
              <w:spacing w:after="40" w:before="60" w:line="259" w:lineRule="auto"/>
            </w:pPr>
            <w:r>
              <w:rPr>
                <w:rFonts w:ascii="Calibri" w:hAnsi="Calibri"/>
                <w:b w:val="0"/>
                <w:i w:val="0"/>
                <w:color w:val="212121"/>
                <w:sz w:val="19"/>
              </w:rPr>
              <w:t>Impaired cell-mediated immunity and atopy are recognised host factors for chronic and recurrent dermatophytosis.</w:t>
            </w:r>
          </w:p>
          <w:p>
            <w:pPr>
              <w:spacing w:after="40" w:line="252" w:lineRule="auto"/>
            </w:pPr>
            <w:hyperlink r:id="rId13">
              <w:r>
                <w:rPr>
                  <w:rFonts w:ascii="Calibri" w:hAnsi="Calibri" w:cs="Calibri"/>
                  <w:sz w:val="18"/>
                  <w:color w:val="1155CC"/>
                  <w:u w:val="single"/>
                </w:rPr>
                <w:t xml:space="preserve">ncbi.nlm.nih.gov — StatPearls: Tinea Capitis (host factors)</w:t>
              </w:r>
            </w:hyperlink>
          </w:p>
          <w:p>
            <w:pPr>
              <w:spacing w:before="60" w:after="40"/>
            </w:pPr>
            <w:r>
              <w:rPr>
                <w:rFonts w:ascii="Calibri" w:hAnsi="Calibri"/>
                <w:b w:val="0"/>
                <w:i w:val="0"/>
                <w:color w:val="5A5A5A"/>
                <w:sz w:val="18"/>
              </w:rPr>
              <w:t>#atopy  #geneticsusceptibility  #chronic  #barrier</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Immunosuppression / HIV</w:t>
            </w:r>
          </w:p>
        </w:tc>
        <w:tc>
          <w:tcPr>
            <w:tcW w:type="dxa" w:w="2160"/>
            <w:vAlign w:val="top"/>
          </w:tcPr>
          <w:p>
            <w:pPr>
              <w:spacing w:after="40" w:before="0" w:line="259" w:lineRule="auto"/>
            </w:pPr>
            <w:r>
              <w:rPr>
                <w:rFonts w:ascii="Calibri" w:hAnsi="Calibri"/>
                <w:b w:val="0"/>
                <w:i w:val="0"/>
                <w:color w:val="212121"/>
                <w:sz w:val="19"/>
              </w:rPr>
              <w:t>Immunocompromised patients</w:t>
            </w:r>
          </w:p>
        </w:tc>
        <w:tc>
          <w:tcPr>
            <w:tcW w:type="dxa" w:w="4276"/>
            <w:vAlign w:val="top"/>
          </w:tcPr>
          <w:p>
            <w:pPr>
              <w:spacing w:after="60" w:line="259" w:lineRule="auto"/>
            </w:pPr>
            <w:r>
              <w:rPr>
                <w:rFonts w:ascii="Calibri" w:hAnsi="Calibri"/>
                <w:b w:val="0"/>
                <w:i w:val="0"/>
                <w:color w:val="212121"/>
                <w:sz w:val="19"/>
              </w:rPr>
              <w:t>HIV, transplantation, chemotherapy and systemic corticosteroids blunt cell-mediated immunity, allowing tinea capitis to occur (and persist) in adults and to present atypically, extensively and resistant to treatment.</w:t>
            </w:r>
          </w:p>
          <w:p>
            <w:pPr>
              <w:spacing w:after="40" w:before="60" w:line="259" w:lineRule="auto"/>
            </w:pPr>
            <w:r>
              <w:rPr>
                <w:rFonts w:ascii="Calibri" w:hAnsi="Calibri"/>
                <w:b w:val="0"/>
                <w:i w:val="0"/>
                <w:color w:val="212121"/>
                <w:sz w:val="19"/>
              </w:rPr>
              <w:t>80% of patients in one adult tinea capitis series were immunocompromised (HIV, transplant, steroids, diabetes).</w:t>
            </w:r>
          </w:p>
          <w:p>
            <w:pPr>
              <w:spacing w:after="40" w:line="252" w:lineRule="auto"/>
            </w:pPr>
            <w:hyperlink r:id="rId9">
              <w:r>
                <w:rPr>
                  <w:rFonts w:ascii="Calibri" w:hAnsi="Calibri" w:cs="Calibri"/>
                  <w:sz w:val="18"/>
                  <w:color w:val="1155CC"/>
                  <w:u w:val="single"/>
                </w:rPr>
                <w:t xml:space="preserve">mdpi.com — 80% immunocompromised in adults</w:t>
              </w:r>
            </w:hyperlink>
          </w:p>
          <w:p>
            <w:pPr>
              <w:spacing w:before="60" w:after="40"/>
            </w:pPr>
            <w:r>
              <w:rPr>
                <w:rFonts w:ascii="Calibri" w:hAnsi="Calibri"/>
                <w:b w:val="0"/>
                <w:i w:val="0"/>
                <w:color w:val="5A5A5A"/>
                <w:sz w:val="18"/>
              </w:rPr>
              <w:t>#HIV  #immunosuppression  #transplant  #atypical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Concurrent tinea corporis / faciei</w:t>
            </w:r>
          </w:p>
        </w:tc>
        <w:tc>
          <w:tcPr>
            <w:tcW w:type="dxa" w:w="2160"/>
            <w:vAlign w:val="top"/>
          </w:tcPr>
          <w:p>
            <w:pPr>
              <w:spacing w:after="40" w:before="0" w:line="259" w:lineRule="auto"/>
            </w:pPr>
            <w:r>
              <w:rPr>
                <w:rFonts w:ascii="Calibri" w:hAnsi="Calibri"/>
                <w:b w:val="0"/>
                <w:i w:val="0"/>
                <w:color w:val="212121"/>
                <w:sz w:val="19"/>
              </w:rPr>
              <w:t>Children with body/face ringworm</w:t>
            </w:r>
          </w:p>
        </w:tc>
        <w:tc>
          <w:tcPr>
            <w:tcW w:type="dxa" w:w="4276"/>
            <w:vAlign w:val="top"/>
          </w:tcPr>
          <w:p>
            <w:pPr>
              <w:spacing w:after="60" w:line="259" w:lineRule="auto"/>
            </w:pPr>
            <w:r>
              <w:rPr>
                <w:rFonts w:ascii="Calibri" w:hAnsi="Calibri"/>
                <w:b w:val="0"/>
                <w:i w:val="0"/>
                <w:color w:val="212121"/>
                <w:sz w:val="19"/>
              </w:rPr>
              <w:t>The same dermatophyte readily spreads by autoinoculation between the scalp, face and body, so concurrent tinea corporis or faciei is common; all affected sites (and contacts) must be treated together to prevent relapse, and untreated scalp disease can re-seed the skin.</w:t>
            </w:r>
          </w:p>
          <w:p>
            <w:pPr>
              <w:spacing w:after="40" w:before="60" w:line="259" w:lineRule="auto"/>
            </w:pPr>
            <w:r>
              <w:rPr>
                <w:rFonts w:ascii="Calibri" w:hAnsi="Calibri"/>
                <w:b w:val="0"/>
                <w:i w:val="0"/>
                <w:color w:val="212121"/>
                <w:sz w:val="19"/>
              </w:rPr>
              <w:t>Scalp infection can shed spores for many months and act as a persistent reservoir for skin and household reinfection.</w:t>
            </w:r>
          </w:p>
          <w:p>
            <w:pPr>
              <w:spacing w:after="40" w:line="252" w:lineRule="auto"/>
            </w:pPr>
            <w:hyperlink r:id="rId12">
              <w:r>
                <w:rPr>
                  <w:rFonts w:ascii="Calibri" w:hAnsi="Calibri" w:cs="Calibri"/>
                  <w:sz w:val="18"/>
                  <w:color w:val="1155CC"/>
                  <w:u w:val="single"/>
                </w:rPr>
                <w:t xml:space="preserve">dermnetnz.org — scalp reservoir &amp; spread</w:t>
              </w:r>
            </w:hyperlink>
          </w:p>
          <w:p>
            <w:pPr>
              <w:spacing w:before="60" w:after="40"/>
            </w:pPr>
            <w:r>
              <w:rPr>
                <w:rFonts w:ascii="Calibri" w:hAnsi="Calibri"/>
                <w:b w:val="0"/>
                <w:i w:val="0"/>
                <w:color w:val="5A5A5A"/>
                <w:sz w:val="18"/>
              </w:rPr>
              <w:t>#tineacorporis  #autoinoculation  #reservoir  #relapse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Activity itself is healthy, but close-contact sports (especially wrestling) and shared mats, helmets and headgear transmit dermatophytes (tinea capitis/corporis gladiatorum), extending risk into adolescents and young adults.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dietary cause; protein-energy undernutrition and micronutrient (iron, zinc, vitamin) deficiency weaken antifungal immunity in children, and obesity/diabetes contribute to the immunocompromised state that permits adult disease.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link; shared beds, pillows and bedding in crowded homes are an important fomite route, and the itch of inflammatory disease can disturb a child’s sleep.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role in children; in adults, smoking-related immune and vascular impairment and passive smoke exposure may marginally affect susceptibility and healing, but this is not a driver of scalp ringworm.</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role; heavy alcohol use impairs immunity and worsens diabetes and nutrition, which can predispose the uncommon adult patient to dermatophyte infection.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a cause, but visible hair loss, scaling and kerion can cause embarrassment, teasing/bullying, low self-esteem and social withdrawal in children, and reduced adherence in adults; permanent scarring alopecia has lasting psychological impact.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Scalp hygiene matters: infrequent hair washing, shared bathing water and damp shared towels favour spore persistence and spread, while regular washing with antifungal shampoo reduces spore shedding and transmission.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known association between caffeine intake and tinea capitis.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dominant modifiable factor: sharing of combs, brushes, caps, helmets, pillows, towels and barber tools, infrequent hair washing and overcrowding drive transmission; not sharing hair items, decontaminating fomites and using antifungal shampoo prevent spread and relapse.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Overcrowding and low socioeconomic status, shared fomites, animal (M. canis/cattle) and barber contact, contact sport, prepubertal age, immunosuppression, diabetes and undernutrition all provoke, spread and perpetuate scalp ringworm; asymptomatic carriers sustain it.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Sharing of combs, caps, towels &amp; pillows</w:t>
            </w:r>
          </w:p>
        </w:tc>
        <w:tc>
          <w:tcPr>
            <w:tcW w:type="dxa" w:w="1655"/>
            <w:vAlign w:val="top"/>
          </w:tcPr>
          <w:p>
            <w:pPr>
              <w:spacing w:after="40" w:before="0" w:line="259" w:lineRule="auto"/>
            </w:pPr>
            <w:r>
              <w:rPr>
                <w:rFonts w:ascii="Calibri" w:hAnsi="Calibri"/>
                <w:b w:val="0"/>
                <w:i w:val="0"/>
                <w:color w:val="212121"/>
                <w:sz w:val="19"/>
              </w:rPr>
              <w:t>Children, crowded households</w:t>
            </w:r>
          </w:p>
        </w:tc>
        <w:tc>
          <w:tcPr>
            <w:tcW w:type="dxa" w:w="1512"/>
            <w:vAlign w:val="top"/>
          </w:tcPr>
          <w:p>
            <w:pPr>
              <w:spacing w:after="40" w:before="0" w:line="259" w:lineRule="auto"/>
            </w:pPr>
            <w:r>
              <w:rPr>
                <w:rFonts w:ascii="Calibri" w:hAnsi="Calibri"/>
                <w:b w:val="0"/>
                <w:i w:val="0"/>
                <w:color w:val="212121"/>
                <w:sz w:val="19"/>
              </w:rPr>
              <w:t>No sharing of any hair items; individual combs/towels</w:t>
            </w:r>
          </w:p>
        </w:tc>
        <w:tc>
          <w:tcPr>
            <w:tcW w:type="dxa" w:w="1512"/>
            <w:vAlign w:val="top"/>
          </w:tcPr>
          <w:p>
            <w:pPr>
              <w:spacing w:after="40" w:before="0" w:line="259" w:lineRule="auto"/>
            </w:pPr>
            <w:r>
              <w:rPr>
                <w:rFonts w:ascii="Calibri" w:hAnsi="Calibri"/>
                <w:b w:val="0"/>
                <w:i w:val="0"/>
                <w:color w:val="212121"/>
                <w:sz w:val="19"/>
              </w:rPr>
              <w:t>Shared combs, caps, helmets, pillows or towels</w:t>
            </w:r>
          </w:p>
        </w:tc>
        <w:tc>
          <w:tcPr>
            <w:tcW w:type="dxa" w:w="1468"/>
            <w:vAlign w:val="top"/>
          </w:tcPr>
          <w:p>
            <w:pPr>
              <w:spacing w:after="60" w:line="259" w:lineRule="auto"/>
            </w:pPr>
            <w:r>
              <w:rPr>
                <w:rFonts w:ascii="Calibri" w:hAnsi="Calibri"/>
                <w:b w:val="0"/>
                <w:i w:val="0"/>
                <w:color w:val="212121"/>
                <w:sz w:val="19"/>
              </w:rPr>
              <w:t>Spores survive months on fomites — key transmission route</w:t>
            </w:r>
          </w:p>
          <w:p>
            <w:pPr>
              <w:spacing w:after="40" w:line="252" w:lineRule="auto"/>
            </w:pPr>
            <w:hyperlink r:id="rId11">
              <w:r>
                <w:rPr>
                  <w:rFonts w:ascii="Calibri" w:hAnsi="Calibri" w:cs="Calibri"/>
                  <w:sz w:val="18"/>
                  <w:color w:val="1155CC"/>
                  <w:u w:val="single"/>
                </w:rPr>
                <w:t xml:space="preserve">https://ijdvl.com/tinea-capitis-in-the-pediatric-population-a-study-from-north-india/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Barber / salon tool disinfection</w:t>
            </w:r>
          </w:p>
        </w:tc>
        <w:tc>
          <w:tcPr>
            <w:tcW w:type="dxa" w:w="1655"/>
            <w:vAlign w:val="top"/>
          </w:tcPr>
          <w:p>
            <w:pPr>
              <w:spacing w:after="40" w:before="0" w:line="259" w:lineRule="auto"/>
            </w:pPr>
            <w:r>
              <w:rPr>
                <w:rFonts w:ascii="Calibri" w:hAnsi="Calibri"/>
                <w:b w:val="0"/>
                <w:i w:val="0"/>
                <w:color w:val="212121"/>
                <w:sz w:val="19"/>
              </w:rPr>
              <w:t>Children &amp; men, frequent haircuts</w:t>
            </w:r>
          </w:p>
        </w:tc>
        <w:tc>
          <w:tcPr>
            <w:tcW w:type="dxa" w:w="1512"/>
            <w:vAlign w:val="top"/>
          </w:tcPr>
          <w:p>
            <w:pPr>
              <w:spacing w:after="40" w:before="0" w:line="259" w:lineRule="auto"/>
            </w:pPr>
            <w:r>
              <w:rPr>
                <w:rFonts w:ascii="Calibri" w:hAnsi="Calibri"/>
                <w:b w:val="0"/>
                <w:i w:val="0"/>
                <w:color w:val="212121"/>
                <w:sz w:val="19"/>
              </w:rPr>
              <w:t>Disinfected or personal clippers/combs/razors</w:t>
            </w:r>
          </w:p>
        </w:tc>
        <w:tc>
          <w:tcPr>
            <w:tcW w:type="dxa" w:w="1512"/>
            <w:vAlign w:val="top"/>
          </w:tcPr>
          <w:p>
            <w:pPr>
              <w:spacing w:after="40" w:before="0" w:line="259" w:lineRule="auto"/>
            </w:pPr>
            <w:r>
              <w:rPr>
                <w:rFonts w:ascii="Calibri" w:hAnsi="Calibri"/>
                <w:b w:val="0"/>
                <w:i w:val="0"/>
                <w:color w:val="212121"/>
                <w:sz w:val="19"/>
              </w:rPr>
              <w:t>Shared, undisinfected barber tools</w:t>
            </w:r>
          </w:p>
        </w:tc>
        <w:tc>
          <w:tcPr>
            <w:tcW w:type="dxa" w:w="1468"/>
            <w:vAlign w:val="top"/>
          </w:tcPr>
          <w:p>
            <w:pPr>
              <w:spacing w:after="60" w:line="259" w:lineRule="auto"/>
            </w:pPr>
            <w:r>
              <w:rPr>
                <w:rFonts w:ascii="Calibri" w:hAnsi="Calibri"/>
                <w:b w:val="0"/>
                <w:i w:val="0"/>
                <w:color w:val="212121"/>
                <w:sz w:val="19"/>
              </w:rPr>
              <w:t>Common anthropophilic transmission route</w:t>
            </w:r>
          </w:p>
          <w:p>
            <w:pPr>
              <w:spacing w:after="40" w:line="252" w:lineRule="auto"/>
            </w:pPr>
            <w:hyperlink r:id="rId12">
              <w:r>
                <w:rPr>
                  <w:rFonts w:ascii="Calibri" w:hAnsi="Calibri" w:cs="Calibri"/>
                  <w:sz w:val="18"/>
                  <w:color w:val="1155CC"/>
                  <w:u w:val="single"/>
                </w:rPr>
                <w:t xml:space="preserve">https://dermnetnz.org/topics/tinea-capitis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Antifungal shampoo use (adjunct)</w:t>
            </w:r>
          </w:p>
        </w:tc>
        <w:tc>
          <w:tcPr>
            <w:tcW w:type="dxa" w:w="1655"/>
            <w:vAlign w:val="top"/>
          </w:tcPr>
          <w:p>
            <w:pPr>
              <w:spacing w:after="40" w:before="0" w:line="259" w:lineRule="auto"/>
            </w:pPr>
            <w:r>
              <w:rPr>
                <w:rFonts w:ascii="Calibri" w:hAnsi="Calibri"/>
                <w:b w:val="0"/>
                <w:i w:val="0"/>
                <w:color w:val="212121"/>
                <w:sz w:val="19"/>
              </w:rPr>
              <w:t>Cases &amp; household contacts</w:t>
            </w:r>
          </w:p>
        </w:tc>
        <w:tc>
          <w:tcPr>
            <w:tcW w:type="dxa" w:w="1512"/>
            <w:vAlign w:val="top"/>
          </w:tcPr>
          <w:p>
            <w:pPr>
              <w:spacing w:after="40" w:before="0" w:line="259" w:lineRule="auto"/>
            </w:pPr>
            <w:r>
              <w:rPr>
                <w:rFonts w:ascii="Calibri" w:hAnsi="Calibri"/>
                <w:b w:val="0"/>
                <w:i w:val="0"/>
                <w:color w:val="212121"/>
                <w:sz w:val="19"/>
              </w:rPr>
              <w:t>Ketoconazole 2% or selenium sulfide 1–2.25% shampoo 2–+ times/week</w:t>
            </w:r>
          </w:p>
        </w:tc>
        <w:tc>
          <w:tcPr>
            <w:tcW w:type="dxa" w:w="1512"/>
            <w:vAlign w:val="top"/>
          </w:tcPr>
          <w:p>
            <w:pPr>
              <w:spacing w:after="40" w:before="0" w:line="259" w:lineRule="auto"/>
            </w:pPr>
            <w:r>
              <w:rPr>
                <w:rFonts w:ascii="Calibri" w:hAnsi="Calibri"/>
                <w:b w:val="0"/>
                <w:i w:val="0"/>
                <w:color w:val="212121"/>
                <w:sz w:val="19"/>
              </w:rPr>
              <w:t>No adjunctive sporicidal shampoo during treatment</w:t>
            </w:r>
          </w:p>
        </w:tc>
        <w:tc>
          <w:tcPr>
            <w:tcW w:type="dxa" w:w="1468"/>
            <w:vAlign w:val="top"/>
          </w:tcPr>
          <w:p>
            <w:pPr>
              <w:spacing w:after="60" w:line="259" w:lineRule="auto"/>
            </w:pPr>
            <w:r>
              <w:rPr>
                <w:rFonts w:ascii="Calibri" w:hAnsi="Calibri"/>
                <w:b w:val="0"/>
                <w:i w:val="0"/>
                <w:color w:val="212121"/>
                <w:sz w:val="19"/>
              </w:rPr>
              <w:t>Reduces spore shedding and household transmission</w:t>
            </w:r>
          </w:p>
          <w:p>
            <w:pPr>
              <w:spacing w:after="40" w:line="252" w:lineRule="auto"/>
            </w:pPr>
            <w:hyperlink r:id="rId14">
              <w:r>
                <w:rPr>
                  <w:rFonts w:ascii="Calibri" w:hAnsi="Calibri" w:cs="Calibri"/>
                  <w:sz w:val="18"/>
                  <w:color w:val="1155CC"/>
                  <w:u w:val="single"/>
                </w:rPr>
                <w:t xml:space="preserve">https://karger.com/sad/article/5/4/201/291424/Treatment-of-Tinea-Capitis</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Hair-washing frequency / scalp hygiene</w:t>
            </w:r>
          </w:p>
        </w:tc>
        <w:tc>
          <w:tcPr>
            <w:tcW w:type="dxa" w:w="1655"/>
            <w:vAlign w:val="top"/>
          </w:tcPr>
          <w:p>
            <w:pPr>
              <w:spacing w:after="40" w:before="0" w:line="259" w:lineRule="auto"/>
            </w:pPr>
            <w:r>
              <w:rPr>
                <w:rFonts w:ascii="Calibri" w:hAnsi="Calibri"/>
                <w:b w:val="0"/>
                <w:i w:val="0"/>
                <w:color w:val="212121"/>
                <w:sz w:val="19"/>
              </w:rPr>
              <w:t>Children, low-resource settings</w:t>
            </w:r>
          </w:p>
        </w:tc>
        <w:tc>
          <w:tcPr>
            <w:tcW w:type="dxa" w:w="1512"/>
            <w:vAlign w:val="top"/>
          </w:tcPr>
          <w:p>
            <w:pPr>
              <w:spacing w:after="40" w:before="0" w:line="259" w:lineRule="auto"/>
            </w:pPr>
            <w:r>
              <w:rPr>
                <w:rFonts w:ascii="Calibri" w:hAnsi="Calibri"/>
                <w:b w:val="0"/>
                <w:i w:val="0"/>
                <w:color w:val="212121"/>
                <w:sz w:val="19"/>
              </w:rPr>
              <w:t>Regular hair washing; scalp kept clean and dry</w:t>
            </w:r>
          </w:p>
        </w:tc>
        <w:tc>
          <w:tcPr>
            <w:tcW w:type="dxa" w:w="1512"/>
            <w:vAlign w:val="top"/>
          </w:tcPr>
          <w:p>
            <w:pPr>
              <w:spacing w:after="40" w:before="0" w:line="259" w:lineRule="auto"/>
            </w:pPr>
            <w:r>
              <w:rPr>
                <w:rFonts w:ascii="Calibri" w:hAnsi="Calibri"/>
                <w:b w:val="0"/>
                <w:i w:val="0"/>
                <w:color w:val="212121"/>
                <w:sz w:val="19"/>
              </w:rPr>
              <w:t>Infrequent washing; damp shared towels</w:t>
            </w:r>
          </w:p>
        </w:tc>
        <w:tc>
          <w:tcPr>
            <w:tcW w:type="dxa" w:w="1468"/>
            <w:vAlign w:val="top"/>
          </w:tcPr>
          <w:p>
            <w:pPr>
              <w:spacing w:after="60" w:line="259" w:lineRule="auto"/>
            </w:pPr>
            <w:r>
              <w:rPr>
                <w:rFonts w:ascii="Calibri" w:hAnsi="Calibri"/>
                <w:b w:val="0"/>
                <w:i w:val="0"/>
                <w:color w:val="212121"/>
                <w:sz w:val="19"/>
              </w:rPr>
              <w:t>Poor scalp hygiene favours spore persistence</w:t>
            </w:r>
          </w:p>
          <w:p>
            <w:pPr>
              <w:spacing w:after="40" w:line="252" w:lineRule="auto"/>
            </w:pPr>
            <w:hyperlink r:id="rId12">
              <w:r>
                <w:rPr>
                  <w:rFonts w:ascii="Calibri" w:hAnsi="Calibri" w:cs="Calibri"/>
                  <w:sz w:val="18"/>
                  <w:color w:val="1155CC"/>
                  <w:u w:val="single"/>
                </w:rPr>
                <w:t xml:space="preserve">https://dermnetnz.org/topics/tinea-capitis</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Household crowding</w:t>
            </w:r>
          </w:p>
        </w:tc>
        <w:tc>
          <w:tcPr>
            <w:tcW w:type="dxa" w:w="1655"/>
            <w:vAlign w:val="top"/>
          </w:tcPr>
          <w:p>
            <w:pPr>
              <w:spacing w:after="40" w:before="0" w:line="259" w:lineRule="auto"/>
            </w:pPr>
            <w:r>
              <w:rPr>
                <w:rFonts w:ascii="Calibri" w:hAnsi="Calibri"/>
                <w:b w:val="0"/>
                <w:i w:val="0"/>
                <w:color w:val="212121"/>
                <w:sz w:val="19"/>
              </w:rPr>
              <w:t>Low-income families</w:t>
            </w:r>
          </w:p>
        </w:tc>
        <w:tc>
          <w:tcPr>
            <w:tcW w:type="dxa" w:w="1512"/>
            <w:vAlign w:val="top"/>
          </w:tcPr>
          <w:p>
            <w:pPr>
              <w:spacing w:after="40" w:before="0" w:line="259" w:lineRule="auto"/>
            </w:pPr>
            <w:r>
              <w:rPr>
                <w:rFonts w:ascii="Calibri" w:hAnsi="Calibri"/>
                <w:b w:val="0"/>
                <w:i w:val="0"/>
                <w:color w:val="212121"/>
                <w:sz w:val="19"/>
              </w:rPr>
              <w:t>Non-crowded sleeping; no bed/pillow sharing with cases</w:t>
            </w:r>
          </w:p>
        </w:tc>
        <w:tc>
          <w:tcPr>
            <w:tcW w:type="dxa" w:w="1512"/>
            <w:vAlign w:val="top"/>
          </w:tcPr>
          <w:p>
            <w:pPr>
              <w:spacing w:after="40" w:before="0" w:line="259" w:lineRule="auto"/>
            </w:pPr>
            <w:r>
              <w:rPr>
                <w:rFonts w:ascii="Calibri" w:hAnsi="Calibri"/>
                <w:b w:val="0"/>
                <w:i w:val="0"/>
                <w:color w:val="212121"/>
                <w:sz w:val="19"/>
              </w:rPr>
              <w:t>Overcrowding with shared bedding</w:t>
            </w:r>
          </w:p>
        </w:tc>
        <w:tc>
          <w:tcPr>
            <w:tcW w:type="dxa" w:w="1468"/>
            <w:vAlign w:val="top"/>
          </w:tcPr>
          <w:p>
            <w:pPr>
              <w:spacing w:after="60" w:line="259" w:lineRule="auto"/>
            </w:pPr>
            <w:r>
              <w:rPr>
                <w:rFonts w:ascii="Calibri" w:hAnsi="Calibri"/>
                <w:b w:val="0"/>
                <w:i w:val="0"/>
                <w:color w:val="212121"/>
                <w:sz w:val="19"/>
              </w:rPr>
              <w:t>Crowding drives sibling/classmate clustering</w:t>
            </w:r>
          </w:p>
          <w:p>
            <w:pPr>
              <w:spacing w:after="40" w:line="252" w:lineRule="auto"/>
            </w:pPr>
            <w:hyperlink r:id="rId11">
              <w:r>
                <w:rPr>
                  <w:rFonts w:ascii="Calibri" w:hAnsi="Calibri" w:cs="Calibri"/>
                  <w:sz w:val="18"/>
                  <w:color w:val="1155CC"/>
                  <w:u w:val="single"/>
                </w:rPr>
                <w:t xml:space="preserve">https://ijdvl.com/tinea-capitis-in-the-pediatric-population-a-study-from-north-india/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Animal / livestock contact</w:t>
            </w:r>
          </w:p>
        </w:tc>
        <w:tc>
          <w:tcPr>
            <w:tcW w:type="dxa" w:w="1655"/>
            <w:vAlign w:val="top"/>
          </w:tcPr>
          <w:p>
            <w:pPr>
              <w:spacing w:after="40" w:before="0" w:line="259" w:lineRule="auto"/>
            </w:pPr>
            <w:r>
              <w:rPr>
                <w:rFonts w:ascii="Calibri" w:hAnsi="Calibri"/>
                <w:b w:val="0"/>
                <w:i w:val="0"/>
                <w:color w:val="212121"/>
                <w:sz w:val="19"/>
              </w:rPr>
              <w:t>Rural &amp; pet-owning children</w:t>
            </w:r>
          </w:p>
        </w:tc>
        <w:tc>
          <w:tcPr>
            <w:tcW w:type="dxa" w:w="1512"/>
            <w:vAlign w:val="top"/>
          </w:tcPr>
          <w:p>
            <w:pPr>
              <w:spacing w:after="40" w:before="0" w:line="259" w:lineRule="auto"/>
            </w:pPr>
            <w:r>
              <w:rPr>
                <w:rFonts w:ascii="Calibri" w:hAnsi="Calibri"/>
                <w:b w:val="0"/>
                <w:i w:val="0"/>
                <w:color w:val="212121"/>
                <w:sz w:val="19"/>
              </w:rPr>
              <w:t>Infected pets/cattle identified and treated</w:t>
            </w:r>
          </w:p>
        </w:tc>
        <w:tc>
          <w:tcPr>
            <w:tcW w:type="dxa" w:w="1512"/>
            <w:vAlign w:val="top"/>
          </w:tcPr>
          <w:p>
            <w:pPr>
              <w:spacing w:after="40" w:before="0" w:line="259" w:lineRule="auto"/>
            </w:pPr>
            <w:r>
              <w:rPr>
                <w:rFonts w:ascii="Calibri" w:hAnsi="Calibri"/>
                <w:b w:val="0"/>
                <w:i w:val="0"/>
                <w:color w:val="212121"/>
                <w:sz w:val="19"/>
              </w:rPr>
              <w:t>Contact with ringworm-affected cats, dogs or cattle</w:t>
            </w:r>
          </w:p>
        </w:tc>
        <w:tc>
          <w:tcPr>
            <w:tcW w:type="dxa" w:w="1468"/>
            <w:vAlign w:val="top"/>
          </w:tcPr>
          <w:p>
            <w:pPr>
              <w:spacing w:after="60" w:line="259" w:lineRule="auto"/>
            </w:pPr>
            <w:r>
              <w:rPr>
                <w:rFonts w:ascii="Calibri" w:hAnsi="Calibri"/>
                <w:b w:val="0"/>
                <w:i w:val="0"/>
                <w:color w:val="212121"/>
                <w:sz w:val="19"/>
              </w:rPr>
              <w:t>Zoophilic (M. canis/T. verrucosum) causes inflammatory kerion</w:t>
            </w:r>
          </w:p>
          <w:p>
            <w:pPr>
              <w:spacing w:after="40" w:line="252" w:lineRule="auto"/>
            </w:pPr>
            <w:hyperlink r:id="rId11">
              <w:r>
                <w:rPr>
                  <w:rFonts w:ascii="Calibri" w:hAnsi="Calibri" w:cs="Calibri"/>
                  <w:sz w:val="18"/>
                  <w:color w:val="1155CC"/>
                  <w:u w:val="single"/>
                </w:rPr>
                <w:t xml:space="preserve">https://ijdvl.com/tinea-capitis-in-the-pediatric-population-a-study-from-north-india/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Screening of household contacts / carriers</w:t>
            </w:r>
          </w:p>
        </w:tc>
        <w:tc>
          <w:tcPr>
            <w:tcW w:type="dxa" w:w="1655"/>
            <w:vAlign w:val="top"/>
          </w:tcPr>
          <w:p>
            <w:pPr>
              <w:spacing w:after="40" w:before="0" w:line="259" w:lineRule="auto"/>
            </w:pPr>
            <w:r>
              <w:rPr>
                <w:rFonts w:ascii="Calibri" w:hAnsi="Calibri"/>
                <w:b w:val="0"/>
                <w:i w:val="0"/>
                <w:color w:val="212121"/>
                <w:sz w:val="19"/>
              </w:rPr>
              <w:t>Families of cases</w:t>
            </w:r>
          </w:p>
        </w:tc>
        <w:tc>
          <w:tcPr>
            <w:tcW w:type="dxa" w:w="1512"/>
            <w:vAlign w:val="top"/>
          </w:tcPr>
          <w:p>
            <w:pPr>
              <w:spacing w:after="40" w:before="0" w:line="259" w:lineRule="auto"/>
            </w:pPr>
            <w:r>
              <w:rPr>
                <w:rFonts w:ascii="Calibri" w:hAnsi="Calibri"/>
                <w:b w:val="0"/>
                <w:i w:val="0"/>
                <w:color w:val="212121"/>
                <w:sz w:val="19"/>
              </w:rPr>
              <w:t>Symptomatic contacts examined; carriers treated</w:t>
            </w:r>
          </w:p>
        </w:tc>
        <w:tc>
          <w:tcPr>
            <w:tcW w:type="dxa" w:w="1512"/>
            <w:vAlign w:val="top"/>
          </w:tcPr>
          <w:p>
            <w:pPr>
              <w:spacing w:after="40" w:before="0" w:line="259" w:lineRule="auto"/>
            </w:pPr>
            <w:r>
              <w:rPr>
                <w:rFonts w:ascii="Calibri" w:hAnsi="Calibri"/>
                <w:b w:val="0"/>
                <w:i w:val="0"/>
                <w:color w:val="212121"/>
                <w:sz w:val="19"/>
              </w:rPr>
              <w:t>Untreated carrier/contact in the home</w:t>
            </w:r>
          </w:p>
        </w:tc>
        <w:tc>
          <w:tcPr>
            <w:tcW w:type="dxa" w:w="1468"/>
            <w:vAlign w:val="top"/>
          </w:tcPr>
          <w:p>
            <w:pPr>
              <w:spacing w:after="60" w:line="259" w:lineRule="auto"/>
            </w:pPr>
            <w:r>
              <w:rPr>
                <w:rFonts w:ascii="Calibri" w:hAnsi="Calibri"/>
                <w:b w:val="0"/>
                <w:i w:val="0"/>
                <w:color w:val="212121"/>
                <w:sz w:val="19"/>
              </w:rPr>
              <w:t>Carriers in ~32% of households sustain reinfection</w:t>
            </w:r>
          </w:p>
          <w:p>
            <w:pPr>
              <w:spacing w:after="40" w:line="252" w:lineRule="auto"/>
            </w:pPr>
            <w:hyperlink r:id="rId9">
              <w:r>
                <w:rPr>
                  <w:rFonts w:ascii="Calibri" w:hAnsi="Calibri" w:cs="Calibri"/>
                  <w:sz w:val="18"/>
                  <w:color w:val="1155CC"/>
                  <w:u w:val="single"/>
                </w:rPr>
                <w:t xml:space="preserve">https://www.mdpi.com/2309-608X/10/5/357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Immune status / glycaemic control (adults)</w:t>
            </w:r>
          </w:p>
        </w:tc>
        <w:tc>
          <w:tcPr>
            <w:tcW w:type="dxa" w:w="1655"/>
            <w:vAlign w:val="top"/>
          </w:tcPr>
          <w:p>
            <w:pPr>
              <w:spacing w:after="40" w:before="0" w:line="259" w:lineRule="auto"/>
            </w:pPr>
            <w:r>
              <w:rPr>
                <w:rFonts w:ascii="Calibri" w:hAnsi="Calibri"/>
                <w:b w:val="0"/>
                <w:i w:val="0"/>
                <w:color w:val="212121"/>
                <w:sz w:val="19"/>
              </w:rPr>
              <w:t>Adult &amp; immunocompromised patients</w:t>
            </w:r>
          </w:p>
        </w:tc>
        <w:tc>
          <w:tcPr>
            <w:tcW w:type="dxa" w:w="1512"/>
            <w:vAlign w:val="top"/>
          </w:tcPr>
          <w:p>
            <w:pPr>
              <w:spacing w:after="40" w:before="0" w:line="259" w:lineRule="auto"/>
            </w:pPr>
            <w:r>
              <w:rPr>
                <w:rFonts w:ascii="Calibri" w:hAnsi="Calibri"/>
                <w:b w:val="0"/>
                <w:i w:val="0"/>
                <w:color w:val="212121"/>
                <w:sz w:val="19"/>
              </w:rPr>
              <w:t>Immunocompetent; HbA1c &lt; 7% (individualised)</w:t>
            </w:r>
          </w:p>
        </w:tc>
        <w:tc>
          <w:tcPr>
            <w:tcW w:type="dxa" w:w="1512"/>
            <w:vAlign w:val="top"/>
          </w:tcPr>
          <w:p>
            <w:pPr>
              <w:spacing w:after="40" w:before="0" w:line="259" w:lineRule="auto"/>
            </w:pPr>
            <w:r>
              <w:rPr>
                <w:rFonts w:ascii="Calibri" w:hAnsi="Calibri"/>
                <w:b w:val="0"/>
                <w:i w:val="0"/>
                <w:color w:val="212121"/>
                <w:sz w:val="19"/>
              </w:rPr>
              <w:t>HIV, transplant, systemic steroids, uncontrolled diabetes</w:t>
            </w:r>
          </w:p>
        </w:tc>
        <w:tc>
          <w:tcPr>
            <w:tcW w:type="dxa" w:w="1468"/>
            <w:vAlign w:val="top"/>
          </w:tcPr>
          <w:p>
            <w:pPr>
              <w:spacing w:after="60" w:line="259" w:lineRule="auto"/>
            </w:pPr>
            <w:r>
              <w:rPr>
                <w:rFonts w:ascii="Calibri" w:hAnsi="Calibri"/>
                <w:b w:val="0"/>
                <w:i w:val="0"/>
                <w:color w:val="212121"/>
                <w:sz w:val="19"/>
              </w:rPr>
              <w:t>80% of adult cases are immunocompromised</w:t>
            </w:r>
          </w:p>
          <w:p>
            <w:pPr>
              <w:spacing w:after="40" w:line="252" w:lineRule="auto"/>
            </w:pPr>
            <w:hyperlink r:id="rId9">
              <w:r>
                <w:rPr>
                  <w:rFonts w:ascii="Calibri" w:hAnsi="Calibri" w:cs="Calibri"/>
                  <w:sz w:val="18"/>
                  <w:color w:val="1155CC"/>
                  <w:u w:val="single"/>
                </w:rPr>
                <w:t xml:space="preserve">https://www.mdpi.com/2309-608X/10/5/357</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Contact-sport shared equipment</w:t>
            </w:r>
          </w:p>
        </w:tc>
        <w:tc>
          <w:tcPr>
            <w:tcW w:type="dxa" w:w="1655"/>
            <w:vAlign w:val="top"/>
          </w:tcPr>
          <w:p>
            <w:pPr>
              <w:spacing w:after="40" w:before="0" w:line="259" w:lineRule="auto"/>
            </w:pPr>
            <w:r>
              <w:rPr>
                <w:rFonts w:ascii="Calibri" w:hAnsi="Calibri"/>
                <w:b w:val="0"/>
                <w:i w:val="0"/>
                <w:color w:val="212121"/>
                <w:sz w:val="19"/>
              </w:rPr>
              <w:t>Wrestlers, contact athletes</w:t>
            </w:r>
          </w:p>
        </w:tc>
        <w:tc>
          <w:tcPr>
            <w:tcW w:type="dxa" w:w="1512"/>
            <w:vAlign w:val="top"/>
          </w:tcPr>
          <w:p>
            <w:pPr>
              <w:spacing w:after="40" w:before="0" w:line="259" w:lineRule="auto"/>
            </w:pPr>
            <w:r>
              <w:rPr>
                <w:rFonts w:ascii="Calibri" w:hAnsi="Calibri"/>
                <w:b w:val="0"/>
                <w:i w:val="0"/>
                <w:color w:val="212121"/>
                <w:sz w:val="19"/>
              </w:rPr>
              <w:t>Personal, regularly cleaned headgear; disinfected mats</w:t>
            </w:r>
          </w:p>
        </w:tc>
        <w:tc>
          <w:tcPr>
            <w:tcW w:type="dxa" w:w="1512"/>
            <w:vAlign w:val="top"/>
          </w:tcPr>
          <w:p>
            <w:pPr>
              <w:spacing w:after="40" w:before="0" w:line="259" w:lineRule="auto"/>
            </w:pPr>
            <w:r>
              <w:rPr>
                <w:rFonts w:ascii="Calibri" w:hAnsi="Calibri"/>
                <w:b w:val="0"/>
                <w:i w:val="0"/>
                <w:color w:val="212121"/>
                <w:sz w:val="19"/>
              </w:rPr>
              <w:t>Shared unclean mats, helmets, headgear</w:t>
            </w:r>
          </w:p>
        </w:tc>
        <w:tc>
          <w:tcPr>
            <w:tcW w:type="dxa" w:w="1468"/>
            <w:vAlign w:val="top"/>
          </w:tcPr>
          <w:p>
            <w:pPr>
              <w:spacing w:after="60" w:line="259" w:lineRule="auto"/>
            </w:pPr>
            <w:r>
              <w:rPr>
                <w:rFonts w:ascii="Calibri" w:hAnsi="Calibri"/>
                <w:b w:val="0"/>
                <w:i w:val="0"/>
                <w:color w:val="212121"/>
                <w:sz w:val="19"/>
              </w:rPr>
              <w:t>Skin contact spreads tinea gladiatorum</w:t>
            </w:r>
          </w:p>
          <w:p>
            <w:pPr>
              <w:spacing w:after="40" w:line="252" w:lineRule="auto"/>
            </w:pPr>
            <w:hyperlink r:id="rId12">
              <w:r>
                <w:rPr>
                  <w:rFonts w:ascii="Calibri" w:hAnsi="Calibri" w:cs="Calibri"/>
                  <w:sz w:val="18"/>
                  <w:color w:val="1155CC"/>
                  <w:u w:val="single"/>
                </w:rPr>
                <w:t xml:space="preserve">https://dermnetnz.org/topics/tinea-capitis</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Nutritional / metabolic status</w:t>
            </w:r>
          </w:p>
        </w:tc>
        <w:tc>
          <w:tcPr>
            <w:tcW w:type="dxa" w:w="1655"/>
            <w:vAlign w:val="top"/>
          </w:tcPr>
          <w:p>
            <w:pPr>
              <w:spacing w:after="40" w:before="0" w:line="259" w:lineRule="auto"/>
            </w:pPr>
            <w:r>
              <w:rPr>
                <w:rFonts w:ascii="Calibri" w:hAnsi="Calibri"/>
                <w:b w:val="0"/>
                <w:i w:val="0"/>
                <w:color w:val="212121"/>
                <w:sz w:val="19"/>
              </w:rPr>
              <w:t>Malnourished children; metabolic adults</w:t>
            </w:r>
          </w:p>
        </w:tc>
        <w:tc>
          <w:tcPr>
            <w:tcW w:type="dxa" w:w="1512"/>
            <w:vAlign w:val="top"/>
          </w:tcPr>
          <w:p>
            <w:pPr>
              <w:spacing w:after="40" w:before="0" w:line="259" w:lineRule="auto"/>
            </w:pPr>
            <w:r>
              <w:rPr>
                <w:rFonts w:ascii="Calibri" w:hAnsi="Calibri"/>
                <w:b w:val="0"/>
                <w:i w:val="0"/>
                <w:color w:val="212121"/>
                <w:sz w:val="19"/>
              </w:rPr>
              <w:t>Adequate protein, iron, zinc; healthy weight; controlled diabetes</w:t>
            </w:r>
          </w:p>
        </w:tc>
        <w:tc>
          <w:tcPr>
            <w:tcW w:type="dxa" w:w="1512"/>
            <w:vAlign w:val="top"/>
          </w:tcPr>
          <w:p>
            <w:pPr>
              <w:spacing w:after="40" w:before="0" w:line="259" w:lineRule="auto"/>
            </w:pPr>
            <w:r>
              <w:rPr>
                <w:rFonts w:ascii="Calibri" w:hAnsi="Calibri"/>
                <w:b w:val="0"/>
                <w:i w:val="0"/>
                <w:color w:val="212121"/>
                <w:sz w:val="19"/>
              </w:rPr>
              <w:t>Undernutrition; obesity/uncontrolled diabetes</w:t>
            </w:r>
          </w:p>
        </w:tc>
        <w:tc>
          <w:tcPr>
            <w:tcW w:type="dxa" w:w="1468"/>
            <w:vAlign w:val="top"/>
          </w:tcPr>
          <w:p>
            <w:pPr>
              <w:spacing w:after="60" w:line="259" w:lineRule="auto"/>
            </w:pPr>
            <w:r>
              <w:rPr>
                <w:rFonts w:ascii="Calibri" w:hAnsi="Calibri"/>
                <w:b w:val="0"/>
                <w:i w:val="0"/>
                <w:color w:val="212121"/>
                <w:sz w:val="19"/>
              </w:rPr>
              <w:t>Poor nutrition/immunity favours chronic disease</w:t>
            </w:r>
          </w:p>
          <w:p>
            <w:pPr>
              <w:spacing w:after="40" w:line="252" w:lineRule="auto"/>
            </w:pPr>
            <w:hyperlink r:id="rId9">
              <w:r>
                <w:rPr>
                  <w:rFonts w:ascii="Calibri" w:hAnsi="Calibri" w:cs="Calibri"/>
                  <w:sz w:val="18"/>
                  <w:color w:val="1155CC"/>
                  <w:u w:val="single"/>
                </w:rPr>
                <w:t xml:space="preserve">https://www.mdpi.com/2309-608X/10/5/357</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Microscopy</w:t>
            </w:r>
          </w:p>
        </w:tc>
        <w:tc>
          <w:tcPr>
            <w:tcW w:type="dxa" w:w="1036"/>
            <w:vAlign w:val="top"/>
          </w:tcPr>
          <w:p>
            <w:pPr>
              <w:spacing w:after="40" w:before="0" w:line="259" w:lineRule="auto"/>
            </w:pPr>
            <w:r>
              <w:rPr>
                <w:rFonts w:ascii="Calibri" w:hAnsi="Calibri"/>
                <w:b w:val="0"/>
                <w:i w:val="0"/>
                <w:color w:val="212121"/>
                <w:sz w:val="16"/>
              </w:rPr>
              <w:t>Fungal hyphae &amp; spores in hair/scale</w:t>
            </w:r>
          </w:p>
        </w:tc>
        <w:tc>
          <w:tcPr>
            <w:tcW w:type="dxa" w:w="892"/>
            <w:vAlign w:val="top"/>
          </w:tcPr>
          <w:p>
            <w:pPr>
              <w:spacing w:after="40" w:before="0" w:line="259" w:lineRule="auto"/>
            </w:pPr>
            <w:r>
              <w:rPr>
                <w:rFonts w:ascii="Calibri" w:hAnsi="Calibri"/>
                <w:b w:val="0"/>
                <w:i w:val="0"/>
                <w:color w:val="212121"/>
                <w:sz w:val="16"/>
              </w:rPr>
              <w:t>KOH (10–20%) mount of plucked hairs &amp; scrapings</w:t>
            </w:r>
          </w:p>
        </w:tc>
        <w:tc>
          <w:tcPr>
            <w:tcW w:type="dxa" w:w="950"/>
            <w:vAlign w:val="top"/>
          </w:tcPr>
          <w:p>
            <w:pPr>
              <w:spacing w:after="40" w:before="0" w:line="259" w:lineRule="auto"/>
            </w:pPr>
            <w:r>
              <w:rPr>
                <w:rFonts w:ascii="Calibri" w:hAnsi="Calibri"/>
                <w:b w:val="0"/>
                <w:i w:val="0"/>
                <w:color w:val="212121"/>
                <w:sz w:val="16"/>
              </w:rPr>
              <w:t>No hyphae or spores</w:t>
            </w:r>
          </w:p>
        </w:tc>
        <w:tc>
          <w:tcPr>
            <w:tcW w:type="dxa" w:w="950"/>
            <w:vAlign w:val="top"/>
          </w:tcPr>
          <w:p>
            <w:pPr>
              <w:spacing w:after="40" w:before="0" w:line="259" w:lineRule="auto"/>
            </w:pPr>
            <w:r>
              <w:rPr>
                <w:rFonts w:ascii="Calibri" w:hAnsi="Calibri"/>
                <w:b w:val="0"/>
                <w:i w:val="0"/>
                <w:color w:val="212121"/>
                <w:sz w:val="16"/>
              </w:rPr>
              <w:t>Hyphae with endothrix (intra-shaft) or ectothrix (surface) spores</w:t>
            </w:r>
          </w:p>
        </w:tc>
        <w:tc>
          <w:tcPr>
            <w:tcW w:type="dxa" w:w="1036"/>
            <w:vAlign w:val="top"/>
          </w:tcPr>
          <w:p>
            <w:pPr>
              <w:spacing w:after="40" w:before="0" w:line="259" w:lineRule="auto"/>
            </w:pPr>
            <w:r>
              <w:rPr>
                <w:rFonts w:ascii="Calibri" w:hAnsi="Calibri"/>
                <w:b w:val="0"/>
                <w:i w:val="0"/>
                <w:color w:val="212121"/>
                <w:sz w:val="16"/>
              </w:rPr>
              <w:t>Bedside confirmation; distinguishes endothrix vs ectothrix</w:t>
            </w:r>
          </w:p>
        </w:tc>
        <w:tc>
          <w:tcPr>
            <w:tcW w:type="dxa" w:w="1036"/>
            <w:vAlign w:val="top"/>
          </w:tcPr>
          <w:p>
            <w:pPr>
              <w:spacing w:after="40" w:before="0" w:line="259" w:lineRule="auto"/>
            </w:pPr>
            <w:r>
              <w:rPr>
                <w:rFonts w:ascii="Calibri" w:hAnsi="Calibri"/>
                <w:b w:val="0"/>
                <w:i w:val="0"/>
                <w:color w:val="212121"/>
                <w:sz w:val="16"/>
              </w:rPr>
              <w:t>All suspected tinea capitis, before systemic therapy</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KOH positive in ~82% of Indian childhood cases; pluck affected/black-dot hairs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Mycology culture</w:t>
            </w:r>
          </w:p>
        </w:tc>
        <w:tc>
          <w:tcPr>
            <w:tcW w:type="dxa" w:w="1036"/>
            <w:vAlign w:val="top"/>
          </w:tcPr>
          <w:p>
            <w:pPr>
              <w:spacing w:after="40" w:before="0" w:line="259" w:lineRule="auto"/>
            </w:pPr>
            <w:r>
              <w:rPr>
                <w:rFonts w:ascii="Calibri" w:hAnsi="Calibri"/>
                <w:b w:val="0"/>
                <w:i w:val="0"/>
                <w:color w:val="212121"/>
                <w:sz w:val="16"/>
              </w:rPr>
              <w:t>Dermatophyte species</w:t>
            </w:r>
          </w:p>
        </w:tc>
        <w:tc>
          <w:tcPr>
            <w:tcW w:type="dxa" w:w="892"/>
            <w:vAlign w:val="top"/>
          </w:tcPr>
          <w:p>
            <w:pPr>
              <w:spacing w:after="40" w:before="0" w:line="259" w:lineRule="auto"/>
            </w:pPr>
            <w:r>
              <w:rPr>
                <w:rFonts w:ascii="Calibri" w:hAnsi="Calibri"/>
                <w:b w:val="0"/>
                <w:i w:val="0"/>
                <w:color w:val="212121"/>
                <w:sz w:val="16"/>
              </w:rPr>
              <w:t>Fungal culture on Sabouraud dextrose agar</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Growth of T. violaceum / T. tonsurans / Microsporum spp.</w:t>
            </w:r>
          </w:p>
        </w:tc>
        <w:tc>
          <w:tcPr>
            <w:tcW w:type="dxa" w:w="1036"/>
            <w:vAlign w:val="top"/>
          </w:tcPr>
          <w:p>
            <w:pPr>
              <w:spacing w:after="40" w:before="0" w:line="259" w:lineRule="auto"/>
            </w:pPr>
            <w:r>
              <w:rPr>
                <w:rFonts w:ascii="Calibri" w:hAnsi="Calibri"/>
                <w:b w:val="0"/>
                <w:i w:val="0"/>
                <w:color w:val="212121"/>
                <w:sz w:val="16"/>
              </w:rPr>
              <w:t>Gold standard; species guides drug choice &amp; duration</w:t>
            </w:r>
          </w:p>
        </w:tc>
        <w:tc>
          <w:tcPr>
            <w:tcW w:type="dxa" w:w="1036"/>
            <w:vAlign w:val="top"/>
          </w:tcPr>
          <w:p>
            <w:pPr>
              <w:spacing w:after="40" w:before="0" w:line="259" w:lineRule="auto"/>
            </w:pPr>
            <w:r>
              <w:rPr>
                <w:rFonts w:ascii="Calibri" w:hAnsi="Calibri"/>
                <w:b w:val="0"/>
                <w:i w:val="0"/>
                <w:color w:val="212121"/>
                <w:sz w:val="16"/>
              </w:rPr>
              <w:t>All cases where feasible; recurrent/atypical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Culture positive in ~73%; T. violaceum in 88.6% in North India; takes 2–4 weeks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Wood’s lamp</w:t>
            </w:r>
          </w:p>
        </w:tc>
        <w:tc>
          <w:tcPr>
            <w:tcW w:type="dxa" w:w="1036"/>
            <w:vAlign w:val="top"/>
          </w:tcPr>
          <w:p>
            <w:pPr>
              <w:spacing w:after="40" w:before="0" w:line="259" w:lineRule="auto"/>
            </w:pPr>
            <w:r>
              <w:rPr>
                <w:rFonts w:ascii="Calibri" w:hAnsi="Calibri"/>
                <w:b w:val="0"/>
                <w:i w:val="0"/>
                <w:color w:val="212121"/>
                <w:sz w:val="16"/>
              </w:rPr>
              <w:t>Scalp/hair fluorescence</w:t>
            </w:r>
          </w:p>
        </w:tc>
        <w:tc>
          <w:tcPr>
            <w:tcW w:type="dxa" w:w="892"/>
            <w:vAlign w:val="top"/>
          </w:tcPr>
          <w:p>
            <w:pPr>
              <w:spacing w:after="40" w:before="0" w:line="259" w:lineRule="auto"/>
            </w:pPr>
            <w:r>
              <w:rPr>
                <w:rFonts w:ascii="Calibri" w:hAnsi="Calibri"/>
                <w:b w:val="0"/>
                <w:i w:val="0"/>
                <w:color w:val="212121"/>
                <w:sz w:val="16"/>
              </w:rPr>
              <w:t>Wood’s (UV) lamp examination</w:t>
            </w:r>
          </w:p>
        </w:tc>
        <w:tc>
          <w:tcPr>
            <w:tcW w:type="dxa" w:w="950"/>
            <w:vAlign w:val="top"/>
          </w:tcPr>
          <w:p>
            <w:pPr>
              <w:spacing w:after="40" w:before="0" w:line="259" w:lineRule="auto"/>
            </w:pPr>
            <w:r>
              <w:rPr>
                <w:rFonts w:ascii="Calibri" w:hAnsi="Calibri"/>
                <w:b w:val="0"/>
                <w:i w:val="0"/>
                <w:color w:val="212121"/>
                <w:sz w:val="16"/>
              </w:rPr>
              <w:t>No fluorescence</w:t>
            </w:r>
          </w:p>
        </w:tc>
        <w:tc>
          <w:tcPr>
            <w:tcW w:type="dxa" w:w="950"/>
            <w:vAlign w:val="top"/>
          </w:tcPr>
          <w:p>
            <w:pPr>
              <w:spacing w:after="40" w:before="0" w:line="259" w:lineRule="auto"/>
            </w:pPr>
            <w:r>
              <w:rPr>
                <w:rFonts w:ascii="Calibri" w:hAnsi="Calibri"/>
                <w:b w:val="0"/>
                <w:i w:val="0"/>
                <w:color w:val="212121"/>
                <w:sz w:val="16"/>
              </w:rPr>
              <w:t>Green/yellow-green (Microsporum); dull blue-green (favus)</w:t>
            </w:r>
          </w:p>
        </w:tc>
        <w:tc>
          <w:tcPr>
            <w:tcW w:type="dxa" w:w="1036"/>
            <w:vAlign w:val="top"/>
          </w:tcPr>
          <w:p>
            <w:pPr>
              <w:spacing w:after="40" w:before="0" w:line="259" w:lineRule="auto"/>
            </w:pPr>
            <w:r>
              <w:rPr>
                <w:rFonts w:ascii="Calibri" w:hAnsi="Calibri"/>
                <w:b w:val="0"/>
                <w:i w:val="0"/>
                <w:color w:val="212121"/>
                <w:sz w:val="16"/>
              </w:rPr>
              <w:t>Supports ectothrix Microsporum; NEGATIVE in endothrix (T. violaceum/T. tonsurans)</w:t>
            </w:r>
          </w:p>
        </w:tc>
        <w:tc>
          <w:tcPr>
            <w:tcW w:type="dxa" w:w="1036"/>
            <w:vAlign w:val="top"/>
          </w:tcPr>
          <w:p>
            <w:pPr>
              <w:spacing w:after="40" w:before="0" w:line="259" w:lineRule="auto"/>
            </w:pPr>
            <w:r>
              <w:rPr>
                <w:rFonts w:ascii="Calibri" w:hAnsi="Calibri"/>
                <w:b w:val="0"/>
                <w:i w:val="0"/>
                <w:color w:val="212121"/>
                <w:sz w:val="16"/>
              </w:rPr>
              <w:t>Suspected Microsporum; screening contacts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Low</w:t>
            </w:r>
          </w:p>
        </w:tc>
        <w:tc>
          <w:tcPr>
            <w:tcW w:type="dxa" w:w="720"/>
            <w:vAlign w:val="top"/>
          </w:tcPr>
          <w:p>
            <w:pPr>
              <w:spacing w:after="40" w:before="0" w:line="259" w:lineRule="auto"/>
            </w:pPr>
            <w:r>
              <w:rPr>
                <w:rFonts w:ascii="Calibri" w:hAnsi="Calibri"/>
                <w:b w:val="0"/>
                <w:i w:val="0"/>
                <w:color w:val="212121"/>
                <w:sz w:val="16"/>
              </w:rPr>
              <w:t>Often negative in India as T. violaceum is non-fluorescent; does not exclude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Dermoscopy</w:t>
            </w:r>
          </w:p>
        </w:tc>
        <w:tc>
          <w:tcPr>
            <w:tcW w:type="dxa" w:w="1036"/>
            <w:vAlign w:val="top"/>
          </w:tcPr>
          <w:p>
            <w:pPr>
              <w:spacing w:after="40" w:before="0" w:line="259" w:lineRule="auto"/>
            </w:pPr>
            <w:r>
              <w:rPr>
                <w:rFonts w:ascii="Calibri" w:hAnsi="Calibri"/>
                <w:b w:val="0"/>
                <w:i w:val="0"/>
                <w:color w:val="212121"/>
                <w:sz w:val="16"/>
              </w:rPr>
              <w:t>Trichoscopic hair signs</w:t>
            </w:r>
          </w:p>
        </w:tc>
        <w:tc>
          <w:tcPr>
            <w:tcW w:type="dxa" w:w="892"/>
            <w:vAlign w:val="top"/>
          </w:tcPr>
          <w:p>
            <w:pPr>
              <w:spacing w:after="40" w:before="0" w:line="259" w:lineRule="auto"/>
            </w:pPr>
            <w:r>
              <w:rPr>
                <w:rFonts w:ascii="Calibri" w:hAnsi="Calibri"/>
                <w:b w:val="0"/>
                <w:i w:val="0"/>
                <w:color w:val="212121"/>
                <w:sz w:val="16"/>
              </w:rPr>
              <w:t>Scalp dermoscopy / trichoscopy</w:t>
            </w:r>
          </w:p>
        </w:tc>
        <w:tc>
          <w:tcPr>
            <w:tcW w:type="dxa" w:w="950"/>
            <w:vAlign w:val="top"/>
          </w:tcPr>
          <w:p>
            <w:pPr>
              <w:spacing w:after="40" w:before="0" w:line="259" w:lineRule="auto"/>
            </w:pPr>
            <w:r>
              <w:rPr>
                <w:rFonts w:ascii="Calibri" w:hAnsi="Calibri"/>
                <w:b w:val="0"/>
                <w:i w:val="0"/>
                <w:color w:val="212121"/>
                <w:sz w:val="16"/>
              </w:rPr>
              <w:t>Normal hairs; no scaling</w:t>
            </w:r>
          </w:p>
        </w:tc>
        <w:tc>
          <w:tcPr>
            <w:tcW w:type="dxa" w:w="950"/>
            <w:vAlign w:val="top"/>
          </w:tcPr>
          <w:p>
            <w:pPr>
              <w:spacing w:after="40" w:before="0" w:line="259" w:lineRule="auto"/>
            </w:pPr>
            <w:r>
              <w:rPr>
                <w:rFonts w:ascii="Calibri" w:hAnsi="Calibri"/>
                <w:b w:val="0"/>
                <w:i w:val="0"/>
                <w:color w:val="212121"/>
                <w:sz w:val="16"/>
              </w:rPr>
              <w:t>Comma, corkscrew, Morse-code (barcode), zigzag &amp; broken hairs; black dots</w:t>
            </w:r>
          </w:p>
        </w:tc>
        <w:tc>
          <w:tcPr>
            <w:tcW w:type="dxa" w:w="1036"/>
            <w:vAlign w:val="top"/>
          </w:tcPr>
          <w:p>
            <w:pPr>
              <w:spacing w:after="40" w:before="0" w:line="259" w:lineRule="auto"/>
            </w:pPr>
            <w:r>
              <w:rPr>
                <w:rFonts w:ascii="Calibri" w:hAnsi="Calibri"/>
                <w:b w:val="0"/>
                <w:i w:val="0"/>
                <w:color w:val="212121"/>
                <w:sz w:val="16"/>
              </w:rPr>
              <w:t>Rapid, non-invasive supportive clue; targets sampling &amp; monitors response</w:t>
            </w:r>
          </w:p>
        </w:tc>
        <w:tc>
          <w:tcPr>
            <w:tcW w:type="dxa" w:w="1036"/>
            <w:vAlign w:val="top"/>
          </w:tcPr>
          <w:p>
            <w:pPr>
              <w:spacing w:after="40" w:before="0" w:line="259" w:lineRule="auto"/>
            </w:pPr>
            <w:r>
              <w:rPr>
                <w:rFonts w:ascii="Calibri" w:hAnsi="Calibri"/>
                <w:b w:val="0"/>
                <w:i w:val="0"/>
                <w:color w:val="212121"/>
                <w:sz w:val="16"/>
              </w:rPr>
              <w:t>All suspected cases; follow-up</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Comma/corkscrew hairs are characteristic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Dermatophyte DNA / species</w:t>
            </w:r>
          </w:p>
        </w:tc>
        <w:tc>
          <w:tcPr>
            <w:tcW w:type="dxa" w:w="892"/>
            <w:vAlign w:val="top"/>
          </w:tcPr>
          <w:p>
            <w:pPr>
              <w:spacing w:after="40" w:before="0" w:line="259" w:lineRule="auto"/>
            </w:pPr>
            <w:r>
              <w:rPr>
                <w:rFonts w:ascii="Calibri" w:hAnsi="Calibri"/>
                <w:b w:val="0"/>
                <w:i w:val="0"/>
                <w:color w:val="212121"/>
                <w:sz w:val="16"/>
              </w:rPr>
              <w:t>PCR / ITS sequencing</w:t>
            </w:r>
          </w:p>
        </w:tc>
        <w:tc>
          <w:tcPr>
            <w:tcW w:type="dxa" w:w="950"/>
            <w:vAlign w:val="top"/>
          </w:tcPr>
          <w:p>
            <w:pPr>
              <w:spacing w:after="40" w:before="0" w:line="259" w:lineRule="auto"/>
            </w:pPr>
            <w:r>
              <w:rPr>
                <w:rFonts w:ascii="Calibri" w:hAnsi="Calibri"/>
                <w:b w:val="0"/>
                <w:i w:val="0"/>
                <w:color w:val="212121"/>
                <w:sz w:val="16"/>
              </w:rPr>
              <w:t>No dermatophyte DNA</w:t>
            </w:r>
          </w:p>
        </w:tc>
        <w:tc>
          <w:tcPr>
            <w:tcW w:type="dxa" w:w="950"/>
            <w:vAlign w:val="top"/>
          </w:tcPr>
          <w:p>
            <w:pPr>
              <w:spacing w:after="40" w:before="0" w:line="259" w:lineRule="auto"/>
            </w:pPr>
            <w:r>
              <w:rPr>
                <w:rFonts w:ascii="Calibri" w:hAnsi="Calibri"/>
                <w:b w:val="0"/>
                <w:i w:val="0"/>
                <w:color w:val="212121"/>
                <w:sz w:val="16"/>
              </w:rPr>
              <w:t>Species-specific dermatophyte DNA detected</w:t>
            </w:r>
          </w:p>
        </w:tc>
        <w:tc>
          <w:tcPr>
            <w:tcW w:type="dxa" w:w="1036"/>
            <w:vAlign w:val="top"/>
          </w:tcPr>
          <w:p>
            <w:pPr>
              <w:spacing w:after="40" w:before="0" w:line="259" w:lineRule="auto"/>
            </w:pPr>
            <w:r>
              <w:rPr>
                <w:rFonts w:ascii="Calibri" w:hAnsi="Calibri"/>
                <w:b w:val="0"/>
                <w:i w:val="0"/>
                <w:color w:val="212121"/>
                <w:sz w:val="16"/>
              </w:rPr>
              <w:t>Rapid speciation when culture is slow/negative or disease atypical</w:t>
            </w:r>
          </w:p>
        </w:tc>
        <w:tc>
          <w:tcPr>
            <w:tcW w:type="dxa" w:w="1036"/>
            <w:vAlign w:val="top"/>
          </w:tcPr>
          <w:p>
            <w:pPr>
              <w:spacing w:after="40" w:before="0" w:line="259" w:lineRule="auto"/>
            </w:pPr>
            <w:r>
              <w:rPr>
                <w:rFonts w:ascii="Calibri" w:hAnsi="Calibri"/>
                <w:b w:val="0"/>
                <w:i w:val="0"/>
                <w:color w:val="212121"/>
                <w:sz w:val="16"/>
              </w:rPr>
              <w:t>Atypical, recurrent or research/epidemic settings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Low</w:t>
            </w:r>
          </w:p>
        </w:tc>
        <w:tc>
          <w:tcPr>
            <w:tcW w:type="dxa" w:w="720"/>
            <w:vAlign w:val="top"/>
          </w:tcPr>
          <w:p>
            <w:pPr>
              <w:spacing w:after="40" w:before="0" w:line="259" w:lineRule="auto"/>
            </w:pPr>
            <w:r>
              <w:rPr>
                <w:rFonts w:ascii="Calibri" w:hAnsi="Calibri"/>
                <w:b w:val="0"/>
                <w:i w:val="0"/>
                <w:color w:val="212121"/>
                <w:sz w:val="16"/>
              </w:rPr>
              <w:t>Faster than culture; not universally available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Bacteriology</w:t>
            </w:r>
          </w:p>
        </w:tc>
        <w:tc>
          <w:tcPr>
            <w:tcW w:type="dxa" w:w="1036"/>
            <w:vAlign w:val="top"/>
          </w:tcPr>
          <w:p>
            <w:pPr>
              <w:spacing w:after="40" w:before="0" w:line="259" w:lineRule="auto"/>
            </w:pPr>
            <w:r>
              <w:rPr>
                <w:rFonts w:ascii="Calibri" w:hAnsi="Calibri"/>
                <w:b w:val="0"/>
                <w:i w:val="0"/>
                <w:color w:val="212121"/>
                <w:sz w:val="16"/>
              </w:rPr>
              <w:t>Secondary bacterial infection</w:t>
            </w:r>
          </w:p>
        </w:tc>
        <w:tc>
          <w:tcPr>
            <w:tcW w:type="dxa" w:w="892"/>
            <w:vAlign w:val="top"/>
          </w:tcPr>
          <w:p>
            <w:pPr>
              <w:spacing w:after="40" w:before="0" w:line="259" w:lineRule="auto"/>
            </w:pPr>
            <w:r>
              <w:rPr>
                <w:rFonts w:ascii="Calibri" w:hAnsi="Calibri"/>
                <w:b w:val="0"/>
                <w:i w:val="0"/>
                <w:color w:val="212121"/>
                <w:sz w:val="16"/>
              </w:rPr>
              <w:t>Bacterial swab &amp; culture of kerion/pustules</w:t>
            </w:r>
          </w:p>
        </w:tc>
        <w:tc>
          <w:tcPr>
            <w:tcW w:type="dxa" w:w="950"/>
            <w:vAlign w:val="top"/>
          </w:tcPr>
          <w:p>
            <w:pPr>
              <w:spacing w:after="40" w:before="0" w:line="259" w:lineRule="auto"/>
            </w:pPr>
            <w:r>
              <w:rPr>
                <w:rFonts w:ascii="Calibri" w:hAnsi="Calibri"/>
                <w:b w:val="0"/>
                <w:i w:val="0"/>
                <w:color w:val="212121"/>
                <w:sz w:val="16"/>
              </w:rPr>
              <w:t>No pathogenic growth</w:t>
            </w:r>
          </w:p>
        </w:tc>
        <w:tc>
          <w:tcPr>
            <w:tcW w:type="dxa" w:w="950"/>
            <w:vAlign w:val="top"/>
          </w:tcPr>
          <w:p>
            <w:pPr>
              <w:spacing w:after="40" w:before="0" w:line="259" w:lineRule="auto"/>
            </w:pPr>
            <w:r>
              <w:rPr>
                <w:rFonts w:ascii="Calibri" w:hAnsi="Calibri"/>
                <w:b w:val="0"/>
                <w:i w:val="0"/>
                <w:color w:val="212121"/>
                <w:sz w:val="16"/>
              </w:rPr>
              <w:t>S. aureus / streptococci on culture</w:t>
            </w:r>
          </w:p>
        </w:tc>
        <w:tc>
          <w:tcPr>
            <w:tcW w:type="dxa" w:w="1036"/>
            <w:vAlign w:val="top"/>
          </w:tcPr>
          <w:p>
            <w:pPr>
              <w:spacing w:after="40" w:before="0" w:line="259" w:lineRule="auto"/>
            </w:pPr>
            <w:r>
              <w:rPr>
                <w:rFonts w:ascii="Calibri" w:hAnsi="Calibri"/>
                <w:b w:val="0"/>
                <w:i w:val="0"/>
                <w:color w:val="212121"/>
                <w:sz w:val="16"/>
              </w:rPr>
              <w:t>Confirms secondary infection of an inflammatory kerion</w:t>
            </w:r>
          </w:p>
        </w:tc>
        <w:tc>
          <w:tcPr>
            <w:tcW w:type="dxa" w:w="1036"/>
            <w:vAlign w:val="top"/>
          </w:tcPr>
          <w:p>
            <w:pPr>
              <w:spacing w:after="40" w:before="0" w:line="259" w:lineRule="auto"/>
            </w:pPr>
            <w:r>
              <w:rPr>
                <w:rFonts w:ascii="Calibri" w:hAnsi="Calibri"/>
                <w:b w:val="0"/>
                <w:i w:val="0"/>
                <w:color w:val="212121"/>
                <w:sz w:val="16"/>
              </w:rPr>
              <w:t>Kerion, pustular or purulent lesions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Guides adjunctive antibacterial therapy; do not incise a kerion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immune</w:t>
            </w:r>
          </w:p>
        </w:tc>
        <w:tc>
          <w:tcPr>
            <w:tcW w:type="dxa" w:w="1036"/>
            <w:vAlign w:val="top"/>
          </w:tcPr>
          <w:p>
            <w:pPr>
              <w:spacing w:after="40" w:before="0" w:line="259" w:lineRule="auto"/>
            </w:pPr>
            <w:r>
              <w:rPr>
                <w:rFonts w:ascii="Calibri" w:hAnsi="Calibri"/>
                <w:b w:val="0"/>
                <w:i w:val="0"/>
                <w:color w:val="212121"/>
                <w:sz w:val="16"/>
              </w:rPr>
              <w:t>Glucose/HbA1c &amp; immune status</w:t>
            </w:r>
          </w:p>
        </w:tc>
        <w:tc>
          <w:tcPr>
            <w:tcW w:type="dxa" w:w="892"/>
            <w:vAlign w:val="top"/>
          </w:tcPr>
          <w:p>
            <w:pPr>
              <w:spacing w:after="40" w:before="0" w:line="259" w:lineRule="auto"/>
            </w:pPr>
            <w:r>
              <w:rPr>
                <w:rFonts w:ascii="Calibri" w:hAnsi="Calibri"/>
                <w:b w:val="0"/>
                <w:i w:val="0"/>
                <w:color w:val="212121"/>
                <w:sz w:val="16"/>
              </w:rPr>
              <w:t>Glycaemic and immune screen (± HIV test)</w:t>
            </w:r>
          </w:p>
        </w:tc>
        <w:tc>
          <w:tcPr>
            <w:tcW w:type="dxa" w:w="950"/>
            <w:vAlign w:val="top"/>
          </w:tcPr>
          <w:p>
            <w:pPr>
              <w:spacing w:after="40" w:before="0" w:line="259" w:lineRule="auto"/>
            </w:pPr>
            <w:r>
              <w:rPr>
                <w:rFonts w:ascii="Calibri" w:hAnsi="Calibri"/>
                <w:b w:val="0"/>
                <w:i w:val="0"/>
                <w:color w:val="212121"/>
                <w:sz w:val="16"/>
              </w:rPr>
              <w:t>Normoglycaemic; immunocompetent</w:t>
            </w:r>
          </w:p>
        </w:tc>
        <w:tc>
          <w:tcPr>
            <w:tcW w:type="dxa" w:w="950"/>
            <w:vAlign w:val="top"/>
          </w:tcPr>
          <w:p>
            <w:pPr>
              <w:spacing w:after="40" w:before="0" w:line="259" w:lineRule="auto"/>
            </w:pPr>
            <w:r>
              <w:rPr>
                <w:rFonts w:ascii="Calibri" w:hAnsi="Calibri"/>
                <w:b w:val="0"/>
                <w:i w:val="0"/>
                <w:color w:val="212121"/>
                <w:sz w:val="16"/>
              </w:rPr>
              <w:t>Hyperglycaemia (HbA1c ≥ 6.5%); HIV-positive / immunosuppressed</w:t>
            </w:r>
          </w:p>
        </w:tc>
        <w:tc>
          <w:tcPr>
            <w:tcW w:type="dxa" w:w="1036"/>
            <w:vAlign w:val="top"/>
          </w:tcPr>
          <w:p>
            <w:pPr>
              <w:spacing w:after="40" w:before="0" w:line="259" w:lineRule="auto"/>
            </w:pPr>
            <w:r>
              <w:rPr>
                <w:rFonts w:ascii="Calibri" w:hAnsi="Calibri"/>
                <w:b w:val="0"/>
                <w:i w:val="0"/>
                <w:color w:val="212121"/>
                <w:sz w:val="16"/>
              </w:rPr>
              <w:t>Screens for the immunocompromise underlying adult disease</w:t>
            </w:r>
          </w:p>
        </w:tc>
        <w:tc>
          <w:tcPr>
            <w:tcW w:type="dxa" w:w="1036"/>
            <w:vAlign w:val="top"/>
          </w:tcPr>
          <w:p>
            <w:pPr>
              <w:spacing w:after="40" w:before="0" w:line="259" w:lineRule="auto"/>
            </w:pPr>
            <w:r>
              <w:rPr>
                <w:rFonts w:ascii="Calibri" w:hAnsi="Calibri"/>
                <w:b w:val="0"/>
                <w:i w:val="0"/>
                <w:color w:val="212121"/>
                <w:sz w:val="16"/>
              </w:rPr>
              <w:t>Adult, elderly, atypical or recalcitrant cases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80% of adult cases immunocompromised; 22.4% diabetic</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 &amp; duration</w:t>
            </w:r>
          </w:p>
        </w:tc>
        <w:tc>
          <w:tcPr>
            <w:tcW w:type="dxa" w:w="979"/>
            <w:vAlign w:val="top"/>
          </w:tcPr>
          <w:p>
            <w:pPr>
              <w:spacing w:after="40" w:before="0" w:line="259" w:lineRule="auto"/>
            </w:pPr>
            <w:r>
              <w:rPr>
                <w:rFonts w:ascii="Calibri" w:hAnsi="Calibri"/>
                <w:b w:val="0"/>
                <w:i w:val="0"/>
                <w:color w:val="212121"/>
                <w:sz w:val="16"/>
              </w:rPr>
              <w:t>Scaly patch, hair loss, black dots, itching, painful swelling</w:t>
            </w:r>
          </w:p>
        </w:tc>
        <w:tc>
          <w:tcPr>
            <w:tcW w:type="dxa" w:w="950"/>
            <w:vAlign w:val="top"/>
          </w:tcPr>
          <w:p>
            <w:pPr>
              <w:spacing w:after="40" w:before="0" w:line="259" w:lineRule="auto"/>
            </w:pPr>
            <w:r>
              <w:rPr>
                <w:rFonts w:ascii="Calibri" w:hAnsi="Calibri"/>
                <w:b w:val="0"/>
                <w:i w:val="0"/>
                <w:color w:val="212121"/>
                <w:sz w:val="16"/>
              </w:rPr>
              <w:t>No scalp lesion or hair loss</w:t>
            </w:r>
          </w:p>
        </w:tc>
        <w:tc>
          <w:tcPr>
            <w:tcW w:type="dxa" w:w="950"/>
            <w:vAlign w:val="top"/>
          </w:tcPr>
          <w:p>
            <w:pPr>
              <w:spacing w:after="40" w:before="0" w:line="259" w:lineRule="auto"/>
            </w:pPr>
            <w:r>
              <w:rPr>
                <w:rFonts w:ascii="Calibri" w:hAnsi="Calibri"/>
                <w:b w:val="0"/>
                <w:i w:val="0"/>
                <w:color w:val="212121"/>
                <w:sz w:val="16"/>
              </w:rPr>
              <w:t>Scaly alopecic patch(es), broken hairs, kerion</w:t>
            </w:r>
          </w:p>
        </w:tc>
        <w:tc>
          <w:tcPr>
            <w:tcW w:type="dxa" w:w="1036"/>
            <w:vAlign w:val="top"/>
          </w:tcPr>
          <w:p>
            <w:pPr>
              <w:spacing w:after="40" w:before="0" w:line="259" w:lineRule="auto"/>
            </w:pPr>
            <w:r>
              <w:rPr>
                <w:rFonts w:ascii="Calibri" w:hAnsi="Calibri"/>
                <w:b w:val="0"/>
                <w:i w:val="0"/>
                <w:color w:val="212121"/>
                <w:sz w:val="16"/>
              </w:rPr>
              <w:t>Establishes pattern (grey-patch/black-dot/inflammatory) and chronicity</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Ask about progression and previous treatment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&amp; transmission</w:t>
            </w:r>
          </w:p>
        </w:tc>
        <w:tc>
          <w:tcPr>
            <w:tcW w:type="dxa" w:w="979"/>
            <w:vAlign w:val="top"/>
          </w:tcPr>
          <w:p>
            <w:pPr>
              <w:spacing w:after="40" w:before="0" w:line="259" w:lineRule="auto"/>
            </w:pPr>
            <w:r>
              <w:rPr>
                <w:rFonts w:ascii="Calibri" w:hAnsi="Calibri"/>
                <w:b w:val="0"/>
                <w:i w:val="0"/>
                <w:color w:val="212121"/>
                <w:sz w:val="16"/>
              </w:rPr>
              <w:t>Shared combs/caps/pillows, barber, animal/pet contact, contact sport, affected contacts</w:t>
            </w:r>
          </w:p>
        </w:tc>
        <w:tc>
          <w:tcPr>
            <w:tcW w:type="dxa" w:w="950"/>
            <w:vAlign w:val="top"/>
          </w:tcPr>
          <w:p>
            <w:pPr>
              <w:spacing w:after="40" w:before="0" w:line="259" w:lineRule="auto"/>
            </w:pPr>
            <w:r>
              <w:rPr>
                <w:rFonts w:ascii="Calibri" w:hAnsi="Calibri"/>
                <w:b w:val="0"/>
                <w:i w:val="0"/>
                <w:color w:val="212121"/>
                <w:sz w:val="16"/>
              </w:rPr>
              <w:t>No sharing, animal or contact exposure</w:t>
            </w:r>
          </w:p>
        </w:tc>
        <w:tc>
          <w:tcPr>
            <w:tcW w:type="dxa" w:w="950"/>
            <w:vAlign w:val="top"/>
          </w:tcPr>
          <w:p>
            <w:pPr>
              <w:spacing w:after="40" w:before="0" w:line="259" w:lineRule="auto"/>
            </w:pPr>
            <w:r>
              <w:rPr>
                <w:rFonts w:ascii="Calibri" w:hAnsi="Calibri"/>
                <w:b w:val="0"/>
                <w:i w:val="0"/>
                <w:color w:val="212121"/>
                <w:sz w:val="16"/>
              </w:rPr>
              <w:t>Shared hair items, barber, pets/cattle, affected sibling/classmate</w:t>
            </w:r>
          </w:p>
        </w:tc>
        <w:tc>
          <w:tcPr>
            <w:tcW w:type="dxa" w:w="1036"/>
            <w:vAlign w:val="top"/>
          </w:tcPr>
          <w:p>
            <w:pPr>
              <w:spacing w:after="40" w:before="0" w:line="259" w:lineRule="auto"/>
            </w:pPr>
            <w:r>
              <w:rPr>
                <w:rFonts w:ascii="Calibri" w:hAnsi="Calibri"/>
                <w:b w:val="0"/>
                <w:i w:val="0"/>
                <w:color w:val="212121"/>
                <w:sz w:val="16"/>
              </w:rPr>
              <w:t>Identifies source and modifiable transmission routes</w:t>
            </w:r>
          </w:p>
        </w:tc>
        <w:tc>
          <w:tcPr>
            <w:tcW w:type="dxa" w:w="1036"/>
            <w:vAlign w:val="top"/>
          </w:tcPr>
          <w:p>
            <w:pPr>
              <w:spacing w:after="40" w:before="0" w:line="259" w:lineRule="auto"/>
            </w:pPr>
            <w:r>
              <w:rPr>
                <w:rFonts w:ascii="Calibri" w:hAnsi="Calibri"/>
                <w:b w:val="0"/>
                <w:i w:val="0"/>
                <w:color w:val="212121"/>
                <w:sz w:val="16"/>
              </w:rPr>
              <w:t>Crowded homes, rural/pet-owning, athletes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62% share combs; 14% animal contact in Indian series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Prior treatment &amp; host factors</w:t>
            </w:r>
          </w:p>
        </w:tc>
        <w:tc>
          <w:tcPr>
            <w:tcW w:type="dxa" w:w="979"/>
            <w:vAlign w:val="top"/>
          </w:tcPr>
          <w:p>
            <w:pPr>
              <w:spacing w:after="40" w:before="0" w:line="259" w:lineRule="auto"/>
            </w:pPr>
            <w:r>
              <w:rPr>
                <w:rFonts w:ascii="Calibri" w:hAnsi="Calibri"/>
                <w:b w:val="0"/>
                <w:i w:val="0"/>
                <w:color w:val="212121"/>
                <w:sz w:val="16"/>
              </w:rPr>
              <w:t>Previous antifungal/steroid creams, recurrence; immunosuppression, diabetes, age</w:t>
            </w:r>
          </w:p>
        </w:tc>
        <w:tc>
          <w:tcPr>
            <w:tcW w:type="dxa" w:w="950"/>
            <w:vAlign w:val="top"/>
          </w:tcPr>
          <w:p>
            <w:pPr>
              <w:spacing w:after="40" w:before="0" w:line="259" w:lineRule="auto"/>
            </w:pPr>
            <w:r>
              <w:rPr>
                <w:rFonts w:ascii="Calibri" w:hAnsi="Calibri"/>
                <w:b w:val="0"/>
                <w:i w:val="0"/>
                <w:color w:val="212121"/>
                <w:sz w:val="16"/>
              </w:rPr>
              <w:t>No steroid misuse; immunocompetent child</w:t>
            </w:r>
          </w:p>
        </w:tc>
        <w:tc>
          <w:tcPr>
            <w:tcW w:type="dxa" w:w="950"/>
            <w:vAlign w:val="top"/>
          </w:tcPr>
          <w:p>
            <w:pPr>
              <w:spacing w:after="40" w:before="0" w:line="259" w:lineRule="auto"/>
            </w:pPr>
            <w:r>
              <w:rPr>
                <w:rFonts w:ascii="Calibri" w:hAnsi="Calibri"/>
                <w:b w:val="0"/>
                <w:i w:val="0"/>
                <w:color w:val="212121"/>
                <w:sz w:val="16"/>
              </w:rPr>
              <w:t>Prior topical steroids; adult/immunocompromised; recurrent</w:t>
            </w:r>
          </w:p>
        </w:tc>
        <w:tc>
          <w:tcPr>
            <w:tcW w:type="dxa" w:w="1036"/>
            <w:vAlign w:val="top"/>
          </w:tcPr>
          <w:p>
            <w:pPr>
              <w:spacing w:after="40" w:before="0" w:line="259" w:lineRule="auto"/>
            </w:pPr>
            <w:r>
              <w:rPr>
                <w:rFonts w:ascii="Calibri" w:hAnsi="Calibri"/>
                <w:b w:val="0"/>
                <w:i w:val="0"/>
                <w:color w:val="212121"/>
                <w:sz w:val="16"/>
              </w:rPr>
              <w:t>Flags steroid-modified disease and adult immunosuppression</w:t>
            </w:r>
          </w:p>
        </w:tc>
        <w:tc>
          <w:tcPr>
            <w:tcW w:type="dxa" w:w="1036"/>
            <w:vAlign w:val="top"/>
          </w:tcPr>
          <w:p>
            <w:pPr>
              <w:spacing w:after="40" w:before="0" w:line="259" w:lineRule="auto"/>
            </w:pPr>
            <w:r>
              <w:rPr>
                <w:rFonts w:ascii="Calibri" w:hAnsi="Calibri"/>
                <w:b w:val="0"/>
                <w:i w:val="0"/>
                <w:color w:val="212121"/>
                <w:sz w:val="16"/>
              </w:rPr>
              <w:t>Adults, immunocompromised, recalcitrant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Topical steroids blur the picture; topical antifungals alone fail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Scalp pattern &amp; hairs</w:t>
            </w:r>
          </w:p>
        </w:tc>
        <w:tc>
          <w:tcPr>
            <w:tcW w:type="dxa" w:w="979"/>
            <w:vAlign w:val="top"/>
          </w:tcPr>
          <w:p>
            <w:pPr>
              <w:spacing w:after="40" w:before="0" w:line="259" w:lineRule="auto"/>
            </w:pPr>
            <w:r>
              <w:rPr>
                <w:rFonts w:ascii="Calibri" w:hAnsi="Calibri"/>
                <w:b w:val="0"/>
                <w:i w:val="0"/>
                <w:color w:val="212121"/>
                <w:sz w:val="16"/>
              </w:rPr>
              <w:t>Grey scaly patch, black dots, broken hairs, diffuse scaling</w:t>
            </w:r>
          </w:p>
        </w:tc>
        <w:tc>
          <w:tcPr>
            <w:tcW w:type="dxa" w:w="950"/>
            <w:vAlign w:val="top"/>
          </w:tcPr>
          <w:p>
            <w:pPr>
              <w:spacing w:after="40" w:before="0" w:line="259" w:lineRule="auto"/>
            </w:pPr>
            <w:r>
              <w:rPr>
                <w:rFonts w:ascii="Calibri" w:hAnsi="Calibri"/>
                <w:b w:val="0"/>
                <w:i w:val="0"/>
                <w:color w:val="212121"/>
                <w:sz w:val="16"/>
              </w:rPr>
              <w:t>Normal scalp and hair</w:t>
            </w:r>
          </w:p>
        </w:tc>
        <w:tc>
          <w:tcPr>
            <w:tcW w:type="dxa" w:w="950"/>
            <w:vAlign w:val="top"/>
          </w:tcPr>
          <w:p>
            <w:pPr>
              <w:spacing w:after="40" w:before="0" w:line="259" w:lineRule="auto"/>
            </w:pPr>
            <w:r>
              <w:rPr>
                <w:rFonts w:ascii="Calibri" w:hAnsi="Calibri"/>
                <w:b w:val="0"/>
                <w:i w:val="0"/>
                <w:color w:val="212121"/>
                <w:sz w:val="16"/>
              </w:rPr>
              <w:t>Well-demarcated scaly alopecia with black dots or grey hairs</w:t>
            </w:r>
          </w:p>
        </w:tc>
        <w:tc>
          <w:tcPr>
            <w:tcW w:type="dxa" w:w="1036"/>
            <w:vAlign w:val="top"/>
          </w:tcPr>
          <w:p>
            <w:pPr>
              <w:spacing w:after="40" w:before="0" w:line="259" w:lineRule="auto"/>
            </w:pPr>
            <w:r>
              <w:rPr>
                <w:rFonts w:ascii="Calibri" w:hAnsi="Calibri"/>
                <w:b w:val="0"/>
                <w:i w:val="0"/>
                <w:color w:val="212121"/>
                <w:sz w:val="16"/>
              </w:rPr>
              <w:t>Confirms non-inflammatory pattern &amp; guides sampling site</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Black dots indicate endothrix (T. violaceum/T. tonsurans)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Inflammatory features</w:t>
            </w:r>
          </w:p>
        </w:tc>
        <w:tc>
          <w:tcPr>
            <w:tcW w:type="dxa" w:w="979"/>
            <w:vAlign w:val="top"/>
          </w:tcPr>
          <w:p>
            <w:pPr>
              <w:spacing w:after="40" w:before="0" w:line="259" w:lineRule="auto"/>
            </w:pPr>
            <w:r>
              <w:rPr>
                <w:rFonts w:ascii="Calibri" w:hAnsi="Calibri"/>
                <w:b w:val="0"/>
                <w:i w:val="0"/>
                <w:color w:val="212121"/>
                <w:sz w:val="16"/>
              </w:rPr>
              <w:t>Kerion (boggy tender plaque), pustules, crusting, scutula, mousy odour</w:t>
            </w:r>
          </w:p>
        </w:tc>
        <w:tc>
          <w:tcPr>
            <w:tcW w:type="dxa" w:w="950"/>
            <w:vAlign w:val="top"/>
          </w:tcPr>
          <w:p>
            <w:pPr>
              <w:spacing w:after="40" w:before="0" w:line="259" w:lineRule="auto"/>
            </w:pPr>
            <w:r>
              <w:rPr>
                <w:rFonts w:ascii="Calibri" w:hAnsi="Calibri"/>
                <w:b w:val="0"/>
                <w:i w:val="0"/>
                <w:color w:val="212121"/>
                <w:sz w:val="16"/>
              </w:rPr>
              <w:t>No inflammation</w:t>
            </w:r>
          </w:p>
        </w:tc>
        <w:tc>
          <w:tcPr>
            <w:tcW w:type="dxa" w:w="950"/>
            <w:vAlign w:val="top"/>
          </w:tcPr>
          <w:p>
            <w:pPr>
              <w:spacing w:after="40" w:before="0" w:line="259" w:lineRule="auto"/>
            </w:pPr>
            <w:r>
              <w:rPr>
                <w:rFonts w:ascii="Calibri" w:hAnsi="Calibri"/>
                <w:b w:val="0"/>
                <w:i w:val="0"/>
                <w:color w:val="212121"/>
                <w:sz w:val="16"/>
              </w:rPr>
              <w:t>Kerion/pustules or yellow scutula (favus)</w:t>
            </w:r>
          </w:p>
        </w:tc>
        <w:tc>
          <w:tcPr>
            <w:tcW w:type="dxa" w:w="1036"/>
            <w:vAlign w:val="top"/>
          </w:tcPr>
          <w:p>
            <w:pPr>
              <w:spacing w:after="40" w:before="0" w:line="259" w:lineRule="auto"/>
            </w:pPr>
            <w:r>
              <w:rPr>
                <w:rFonts w:ascii="Calibri" w:hAnsi="Calibri"/>
                <w:b w:val="0"/>
                <w:i w:val="0"/>
                <w:color w:val="212121"/>
                <w:sz w:val="16"/>
              </w:rPr>
              <w:t>Identifies inflammatory kerion/favus at risk of scarring alopecia</w:t>
            </w:r>
          </w:p>
        </w:tc>
        <w:tc>
          <w:tcPr>
            <w:tcW w:type="dxa" w:w="1036"/>
            <w:vAlign w:val="top"/>
          </w:tcPr>
          <w:p>
            <w:pPr>
              <w:spacing w:after="40" w:before="0" w:line="259" w:lineRule="auto"/>
            </w:pPr>
            <w:r>
              <w:rPr>
                <w:rFonts w:ascii="Calibri" w:hAnsi="Calibri"/>
                <w:b w:val="0"/>
                <w:i w:val="0"/>
                <w:color w:val="212121"/>
                <w:sz w:val="16"/>
              </w:rPr>
              <w:t>Zoophilic/animal-contact &amp; favus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Kerion in ~13.5% of Indian children; needs prompt systemic therapy ± steroid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Regional lymph nodes</w:t>
            </w:r>
          </w:p>
        </w:tc>
        <w:tc>
          <w:tcPr>
            <w:tcW w:type="dxa" w:w="979"/>
            <w:vAlign w:val="top"/>
          </w:tcPr>
          <w:p>
            <w:pPr>
              <w:spacing w:after="40" w:before="0" w:line="259" w:lineRule="auto"/>
            </w:pPr>
            <w:r>
              <w:rPr>
                <w:rFonts w:ascii="Calibri" w:hAnsi="Calibri"/>
                <w:b w:val="0"/>
                <w:i w:val="0"/>
                <w:color w:val="212121"/>
                <w:sz w:val="16"/>
              </w:rPr>
              <w:t>Occipital / posterior-cervical / post-auricular lymphadenopathy</w:t>
            </w:r>
          </w:p>
        </w:tc>
        <w:tc>
          <w:tcPr>
            <w:tcW w:type="dxa" w:w="950"/>
            <w:vAlign w:val="top"/>
          </w:tcPr>
          <w:p>
            <w:pPr>
              <w:spacing w:after="40" w:before="0" w:line="259" w:lineRule="auto"/>
            </w:pPr>
            <w:r>
              <w:rPr>
                <w:rFonts w:ascii="Calibri" w:hAnsi="Calibri"/>
                <w:b w:val="0"/>
                <w:i w:val="0"/>
                <w:color w:val="212121"/>
                <w:sz w:val="16"/>
              </w:rPr>
              <w:t>No palpable nodes</w:t>
            </w:r>
          </w:p>
        </w:tc>
        <w:tc>
          <w:tcPr>
            <w:tcW w:type="dxa" w:w="950"/>
            <w:vAlign w:val="top"/>
          </w:tcPr>
          <w:p>
            <w:pPr>
              <w:spacing w:after="40" w:before="0" w:line="259" w:lineRule="auto"/>
            </w:pPr>
            <w:r>
              <w:rPr>
                <w:rFonts w:ascii="Calibri" w:hAnsi="Calibri"/>
                <w:b w:val="0"/>
                <w:i w:val="0"/>
                <w:color w:val="212121"/>
                <w:sz w:val="16"/>
              </w:rPr>
              <w:t>Tender enlarged occipital/cervical nodes</w:t>
            </w:r>
          </w:p>
        </w:tc>
        <w:tc>
          <w:tcPr>
            <w:tcW w:type="dxa" w:w="1036"/>
            <w:vAlign w:val="top"/>
          </w:tcPr>
          <w:p>
            <w:pPr>
              <w:spacing w:after="40" w:before="0" w:line="259" w:lineRule="auto"/>
            </w:pPr>
            <w:r>
              <w:rPr>
                <w:rFonts w:ascii="Calibri" w:hAnsi="Calibri"/>
                <w:b w:val="0"/>
                <w:i w:val="0"/>
                <w:color w:val="212121"/>
                <w:sz w:val="16"/>
              </w:rPr>
              <w:t>Supports tinea capitis; its absence makes the diagnosis unlikely</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 classic, clinically useful supportive sign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Other sites &amp; id reaction</w:t>
            </w:r>
          </w:p>
        </w:tc>
        <w:tc>
          <w:tcPr>
            <w:tcW w:type="dxa" w:w="979"/>
            <w:vAlign w:val="top"/>
          </w:tcPr>
          <w:p>
            <w:pPr>
              <w:spacing w:after="40" w:before="0" w:line="259" w:lineRule="auto"/>
            </w:pPr>
            <w:r>
              <w:rPr>
                <w:rFonts w:ascii="Calibri" w:hAnsi="Calibri"/>
                <w:b w:val="0"/>
                <w:i w:val="0"/>
                <w:color w:val="212121"/>
                <w:sz w:val="16"/>
              </w:rPr>
              <w:t>Tinea corporis/faciei; distant itchy vesicular/papular (id) rash</w:t>
            </w:r>
          </w:p>
        </w:tc>
        <w:tc>
          <w:tcPr>
            <w:tcW w:type="dxa" w:w="950"/>
            <w:vAlign w:val="top"/>
          </w:tcPr>
          <w:p>
            <w:pPr>
              <w:spacing w:after="40" w:before="0" w:line="259" w:lineRule="auto"/>
            </w:pPr>
            <w:r>
              <w:rPr>
                <w:rFonts w:ascii="Calibri" w:hAnsi="Calibri"/>
                <w:b w:val="0"/>
                <w:i w:val="0"/>
                <w:color w:val="212121"/>
                <w:sz w:val="16"/>
              </w:rPr>
              <w:t>No other lesions</w:t>
            </w:r>
          </w:p>
        </w:tc>
        <w:tc>
          <w:tcPr>
            <w:tcW w:type="dxa" w:w="950"/>
            <w:vAlign w:val="top"/>
          </w:tcPr>
          <w:p>
            <w:pPr>
              <w:spacing w:after="40" w:before="0" w:line="259" w:lineRule="auto"/>
            </w:pPr>
            <w:r>
              <w:rPr>
                <w:rFonts w:ascii="Calibri" w:hAnsi="Calibri"/>
                <w:b w:val="0"/>
                <w:i w:val="0"/>
                <w:color w:val="212121"/>
                <w:sz w:val="16"/>
              </w:rPr>
              <w:t>Body/face ringworm; dermatophytid eruption</w:t>
            </w:r>
          </w:p>
        </w:tc>
        <w:tc>
          <w:tcPr>
            <w:tcW w:type="dxa" w:w="1036"/>
            <w:vAlign w:val="top"/>
          </w:tcPr>
          <w:p>
            <w:pPr>
              <w:spacing w:after="40" w:before="0" w:line="259" w:lineRule="auto"/>
            </w:pPr>
            <w:r>
              <w:rPr>
                <w:rFonts w:ascii="Calibri" w:hAnsi="Calibri"/>
                <w:b w:val="0"/>
                <w:i w:val="0"/>
                <w:color w:val="212121"/>
                <w:sz w:val="16"/>
              </w:rPr>
              <w:t>Detects concurrent dermatophytosis and immune id reaction</w:t>
            </w:r>
          </w:p>
        </w:tc>
        <w:tc>
          <w:tcPr>
            <w:tcW w:type="dxa" w:w="1036"/>
            <w:vAlign w:val="top"/>
          </w:tcPr>
          <w:p>
            <w:pPr>
              <w:spacing w:after="40" w:before="0" w:line="259" w:lineRule="auto"/>
            </w:pPr>
            <w:r>
              <w:rPr>
                <w:rFonts w:ascii="Calibri" w:hAnsi="Calibri"/>
                <w:b w:val="0"/>
                <w:i w:val="0"/>
                <w:color w:val="212121"/>
                <w:sz w:val="16"/>
              </w:rPr>
              <w:t>All patients, especially on starting therapy</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Id reaction may flare after starting antifungals; do not stop treatment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Scaly, flaky patches on the scalp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Round or irregular areas of scaling that can resemble severe dandruff.</w:t>
            </w:r>
          </w:p>
        </w:tc>
      </w:tr>
      <w:tr>
        <w:trPr>
          <w:cantSplit/>
        </w:trPr>
        <w:tc>
          <w:tcPr>
            <w:tcW w:type="dxa" w:w="2304"/>
            <w:vAlign w:val="top"/>
          </w:tcPr>
          <w:p>
            <w:pPr>
              <w:spacing w:after="40" w:before="0" w:line="259" w:lineRule="auto"/>
            </w:pPr>
            <w:r>
              <w:rPr>
                <w:rFonts w:ascii="Calibri" w:hAnsi="Calibri"/>
                <w:b/>
                <w:i w:val="0"/>
                <w:color w:val="212121"/>
                <w:sz w:val="19"/>
              </w:rPr>
              <w:t>Patchy hair loss (alopecia)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One or more bald or thinning patches within the scaly areas.</w:t>
            </w:r>
          </w:p>
        </w:tc>
      </w:tr>
      <w:tr>
        <w:trPr>
          <w:cantSplit/>
        </w:trPr>
        <w:tc>
          <w:tcPr>
            <w:tcW w:type="dxa" w:w="2304"/>
            <w:vAlign w:val="top"/>
          </w:tcPr>
          <w:p>
            <w:pPr>
              <w:spacing w:after="40" w:before="0" w:line="259" w:lineRule="auto"/>
            </w:pPr>
            <w:r>
              <w:rPr>
                <w:rFonts w:ascii="Calibri" w:hAnsi="Calibri"/>
                <w:b/>
                <w:i w:val="0"/>
                <w:color w:val="212121"/>
                <w:sz w:val="19"/>
              </w:rPr>
              <w:t>Broken hairs / black dots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Hairs snap at the scalp surface leaving black dots — the hallmark of endothrix (T. violaceum) disease.</w:t>
            </w:r>
          </w:p>
        </w:tc>
      </w:tr>
      <w:tr>
        <w:trPr>
          <w:cantSplit/>
        </w:trPr>
        <w:tc>
          <w:tcPr>
            <w:tcW w:type="dxa" w:w="2304"/>
            <w:vAlign w:val="top"/>
          </w:tcPr>
          <w:p>
            <w:pPr>
              <w:spacing w:after="40" w:before="0" w:line="259" w:lineRule="auto"/>
            </w:pPr>
            <w:r>
              <w:rPr>
                <w:rFonts w:ascii="Calibri" w:hAnsi="Calibri"/>
                <w:b/>
                <w:i w:val="0"/>
                <w:color w:val="212121"/>
                <w:sz w:val="19"/>
              </w:rPr>
              <w:t>Itching of the scalp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Variable itch over affected patches, sometimes with soreness.</w:t>
            </w:r>
          </w:p>
        </w:tc>
      </w:tr>
      <w:tr>
        <w:trPr>
          <w:cantSplit/>
        </w:trPr>
        <w:tc>
          <w:tcPr>
            <w:tcW w:type="dxa" w:w="2304"/>
            <w:vAlign w:val="top"/>
          </w:tcPr>
          <w:p>
            <w:pPr>
              <w:spacing w:after="40" w:before="0" w:line="259" w:lineRule="auto"/>
            </w:pPr>
            <w:r>
              <w:rPr>
                <w:rFonts w:ascii="Calibri" w:hAnsi="Calibri"/>
                <w:b/>
                <w:i w:val="0"/>
                <w:color w:val="212121"/>
                <w:sz w:val="19"/>
              </w:rPr>
              <w:t>Tender lumps in the neck / behind the ears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Occipital or posterior-cervical lymph node enlargement accompanying scalp infection.</w:t>
            </w:r>
          </w:p>
        </w:tc>
      </w:tr>
      <w:tr>
        <w:trPr>
          <w:cantSplit/>
        </w:trPr>
        <w:tc>
          <w:tcPr>
            <w:tcW w:type="dxa" w:w="2304"/>
            <w:vAlign w:val="top"/>
          </w:tcPr>
          <w:p>
            <w:pPr>
              <w:spacing w:after="40" w:before="0" w:line="259" w:lineRule="auto"/>
            </w:pPr>
            <w:r>
              <w:rPr>
                <w:rFonts w:ascii="Calibri" w:hAnsi="Calibri"/>
                <w:b/>
                <w:i w:val="0"/>
                <w:color w:val="212121"/>
                <w:sz w:val="19"/>
              </w:rPr>
              <w:t>Painful, boggy swelling of the scalp (kerion)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tender, inflamed, pus-studded mass from a strong immune reaction, risking permanent hair loss.</w:t>
            </w:r>
          </w:p>
        </w:tc>
      </w:tr>
      <w:tr>
        <w:trPr>
          <w:cantSplit/>
        </w:trPr>
        <w:tc>
          <w:tcPr>
            <w:tcW w:type="dxa" w:w="2304"/>
            <w:vAlign w:val="top"/>
          </w:tcPr>
          <w:p>
            <w:pPr>
              <w:spacing w:after="40" w:before="0" w:line="259" w:lineRule="auto"/>
            </w:pPr>
            <w:r>
              <w:rPr>
                <w:rFonts w:ascii="Calibri" w:hAnsi="Calibri"/>
                <w:b/>
                <w:i w:val="0"/>
                <w:color w:val="212121"/>
                <w:sz w:val="19"/>
              </w:rPr>
              <w:t>Pustules or oozing/crusting on the scalp</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Follicular pustules, weeping and yellow crusts, especially in inflammatory or animal-acquired disease.</w:t>
            </w:r>
          </w:p>
        </w:tc>
      </w:tr>
      <w:tr>
        <w:trPr>
          <w:cantSplit/>
        </w:trPr>
        <w:tc>
          <w:tcPr>
            <w:tcW w:type="dxa" w:w="2304"/>
            <w:vAlign w:val="top"/>
          </w:tcPr>
          <w:p>
            <w:pPr>
              <w:spacing w:after="40" w:before="0" w:line="259" w:lineRule="auto"/>
            </w:pPr>
            <w:r>
              <w:rPr>
                <w:rFonts w:ascii="Calibri" w:hAnsi="Calibri"/>
                <w:b/>
                <w:i w:val="0"/>
                <w:color w:val="212121"/>
                <w:sz w:val="19"/>
              </w:rPr>
              <w:t>Widespread itchy rash on the body (id reaction)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distant, fungus-free dermatophytid eruption that may flare after starting antifungal therapy.</w:t>
            </w:r>
          </w:p>
        </w:tc>
      </w:tr>
      <w:tr>
        <w:trPr>
          <w:cantSplit/>
        </w:trPr>
        <w:tc>
          <w:tcPr>
            <w:tcW w:type="dxa" w:w="2304"/>
            <w:vAlign w:val="top"/>
          </w:tcPr>
          <w:p>
            <w:pPr>
              <w:spacing w:after="40" w:before="0" w:line="259" w:lineRule="auto"/>
            </w:pPr>
            <w:r>
              <w:rPr>
                <w:rFonts w:ascii="Calibri" w:hAnsi="Calibri"/>
                <w:b/>
                <w:i w:val="0"/>
                <w:color w:val="212121"/>
                <w:sz w:val="19"/>
              </w:rPr>
              <w:t>Yellow cup-shaped crusts with a mousy odour (favus)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Scutula around hair shafts in chronic favus, leading to scarring.</w:t>
            </w:r>
          </w:p>
        </w:tc>
      </w:tr>
      <w:tr>
        <w:trPr>
          <w:cantSplit/>
        </w:trPr>
        <w:tc>
          <w:tcPr>
            <w:tcW w:type="dxa" w:w="2304"/>
            <w:vAlign w:val="top"/>
          </w:tcPr>
          <w:p>
            <w:pPr>
              <w:spacing w:after="40" w:before="0" w:line="259" w:lineRule="auto"/>
            </w:pPr>
            <w:r>
              <w:rPr>
                <w:rFonts w:ascii="Calibri" w:hAnsi="Calibri"/>
                <w:b/>
                <w:i w:val="0"/>
                <w:color w:val="212121"/>
                <w:sz w:val="19"/>
              </w:rPr>
              <w:t>Fever, malaise and marked tenderness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Can accompany a large, secondarily infected kerion.</w:t>
            </w:r>
          </w:p>
        </w:tc>
      </w:tr>
      <w:tr>
        <w:trPr>
          <w:cantSplit/>
        </w:trPr>
        <w:tc>
          <w:tcPr>
            <w:tcW w:type="dxa" w:w="2304"/>
            <w:vAlign w:val="top"/>
          </w:tcPr>
          <w:p>
            <w:pPr>
              <w:spacing w:after="40" w:before="0" w:line="259" w:lineRule="auto"/>
            </w:pPr>
            <w:r>
              <w:rPr>
                <w:rFonts w:ascii="Calibri" w:hAnsi="Calibri"/>
                <w:b/>
                <w:i w:val="0"/>
                <w:color w:val="212121"/>
                <w:sz w:val="19"/>
              </w:rPr>
              <w:t>Permanent bald, scarred patch</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Follows untreated or severe inflammatory kerion/favus — an outcome, warning of delayed treatment.</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Well-demarcated scaly patch of alopecia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basic lesion — scaling with hair loss, single or multiple.</w:t>
            </w:r>
          </w:p>
        </w:tc>
      </w:tr>
      <w:tr>
        <w:trPr>
          <w:cantSplit/>
        </w:trPr>
        <w:tc>
          <w:tcPr>
            <w:tcW w:type="dxa" w:w="3456"/>
            <w:vAlign w:val="top"/>
          </w:tcPr>
          <w:p>
            <w:pPr>
              <w:spacing w:after="40" w:before="0" w:line="259" w:lineRule="auto"/>
            </w:pPr>
            <w:r>
              <w:rPr>
                <w:rFonts w:ascii="Calibri" w:hAnsi="Calibri"/>
                <w:b/>
                <w:i w:val="0"/>
                <w:color w:val="212121"/>
                <w:sz w:val="19"/>
              </w:rPr>
              <w:t>Black dots (broken hairs at the surface)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Endothrix hairs break flush with the scalp; classic of T. violaceum / T. tonsurans.</w:t>
            </w:r>
          </w:p>
        </w:tc>
      </w:tr>
      <w:tr>
        <w:trPr>
          <w:cantSplit/>
        </w:trPr>
        <w:tc>
          <w:tcPr>
            <w:tcW w:type="dxa" w:w="3456"/>
            <w:vAlign w:val="top"/>
          </w:tcPr>
          <w:p>
            <w:pPr>
              <w:spacing w:after="40" w:before="0" w:line="259" w:lineRule="auto"/>
            </w:pPr>
            <w:r>
              <w:rPr>
                <w:rFonts w:ascii="Calibri" w:hAnsi="Calibri"/>
                <w:b/>
                <w:i w:val="0"/>
                <w:color w:val="212121"/>
                <w:sz w:val="19"/>
              </w:rPr>
              <w:t>Grey patch with dull, lustreless hairs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Fine grey scaling coating hairs broken a few millimetres up — typical of Microsporum ectothrix.</w:t>
            </w:r>
          </w:p>
        </w:tc>
      </w:tr>
      <w:tr>
        <w:trPr>
          <w:cantSplit/>
        </w:trPr>
        <w:tc>
          <w:tcPr>
            <w:tcW w:type="dxa" w:w="3456"/>
            <w:vAlign w:val="top"/>
          </w:tcPr>
          <w:p>
            <w:pPr>
              <w:spacing w:after="40" w:before="0" w:line="259" w:lineRule="auto"/>
            </w:pPr>
            <w:r>
              <w:rPr>
                <w:rFonts w:ascii="Calibri" w:hAnsi="Calibri"/>
                <w:b/>
                <w:i w:val="0"/>
                <w:color w:val="212121"/>
                <w:sz w:val="19"/>
              </w:rPr>
              <w:t>Occipital / posterior-cervical lymphadenopathy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Tender regional nodes; a useful supportive sign whose absence argues against tinea capitis.</w:t>
            </w:r>
          </w:p>
        </w:tc>
      </w:tr>
      <w:tr>
        <w:trPr>
          <w:cantSplit/>
        </w:trPr>
        <w:tc>
          <w:tcPr>
            <w:tcW w:type="dxa" w:w="3456"/>
            <w:vAlign w:val="top"/>
          </w:tcPr>
          <w:p>
            <w:pPr>
              <w:spacing w:after="40" w:before="0" w:line="259" w:lineRule="auto"/>
            </w:pPr>
            <w:r>
              <w:rPr>
                <w:rFonts w:ascii="Calibri" w:hAnsi="Calibri"/>
                <w:b/>
                <w:i w:val="0"/>
                <w:color w:val="212121"/>
                <w:sz w:val="19"/>
              </w:rPr>
              <w:t>Positive KOH microscopy (endothrix/ectothrix spores)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Hyphae and arthrospores within or around the hair shaft confirm the diagnosis at the bedside.</w:t>
            </w:r>
          </w:p>
        </w:tc>
      </w:tr>
      <w:tr>
        <w:trPr>
          <w:cantSplit/>
        </w:trPr>
        <w:tc>
          <w:tcPr>
            <w:tcW w:type="dxa" w:w="3456"/>
            <w:vAlign w:val="top"/>
          </w:tcPr>
          <w:p>
            <w:pPr>
              <w:spacing w:after="40" w:before="0" w:line="259" w:lineRule="auto"/>
            </w:pPr>
            <w:r>
              <w:rPr>
                <w:rFonts w:ascii="Calibri" w:hAnsi="Calibri"/>
                <w:b/>
                <w:i w:val="0"/>
                <w:color w:val="212121"/>
                <w:sz w:val="19"/>
              </w:rPr>
              <w:t>Trichoscopy: comma, corkscrew, Morse-code &amp; zigzag hairs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Characteristic dermoscopic hair deformities that support the diagnosis non-invasively.</w:t>
            </w:r>
          </w:p>
        </w:tc>
      </w:tr>
      <w:tr>
        <w:trPr>
          <w:cantSplit/>
        </w:trPr>
        <w:tc>
          <w:tcPr>
            <w:tcW w:type="dxa" w:w="3456"/>
            <w:vAlign w:val="top"/>
          </w:tcPr>
          <w:p>
            <w:pPr>
              <w:spacing w:after="40" w:before="0" w:line="259" w:lineRule="auto"/>
            </w:pPr>
            <w:r>
              <w:rPr>
                <w:rFonts w:ascii="Calibri" w:hAnsi="Calibri"/>
                <w:b/>
                <w:i w:val="0"/>
                <w:color w:val="212121"/>
                <w:sz w:val="19"/>
              </w:rPr>
              <w:t>Kerion — boggy, tender, pustular inflammatory plaque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Delayed hypersensitivity mass with matted hairs and pus; high risk of scarring alopecia.</w:t>
            </w:r>
          </w:p>
        </w:tc>
      </w:tr>
      <w:tr>
        <w:trPr>
          <w:cantSplit/>
        </w:trPr>
        <w:tc>
          <w:tcPr>
            <w:tcW w:type="dxa" w:w="3456"/>
            <w:vAlign w:val="top"/>
          </w:tcPr>
          <w:p>
            <w:pPr>
              <w:spacing w:after="40" w:before="0" w:line="259" w:lineRule="auto"/>
            </w:pPr>
            <w:r>
              <w:rPr>
                <w:rFonts w:ascii="Calibri" w:hAnsi="Calibri"/>
                <w:b/>
                <w:i w:val="0"/>
                <w:color w:val="212121"/>
                <w:sz w:val="19"/>
              </w:rPr>
              <w:t>Diffuse scaling / seborrhoeic-like pattern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Subtle widespread scaling with little hair loss; a common source of the carrier state.</w:t>
            </w:r>
          </w:p>
        </w:tc>
      </w:tr>
      <w:tr>
        <w:trPr>
          <w:cantSplit/>
        </w:trPr>
        <w:tc>
          <w:tcPr>
            <w:tcW w:type="dxa" w:w="3456"/>
            <w:vAlign w:val="top"/>
          </w:tcPr>
          <w:p>
            <w:pPr>
              <w:spacing w:after="40" w:before="0" w:line="259" w:lineRule="auto"/>
            </w:pPr>
            <w:r>
              <w:rPr>
                <w:rFonts w:ascii="Calibri" w:hAnsi="Calibri"/>
                <w:b/>
                <w:i w:val="0"/>
                <w:color w:val="212121"/>
                <w:sz w:val="19"/>
              </w:rPr>
              <w:t>Green fluorescence under Wood’s lamp</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Bright green/yellow-green in Microsporum (ectothrix); usually absent in India’s T. violaceum disease.</w:t>
            </w:r>
          </w:p>
        </w:tc>
      </w:tr>
      <w:tr>
        <w:trPr>
          <w:cantSplit/>
        </w:trPr>
        <w:tc>
          <w:tcPr>
            <w:tcW w:type="dxa" w:w="3456"/>
            <w:vAlign w:val="top"/>
          </w:tcPr>
          <w:p>
            <w:pPr>
              <w:spacing w:after="40" w:before="0" w:line="259" w:lineRule="auto"/>
            </w:pPr>
            <w:r>
              <w:rPr>
                <w:rFonts w:ascii="Calibri" w:hAnsi="Calibri"/>
                <w:b/>
                <w:i w:val="0"/>
                <w:color w:val="212121"/>
                <w:sz w:val="19"/>
              </w:rPr>
              <w:t>Scutula (yellow cup-shaped crusts)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Pathognomonic of favus (T. schoenleinii), with a mousy odour and progressive scarring.</w:t>
            </w:r>
          </w:p>
        </w:tc>
      </w:tr>
      <w:tr>
        <w:trPr>
          <w:cantSplit/>
        </w:trPr>
        <w:tc>
          <w:tcPr>
            <w:tcW w:type="dxa" w:w="3456"/>
            <w:vAlign w:val="top"/>
          </w:tcPr>
          <w:p>
            <w:pPr>
              <w:spacing w:after="40" w:before="0" w:line="259" w:lineRule="auto"/>
            </w:pPr>
            <w:r>
              <w:rPr>
                <w:rFonts w:ascii="Calibri" w:hAnsi="Calibri"/>
                <w:b/>
                <w:i w:val="0"/>
                <w:color w:val="212121"/>
                <w:sz w:val="19"/>
              </w:rPr>
              <w:t>Cicatricial (scarring) alopecia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Smooth, hairless scarred patches following untreated kerion or favus — permanent hair loss.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patchy scaling and hair loss with black-dot breakage across the scalp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Spread to the face and body (tinea faciei / corporis) by autoinoculation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Contagious transmission to siblings, classmates and household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Asymptomatic carrier state acting as a persistent reservoir for reinfection</w:t>
            </w:r>
          </w:p>
        </w:tc>
        <w:tc>
          <w:tcPr>
            <w:tcW w:type="dxa" w:w="2980"/>
            <w:vAlign w:val="top"/>
          </w:tcPr>
          <w:p>
            <w:pPr>
              <w:spacing w:after="40" w:before="0" w:line="259" w:lineRule="auto"/>
            </w:pPr>
            <w:r>
              <w:rPr>
                <w:rFonts w:ascii="Calibri" w:hAnsi="Calibri"/>
                <w:b w:val="0"/>
                <w:i w:val="0"/>
                <w:color w:val="212121"/>
                <w:sz w:val="19"/>
              </w:rPr>
              <w:t>Direct consequences of follicular dermatophyte colonisation and its spread.</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Kerion — severe inflammatory, pus-filled scalp mass from delayed hypersensitivity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(impetiginisation / pyoderma / abscess) of inflamed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Dermatophytid (id) reaction — sterile distant eruption, often after starting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Regional (occipital/cervical) lymphadenitis</w:t>
            </w:r>
          </w:p>
        </w:tc>
        <w:tc>
          <w:tcPr>
            <w:tcW w:type="dxa" w:w="2980"/>
            <w:vAlign w:val="top"/>
          </w:tcPr>
          <w:p>
            <w:pPr>
              <w:spacing w:after="40" w:before="0" w:line="259" w:lineRule="auto"/>
            </w:pPr>
            <w:r>
              <w:rPr>
                <w:rFonts w:ascii="Calibri" w:hAnsi="Calibri"/>
                <w:b w:val="0"/>
                <w:i w:val="0"/>
                <w:color w:val="212121"/>
                <w:sz w:val="19"/>
              </w:rPr>
              <w:t>Arise from the host inflammatory response, barrier breach with bacterial entry, and immune hypersensitivity.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scarring (cicatricial) alopecia from untreated kerion or favus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favus with extensive atrophic scarring and disfigurement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Lasting psychosocial impact — stigma, bullying, low self-esteem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Rare disseminated or deep dermatophyte infection in the severely immunocompromised</w:t>
            </w:r>
          </w:p>
        </w:tc>
        <w:tc>
          <w:tcPr>
            <w:tcW w:type="dxa" w:w="2980"/>
            <w:vAlign w:val="top"/>
          </w:tcPr>
          <w:p>
            <w:pPr>
              <w:spacing w:after="40" w:before="0" w:line="259" w:lineRule="auto"/>
            </w:pPr>
            <w:r>
              <w:rPr>
                <w:rFonts w:ascii="Calibri" w:hAnsi="Calibri"/>
                <w:b w:val="0"/>
                <w:i w:val="0"/>
                <w:color w:val="212121"/>
                <w:sz w:val="19"/>
              </w:rPr>
              <w:t>Long-term, potentially disfiguring outcomes, dominated by irreversible scarring alopecia.</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Tinea corporis / faciei</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The same dermatophyte spreads by autoinoculation between the scalp, face and body; concurrent sites are common and all must be treated together to prevent relapse.</w:t>
            </w:r>
          </w:p>
        </w:tc>
      </w:tr>
      <w:tr>
        <w:trPr>
          <w:cantSplit/>
        </w:trPr>
        <w:tc>
          <w:tcPr>
            <w:tcW w:type="dxa" w:w="2232"/>
            <w:vAlign w:val="top"/>
          </w:tcPr>
          <w:p>
            <w:pPr>
              <w:spacing w:after="40" w:before="0" w:line="259" w:lineRule="auto"/>
            </w:pPr>
            <w:r>
              <w:rPr>
                <w:rFonts w:ascii="Calibri" w:hAnsi="Calibri"/>
                <w:b/>
                <w:i w:val="0"/>
                <w:color w:val="212121"/>
                <w:sz w:val="19"/>
              </w:rPr>
              <w:t>Kerion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intense delayed-hypersensitivity inflammatory mass complicating tinea capitis (often zoophilic); needs prompt systemic antifungals ± short steroids to limit scarring, and must not be incised.</w:t>
            </w:r>
          </w:p>
          <w:p>
            <w:pPr>
              <w:spacing w:after="40" w:before="0" w:line="259" w:lineRule="auto"/>
            </w:pPr>
            <w:r>
              <w:rPr>
                <w:rFonts w:ascii="Calibri" w:hAnsi="Calibri"/>
                <w:b/>
                <w:i w:val="0"/>
                <w:color w:val="212121"/>
                <w:sz w:val="19"/>
              </w:rPr>
              <w:t>~13.5% of Indian childhood cases</w:t>
            </w:r>
          </w:p>
        </w:tc>
      </w:tr>
      <w:tr>
        <w:trPr>
          <w:cantSplit/>
        </w:trPr>
        <w:tc>
          <w:tcPr>
            <w:tcW w:type="dxa" w:w="2232"/>
            <w:vAlign w:val="top"/>
          </w:tcPr>
          <w:p>
            <w:pPr>
              <w:spacing w:after="40" w:before="0" w:line="259" w:lineRule="auto"/>
            </w:pPr>
            <w:r>
              <w:rPr>
                <w:rFonts w:ascii="Calibri" w:hAnsi="Calibri"/>
                <w:b/>
                <w:i w:val="0"/>
                <w:color w:val="212121"/>
                <w:sz w:val="19"/>
              </w:rPr>
              <w:t>Scarring (cicatricial) alopecia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Untreated or severe kerion/favus destroys follicles, leaving permanent bald scarred patches — the major long-term morbidity and the reason for early treatment.</w:t>
            </w:r>
          </w:p>
        </w:tc>
      </w:tr>
      <w:tr>
        <w:trPr>
          <w:cantSplit/>
        </w:trPr>
        <w:tc>
          <w:tcPr>
            <w:tcW w:type="dxa" w:w="2232"/>
            <w:vAlign w:val="top"/>
          </w:tcPr>
          <w:p>
            <w:pPr>
              <w:spacing w:after="40" w:before="0" w:line="259" w:lineRule="auto"/>
            </w:pPr>
            <w:r>
              <w:rPr>
                <w:rFonts w:ascii="Calibri" w:hAnsi="Calibri"/>
                <w:b/>
                <w:i w:val="0"/>
                <w:color w:val="212121"/>
                <w:sz w:val="19"/>
              </w:rPr>
              <w:t>Dermatophytid (id) reaction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distant, sterile hypersensitivity eruption triggered by the scalp focus, which may flare on starting antifungals; treatment should be continued, not stopped.</w:t>
            </w:r>
          </w:p>
        </w:tc>
      </w:tr>
      <w:tr>
        <w:trPr>
          <w:cantSplit/>
        </w:trPr>
        <w:tc>
          <w:tcPr>
            <w:tcW w:type="dxa" w:w="2232"/>
            <w:vAlign w:val="top"/>
          </w:tcPr>
          <w:p>
            <w:pPr>
              <w:spacing w:after="40" w:before="0" w:line="259" w:lineRule="auto"/>
            </w:pPr>
            <w:r>
              <w:rPr>
                <w:rFonts w:ascii="Calibri" w:hAnsi="Calibri"/>
                <w:b/>
                <w:i w:val="0"/>
                <w:color w:val="212121"/>
                <w:sz w:val="19"/>
              </w:rPr>
              <w:t>Secondary bacterial infection (pyoderma / impetigo)</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Inflamed, macerated or excoriated lesions and kerions become superinfected with S. aureus/streptococci, requiring adjunctive antibacterials.</w:t>
            </w:r>
          </w:p>
        </w:tc>
      </w:tr>
      <w:tr>
        <w:trPr>
          <w:cantSplit/>
        </w:trPr>
        <w:tc>
          <w:tcPr>
            <w:tcW w:type="dxa" w:w="2232"/>
            <w:vAlign w:val="top"/>
          </w:tcPr>
          <w:p>
            <w:pPr>
              <w:spacing w:after="40" w:before="0" w:line="259" w:lineRule="auto"/>
            </w:pPr>
            <w:r>
              <w:rPr>
                <w:rFonts w:ascii="Calibri" w:hAnsi="Calibri"/>
                <w:b/>
                <w:i w:val="0"/>
                <w:color w:val="212121"/>
                <w:sz w:val="19"/>
              </w:rPr>
              <w:t>Regional lymphadenopathy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Occipital/posterior-cervical node enlargement accompanies scalp infection; a useful diagnostic sign whose absence argues against tinea capitis.</w:t>
            </w:r>
          </w:p>
        </w:tc>
      </w:tr>
      <w:tr>
        <w:trPr>
          <w:cantSplit/>
        </w:trPr>
        <w:tc>
          <w:tcPr>
            <w:tcW w:type="dxa" w:w="2232"/>
            <w:vAlign w:val="top"/>
          </w:tcPr>
          <w:p>
            <w:pPr>
              <w:spacing w:after="40" w:before="0" w:line="259" w:lineRule="auto"/>
            </w:pPr>
            <w:r>
              <w:rPr>
                <w:rFonts w:ascii="Calibri" w:hAnsi="Calibri"/>
                <w:b/>
                <w:i w:val="0"/>
                <w:color w:val="212121"/>
                <w:sz w:val="19"/>
              </w:rPr>
              <w:t>Asymptomatic carrier state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Culture-positive but lesion-free contacts (found in ~32% of households) form a hidden reservoir; screening and treating carriers is essential to stop reinfection.</w:t>
            </w:r>
          </w:p>
          <w:p>
            <w:pPr>
              <w:spacing w:after="40" w:before="0" w:line="259" w:lineRule="auto"/>
            </w:pPr>
            <w:r>
              <w:rPr>
                <w:rFonts w:ascii="Calibri" w:hAnsi="Calibri"/>
                <w:b/>
                <w:i w:val="0"/>
                <w:color w:val="212121"/>
                <w:sz w:val="19"/>
              </w:rPr>
              <w:t>Carriers in ~32% of households</w:t>
            </w:r>
          </w:p>
        </w:tc>
      </w:tr>
      <w:tr>
        <w:trPr>
          <w:cantSplit/>
        </w:trPr>
        <w:tc>
          <w:tcPr>
            <w:tcW w:type="dxa" w:w="2232"/>
            <w:vAlign w:val="top"/>
          </w:tcPr>
          <w:p>
            <w:pPr>
              <w:spacing w:after="40" w:before="0" w:line="259" w:lineRule="auto"/>
            </w:pPr>
            <w:r>
              <w:rPr>
                <w:rFonts w:ascii="Calibri" w:hAnsi="Calibri"/>
                <w:b/>
                <w:i w:val="0"/>
                <w:color w:val="212121"/>
                <w:sz w:val="19"/>
              </w:rPr>
              <w:t>Atopic dermatitis / eczema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impaired skin barrier and weak antifungal immunity predispose to dermatophyte infection, and scalp eczema can mask or mimic tinea capitis, complicating steroid use.</w:t>
            </w:r>
          </w:p>
        </w:tc>
      </w:tr>
      <w:tr>
        <w:trPr>
          <w:cantSplit/>
        </w:trPr>
        <w:tc>
          <w:tcPr>
            <w:tcW w:type="dxa" w:w="2232"/>
            <w:vAlign w:val="top"/>
          </w:tcPr>
          <w:p>
            <w:pPr>
              <w:spacing w:after="40" w:before="0" w:line="259" w:lineRule="auto"/>
            </w:pPr>
            <w:r>
              <w:rPr>
                <w:rFonts w:ascii="Calibri" w:hAnsi="Calibri"/>
                <w:b/>
                <w:i w:val="0"/>
                <w:color w:val="212121"/>
                <w:sz w:val="19"/>
              </w:rPr>
              <w:t>Seborrhoeic dermatitis / dandruff</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key clinical mimic — diffuse scaling tinea capitis resembles seborrhoeic dermatitis, especially in adults, so mycology is needed to avoid misdiagnosis.</w:t>
            </w:r>
          </w:p>
        </w:tc>
      </w:tr>
      <w:tr>
        <w:trPr>
          <w:cantSplit/>
        </w:trPr>
        <w:tc>
          <w:tcPr>
            <w:tcW w:type="dxa" w:w="2232"/>
            <w:vAlign w:val="top"/>
          </w:tcPr>
          <w:p>
            <w:pPr>
              <w:spacing w:after="40" w:before="0" w:line="259" w:lineRule="auto"/>
            </w:pPr>
            <w:r>
              <w:rPr>
                <w:rFonts w:ascii="Calibri" w:hAnsi="Calibri"/>
                <w:b/>
                <w:i w:val="0"/>
                <w:color w:val="212121"/>
                <w:sz w:val="19"/>
              </w:rPr>
              <w:t>Immunosuppression / HIV</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Blunted cell-mediated immunity permits adult and atypical, extensive or recurrent tinea capitis and mandates screening in unusual presentations.</w:t>
            </w:r>
          </w:p>
          <w:p>
            <w:pPr>
              <w:spacing w:after="40" w:before="0" w:line="259" w:lineRule="auto"/>
            </w:pPr>
            <w:r>
              <w:rPr>
                <w:rFonts w:ascii="Calibri" w:hAnsi="Calibri"/>
                <w:b/>
                <w:i w:val="0"/>
                <w:color w:val="212121"/>
                <w:sz w:val="19"/>
              </w:rPr>
              <w:t>~80% of adult cases immunocompromised</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Diabetes contributes to the immunocompromised adult state that allows scalp dermatophytosis and favours chronic, atypical and secondarily infected disease.</w:t>
            </w:r>
          </w:p>
          <w:p>
            <w:pPr>
              <w:spacing w:after="40" w:before="0" w:line="259" w:lineRule="auto"/>
            </w:pPr>
            <w:r>
              <w:rPr>
                <w:rFonts w:ascii="Calibri" w:hAnsi="Calibri"/>
                <w:b/>
                <w:i w:val="0"/>
                <w:color w:val="212121"/>
                <w:sz w:val="19"/>
              </w:rPr>
              <w:t>~22.4% of adult cases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share combs, brushes, caps, hats, helmets, hair bands, towels or pillows — each child should have their 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haircuts/head-shaves only where clippers, combs and razors are properly disinfected, or bring personal tools.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hair regularly and keep the scalp clean and dry; avoid heavy occlusion of an infected scalp.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Examine and treat affected household contacts and pets/livestock, and check quietly for asymptomatic carriers among siblings.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signs — a scaly bald patch, black dots or dandruff that will not settle, or tender neck glands — and seek care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scalp ringworm is contagious but curable, and that oral (not just cream) treatment is needed — do not use over-the-counter steroid creams.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can usually return to school once treatment has started and hair is washed with an antifungal shampoo.</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schoolchildren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Overcrowded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pet-owning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Barbers &amp; salon users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Confirm the diagnosis with KOH ± culture before starting weeks of systemic therapy, and identify the species where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with ORAL antifungals — topical agents alone cannot reach the fungus inside the follicle and will fail.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terbinafine (weight-based) or griseofulvin as first line; terbinafine is particularly effective for Trichophyton (endothrix) infection such as India’s T. violaceum, while griseofulvin remains preferred for Microsporum — continue for the full course (about 4–8+ weeks) and confirm mycological cure.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an adjunctive antifungal shampoo (ketoconazole 2% or selenium sulfide 1–2.25%) for the patient and close contacts to reduce spore shedding and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a kerion, use systemic antifungals with a short course of oral corticosteroids to limit scarring; do NOT incise or drain it, and treat any secondary bacterial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all concurrent sites (body, face) and screen/treat household contacts and carriers to prevent relapse and reinfection.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Decontaminate combs, caps, pillows and bedding, and review adherence and response at follow-up, as courses are long.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tinea capitis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Kerion / inflammatory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&amp; adult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contact sports (especially wrestling), use personal, regularly cleaned headgear and do not share helmets or caps.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mats and shared equipment are routinely disinfected, and shower and wash hair after 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athletes with active scalp or body ringworm out of skin-contact sport until treatment has begun.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and treat outbreaks promptly to prevent tinea gladiatorum spreading through a team.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Wrestlers &amp; contact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sports teams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Coaches &amp; PE staff</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children a balanced diet with adequate protein, iron, zinc and vitamins to support skin-barrier integrity and antifungal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adults, maintain a healthy weight and good glycaemic control, as obesity and diabetes contribute to the immunosuppression that permits scalp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There is no proven ‘antifungal diet’ that cures tinea capitis — nutrition acts mainly by supporting immunity and controlling diabetes.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&amp; overweight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sharing beds, pillows and bedding with an infected child, and wash/decontaminate bedding during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adequate sleep to support general immune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scalp itch with appropriate treatment so a child’s sleep is not disturbed.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Crowded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active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Siblings of cases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children away from household (passive) tobacco smoke, which is harmful to overall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adults, stop smoking to support immune function and general skin and wound healing, particularly if diabetic or immunocompromised.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Smoking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adults, keep alcohol within moderate limits, as heavy use impairs immunity and worsens diabetes and nutrition that predispose to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drinking, which can also reduce adherence to the lengthy antifungal course and follow-up.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distress of visible hair loss, scaling or a kerion, and the teasing or stigma children may face at school.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that non-scarring tinea capitis regrows hair fully with a complete oral course, and support adherence to the long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address bullying, low self-esteem and social withdrawal, and offer counselling where permanent scarring alopecia has occurred.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parents’ anxiety and any guilt about contagion, framing it as a common, treatable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Affected children &amp;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kerion/scarring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families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dpi.com/2309-608X/10/5/357" TargetMode="External"/><Relationship Id="rId10" Type="http://schemas.openxmlformats.org/officeDocument/2006/relationships/hyperlink" Target="https://jnsbm.org/prevalence-of-tinea-capitis-in-school-going-children-in-kolkata-west-bengal" TargetMode="External"/><Relationship Id="rId11" Type="http://schemas.openxmlformats.org/officeDocument/2006/relationships/hyperlink" Target="https://ijdvl.com/tinea-capitis-in-the-pediatric-population-a-study-from-north-india/" TargetMode="External"/><Relationship Id="rId12" Type="http://schemas.openxmlformats.org/officeDocument/2006/relationships/hyperlink" Target="https://dermnetnz.org/topics/tinea-capitis" TargetMode="External"/><Relationship Id="rId13" Type="http://schemas.openxmlformats.org/officeDocument/2006/relationships/hyperlink" Target="https://www.ncbi.nlm.nih.gov/books/NBK536909/" TargetMode="External"/><Relationship Id="rId14" Type="http://schemas.openxmlformats.org/officeDocument/2006/relationships/hyperlink" Target="https://karger.com/sad/article/5/4/201/291424/Treatment-of-Tinea-Capit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