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Onychomycosis (Tinea Unguium)</w:t>
      </w:r>
    </w:p>
    <w:p>
      <w:pPr>
        <w:spacing w:before="0" w:after="160"/>
      </w:pPr>
      <w:r>
        <w:rPr>
          <w:rFonts w:ascii="Calibri" w:hAnsi="Calibri"/>
          <w:b/>
          <w:i w:val="0"/>
          <w:color w:val="212121"/>
          <w:sz w:val="22"/>
        </w:rPr>
        <w:t xml:space="preserve">AKA </w:t>
      </w:r>
      <w:r>
        <w:rPr>
          <w:rFonts w:ascii="Calibri" w:hAnsi="Calibri"/>
          <w:b w:val="0"/>
          <w:i w:val="0"/>
          <w:color w:val="212121"/>
          <w:sz w:val="22"/>
        </w:rPr>
        <w:t>i.e., Fungal nail infection, Tinea unguium (when caused by dermatophytes), Nail ringworm, Dermatophytic / candidal nail infection, “nakhun ka fungus” / “nail fungus” / “toenail fungus” (common lay terms)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Onychomycosis is a chronic fungal infection of the nail unit — the nail plate, nail bed and matrix — caused by dermatophytes, yeasts (chiefly Candida species) or non-dermatophyte moulds; when it is specifically due to dermatophytes it is termed tinea unguium. Fungal invasion produces nail-plate discolouration (white, yellow, brown or green), subungual hyperkeratosis, thickening, brittleness, onycholysis (separation of the plate from the bed) and progressive dystrophy. Toenails are affected far more often than fingernails, and the infection accounts for roughly half of all nail disease. It is progressive, difficult to eradicate, cosmetically distressing and notorious for relapse, and in diabetics or those with poor peripheral circulation it can be a portal for serious secondary infection.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Onychomycosis is one of the commonest nail disorders seen in Indian dermatology and mycology out-patient clinics and, by most estimates, is responsible for about half of all nail disease. Reported figures for the general population range from roughly 0.5–5% in Indian data to about 5.5% worldwide, accounting for some 20–40% of all nail disorders; tinea unguium makes up around 17.9% of all dermatophyte infections analysed across India between 1939 and 2021 (the third commonest form after tinea corporis and tinea cruris). Prevalence climbs steeply with age — about 20% of people over 60 and up to 50% of those over 70 are affected — and with diabetes, in which Indian hospital series report onychomycosis in up to 34% of patients. In keeping with the wider Indian dermatophyte epidemic, Trichophyton mentagrophytes/interdigitale has recently overtaken T. rubrum as the leading nail pathogen.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Because only about half of dystrophic, discoloured nails are actually fungal — the rest being psoriasis, trauma, lichen planus or other causes — diagnosis should ideally confirm fungal invasion before starting prolonged antifungal therapy. It rests on the clinical pattern supported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appearance — distal/lateral yellow-white-brown discolouration, subungual hyperkeratosis, onycholysis and nail-plate thickening/dystrophy, most often in a great toenail, frequently with coexisting tinea pedis.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hydroxide (KOH 20–40%) microscopy of subungual debris or nail clippings showing fungal hyphae/arthrospores — a rapid, inexpensive bedside test (sensitivity roughly 60–85%) that confirms infection but does not identify the species.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(with and without cycloheximide) — the reference method for species identification (dermatophyte vs Candida vs non-dermatophyte mould), but slow (up to 3–4 weeks) and relatively insensitive (culture positive in only ~55–60%).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Nail-clipping histopathology with periodic acid–Schiff (PAS)/Grocott methenamine silver stain — the single most sensitive test (~92–95%), useful when KOH and culture are negative but suspicion is high.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(onychoscopy) — a jagged, spiked proximal margin of the onycholytic area, longitudinal striae and a “ruin”/aurora-borealis pattern help distinguish onychomycosis from nail psoriasis and traumatic dystrophy.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tests (dermatophyte PCR) — increasingly used for rapid, species-specific confirmation, improving dermatophyte detection by around 20% over culture and useful for mixed or non-dermatophyte-mould infections.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Onychomycosis is classified by the route and pattern of fungal invasion of the nail unit, which also guides prognosis and treatment:</w:t>
      </w:r>
    </w:p>
    <w:p>
      <w:pPr>
        <w:spacing w:before="0" w:after="80"/>
      </w:pPr>
      <w:r>
        <w:rPr>
          <w:rFonts w:ascii="Calibri" w:hAnsi="Calibri"/>
          <w:b w:val="0"/>
          <w:i w:val="0"/>
          <w:color w:val="212121"/>
          <w:sz w:val="21"/>
        </w:rPr>
        <w:t>(1) Distal and lateral subungual onychomycosis (DLSO) — by far the commonest pattern (about three-quarters of cases and ~78% of diabetic cases in Indian data); the fungus enters via the hyponychium/distal nail bed, usually from adjacent tinea pedis, causing distal onycholysis, subungual hyperkeratosis and discolouration.</w:t>
      </w:r>
    </w:p>
    <w:p>
      <w:pPr>
        <w:spacing w:before="0" w:after="80"/>
      </w:pPr>
      <w:r>
        <w:rPr>
          <w:rFonts w:ascii="Calibri" w:hAnsi="Calibri"/>
          <w:b w:val="0"/>
          <w:i w:val="0"/>
          <w:color w:val="212121"/>
          <w:sz w:val="21"/>
        </w:rPr>
        <w:t>(2) Proximal subungual onychomycosis (PSO) — uncommon; the fungus invades under the proximal nail fold, producing proximal white discolouration, and is an important cutaneous marker of immunosuppression (notably HIV/AIDS).</w:t>
      </w:r>
    </w:p>
    <w:p>
      <w:pPr>
        <w:spacing w:before="0" w:after="80"/>
      </w:pPr>
      <w:r>
        <w:rPr>
          <w:rFonts w:ascii="Calibri" w:hAnsi="Calibri"/>
          <w:b w:val="0"/>
          <w:i w:val="0"/>
          <w:color w:val="212121"/>
          <w:sz w:val="21"/>
        </w:rPr>
        <w:t>(3) Superficial (white) onychomycosis (SWO/WSO) — white, crumbly, opaque islands confined to the surface of the nail plate, mainly on toenails, that can be scraped off; often due to T. mentagrophytes or moulds.</w:t>
      </w:r>
    </w:p>
    <w:p>
      <w:pPr>
        <w:spacing w:before="0" w:after="80"/>
      </w:pPr>
      <w:r>
        <w:rPr>
          <w:rFonts w:ascii="Calibri" w:hAnsi="Calibri"/>
          <w:b w:val="0"/>
          <w:i w:val="0"/>
          <w:color w:val="212121"/>
          <w:sz w:val="21"/>
        </w:rPr>
        <w:t>(4) Endonyx onychomycosis — invasion within the substance of the nail plate itself, causing a milky-white discolouration without significant subungual hyperkeratosis or onycholysis.</w:t>
      </w:r>
    </w:p>
    <w:p>
      <w:pPr>
        <w:spacing w:before="0" w:after="80"/>
      </w:pPr>
      <w:r>
        <w:rPr>
          <w:rFonts w:ascii="Calibri" w:hAnsi="Calibri"/>
          <w:b w:val="0"/>
          <w:i w:val="0"/>
          <w:color w:val="212121"/>
          <w:sz w:val="21"/>
        </w:rPr>
        <w:t>(5) Total dystrophic onychomycosis (TDO) — the end-stage of any pattern, with complete destruction and crumbling of the nail plate, typically taking 10–15 years to develop; a mixed/combined pattern and Candida onychomycosis with chronic paronychia (mainly fingernails, wet-workers) are also recognised.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Dermatophyte infection: The commonest cause, especially in toenails (~90% of toenail onychomycosis). Trichophyton rubrum was historically dominant, but T. mentagrophytes/interdigitale now accounts for the majority of Indian nail dermatophytosis amid a nationwide resistant-dermatophyte epidemic.</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Yeasts (Candida spp.): Chiefly affect fingernails and cause onychomycosis with chronic paronychia, particularly in wet-workers (homemakers, cooks, cleaners, dishwashers), the immunosuppressed and diabetics.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Non-dermatophyte moulds: Aspergillus, Fusarium, Scytalidium, Scopulariopsis and Acremonium (~1.5–8% of cases) can invade traumatised or already-dystrophic nails and often respond poorly to standard therapy.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Warm, humid climate and occlusive footwear: India’s tropical heat and humidity, prolonged wearing of closed/synthetic shoes and boots, and sweaty feet create the moist micro-environment fungi thrive 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Nail trauma and tinea pedis: Repetitive microtrauma (tight footwear, sport) breaches the nail barrier, and untreated athlete’s foot acts as the reservoir from which the fungus spreads into the nail.</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predisposition: Increasing age, diabetes mellitus, peripheral arterial disease, immunosuppression (HIV, transplant), psoriasis and a genetically determined (autosomal-dominant) susceptibility to T. rubrum all raise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The bulk of the disease burden falls on working-age adults through cumulative exposure to occlusive footwear, communal wet areas, sport, nail trauma and tinea pedis. Slow nail growth means infection, once established, persists for years.</w:t>
            </w:r>
          </w:p>
          <w:p>
            <w:pPr>
              <w:spacing w:after="40" w:before="60" w:line="259" w:lineRule="auto"/>
            </w:pPr>
            <w:r>
              <w:rPr>
                <w:rFonts w:ascii="Calibri" w:hAnsi="Calibri"/>
                <w:b w:val="0"/>
                <w:i w:val="0"/>
                <w:color w:val="212121"/>
                <w:sz w:val="19"/>
              </w:rPr>
              <w:t>In an Indian tertiary-care series, ~47.8% of onychomycosis patients were older than 40 years, and DLSO acquired from tinea pedis is the dominant adult pattern.</w:t>
            </w:r>
          </w:p>
          <w:p>
            <w:pPr>
              <w:spacing w:after="40" w:line="252" w:lineRule="auto"/>
            </w:pPr>
            <w:hyperlink r:id="rId9">
              <w:r>
                <w:rPr>
                  <w:rFonts w:ascii="Calibri" w:hAnsi="Calibri" w:cs="Calibri"/>
                  <w:sz w:val="18"/>
                  <w:color w:val="1155CC"/>
                  <w:u w:val="single"/>
                </w:rPr>
                <w:t xml:space="preserve">mdedge.com — incidence &amp; epidemiology of onychomycosis (India)</w:t>
              </w:r>
            </w:hyperlink>
          </w:p>
          <w:p>
            <w:pPr>
              <w:spacing w:before="60" w:after="40"/>
            </w:pPr>
            <w:r>
              <w:rPr>
                <w:rFonts w:ascii="Calibri" w:hAnsi="Calibri"/>
                <w:b w:val="0"/>
                <w:i w:val="0"/>
                <w:color w:val="5A5A5A"/>
                <w:sz w:val="18"/>
              </w:rPr>
              <w:t>#onychomycosis  #tineaunguium  #DLSO  #footwear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Highest prevalence group: slow-growing nails, reduced peripheral circulation, diabetes, repeated nail trauma, poor eyesight and difficulty reaching/cutting toenails, and impaired immunity all favour chronic infection and total dystrophy.</w:t>
            </w:r>
          </w:p>
          <w:p>
            <w:pPr>
              <w:spacing w:after="40" w:before="60" w:line="259" w:lineRule="auto"/>
            </w:pPr>
            <w:r>
              <w:rPr>
                <w:rFonts w:ascii="Calibri" w:hAnsi="Calibri"/>
                <w:b w:val="0"/>
                <w:i w:val="0"/>
                <w:color w:val="212121"/>
                <w:sz w:val="19"/>
              </w:rPr>
              <w:t>About 20% of people over 60 years and up to 50% of those over 70 years have onychomycosis.</w:t>
            </w:r>
          </w:p>
          <w:p>
            <w:pPr>
              <w:spacing w:after="40" w:line="252" w:lineRule="auto"/>
            </w:pPr>
            <w:hyperlink r:id="rId10">
              <w:r>
                <w:rPr>
                  <w:rFonts w:ascii="Calibri" w:hAnsi="Calibri" w:cs="Calibri"/>
                  <w:sz w:val="18"/>
                  <w:color w:val="1155CC"/>
                  <w:u w:val="single"/>
                </w:rPr>
                <w:t xml:space="preserve">aafp.org — onychomycosis diagnosis &amp; treatment</w:t>
              </w:r>
            </w:hyperlink>
          </w:p>
          <w:p>
            <w:pPr>
              <w:spacing w:before="60" w:after="40"/>
            </w:pPr>
            <w:r>
              <w:rPr>
                <w:rFonts w:ascii="Calibri" w:hAnsi="Calibri"/>
                <w:b w:val="0"/>
                <w:i w:val="0"/>
                <w:color w:val="5A5A5A"/>
                <w:sz w:val="18"/>
              </w:rPr>
              <w:t>#elderly  #slownailgrowth  #PAD  #totaldystrophy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 preponderance is consistent across Indian series, attributed to greater outdoor/occupational footwear use, sport, sweating, nail trauma and higher rates of tinea pedis and smoking-related peripheral vascular disease.</w:t>
            </w:r>
          </w:p>
          <w:p>
            <w:pPr>
              <w:spacing w:after="40" w:before="60" w:line="259" w:lineRule="auto"/>
            </w:pPr>
            <w:r>
              <w:rPr>
                <w:rFonts w:ascii="Calibri" w:hAnsi="Calibri"/>
                <w:b w:val="0"/>
                <w:i w:val="0"/>
                <w:color w:val="212121"/>
                <w:sz w:val="19"/>
              </w:rPr>
              <w:t>In a North-Indian diabetic cohort, males made up 61.8% of onychomycosis cases (M:F ≈ 1.6:1) with an adjusted odds ratio of 2.26 (95% CI 1.19–4.28).</w:t>
            </w:r>
          </w:p>
          <w:p>
            <w:pPr>
              <w:spacing w:after="40" w:line="252" w:lineRule="auto"/>
            </w:pPr>
            <w:hyperlink r:id="rId11">
              <w:r>
                <w:rPr>
                  <w:rFonts w:ascii="Calibri" w:hAnsi="Calibri" w:cs="Calibri"/>
                  <w:sz w:val="18"/>
                  <w:color w:val="1155CC"/>
                  <w:u w:val="single"/>
                </w:rPr>
                <w:t xml:space="preserve">ijdvl.com — onychomycosis in diabetes (North India)</w:t>
              </w:r>
            </w:hyperlink>
          </w:p>
          <w:p>
            <w:pPr>
              <w:spacing w:before="60" w:after="40"/>
            </w:pPr>
            <w:r>
              <w:rPr>
                <w:rFonts w:ascii="Calibri" w:hAnsi="Calibri"/>
                <w:b w:val="0"/>
                <w:i w:val="0"/>
                <w:color w:val="5A5A5A"/>
                <w:sz w:val="18"/>
              </w:rPr>
              <w:t>#male  #outdoorfootwear  #tineapedis  #trauma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&amp; lower-income groups</w:t>
            </w:r>
          </w:p>
        </w:tc>
        <w:tc>
          <w:tcPr>
            <w:tcW w:type="dxa" w:w="4276"/>
            <w:vAlign w:val="top"/>
          </w:tcPr>
          <w:p>
            <w:pPr>
              <w:spacing w:after="60" w:line="259" w:lineRule="auto"/>
            </w:pPr>
            <w:r>
              <w:rPr>
                <w:rFonts w:ascii="Calibri" w:hAnsi="Calibri"/>
                <w:b w:val="0"/>
                <w:i w:val="0"/>
                <w:color w:val="212121"/>
                <w:sz w:val="19"/>
              </w:rPr>
              <w:t>Prolonged wear of closed, ill-fitting or shared footwear, occupational foot trauma, barefoot walking on contaminated communal ground, overcrowding and limited access to timely antifungal care promote infection and chronicity.</w:t>
            </w:r>
          </w:p>
          <w:p>
            <w:pPr>
              <w:spacing w:after="40" w:before="60" w:line="259" w:lineRule="auto"/>
            </w:pPr>
            <w:r>
              <w:rPr>
                <w:rFonts w:ascii="Calibri" w:hAnsi="Calibri"/>
                <w:b w:val="0"/>
                <w:i w:val="0"/>
                <w:color w:val="212121"/>
                <w:sz w:val="19"/>
              </w:rPr>
              <w:t>Lack of awareness of the condition was the single strongest independent risk factor for onychomycosis in an Indian diabetic cohort (adjusted OR 8.58).</w:t>
            </w:r>
          </w:p>
          <w:p>
            <w:pPr>
              <w:spacing w:after="40" w:line="252" w:lineRule="auto"/>
            </w:pPr>
            <w:hyperlink r:id="rId11">
              <w:r>
                <w:rPr>
                  <w:rFonts w:ascii="Calibri" w:hAnsi="Calibri" w:cs="Calibri"/>
                  <w:sz w:val="18"/>
                  <w:color w:val="1155CC"/>
                  <w:u w:val="single"/>
                </w:rPr>
                <w:t xml:space="preserve">ijdvl.com — onychomycosis in diabetes (North India)</w:t>
              </w:r>
            </w:hyperlink>
          </w:p>
          <w:p>
            <w:pPr>
              <w:spacing w:before="60" w:after="40"/>
            </w:pPr>
            <w:r>
              <w:rPr>
                <w:rFonts w:ascii="Calibri" w:hAnsi="Calibri"/>
                <w:b w:val="0"/>
                <w:i w:val="0"/>
                <w:color w:val="5A5A5A"/>
                <w:sz w:val="18"/>
              </w:rPr>
              <w:t>#socioeconomic  #awareness  #occupational  #footwear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Climate / region</w:t>
            </w:r>
          </w:p>
        </w:tc>
        <w:tc>
          <w:tcPr>
            <w:tcW w:type="dxa" w:w="2160"/>
            <w:vAlign w:val="top"/>
          </w:tcPr>
          <w:p>
            <w:pPr>
              <w:spacing w:after="40" w:before="0" w:line="259" w:lineRule="auto"/>
            </w:pPr>
            <w:r>
              <w:rPr>
                <w:rFonts w:ascii="Calibri" w:hAnsi="Calibri"/>
                <w:b w:val="0"/>
                <w:i w:val="0"/>
                <w:color w:val="212121"/>
                <w:sz w:val="19"/>
              </w:rPr>
              <w:t>Hot, humid tropical India</w:t>
            </w:r>
          </w:p>
        </w:tc>
        <w:tc>
          <w:tcPr>
            <w:tcW w:type="dxa" w:w="4276"/>
            <w:vAlign w:val="top"/>
          </w:tcPr>
          <w:p>
            <w:pPr>
              <w:spacing w:after="60" w:line="259" w:lineRule="auto"/>
            </w:pPr>
            <w:r>
              <w:rPr>
                <w:rFonts w:ascii="Calibri" w:hAnsi="Calibri"/>
                <w:b w:val="0"/>
                <w:i w:val="0"/>
                <w:color w:val="212121"/>
                <w:sz w:val="19"/>
              </w:rPr>
              <w:t>High ambient temperature and humidity — across coastal and much of peninsular India, and during the summer and monsoon — promote foot sweating and fungal growth, and underlie the nationwide surge in dermatophyte nail and skin infection.</w:t>
            </w:r>
          </w:p>
          <w:p>
            <w:pPr>
              <w:spacing w:after="40" w:before="60" w:line="259" w:lineRule="auto"/>
            </w:pPr>
            <w:r>
              <w:rPr>
                <w:rFonts w:ascii="Calibri" w:hAnsi="Calibri"/>
                <w:b w:val="0"/>
                <w:i w:val="0"/>
                <w:color w:val="212121"/>
                <w:sz w:val="19"/>
              </w:rPr>
              <w:t>Tinea unguium comprised ~17.9% of 161,245 Indian dermatophyte cases (1939–2021), the third commonest clinical form.</w:t>
            </w:r>
          </w:p>
          <w:p>
            <w:pPr>
              <w:spacing w:after="40" w:line="252" w:lineRule="auto"/>
            </w:pPr>
            <w:hyperlink r:id="rId12">
              <w:r>
                <w:rPr>
                  <w:rFonts w:ascii="Calibri" w:hAnsi="Calibri" w:cs="Calibri"/>
                  <w:sz w:val="18"/>
                  <w:color w:val="1155CC"/>
                  <w:u w:val="single"/>
                </w:rPr>
                <w:t xml:space="preserve">link.springer.com — changing dermatophyte spectrum in India</w:t>
              </w:r>
            </w:hyperlink>
          </w:p>
          <w:p>
            <w:pPr>
              <w:spacing w:before="60" w:after="40"/>
            </w:pPr>
            <w:r>
              <w:rPr>
                <w:rFonts w:ascii="Calibri" w:hAnsi="Calibri"/>
                <w:b w:val="0"/>
                <w:i w:val="0"/>
                <w:color w:val="5A5A5A"/>
                <w:sz w:val="18"/>
              </w:rPr>
              <w:t>#tropicalclimate  #humidity  #monsoon  #dermatophyteepidemic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Community / environment</w:t>
            </w:r>
          </w:p>
        </w:tc>
        <w:tc>
          <w:tcPr>
            <w:tcW w:type="dxa" w:w="2160"/>
            <w:vAlign w:val="top"/>
          </w:tcPr>
          <w:p>
            <w:pPr>
              <w:spacing w:after="40" w:before="0" w:line="259" w:lineRule="auto"/>
            </w:pPr>
            <w:r>
              <w:rPr>
                <w:rFonts w:ascii="Calibri" w:hAnsi="Calibri"/>
                <w:b w:val="0"/>
                <w:i w:val="0"/>
                <w:color w:val="212121"/>
                <w:sz w:val="19"/>
              </w:rPr>
              <w:t>Users of communal wet areas</w:t>
            </w:r>
          </w:p>
        </w:tc>
        <w:tc>
          <w:tcPr>
            <w:tcW w:type="dxa" w:w="4276"/>
            <w:vAlign w:val="top"/>
          </w:tcPr>
          <w:p>
            <w:pPr>
              <w:spacing w:after="60" w:line="259" w:lineRule="auto"/>
            </w:pPr>
            <w:r>
              <w:rPr>
                <w:rFonts w:ascii="Calibri" w:hAnsi="Calibri"/>
                <w:b w:val="0"/>
                <w:i w:val="0"/>
                <w:color w:val="212121"/>
                <w:sz w:val="19"/>
              </w:rPr>
              <w:t>Walking barefoot on damp, contaminated floors of shared bathrooms, temples, swimming pools, gyms, hostels and army barracks spreads dermatophyte spores from person to person and from foot skin to nails.</w:t>
            </w:r>
          </w:p>
          <w:p>
            <w:pPr>
              <w:spacing w:after="40" w:before="60" w:line="259" w:lineRule="auto"/>
            </w:pPr>
            <w:r>
              <w:rPr>
                <w:rFonts w:ascii="Calibri" w:hAnsi="Calibri"/>
                <w:b w:val="0"/>
                <w:i w:val="0"/>
                <w:color w:val="212121"/>
                <w:sz w:val="19"/>
              </w:rPr>
              <w:t>Shared damp communal floors and occlusive footwear are recognised transmission settings; tinea pedis acquired there is the usual source of toenail DLSO.</w:t>
            </w:r>
          </w:p>
          <w:p>
            <w:pPr>
              <w:spacing w:after="40" w:line="252" w:lineRule="auto"/>
            </w:pPr>
            <w:hyperlink r:id="rId13">
              <w:r>
                <w:rPr>
                  <w:rFonts w:ascii="Calibri" w:hAnsi="Calibri" w:cs="Calibri"/>
                  <w:sz w:val="18"/>
                  <w:color w:val="1155CC"/>
                  <w:u w:val="single"/>
                </w:rPr>
                <w:t xml:space="preserve">ncbi.nlm.nih.gov — Onychomycosis (StatPearls)</w:t>
              </w:r>
            </w:hyperlink>
          </w:p>
          <w:p>
            <w:pPr>
              <w:spacing w:before="60" w:after="40"/>
            </w:pPr>
            <w:r>
              <w:rPr>
                <w:rFonts w:ascii="Calibri" w:hAnsi="Calibri"/>
                <w:b w:val="0"/>
                <w:i w:val="0"/>
                <w:color w:val="5A5A5A"/>
                <w:sz w:val="18"/>
              </w:rPr>
              <w:t>#communalbathing  #swimmingpool  #gym  #barefoot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footwear / sedentary occlusion</w:t>
            </w:r>
          </w:p>
        </w:tc>
        <w:tc>
          <w:tcPr>
            <w:tcW w:type="dxa" w:w="2160"/>
            <w:vAlign w:val="top"/>
          </w:tcPr>
          <w:p>
            <w:pPr>
              <w:spacing w:after="40" w:before="0" w:line="259" w:lineRule="auto"/>
            </w:pPr>
            <w:r>
              <w:rPr>
                <w:rFonts w:ascii="Calibri" w:hAnsi="Calibri"/>
                <w:b w:val="0"/>
                <w:i w:val="0"/>
                <w:color w:val="212121"/>
                <w:sz w:val="19"/>
              </w:rPr>
              <w:t>Soldiers, police, industrial &amp; security workers, closed-shoe office staff</w:t>
            </w:r>
          </w:p>
        </w:tc>
        <w:tc>
          <w:tcPr>
            <w:tcW w:type="dxa" w:w="4276"/>
            <w:vAlign w:val="top"/>
          </w:tcPr>
          <w:p>
            <w:pPr>
              <w:spacing w:after="60" w:line="259" w:lineRule="auto"/>
            </w:pPr>
            <w:r>
              <w:rPr>
                <w:rFonts w:ascii="Calibri" w:hAnsi="Calibri"/>
                <w:b w:val="0"/>
                <w:i w:val="0"/>
                <w:color w:val="212121"/>
                <w:sz w:val="19"/>
              </w:rPr>
              <w:t>Long hours in closed, synthetic or safety footwear trap heat and sweat around the toes, macerating the skin and nail folds and creating an ideal micro-environment for dermatophyte and yeast invasion.</w:t>
            </w:r>
          </w:p>
          <w:p>
            <w:pPr>
              <w:spacing w:after="40" w:before="60" w:line="259" w:lineRule="auto"/>
            </w:pPr>
            <w:r>
              <w:rPr>
                <w:rFonts w:ascii="Calibri" w:hAnsi="Calibri"/>
                <w:b w:val="0"/>
                <w:i w:val="0"/>
                <w:color w:val="212121"/>
                <w:sz w:val="19"/>
              </w:rPr>
              <w:t>Occlusive footwear, hyperhidrosis and repetitive nail microtrauma are established predisposing factors for toenail onychomycosis.</w:t>
            </w:r>
          </w:p>
          <w:p>
            <w:pPr>
              <w:spacing w:after="40" w:line="252" w:lineRule="auto"/>
            </w:pPr>
            <w:hyperlink r:id="rId13">
              <w:r>
                <w:rPr>
                  <w:rFonts w:ascii="Calibri" w:hAnsi="Calibri" w:cs="Calibri"/>
                  <w:sz w:val="18"/>
                  <w:color w:val="1155CC"/>
                  <w:u w:val="single"/>
                </w:rPr>
                <w:t xml:space="preserve">ncbi.nlm.nih.gov — Onychomycosis (StatPearls)</w:t>
              </w:r>
            </w:hyperlink>
          </w:p>
          <w:p>
            <w:pPr>
              <w:spacing w:before="60" w:after="40"/>
            </w:pPr>
            <w:r>
              <w:rPr>
                <w:rFonts w:ascii="Calibri" w:hAnsi="Calibri"/>
                <w:b w:val="0"/>
                <w:i w:val="0"/>
                <w:color w:val="5A5A5A"/>
                <w:sz w:val="18"/>
              </w:rPr>
              <w:t>#occlusivefootwear  #boots  #hyperhidrosis  #maceration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Sport / communal showering</w:t>
            </w:r>
          </w:p>
        </w:tc>
        <w:tc>
          <w:tcPr>
            <w:tcW w:type="dxa" w:w="2160"/>
            <w:vAlign w:val="top"/>
          </w:tcPr>
          <w:p>
            <w:pPr>
              <w:spacing w:after="40" w:before="0" w:line="259" w:lineRule="auto"/>
            </w:pPr>
            <w:r>
              <w:rPr>
                <w:rFonts w:ascii="Calibri" w:hAnsi="Calibri"/>
                <w:b w:val="0"/>
                <w:i w:val="0"/>
                <w:color w:val="212121"/>
                <w:sz w:val="19"/>
              </w:rPr>
              <w:t>Athletes, runners, swimmers, gym-goers</w:t>
            </w:r>
          </w:p>
        </w:tc>
        <w:tc>
          <w:tcPr>
            <w:tcW w:type="dxa" w:w="4276"/>
            <w:vAlign w:val="top"/>
          </w:tcPr>
          <w:p>
            <w:pPr>
              <w:spacing w:after="60" w:line="259" w:lineRule="auto"/>
            </w:pPr>
            <w:r>
              <w:rPr>
                <w:rFonts w:ascii="Calibri" w:hAnsi="Calibri"/>
                <w:b w:val="0"/>
                <w:i w:val="0"/>
                <w:color w:val="212121"/>
                <w:sz w:val="19"/>
              </w:rPr>
              <w:t>Repetitive nail trauma, sweaty feet in sports shoes and barefoot exposure in shared changing rooms, showers and pool decks make athletes especially prone to tinea pedis and secondary toenail onychomycosis.</w:t>
            </w:r>
          </w:p>
          <w:p>
            <w:pPr>
              <w:spacing w:after="40" w:before="60" w:line="259" w:lineRule="auto"/>
            </w:pPr>
            <w:r>
              <w:rPr>
                <w:rFonts w:ascii="Calibri" w:hAnsi="Calibri"/>
                <w:b w:val="0"/>
                <w:i w:val="0"/>
                <w:color w:val="212121"/>
                <w:sz w:val="19"/>
              </w:rPr>
              <w:t>Subclinical toenail onychomycosis is strongly associated with tinea pedis, which is common among athletes and communal-shower users.</w:t>
            </w:r>
          </w:p>
          <w:p>
            <w:pPr>
              <w:spacing w:after="40" w:line="252" w:lineRule="auto"/>
            </w:pPr>
            <w:hyperlink r:id="rId13">
              <w:r>
                <w:rPr>
                  <w:rFonts w:ascii="Calibri" w:hAnsi="Calibri" w:cs="Calibri"/>
                  <w:sz w:val="18"/>
                  <w:color w:val="1155CC"/>
                  <w:u w:val="single"/>
                </w:rPr>
                <w:t xml:space="preserve">ncbi.nlm.nih.gov — Onychomycosis (StatPearls)</w:t>
              </w:r>
            </w:hyperlink>
          </w:p>
          <w:p>
            <w:pPr>
              <w:spacing w:before="60" w:after="40"/>
            </w:pPr>
            <w:r>
              <w:rPr>
                <w:rFonts w:ascii="Calibri" w:hAnsi="Calibri"/>
                <w:b w:val="0"/>
                <w:i w:val="0"/>
                <w:color w:val="5A5A5A"/>
                <w:sz w:val="18"/>
              </w:rPr>
              <w:t>#athletes  #swimmers  #lockerroom  #tineapedis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Wet-work / immersion</w:t>
            </w:r>
          </w:p>
        </w:tc>
        <w:tc>
          <w:tcPr>
            <w:tcW w:type="dxa" w:w="2160"/>
            <w:vAlign w:val="top"/>
          </w:tcPr>
          <w:p>
            <w:pPr>
              <w:spacing w:after="40" w:before="0" w:line="259" w:lineRule="auto"/>
            </w:pPr>
            <w:r>
              <w:rPr>
                <w:rFonts w:ascii="Calibri" w:hAnsi="Calibri"/>
                <w:b w:val="0"/>
                <w:i w:val="0"/>
                <w:color w:val="212121"/>
                <w:sz w:val="19"/>
              </w:rPr>
              <w:t>Homemakers, cooks, cleaners, dishwashers, farm/paddy workers</w:t>
            </w:r>
          </w:p>
        </w:tc>
        <w:tc>
          <w:tcPr>
            <w:tcW w:type="dxa" w:w="4276"/>
            <w:vAlign w:val="top"/>
          </w:tcPr>
          <w:p>
            <w:pPr>
              <w:spacing w:after="60" w:line="259" w:lineRule="auto"/>
            </w:pPr>
            <w:r>
              <w:rPr>
                <w:rFonts w:ascii="Calibri" w:hAnsi="Calibri"/>
                <w:b w:val="0"/>
                <w:i w:val="0"/>
                <w:color w:val="212121"/>
                <w:sz w:val="19"/>
              </w:rPr>
              <w:t>Prolonged immersion of the hands (or feet) in water softens and damages the cuticle and nail folds, predisposing to Candida fingernail onychomycosis with chronic paronychia — the classic ‘housewife’s’ nail infection.</w:t>
            </w:r>
          </w:p>
          <w:p>
            <w:pPr>
              <w:spacing w:after="40" w:before="60" w:line="259" w:lineRule="auto"/>
            </w:pPr>
            <w:r>
              <w:rPr>
                <w:rFonts w:ascii="Calibri" w:hAnsi="Calibri"/>
                <w:b w:val="0"/>
                <w:i w:val="0"/>
                <w:color w:val="212121"/>
                <w:sz w:val="19"/>
              </w:rPr>
              <w:t>Candida species are a leading cause of fingernail onychomycosis and chronic paronychia, particularly in wet-workers, diabetics and the immunosuppressed.</w:t>
            </w:r>
          </w:p>
          <w:p>
            <w:pPr>
              <w:spacing w:after="40" w:line="252" w:lineRule="auto"/>
            </w:pPr>
            <w:hyperlink r:id="rId14">
              <w:r>
                <w:rPr>
                  <w:rFonts w:ascii="Calibri" w:hAnsi="Calibri" w:cs="Calibri"/>
                  <w:sz w:val="18"/>
                  <w:color w:val="1155CC"/>
                  <w:u w:val="single"/>
                </w:rPr>
                <w:t xml:space="preserve">ijdvl.com — onychomycosis diagnosis &amp; management</w:t>
              </w:r>
            </w:hyperlink>
          </w:p>
          <w:p>
            <w:pPr>
              <w:spacing w:before="60" w:after="40"/>
            </w:pPr>
            <w:r>
              <w:rPr>
                <w:rFonts w:ascii="Calibri" w:hAnsi="Calibri"/>
                <w:b w:val="0"/>
                <w:i w:val="0"/>
                <w:color w:val="5A5A5A"/>
                <w:sz w:val="18"/>
              </w:rPr>
              <w:t>#candida  #wetwork  #paronychia  #fingernail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smokers</w:t>
            </w:r>
          </w:p>
        </w:tc>
        <w:tc>
          <w:tcPr>
            <w:tcW w:type="dxa" w:w="4276"/>
            <w:vAlign w:val="top"/>
          </w:tcPr>
          <w:p>
            <w:pPr>
              <w:spacing w:after="60" w:line="259" w:lineRule="auto"/>
            </w:pPr>
            <w:r>
              <w:rPr>
                <w:rFonts w:ascii="Calibri" w:hAnsi="Calibri"/>
                <w:b w:val="0"/>
                <w:i w:val="0"/>
                <w:color w:val="212121"/>
                <w:sz w:val="19"/>
              </w:rPr>
              <w:t>Smoking impairs peripheral microcirculation and is epidemiologically linked to onychomycosis, largely through its role in peripheral arterial disease that reduces blood supply and immune surveillance in the toes.</w:t>
            </w:r>
          </w:p>
          <w:p>
            <w:pPr>
              <w:spacing w:after="40" w:before="60" w:line="259" w:lineRule="auto"/>
            </w:pPr>
            <w:r>
              <w:rPr>
                <w:rFonts w:ascii="Calibri" w:hAnsi="Calibri"/>
                <w:b w:val="0"/>
                <w:i w:val="0"/>
                <w:color w:val="212121"/>
                <w:sz w:val="19"/>
              </w:rPr>
              <w:t>Smoking and peripheral arterial disease are reported as risk factors for toenail onychomycosis; the association is chiefly vascular rather than a direct fungal effect.</w:t>
            </w:r>
          </w:p>
          <w:p>
            <w:pPr>
              <w:spacing w:before="60" w:after="40"/>
            </w:pPr>
            <w:r>
              <w:rPr>
                <w:rFonts w:ascii="Calibri" w:hAnsi="Calibri"/>
                <w:b w:val="0"/>
                <w:i w:val="0"/>
                <w:color w:val="5A5A5A"/>
                <w:sz w:val="18"/>
              </w:rPr>
              <w:t>#smoking  #peripheralcirculation  #PAD  #toenail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Alcohol is not a direct cause; heavy use may impair immunity, self-care and foot hygiene, and is relevant mainly because chronic liver disease alters the safety and choice of oral antifungals (terbinafine, itraconazole).</w:t>
            </w:r>
          </w:p>
          <w:p>
            <w:pPr>
              <w:spacing w:after="40" w:before="60" w:line="259" w:lineRule="auto"/>
            </w:pPr>
            <w:r>
              <w:rPr>
                <w:rFonts w:ascii="Calibri" w:hAnsi="Calibri"/>
                <w:b w:val="0"/>
                <w:i w:val="0"/>
                <w:color w:val="212121"/>
                <w:sz w:val="19"/>
              </w:rPr>
              <w:t>No established direct causal link between alcohol intake and onychomycosis; its importance is largely through hepatic safety of systemic antifungal therapy.</w:t>
            </w:r>
          </w:p>
          <w:p>
            <w:pPr>
              <w:spacing w:before="60" w:after="40"/>
            </w:pPr>
            <w:r>
              <w:rPr>
                <w:rFonts w:ascii="Calibri" w:hAnsi="Calibri"/>
                <w:b w:val="0"/>
                <w:i w:val="0"/>
                <w:color w:val="5A5A5A"/>
                <w:sz w:val="18"/>
              </w:rPr>
              <w:t>#alcohol  #notdirect  #hepatotoxicity  #antifungalsafety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Nutritional / glycaemic status</w:t>
            </w:r>
          </w:p>
        </w:tc>
        <w:tc>
          <w:tcPr>
            <w:tcW w:type="dxa" w:w="2160"/>
            <w:vAlign w:val="top"/>
          </w:tcPr>
          <w:p>
            <w:pPr>
              <w:spacing w:after="40" w:before="0" w:line="259" w:lineRule="auto"/>
            </w:pPr>
            <w:r>
              <w:rPr>
                <w:rFonts w:ascii="Calibri" w:hAnsi="Calibri"/>
                <w:b w:val="0"/>
                <w:i w:val="0"/>
                <w:color w:val="212121"/>
                <w:sz w:val="19"/>
              </w:rPr>
              <w:t>Malnourished and poorly-controlled diabetic individuals</w:t>
            </w:r>
          </w:p>
        </w:tc>
        <w:tc>
          <w:tcPr>
            <w:tcW w:type="dxa" w:w="4276"/>
            <w:vAlign w:val="top"/>
          </w:tcPr>
          <w:p>
            <w:pPr>
              <w:spacing w:after="60" w:line="259" w:lineRule="auto"/>
            </w:pPr>
            <w:r>
              <w:rPr>
                <w:rFonts w:ascii="Calibri" w:hAnsi="Calibri"/>
                <w:b w:val="0"/>
                <w:i w:val="0"/>
                <w:color w:val="212121"/>
                <w:sz w:val="19"/>
              </w:rPr>
              <w:t>No specific food causes or cures nail fungus, but malnutrition impairs immunity and nail integrity, and poor glycaemic control in diabetics markedly raises the risk and extent of onychomycosis.</w:t>
            </w:r>
          </w:p>
          <w:p>
            <w:pPr>
              <w:spacing w:after="40" w:before="60" w:line="259" w:lineRule="auto"/>
            </w:pPr>
            <w:r>
              <w:rPr>
                <w:rFonts w:ascii="Calibri" w:hAnsi="Calibri"/>
                <w:b w:val="0"/>
                <w:i w:val="0"/>
                <w:color w:val="212121"/>
                <w:sz w:val="19"/>
              </w:rPr>
              <w:t>Higher HbA1c correlates with more nails involved; patients with &gt;6 affected nails had a mean HbA1c of ~10.1% versus ~8.9% in those with none.</w:t>
            </w:r>
          </w:p>
          <w:p>
            <w:pPr>
              <w:spacing w:after="40" w:line="252" w:lineRule="auto"/>
            </w:pPr>
            <w:hyperlink r:id="rId11">
              <w:r>
                <w:rPr>
                  <w:rFonts w:ascii="Calibri" w:hAnsi="Calibri" w:cs="Calibri"/>
                  <w:sz w:val="18"/>
                  <w:color w:val="1155CC"/>
                  <w:u w:val="single"/>
                </w:rPr>
                <w:t xml:space="preserve">ijdvl.com — onychomycosis in diabetes (North India)</w:t>
              </w:r>
            </w:hyperlink>
          </w:p>
          <w:p>
            <w:pPr>
              <w:spacing w:before="60" w:after="40"/>
            </w:pPr>
            <w:r>
              <w:rPr>
                <w:rFonts w:ascii="Calibri" w:hAnsi="Calibri"/>
                <w:b w:val="0"/>
                <w:i w:val="0"/>
                <w:color w:val="5A5A5A"/>
                <w:sz w:val="18"/>
              </w:rPr>
              <w:t>#glycaemiccontrol  #HbA1c  #malnutrition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onychomycosis</w:t>
            </w:r>
          </w:p>
        </w:tc>
        <w:tc>
          <w:tcPr>
            <w:tcW w:type="dxa" w:w="4276"/>
            <w:vAlign w:val="top"/>
          </w:tcPr>
          <w:p>
            <w:pPr>
              <w:spacing w:after="60" w:line="259" w:lineRule="auto"/>
            </w:pPr>
            <w:r>
              <w:rPr>
                <w:rFonts w:ascii="Calibri" w:hAnsi="Calibri"/>
                <w:b w:val="0"/>
                <w:i w:val="0"/>
                <w:color w:val="212121"/>
                <w:sz w:val="19"/>
              </w:rPr>
              <w:t>A genetically determined, autosomal-dominant susceptibility to chronic T. rubrum infection runs in families, so household clustering reflects both shared environment (footwear, floors) and inherited predisposition.</w:t>
            </w:r>
          </w:p>
          <w:p>
            <w:pPr>
              <w:spacing w:after="40" w:before="60" w:line="259" w:lineRule="auto"/>
            </w:pPr>
            <w:r>
              <w:rPr>
                <w:rFonts w:ascii="Calibri" w:hAnsi="Calibri"/>
                <w:b w:val="0"/>
                <w:i w:val="0"/>
                <w:color w:val="212121"/>
                <w:sz w:val="19"/>
              </w:rPr>
              <w:t>Family history of onychomycosis and an autosomal-dominant pattern of susceptibility to T. rubrum are recognised risk factors.</w:t>
            </w:r>
          </w:p>
          <w:p>
            <w:pPr>
              <w:spacing w:after="40" w:line="252" w:lineRule="auto"/>
            </w:pPr>
            <w:hyperlink r:id="rId13">
              <w:r>
                <w:rPr>
                  <w:rFonts w:ascii="Calibri" w:hAnsi="Calibri" w:cs="Calibri"/>
                  <w:sz w:val="18"/>
                  <w:color w:val="1155CC"/>
                  <w:u w:val="single"/>
                </w:rPr>
                <w:t xml:space="preserve">ncbi.nlm.nih.gov — Onychomycosis (StatPearls)</w:t>
              </w:r>
            </w:hyperlink>
          </w:p>
          <w:p>
            <w:pPr>
              <w:spacing w:before="60" w:after="40"/>
            </w:pPr>
            <w:r>
              <w:rPr>
                <w:rFonts w:ascii="Calibri" w:hAnsi="Calibri"/>
                <w:b w:val="0"/>
                <w:i w:val="0"/>
                <w:color w:val="5A5A5A"/>
                <w:sz w:val="18"/>
              </w:rPr>
              <w:t>#familyhistory  #genetic  #autosomaldominant  #trubrum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 patients</w:t>
            </w:r>
          </w:p>
        </w:tc>
        <w:tc>
          <w:tcPr>
            <w:tcW w:type="dxa" w:w="4276"/>
            <w:vAlign w:val="top"/>
          </w:tcPr>
          <w:p>
            <w:pPr>
              <w:spacing w:after="60" w:line="259" w:lineRule="auto"/>
            </w:pPr>
            <w:r>
              <w:rPr>
                <w:rFonts w:ascii="Calibri" w:hAnsi="Calibri"/>
                <w:b w:val="0"/>
                <w:i w:val="0"/>
                <w:color w:val="212121"/>
                <w:sz w:val="19"/>
              </w:rPr>
              <w:t>Hyperglycaemia, microangiopathy, peripheral neuropathy and impaired immunity make diabetics far more prone to onychomycosis; thick, dystrophic infected nails then predispose to foot ulceration and serious secondary infection.</w:t>
            </w:r>
          </w:p>
          <w:p>
            <w:pPr>
              <w:spacing w:after="40" w:before="60" w:line="259" w:lineRule="auto"/>
            </w:pPr>
            <w:r>
              <w:rPr>
                <w:rFonts w:ascii="Calibri" w:hAnsi="Calibri"/>
                <w:b w:val="0"/>
                <w:i w:val="0"/>
                <w:color w:val="212121"/>
                <w:sz w:val="19"/>
              </w:rPr>
              <w:t>Onychomycosis was found in 34% of diabetics in a North-Indian tertiary-care study; the risk is estimated at 1.9–2.8× that of the general population.</w:t>
            </w:r>
          </w:p>
          <w:p>
            <w:pPr>
              <w:spacing w:after="40" w:line="252" w:lineRule="auto"/>
            </w:pPr>
            <w:hyperlink r:id="rId11">
              <w:r>
                <w:rPr>
                  <w:rFonts w:ascii="Calibri" w:hAnsi="Calibri" w:cs="Calibri"/>
                  <w:sz w:val="18"/>
                  <w:color w:val="1155CC"/>
                  <w:u w:val="single"/>
                </w:rPr>
                <w:t xml:space="preserve">ijdvl.com — onychomycosis in diabetes (North India)</w:t>
              </w:r>
            </w:hyperlink>
          </w:p>
          <w:p>
            <w:pPr>
              <w:spacing w:before="60" w:after="40"/>
            </w:pPr>
            <w:r>
              <w:rPr>
                <w:rFonts w:ascii="Calibri" w:hAnsi="Calibri"/>
                <w:b w:val="0"/>
                <w:i w:val="0"/>
                <w:color w:val="5A5A5A"/>
                <w:sz w:val="18"/>
              </w:rPr>
              <w:t>#diabetes  #diabeticfoot  #neuropathy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Tinea pedis</w:t>
            </w:r>
          </w:p>
        </w:tc>
        <w:tc>
          <w:tcPr>
            <w:tcW w:type="dxa" w:w="2160"/>
            <w:vAlign w:val="top"/>
          </w:tcPr>
          <w:p>
            <w:pPr>
              <w:spacing w:after="40" w:before="0" w:line="259" w:lineRule="auto"/>
            </w:pPr>
            <w:r>
              <w:rPr>
                <w:rFonts w:ascii="Calibri" w:hAnsi="Calibri"/>
                <w:b w:val="0"/>
                <w:i w:val="0"/>
                <w:color w:val="212121"/>
                <w:sz w:val="19"/>
              </w:rPr>
              <w:t>Patients with athlete’s foot</w:t>
            </w:r>
          </w:p>
        </w:tc>
        <w:tc>
          <w:tcPr>
            <w:tcW w:type="dxa" w:w="4276"/>
            <w:vAlign w:val="top"/>
          </w:tcPr>
          <w:p>
            <w:pPr>
              <w:spacing w:after="60" w:line="259" w:lineRule="auto"/>
            </w:pPr>
            <w:r>
              <w:rPr>
                <w:rFonts w:ascii="Calibri" w:hAnsi="Calibri"/>
                <w:b w:val="0"/>
                <w:i w:val="0"/>
                <w:color w:val="212121"/>
                <w:sz w:val="19"/>
              </w:rPr>
              <w:t>Interdigital and moccasin tinea pedis is the usual reservoir from which dermatophytes invade the toenail; the two coexist frequently and each re-seeds the other, so both must be treated together.</w:t>
            </w:r>
          </w:p>
          <w:p>
            <w:pPr>
              <w:spacing w:after="40" w:before="60" w:line="259" w:lineRule="auto"/>
            </w:pPr>
            <w:r>
              <w:rPr>
                <w:rFonts w:ascii="Calibri" w:hAnsi="Calibri"/>
                <w:b w:val="0"/>
                <w:i w:val="0"/>
                <w:color w:val="212121"/>
                <w:sz w:val="19"/>
              </w:rPr>
              <w:t>Subclinical onychomycosis is significantly associated with tinea pedis, which is the commonest source of toenail DLSO.</w:t>
            </w:r>
          </w:p>
          <w:p>
            <w:pPr>
              <w:spacing w:after="40" w:line="252" w:lineRule="auto"/>
            </w:pPr>
            <w:hyperlink r:id="rId13">
              <w:r>
                <w:rPr>
                  <w:rFonts w:ascii="Calibri" w:hAnsi="Calibri" w:cs="Calibri"/>
                  <w:sz w:val="18"/>
                  <w:color w:val="1155CC"/>
                  <w:u w:val="single"/>
                </w:rPr>
                <w:t xml:space="preserve">ncbi.nlm.nih.gov — Onychomycosis (StatPearls)</w:t>
              </w:r>
            </w:hyperlink>
          </w:p>
          <w:p>
            <w:pPr>
              <w:spacing w:before="60" w:after="40"/>
            </w:pPr>
            <w:r>
              <w:rPr>
                <w:rFonts w:ascii="Calibri" w:hAnsi="Calibri"/>
                <w:b w:val="0"/>
                <w:i w:val="0"/>
                <w:color w:val="5A5A5A"/>
                <w:sz w:val="18"/>
              </w:rPr>
              <w:t>#tineapedis  #reservoir  #dermatophyte  #reinfection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Peripheral arterial disease</w:t>
            </w:r>
          </w:p>
        </w:tc>
        <w:tc>
          <w:tcPr>
            <w:tcW w:type="dxa" w:w="2160"/>
            <w:vAlign w:val="top"/>
          </w:tcPr>
          <w:p>
            <w:pPr>
              <w:spacing w:after="40" w:before="0" w:line="259" w:lineRule="auto"/>
            </w:pPr>
            <w:r>
              <w:rPr>
                <w:rFonts w:ascii="Calibri" w:hAnsi="Calibri"/>
                <w:b w:val="0"/>
                <w:i w:val="0"/>
                <w:color w:val="212121"/>
                <w:sz w:val="19"/>
              </w:rPr>
              <w:t>Patients with PAD / poor peripheral circulation</w:t>
            </w:r>
          </w:p>
        </w:tc>
        <w:tc>
          <w:tcPr>
            <w:tcW w:type="dxa" w:w="4276"/>
            <w:vAlign w:val="top"/>
          </w:tcPr>
          <w:p>
            <w:pPr>
              <w:spacing w:after="60" w:line="259" w:lineRule="auto"/>
            </w:pPr>
            <w:r>
              <w:rPr>
                <w:rFonts w:ascii="Calibri" w:hAnsi="Calibri"/>
                <w:b w:val="0"/>
                <w:i w:val="0"/>
                <w:color w:val="212121"/>
                <w:sz w:val="19"/>
              </w:rPr>
              <w:t>Reduced arterial supply lowers oxygen, nutrient and immune-cell delivery to the toes, favouring fungal persistence; conversely, toenail onychomycosis can be an early external warning sign of underlying PAD.</w:t>
            </w:r>
          </w:p>
          <w:p>
            <w:pPr>
              <w:spacing w:after="40" w:before="60" w:line="259" w:lineRule="auto"/>
            </w:pPr>
            <w:r>
              <w:rPr>
                <w:rFonts w:ascii="Calibri" w:hAnsi="Calibri"/>
                <w:b w:val="0"/>
                <w:i w:val="0"/>
                <w:color w:val="212121"/>
                <w:sz w:val="19"/>
              </w:rPr>
              <w:t>Peripheral arterial disease and smoking are recognised as risk factors for onychomycosis, and infected nails may flag occult PAD.</w:t>
            </w:r>
          </w:p>
          <w:p>
            <w:pPr>
              <w:spacing w:before="60" w:after="40"/>
            </w:pPr>
            <w:r>
              <w:rPr>
                <w:rFonts w:ascii="Calibri" w:hAnsi="Calibri"/>
                <w:b w:val="0"/>
                <w:i w:val="0"/>
                <w:color w:val="5A5A5A"/>
                <w:sz w:val="18"/>
              </w:rPr>
              <w:t>#PAD  #circulation  #warningsign  #toes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Psoriasis</w:t>
            </w:r>
          </w:p>
        </w:tc>
        <w:tc>
          <w:tcPr>
            <w:tcW w:type="dxa" w:w="2160"/>
            <w:vAlign w:val="top"/>
          </w:tcPr>
          <w:p>
            <w:pPr>
              <w:spacing w:after="40" w:before="0" w:line="259" w:lineRule="auto"/>
            </w:pPr>
            <w:r>
              <w:rPr>
                <w:rFonts w:ascii="Calibri" w:hAnsi="Calibri"/>
                <w:b w:val="0"/>
                <w:i w:val="0"/>
                <w:color w:val="212121"/>
                <w:sz w:val="19"/>
              </w:rPr>
              <w:t>Patients with (nail) psoriasis</w:t>
            </w:r>
          </w:p>
        </w:tc>
        <w:tc>
          <w:tcPr>
            <w:tcW w:type="dxa" w:w="4276"/>
            <w:vAlign w:val="top"/>
          </w:tcPr>
          <w:p>
            <w:pPr>
              <w:spacing w:after="60" w:line="259" w:lineRule="auto"/>
            </w:pPr>
            <w:r>
              <w:rPr>
                <w:rFonts w:ascii="Calibri" w:hAnsi="Calibri"/>
                <w:b w:val="0"/>
                <w:i w:val="0"/>
                <w:color w:val="212121"/>
                <w:sz w:val="19"/>
              </w:rPr>
              <w:t>Psoriatic nail dystrophy damages the nail barrier and is an independent risk factor for superadded fungal infection; distinguishing the two is difficult and often needs mycology, as treatments differ.</w:t>
            </w:r>
          </w:p>
          <w:p>
            <w:pPr>
              <w:spacing w:after="40" w:before="60" w:line="259" w:lineRule="auto"/>
            </w:pPr>
            <w:r>
              <w:rPr>
                <w:rFonts w:ascii="Calibri" w:hAnsi="Calibri"/>
                <w:b w:val="0"/>
                <w:i w:val="0"/>
                <w:color w:val="212121"/>
                <w:sz w:val="19"/>
              </w:rPr>
              <w:t>A clinico-mycological study found onychomycosis in ~22% of psoriasis patients; psoriasis is an independent risk factor for nail fungal infection.</w:t>
            </w:r>
          </w:p>
          <w:p>
            <w:pPr>
              <w:spacing w:after="40" w:line="252" w:lineRule="auto"/>
            </w:pPr>
            <w:hyperlink r:id="rId15">
              <w:r>
                <w:rPr>
                  <w:rFonts w:ascii="Calibri" w:hAnsi="Calibri" w:cs="Calibri"/>
                  <w:sz w:val="18"/>
                  <w:color w:val="1155CC"/>
                  <w:u w:val="single"/>
                </w:rPr>
                <w:t xml:space="preserve">nature.com — onychomycosis among psoriasis patients</w:t>
              </w:r>
            </w:hyperlink>
          </w:p>
          <w:p>
            <w:pPr>
              <w:spacing w:before="60" w:after="40"/>
            </w:pPr>
            <w:r>
              <w:rPr>
                <w:rFonts w:ascii="Calibri" w:hAnsi="Calibri"/>
                <w:b w:val="0"/>
                <w:i w:val="0"/>
                <w:color w:val="5A5A5A"/>
                <w:sz w:val="18"/>
              </w:rPr>
              <w:t>#psoriasis  #nailpsoriasis  #differential  #superinfection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HIV</w:t>
            </w:r>
          </w:p>
        </w:tc>
        <w:tc>
          <w:tcPr>
            <w:tcW w:type="dxa" w:w="2160"/>
            <w:vAlign w:val="top"/>
          </w:tcPr>
          <w:p>
            <w:pPr>
              <w:spacing w:after="40" w:before="0" w:line="259" w:lineRule="auto"/>
            </w:pPr>
            <w:r>
              <w:rPr>
                <w:rFonts w:ascii="Calibri" w:hAnsi="Calibri"/>
                <w:b w:val="0"/>
                <w:i w:val="0"/>
                <w:color w:val="212121"/>
                <w:sz w:val="19"/>
              </w:rPr>
              <w:t>HIV, transplant &amp; other immunosuppressed patients</w:t>
            </w:r>
          </w:p>
        </w:tc>
        <w:tc>
          <w:tcPr>
            <w:tcW w:type="dxa" w:w="4276"/>
            <w:vAlign w:val="top"/>
          </w:tcPr>
          <w:p>
            <w:pPr>
              <w:spacing w:after="60" w:line="259" w:lineRule="auto"/>
            </w:pPr>
            <w:r>
              <w:rPr>
                <w:rFonts w:ascii="Calibri" w:hAnsi="Calibri"/>
                <w:b w:val="0"/>
                <w:i w:val="0"/>
                <w:color w:val="212121"/>
                <w:sz w:val="19"/>
              </w:rPr>
              <w:t>Impaired cell-mediated immunity permits extensive, atypical and treatment-resistant disease; proximal subungual onychomycosis (PSO) in particular is a recognised cutaneous marker of HIV/AIDS.</w:t>
            </w:r>
          </w:p>
          <w:p>
            <w:pPr>
              <w:spacing w:after="40" w:before="60" w:line="259" w:lineRule="auto"/>
            </w:pPr>
            <w:r>
              <w:rPr>
                <w:rFonts w:ascii="Calibri" w:hAnsi="Calibri"/>
                <w:b w:val="0"/>
                <w:i w:val="0"/>
                <w:color w:val="212121"/>
                <w:sz w:val="19"/>
              </w:rPr>
              <w:t>PSO is uncommon in the immunocompetent but occurs with increased frequency in patients with HIV/AIDS.</w:t>
            </w:r>
          </w:p>
          <w:p>
            <w:pPr>
              <w:spacing w:after="40" w:line="252" w:lineRule="auto"/>
            </w:pPr>
            <w:hyperlink r:id="rId13">
              <w:r>
                <w:rPr>
                  <w:rFonts w:ascii="Calibri" w:hAnsi="Calibri" w:cs="Calibri"/>
                  <w:sz w:val="18"/>
                  <w:color w:val="1155CC"/>
                  <w:u w:val="single"/>
                </w:rPr>
                <w:t xml:space="preserve">ncbi.nlm.nih.gov — Onychomycosis (StatPearls)</w:t>
              </w:r>
            </w:hyperlink>
          </w:p>
          <w:p>
            <w:pPr>
              <w:spacing w:before="60" w:after="40"/>
            </w:pPr>
            <w:r>
              <w:rPr>
                <w:rFonts w:ascii="Calibri" w:hAnsi="Calibri"/>
                <w:b w:val="0"/>
                <w:i w:val="0"/>
                <w:color w:val="5A5A5A"/>
                <w:sz w:val="18"/>
              </w:rPr>
              <w:t>#immunosuppression  #HIV  #PSO  #extensive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Sport and exercise are healthy, but repetitive nail microtrauma, sweaty feet in athletic footwear and barefoot exposure in shared showers/pool decks promote tinea pedis and secondary toenail onychomycosis. The problem is the moist, occluded, communal environment rather than activity itself.</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diet causes or cures onychomycosis; nutrition matters only indirectly, through malnutrition-related immune impairment and, importantly, glycaemic control in diabetics (higher HbA1c = more nails involved).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between sleep and nail fungus; adequate sleep supports general immune competence, which is relevant in immunosuppressed or diabetic hosts.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epidemiologically associated with onychomycosis, mainly through peripheral arterial disease that impairs circulation and local immunity in the toes; cessation is advised for foot and vascular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recognised direct causal link; heavy use is relevant chiefly because chronic liver disease affects the safety and monitoring of oral antifungals (terbinafine, itraconazole, fluconazole).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visible, disfigured nails cause embarrassment, self-consciousness, social withdrawal and reduced quality of life; the mean Dermatology Life Quality Index in onychomycosis is about 6.1 (moderate effect).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wet-work/immersion softens and damages the cuticle and nail folds, predisposing to Candida fingernail infection and paronychia; keeping hands and feet dry (and drying between the toes) reduces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association between caffeine intake and onychomycosis.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Foot hygiene is central: drying thoroughly between the toes, changing socks, not sharing footwear, towels or nail clippers, disinfecting/rotating shoes and avoiding barefoot walking in communal wet areas all reduce acquisition, spread and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Classic provoking factors are nail trauma, occlusive/synthetic footwear, hyperhidrosis, untreated tinea pedis, diabetes, peripheral arterial disease, immunosuppression and barefoot use of contaminated communal floors — all of which allow fungal entry into the nail.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Drying between toes after bathing/sweating</w:t>
            </w:r>
          </w:p>
        </w:tc>
        <w:tc>
          <w:tcPr>
            <w:tcW w:type="dxa" w:w="1655"/>
            <w:vAlign w:val="top"/>
          </w:tcPr>
          <w:p>
            <w:pPr>
              <w:spacing w:after="40" w:before="0" w:line="259" w:lineRule="auto"/>
            </w:pPr>
            <w:r>
              <w:rPr>
                <w:rFonts w:ascii="Calibri" w:hAnsi="Calibri"/>
                <w:b w:val="0"/>
                <w:i w:val="0"/>
                <w:color w:val="212121"/>
                <w:sz w:val="19"/>
              </w:rPr>
              <w:t>All, athletes, hyperhidrosis, diabetics</w:t>
            </w:r>
          </w:p>
        </w:tc>
        <w:tc>
          <w:tcPr>
            <w:tcW w:type="dxa" w:w="1512"/>
            <w:vAlign w:val="top"/>
          </w:tcPr>
          <w:p>
            <w:pPr>
              <w:spacing w:after="40" w:before="0" w:line="259" w:lineRule="auto"/>
            </w:pPr>
            <w:r>
              <w:rPr>
                <w:rFonts w:ascii="Calibri" w:hAnsi="Calibri"/>
                <w:b w:val="0"/>
                <w:i w:val="0"/>
                <w:color w:val="212121"/>
                <w:sz w:val="19"/>
              </w:rPr>
              <w:t>Toes and nail folds dried thoroughly; socks changed daily</w:t>
            </w:r>
          </w:p>
        </w:tc>
        <w:tc>
          <w:tcPr>
            <w:tcW w:type="dxa" w:w="1512"/>
            <w:vAlign w:val="top"/>
          </w:tcPr>
          <w:p>
            <w:pPr>
              <w:spacing w:after="40" w:before="0" w:line="259" w:lineRule="auto"/>
            </w:pPr>
            <w:r>
              <w:rPr>
                <w:rFonts w:ascii="Calibri" w:hAnsi="Calibri"/>
                <w:b w:val="0"/>
                <w:i w:val="0"/>
                <w:color w:val="212121"/>
                <w:sz w:val="19"/>
              </w:rPr>
              <w:t>Leaving feet/socks damp; re-wearing wet footwear</w:t>
            </w:r>
          </w:p>
        </w:tc>
        <w:tc>
          <w:tcPr>
            <w:tcW w:type="dxa" w:w="1468"/>
            <w:vAlign w:val="top"/>
          </w:tcPr>
          <w:p>
            <w:pPr>
              <w:spacing w:after="60" w:line="259" w:lineRule="auto"/>
            </w:pPr>
            <w:r>
              <w:rPr>
                <w:rFonts w:ascii="Calibri" w:hAnsi="Calibri"/>
                <w:b w:val="0"/>
                <w:i w:val="0"/>
                <w:color w:val="212121"/>
                <w:sz w:val="19"/>
              </w:rPr>
              <w:t>Residual moisture macerates skin/nail folds and feeds fungi</w:t>
            </w:r>
          </w:p>
          <w:p>
            <w:pPr>
              <w:spacing w:after="40" w:line="252" w:lineRule="auto"/>
            </w:pPr>
            <w:hyperlink r:id="rId13">
              <w:r>
                <w:rPr>
                  <w:rFonts w:ascii="Calibri" w:hAnsi="Calibri" w:cs="Calibri"/>
                  <w:sz w:val="18"/>
                  <w:color w:val="1155CC"/>
                  <w:u w:val="single"/>
                </w:rPr>
                <w:t xml:space="preserve">https://www.ncbi.nlm.nih.gov/books/NBK441853/</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Daily hours in closed/occlusive footwear</w:t>
            </w:r>
          </w:p>
        </w:tc>
        <w:tc>
          <w:tcPr>
            <w:tcW w:type="dxa" w:w="1655"/>
            <w:vAlign w:val="top"/>
          </w:tcPr>
          <w:p>
            <w:pPr>
              <w:spacing w:after="40" w:before="0" w:line="259" w:lineRule="auto"/>
            </w:pPr>
            <w:r>
              <w:rPr>
                <w:rFonts w:ascii="Calibri" w:hAnsi="Calibri"/>
                <w:b w:val="0"/>
                <w:i w:val="0"/>
                <w:color w:val="212121"/>
                <w:sz w:val="19"/>
              </w:rPr>
              <w:t>Soldiers, police, industrial &amp; office workers</w:t>
            </w:r>
          </w:p>
        </w:tc>
        <w:tc>
          <w:tcPr>
            <w:tcW w:type="dxa" w:w="1512"/>
            <w:vAlign w:val="top"/>
          </w:tcPr>
          <w:p>
            <w:pPr>
              <w:spacing w:after="40" w:before="0" w:line="259" w:lineRule="auto"/>
            </w:pPr>
            <w:r>
              <w:rPr>
                <w:rFonts w:ascii="Calibri" w:hAnsi="Calibri"/>
                <w:b w:val="0"/>
                <w:i w:val="0"/>
                <w:color w:val="212121"/>
                <w:sz w:val="19"/>
              </w:rPr>
              <w:t>Breathable footwear; air feet; rotate shoes</w:t>
            </w:r>
          </w:p>
        </w:tc>
        <w:tc>
          <w:tcPr>
            <w:tcW w:type="dxa" w:w="1512"/>
            <w:vAlign w:val="top"/>
          </w:tcPr>
          <w:p>
            <w:pPr>
              <w:spacing w:after="40" w:before="0" w:line="259" w:lineRule="auto"/>
            </w:pPr>
            <w:r>
              <w:rPr>
                <w:rFonts w:ascii="Calibri" w:hAnsi="Calibri"/>
                <w:b w:val="0"/>
                <w:i w:val="0"/>
                <w:color w:val="212121"/>
                <w:sz w:val="19"/>
              </w:rPr>
              <w:t>Prolonged closed synthetic shoes/boots with sweaty feet</w:t>
            </w:r>
          </w:p>
        </w:tc>
        <w:tc>
          <w:tcPr>
            <w:tcW w:type="dxa" w:w="1468"/>
            <w:vAlign w:val="top"/>
          </w:tcPr>
          <w:p>
            <w:pPr>
              <w:spacing w:after="60" w:line="259" w:lineRule="auto"/>
            </w:pPr>
            <w:r>
              <w:rPr>
                <w:rFonts w:ascii="Calibri" w:hAnsi="Calibri"/>
                <w:b w:val="0"/>
                <w:i w:val="0"/>
                <w:color w:val="212121"/>
                <w:sz w:val="19"/>
              </w:rPr>
              <w:t>Occlusion + heat + sweat is the key toenail-infection micro-environment</w:t>
            </w:r>
          </w:p>
          <w:p>
            <w:pPr>
              <w:spacing w:after="40" w:line="252" w:lineRule="auto"/>
            </w:pPr>
            <w:hyperlink r:id="rId13">
              <w:r>
                <w:rPr>
                  <w:rFonts w:ascii="Calibri" w:hAnsi="Calibri" w:cs="Calibri"/>
                  <w:sz w:val="18"/>
                  <w:color w:val="1155CC"/>
                  <w:u w:val="single"/>
                </w:rPr>
                <w:t xml:space="preserve">https://www.ncbi.nlm.nih.gov/books/NBK441853/</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Sharing footwear, towels or nail instruments</w:t>
            </w:r>
          </w:p>
        </w:tc>
        <w:tc>
          <w:tcPr>
            <w:tcW w:type="dxa" w:w="1655"/>
            <w:vAlign w:val="top"/>
          </w:tcPr>
          <w:p>
            <w:pPr>
              <w:spacing w:after="40" w:before="0" w:line="259" w:lineRule="auto"/>
            </w:pPr>
            <w:r>
              <w:rPr>
                <w:rFonts w:ascii="Calibri" w:hAnsi="Calibri"/>
                <w:b w:val="0"/>
                <w:i w:val="0"/>
                <w:color w:val="212121"/>
                <w:sz w:val="19"/>
              </w:rPr>
              <w:t>Households, hostels, salons, barracks</w:t>
            </w:r>
          </w:p>
        </w:tc>
        <w:tc>
          <w:tcPr>
            <w:tcW w:type="dxa" w:w="1512"/>
            <w:vAlign w:val="top"/>
          </w:tcPr>
          <w:p>
            <w:pPr>
              <w:spacing w:after="40" w:before="0" w:line="259" w:lineRule="auto"/>
            </w:pPr>
            <w:r>
              <w:rPr>
                <w:rFonts w:ascii="Calibri" w:hAnsi="Calibri"/>
                <w:b w:val="0"/>
                <w:i w:val="0"/>
                <w:color w:val="212121"/>
                <w:sz w:val="19"/>
              </w:rPr>
              <w:t>Never share; disinfect clippers; own footwear</w:t>
            </w:r>
          </w:p>
        </w:tc>
        <w:tc>
          <w:tcPr>
            <w:tcW w:type="dxa" w:w="1512"/>
            <w:vAlign w:val="top"/>
          </w:tcPr>
          <w:p>
            <w:pPr>
              <w:spacing w:after="40" w:before="0" w:line="259" w:lineRule="auto"/>
            </w:pPr>
            <w:r>
              <w:rPr>
                <w:rFonts w:ascii="Calibri" w:hAnsi="Calibri"/>
                <w:b w:val="0"/>
                <w:i w:val="0"/>
                <w:color w:val="212121"/>
                <w:sz w:val="19"/>
              </w:rPr>
              <w:t>Shared shoes/clippers; unsterile pedicure tools</w:t>
            </w:r>
          </w:p>
        </w:tc>
        <w:tc>
          <w:tcPr>
            <w:tcW w:type="dxa" w:w="1468"/>
            <w:vAlign w:val="top"/>
          </w:tcPr>
          <w:p>
            <w:pPr>
              <w:spacing w:after="60" w:line="259" w:lineRule="auto"/>
            </w:pPr>
            <w:r>
              <w:rPr>
                <w:rFonts w:ascii="Calibri" w:hAnsi="Calibri"/>
                <w:b w:val="0"/>
                <w:i w:val="0"/>
                <w:color w:val="212121"/>
                <w:sz w:val="19"/>
              </w:rPr>
              <w:t>Common route of person-to-person and salon transmission</w:t>
            </w:r>
          </w:p>
          <w:p>
            <w:pPr>
              <w:spacing w:after="40" w:line="252" w:lineRule="auto"/>
            </w:pPr>
            <w:hyperlink r:id="rId13">
              <w:r>
                <w:rPr>
                  <w:rFonts w:ascii="Calibri" w:hAnsi="Calibri" w:cs="Calibri"/>
                  <w:sz w:val="18"/>
                  <w:color w:val="1155CC"/>
                  <w:u w:val="single"/>
                </w:rPr>
                <w:t xml:space="preserve">https://www.ncbi.nlm.nih.gov/books/NBK441853/</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Coexisting tinea pedis treated?</w:t>
            </w:r>
          </w:p>
        </w:tc>
        <w:tc>
          <w:tcPr>
            <w:tcW w:type="dxa" w:w="1655"/>
            <w:vAlign w:val="top"/>
          </w:tcPr>
          <w:p>
            <w:pPr>
              <w:spacing w:after="40" w:before="0" w:line="259" w:lineRule="auto"/>
            </w:pPr>
            <w:r>
              <w:rPr>
                <w:rFonts w:ascii="Calibri" w:hAnsi="Calibri"/>
                <w:b w:val="0"/>
                <w:i w:val="0"/>
                <w:color w:val="212121"/>
                <w:sz w:val="19"/>
              </w:rPr>
              <w:t>Toenail onychomycosis, athletes</w:t>
            </w:r>
          </w:p>
        </w:tc>
        <w:tc>
          <w:tcPr>
            <w:tcW w:type="dxa" w:w="1512"/>
            <w:vAlign w:val="top"/>
          </w:tcPr>
          <w:p>
            <w:pPr>
              <w:spacing w:after="40" w:before="0" w:line="259" w:lineRule="auto"/>
            </w:pPr>
            <w:r>
              <w:rPr>
                <w:rFonts w:ascii="Calibri" w:hAnsi="Calibri"/>
                <w:b w:val="0"/>
                <w:i w:val="0"/>
                <w:color w:val="212121"/>
                <w:sz w:val="19"/>
              </w:rPr>
              <w:t>Athlete’s foot fully treated and kept dry</w:t>
            </w:r>
          </w:p>
        </w:tc>
        <w:tc>
          <w:tcPr>
            <w:tcW w:type="dxa" w:w="1512"/>
            <w:vAlign w:val="top"/>
          </w:tcPr>
          <w:p>
            <w:pPr>
              <w:spacing w:after="40" w:before="0" w:line="259" w:lineRule="auto"/>
            </w:pPr>
            <w:r>
              <w:rPr>
                <w:rFonts w:ascii="Calibri" w:hAnsi="Calibri"/>
                <w:b w:val="0"/>
                <w:i w:val="0"/>
                <w:color w:val="212121"/>
                <w:sz w:val="19"/>
              </w:rPr>
              <w:t>Untreated interdigital/moccasin tinea pedis</w:t>
            </w:r>
          </w:p>
        </w:tc>
        <w:tc>
          <w:tcPr>
            <w:tcW w:type="dxa" w:w="1468"/>
            <w:vAlign w:val="top"/>
          </w:tcPr>
          <w:p>
            <w:pPr>
              <w:spacing w:after="60" w:line="259" w:lineRule="auto"/>
            </w:pPr>
            <w:r>
              <w:rPr>
                <w:rFonts w:ascii="Calibri" w:hAnsi="Calibri"/>
                <w:b w:val="0"/>
                <w:i w:val="0"/>
                <w:color w:val="212121"/>
                <w:sz w:val="19"/>
              </w:rPr>
              <w:t>Tinea pedis is the reservoir that re-seeds the nail</w:t>
            </w:r>
          </w:p>
          <w:p>
            <w:pPr>
              <w:spacing w:after="40" w:line="252" w:lineRule="auto"/>
            </w:pPr>
            <w:hyperlink r:id="rId13">
              <w:r>
                <w:rPr>
                  <w:rFonts w:ascii="Calibri" w:hAnsi="Calibri" w:cs="Calibri"/>
                  <w:sz w:val="18"/>
                  <w:color w:val="1155CC"/>
                  <w:u w:val="single"/>
                </w:rPr>
                <w:t xml:space="preserve">https://www.ncbi.nlm.nih.gov/books/NBK441853/</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Prolonged hand/foot immersion (wet-work)</w:t>
            </w:r>
          </w:p>
        </w:tc>
        <w:tc>
          <w:tcPr>
            <w:tcW w:type="dxa" w:w="1655"/>
            <w:vAlign w:val="top"/>
          </w:tcPr>
          <w:p>
            <w:pPr>
              <w:spacing w:after="40" w:before="0" w:line="259" w:lineRule="auto"/>
            </w:pPr>
            <w:r>
              <w:rPr>
                <w:rFonts w:ascii="Calibri" w:hAnsi="Calibri"/>
                <w:b w:val="0"/>
                <w:i w:val="0"/>
                <w:color w:val="212121"/>
                <w:sz w:val="19"/>
              </w:rPr>
              <w:t>Homemakers, cooks, cleaners, farmers</w:t>
            </w:r>
          </w:p>
        </w:tc>
        <w:tc>
          <w:tcPr>
            <w:tcW w:type="dxa" w:w="1512"/>
            <w:vAlign w:val="top"/>
          </w:tcPr>
          <w:p>
            <w:pPr>
              <w:spacing w:after="40" w:before="0" w:line="259" w:lineRule="auto"/>
            </w:pPr>
            <w:r>
              <w:rPr>
                <w:rFonts w:ascii="Calibri" w:hAnsi="Calibri"/>
                <w:b w:val="0"/>
                <w:i w:val="0"/>
                <w:color w:val="212121"/>
                <w:sz w:val="19"/>
              </w:rPr>
              <w:t>Limit immersion; wear waterproof gloves; dry after</w:t>
            </w:r>
          </w:p>
        </w:tc>
        <w:tc>
          <w:tcPr>
            <w:tcW w:type="dxa" w:w="1512"/>
            <w:vAlign w:val="top"/>
          </w:tcPr>
          <w:p>
            <w:pPr>
              <w:spacing w:after="40" w:before="0" w:line="259" w:lineRule="auto"/>
            </w:pPr>
            <w:r>
              <w:rPr>
                <w:rFonts w:ascii="Calibri" w:hAnsi="Calibri"/>
                <w:b w:val="0"/>
                <w:i w:val="0"/>
                <w:color w:val="212121"/>
                <w:sz w:val="19"/>
              </w:rPr>
              <w:t>Hours of daily wet-work without protection</w:t>
            </w:r>
          </w:p>
        </w:tc>
        <w:tc>
          <w:tcPr>
            <w:tcW w:type="dxa" w:w="1468"/>
            <w:vAlign w:val="top"/>
          </w:tcPr>
          <w:p>
            <w:pPr>
              <w:spacing w:after="60" w:line="259" w:lineRule="auto"/>
            </w:pPr>
            <w:r>
              <w:rPr>
                <w:rFonts w:ascii="Calibri" w:hAnsi="Calibri"/>
                <w:b w:val="0"/>
                <w:i w:val="0"/>
                <w:color w:val="212121"/>
                <w:sz w:val="19"/>
              </w:rPr>
              <w:t>Predisposes to Candida fingernail infection and paronychia</w:t>
            </w:r>
          </w:p>
          <w:p>
            <w:pPr>
              <w:spacing w:after="40" w:line="252" w:lineRule="auto"/>
            </w:pPr>
            <w:hyperlink r:id="rId14">
              <w:r>
                <w:rPr>
                  <w:rFonts w:ascii="Calibri" w:hAnsi="Calibri" w:cs="Calibri"/>
                  <w:sz w:val="18"/>
                  <w:color w:val="1155CC"/>
                  <w:u w:val="single"/>
                </w:rPr>
                <w:t xml:space="preserve">https://ijdvl.com/onychomycosis-diagnosis-and-management/</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 screen/monitor</w:t>
            </w:r>
          </w:p>
        </w:tc>
        <w:tc>
          <w:tcPr>
            <w:tcW w:type="dxa" w:w="1655"/>
            <w:vAlign w:val="top"/>
          </w:tcPr>
          <w:p>
            <w:pPr>
              <w:spacing w:after="40" w:before="0" w:line="259" w:lineRule="auto"/>
            </w:pPr>
            <w:r>
              <w:rPr>
                <w:rFonts w:ascii="Calibri" w:hAnsi="Calibri"/>
                <w:b w:val="0"/>
                <w:i w:val="0"/>
                <w:color w:val="212121"/>
                <w:sz w:val="19"/>
              </w:rPr>
              <w:t>Diabetics, extensive/recurrent onychomycosis</w:t>
            </w:r>
          </w:p>
        </w:tc>
        <w:tc>
          <w:tcPr>
            <w:tcW w:type="dxa" w:w="1512"/>
            <w:vAlign w:val="top"/>
          </w:tcPr>
          <w:p>
            <w:pPr>
              <w:spacing w:after="40" w:before="0" w:line="259" w:lineRule="auto"/>
            </w:pPr>
            <w:r>
              <w:rPr>
                <w:rFonts w:ascii="Calibri" w:hAnsi="Calibri"/>
                <w:b w:val="0"/>
                <w:i w:val="0"/>
                <w:color w:val="212121"/>
                <w:sz w:val="19"/>
              </w:rPr>
              <w:t>HbA1c &lt; 5.7% (non-diabetic); individualised target in DM</w:t>
            </w:r>
          </w:p>
        </w:tc>
        <w:tc>
          <w:tcPr>
            <w:tcW w:type="dxa" w:w="1512"/>
            <w:vAlign w:val="top"/>
          </w:tcPr>
          <w:p>
            <w:pPr>
              <w:spacing w:after="40" w:before="0" w:line="259" w:lineRule="auto"/>
            </w:pPr>
            <w:r>
              <w:rPr>
                <w:rFonts w:ascii="Calibri" w:hAnsi="Calibri"/>
                <w:b w:val="0"/>
                <w:i w:val="0"/>
                <w:color w:val="212121"/>
                <w:sz w:val="19"/>
              </w:rPr>
              <w:t>HbA1c ≥ 6.5%; poorly controlled diabetes</w:t>
            </w:r>
          </w:p>
        </w:tc>
        <w:tc>
          <w:tcPr>
            <w:tcW w:type="dxa" w:w="1468"/>
            <w:vAlign w:val="top"/>
          </w:tcPr>
          <w:p>
            <w:pPr>
              <w:spacing w:after="60" w:line="259" w:lineRule="auto"/>
            </w:pPr>
            <w:r>
              <w:rPr>
                <w:rFonts w:ascii="Calibri" w:hAnsi="Calibri"/>
                <w:b w:val="0"/>
                <w:i w:val="0"/>
                <w:color w:val="212121"/>
                <w:sz w:val="19"/>
              </w:rPr>
              <w:t>Higher HbA1c correlates with more nails involved (~10.1% if &gt;6 nails)</w:t>
            </w:r>
          </w:p>
          <w:p>
            <w:pPr>
              <w:spacing w:after="40" w:line="252" w:lineRule="auto"/>
            </w:pPr>
            <w:hyperlink r:id="rId11">
              <w:r>
                <w:rPr>
                  <w:rFonts w:ascii="Calibri" w:hAnsi="Calibri" w:cs="Calibri"/>
                  <w:sz w:val="18"/>
                  <w:color w:val="1155CC"/>
                  <w:u w:val="single"/>
                </w:rPr>
                <w:t xml:space="preserve">https://ijdvl.com/prevalence-of-onychomycosis-in-patients-with-diabetes-mellitus-a-cross-sectional-study-from-a-tertiary-care-hospital-in-north-india/</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PAD, diabetics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Any regular smoking</w:t>
            </w:r>
          </w:p>
        </w:tc>
        <w:tc>
          <w:tcPr>
            <w:tcW w:type="dxa" w:w="1468"/>
            <w:vAlign w:val="top"/>
          </w:tcPr>
          <w:p>
            <w:pPr>
              <w:spacing w:after="60" w:line="259" w:lineRule="auto"/>
            </w:pPr>
            <w:r>
              <w:rPr>
                <w:rFonts w:ascii="Calibri" w:hAnsi="Calibri"/>
                <w:b w:val="0"/>
                <w:i w:val="0"/>
                <w:color w:val="212121"/>
                <w:sz w:val="19"/>
              </w:rPr>
              <w:t>Smoking-related PAD impairs toe circulation and local immunity</w:t>
            </w:r>
          </w:p>
          <w:p>
            <w:pPr>
              <w:spacing w:after="40" w:line="252" w:lineRule="auto"/>
            </w:pPr>
            <w:hyperlink r:id="rId10">
              <w:r>
                <w:rPr>
                  <w:rFonts w:ascii="Calibri" w:hAnsi="Calibri" w:cs="Calibri"/>
                  <w:sz w:val="18"/>
                  <w:color w:val="1155CC"/>
                  <w:u w:val="single"/>
                </w:rPr>
                <w:t xml:space="preserve">https://www.aafp.org/afp/2013/1201/p762</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Nail trauma / footwear fit</w:t>
            </w:r>
          </w:p>
        </w:tc>
        <w:tc>
          <w:tcPr>
            <w:tcW w:type="dxa" w:w="1655"/>
            <w:vAlign w:val="top"/>
          </w:tcPr>
          <w:p>
            <w:pPr>
              <w:spacing w:after="40" w:before="0" w:line="259" w:lineRule="auto"/>
            </w:pPr>
            <w:r>
              <w:rPr>
                <w:rFonts w:ascii="Calibri" w:hAnsi="Calibri"/>
                <w:b w:val="0"/>
                <w:i w:val="0"/>
                <w:color w:val="212121"/>
                <w:sz w:val="19"/>
              </w:rPr>
              <w:t>Athletes, labourers, tight-shoe wearers</w:t>
            </w:r>
          </w:p>
        </w:tc>
        <w:tc>
          <w:tcPr>
            <w:tcW w:type="dxa" w:w="1512"/>
            <w:vAlign w:val="top"/>
          </w:tcPr>
          <w:p>
            <w:pPr>
              <w:spacing w:after="40" w:before="0" w:line="259" w:lineRule="auto"/>
            </w:pPr>
            <w:r>
              <w:rPr>
                <w:rFonts w:ascii="Calibri" w:hAnsi="Calibri"/>
                <w:b w:val="0"/>
                <w:i w:val="0"/>
                <w:color w:val="212121"/>
                <w:sz w:val="19"/>
              </w:rPr>
              <w:t>Well-fitting shoes; protect toes; trim nails straight</w:t>
            </w:r>
          </w:p>
        </w:tc>
        <w:tc>
          <w:tcPr>
            <w:tcW w:type="dxa" w:w="1512"/>
            <w:vAlign w:val="top"/>
          </w:tcPr>
          <w:p>
            <w:pPr>
              <w:spacing w:after="40" w:before="0" w:line="259" w:lineRule="auto"/>
            </w:pPr>
            <w:r>
              <w:rPr>
                <w:rFonts w:ascii="Calibri" w:hAnsi="Calibri"/>
                <w:b w:val="0"/>
                <w:i w:val="0"/>
                <w:color w:val="212121"/>
                <w:sz w:val="19"/>
              </w:rPr>
              <w:t>Tight shoes, repetitive microtrauma, aggressive manicure</w:t>
            </w:r>
          </w:p>
        </w:tc>
        <w:tc>
          <w:tcPr>
            <w:tcW w:type="dxa" w:w="1468"/>
            <w:vAlign w:val="top"/>
          </w:tcPr>
          <w:p>
            <w:pPr>
              <w:spacing w:after="60" w:line="259" w:lineRule="auto"/>
            </w:pPr>
            <w:r>
              <w:rPr>
                <w:rFonts w:ascii="Calibri" w:hAnsi="Calibri"/>
                <w:b w:val="0"/>
                <w:i w:val="0"/>
                <w:color w:val="212121"/>
                <w:sz w:val="19"/>
              </w:rPr>
              <w:t>Trauma breaches the nail barrier and allows fungal entry</w:t>
            </w:r>
          </w:p>
          <w:p>
            <w:pPr>
              <w:spacing w:after="40" w:line="252" w:lineRule="auto"/>
            </w:pPr>
            <w:hyperlink r:id="rId13">
              <w:r>
                <w:rPr>
                  <w:rFonts w:ascii="Calibri" w:hAnsi="Calibri" w:cs="Calibri"/>
                  <w:sz w:val="18"/>
                  <w:color w:val="1155CC"/>
                  <w:u w:val="single"/>
                </w:rPr>
                <w:t xml:space="preserve">https://www.ncbi.nlm.nih.gov/books/NBK441853/</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Post-exercise foot care</w:t>
            </w:r>
          </w:p>
        </w:tc>
        <w:tc>
          <w:tcPr>
            <w:tcW w:type="dxa" w:w="1655"/>
            <w:vAlign w:val="top"/>
          </w:tcPr>
          <w:p>
            <w:pPr>
              <w:spacing w:after="40" w:before="0" w:line="259" w:lineRule="auto"/>
            </w:pPr>
            <w:r>
              <w:rPr>
                <w:rFonts w:ascii="Calibri" w:hAnsi="Calibri"/>
                <w:b w:val="0"/>
                <w:i w:val="0"/>
                <w:color w:val="212121"/>
                <w:sz w:val="19"/>
              </w:rPr>
              <w:t>Runners, swimmers, gym-goers</w:t>
            </w:r>
          </w:p>
        </w:tc>
        <w:tc>
          <w:tcPr>
            <w:tcW w:type="dxa" w:w="1512"/>
            <w:vAlign w:val="top"/>
          </w:tcPr>
          <w:p>
            <w:pPr>
              <w:spacing w:after="40" w:before="0" w:line="259" w:lineRule="auto"/>
            </w:pPr>
            <w:r>
              <w:rPr>
                <w:rFonts w:ascii="Calibri" w:hAnsi="Calibri"/>
                <w:b w:val="0"/>
                <w:i w:val="0"/>
                <w:color w:val="212121"/>
                <w:sz w:val="19"/>
              </w:rPr>
              <w:t>Wash and dry feet; change out of sweaty socks/shoes; wear slippers in communal showers</w:t>
            </w:r>
          </w:p>
        </w:tc>
        <w:tc>
          <w:tcPr>
            <w:tcW w:type="dxa" w:w="1512"/>
            <w:vAlign w:val="top"/>
          </w:tcPr>
          <w:p>
            <w:pPr>
              <w:spacing w:after="40" w:before="0" w:line="259" w:lineRule="auto"/>
            </w:pPr>
            <w:r>
              <w:rPr>
                <w:rFonts w:ascii="Calibri" w:hAnsi="Calibri"/>
                <w:b w:val="0"/>
                <w:i w:val="0"/>
                <w:color w:val="212121"/>
                <w:sz w:val="19"/>
              </w:rPr>
              <w:t>Staying in damp sports shoes; barefoot in shared showers</w:t>
            </w:r>
          </w:p>
        </w:tc>
        <w:tc>
          <w:tcPr>
            <w:tcW w:type="dxa" w:w="1468"/>
            <w:vAlign w:val="top"/>
          </w:tcPr>
          <w:p>
            <w:pPr>
              <w:spacing w:after="60" w:line="259" w:lineRule="auto"/>
            </w:pPr>
            <w:r>
              <w:rPr>
                <w:rFonts w:ascii="Calibri" w:hAnsi="Calibri"/>
                <w:b w:val="0"/>
                <w:i w:val="0"/>
                <w:color w:val="212121"/>
                <w:sz w:val="19"/>
              </w:rPr>
              <w:t>Reduces tinea pedis acquisition that leads to nail infection</w:t>
            </w:r>
          </w:p>
          <w:p>
            <w:pPr>
              <w:spacing w:after="40" w:line="252" w:lineRule="auto"/>
            </w:pPr>
            <w:hyperlink r:id="rId13">
              <w:r>
                <w:rPr>
                  <w:rFonts w:ascii="Calibri" w:hAnsi="Calibri" w:cs="Calibri"/>
                  <w:sz w:val="18"/>
                  <w:color w:val="1155CC"/>
                  <w:u w:val="single"/>
                </w:rPr>
                <w:t xml:space="preserve">https://www.ncbi.nlm.nih.gov/books/NBK441853/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hyphae / arthrospores</w:t>
            </w:r>
          </w:p>
        </w:tc>
        <w:tc>
          <w:tcPr>
            <w:tcW w:type="dxa" w:w="892"/>
            <w:vAlign w:val="top"/>
          </w:tcPr>
          <w:p>
            <w:pPr>
              <w:spacing w:after="40" w:before="0" w:line="259" w:lineRule="auto"/>
            </w:pPr>
            <w:r>
              <w:rPr>
                <w:rFonts w:ascii="Calibri" w:hAnsi="Calibri"/>
                <w:b w:val="0"/>
                <w:i w:val="0"/>
                <w:color w:val="212121"/>
                <w:sz w:val="16"/>
              </w:rPr>
              <w:t>KOH mount (20–40%) of nail clippings &amp; subungual debris</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Septate hyphae / arthrospores (or pseudohyphae/yeast for Candida)</w:t>
            </w:r>
          </w:p>
        </w:tc>
        <w:tc>
          <w:tcPr>
            <w:tcW w:type="dxa" w:w="1036"/>
            <w:vAlign w:val="top"/>
          </w:tcPr>
          <w:p>
            <w:pPr>
              <w:spacing w:after="40" w:before="0" w:line="259" w:lineRule="auto"/>
            </w:pPr>
            <w:r>
              <w:rPr>
                <w:rFonts w:ascii="Calibri" w:hAnsi="Calibri"/>
                <w:b w:val="0"/>
                <w:i w:val="0"/>
                <w:color w:val="212121"/>
                <w:sz w:val="16"/>
              </w:rPr>
              <w:t>Confirms fungal invasion; rapid, cheap first-line test but does not speciate</w:t>
            </w:r>
          </w:p>
        </w:tc>
        <w:tc>
          <w:tcPr>
            <w:tcW w:type="dxa" w:w="1036"/>
            <w:vAlign w:val="top"/>
          </w:tcPr>
          <w:p>
            <w:pPr>
              <w:spacing w:after="40" w:before="0" w:line="259" w:lineRule="auto"/>
            </w:pPr>
            <w:r>
              <w:rPr>
                <w:rFonts w:ascii="Calibri" w:hAnsi="Calibri"/>
                <w:b w:val="0"/>
                <w:i w:val="0"/>
                <w:color w:val="212121"/>
                <w:sz w:val="16"/>
              </w:rPr>
              <w:t>All suspected onychomycosis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First-line bedside test</w:t>
            </w:r>
          </w:p>
        </w:tc>
        <w:tc>
          <w:tcPr>
            <w:tcW w:type="dxa" w:w="720"/>
            <w:vAlign w:val="top"/>
          </w:tcPr>
          <w:p>
            <w:pPr>
              <w:spacing w:after="40" w:before="0" w:line="259" w:lineRule="auto"/>
            </w:pPr>
            <w:r>
              <w:rPr>
                <w:rFonts w:ascii="Calibri" w:hAnsi="Calibri"/>
                <w:b w:val="0"/>
                <w:i w:val="0"/>
                <w:color w:val="212121"/>
                <w:sz w:val="16"/>
              </w:rPr>
              <w:t>Sensitivity ~60–85%; sample proximal subungual debris; DME positive in ~85% in an Indian diabetic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 culture</w:t>
            </w:r>
          </w:p>
        </w:tc>
        <w:tc>
          <w:tcPr>
            <w:tcW w:type="dxa" w:w="1036"/>
            <w:vAlign w:val="top"/>
          </w:tcPr>
          <w:p>
            <w:pPr>
              <w:spacing w:after="40" w:before="0" w:line="259" w:lineRule="auto"/>
            </w:pPr>
            <w:r>
              <w:rPr>
                <w:rFonts w:ascii="Calibri" w:hAnsi="Calibri"/>
                <w:b w:val="0"/>
                <w:i w:val="0"/>
                <w:color w:val="212121"/>
                <w:sz w:val="16"/>
              </w:rPr>
              <w:t>Species (T. rubrum, T. mentagrophytes, Candida, moulds)</w:t>
            </w:r>
          </w:p>
        </w:tc>
        <w:tc>
          <w:tcPr>
            <w:tcW w:type="dxa" w:w="892"/>
            <w:vAlign w:val="top"/>
          </w:tcPr>
          <w:p>
            <w:pPr>
              <w:spacing w:after="40" w:before="0" w:line="259" w:lineRule="auto"/>
            </w:pPr>
            <w:r>
              <w:rPr>
                <w:rFonts w:ascii="Calibri" w:hAnsi="Calibri"/>
                <w:b w:val="0"/>
                <w:i w:val="0"/>
                <w:color w:val="212121"/>
                <w:sz w:val="16"/>
              </w:rPr>
              <w:t>Culture on Sabouraud dextrose agar ± cycloheximide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dermatophyte, yeast or non-dermatophyte mould</w:t>
            </w:r>
          </w:p>
        </w:tc>
        <w:tc>
          <w:tcPr>
            <w:tcW w:type="dxa" w:w="1036"/>
            <w:vAlign w:val="top"/>
          </w:tcPr>
          <w:p>
            <w:pPr>
              <w:spacing w:after="40" w:before="0" w:line="259" w:lineRule="auto"/>
            </w:pPr>
            <w:r>
              <w:rPr>
                <w:rFonts w:ascii="Calibri" w:hAnsi="Calibri"/>
                <w:b w:val="0"/>
                <w:i w:val="0"/>
                <w:color w:val="212121"/>
                <w:sz w:val="16"/>
              </w:rPr>
              <w:t>Reference method for species identification; guides drug choice</w:t>
            </w:r>
          </w:p>
        </w:tc>
        <w:tc>
          <w:tcPr>
            <w:tcW w:type="dxa" w:w="1036"/>
            <w:vAlign w:val="top"/>
          </w:tcPr>
          <w:p>
            <w:pPr>
              <w:spacing w:after="40" w:before="0" w:line="259" w:lineRule="auto"/>
            </w:pPr>
            <w:r>
              <w:rPr>
                <w:rFonts w:ascii="Calibri" w:hAnsi="Calibri"/>
                <w:b w:val="0"/>
                <w:i w:val="0"/>
                <w:color w:val="212121"/>
                <w:sz w:val="16"/>
              </w:rPr>
              <w:t>Confirmation, atypical/refractory, mould suspected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for speciation</w:t>
            </w:r>
          </w:p>
        </w:tc>
        <w:tc>
          <w:tcPr>
            <w:tcW w:type="dxa" w:w="720"/>
            <w:vAlign w:val="top"/>
          </w:tcPr>
          <w:p>
            <w:pPr>
              <w:spacing w:after="40" w:before="0" w:line="259" w:lineRule="auto"/>
            </w:pPr>
            <w:r>
              <w:rPr>
                <w:rFonts w:ascii="Calibri" w:hAnsi="Calibri"/>
                <w:b w:val="0"/>
                <w:i w:val="0"/>
                <w:color w:val="212121"/>
                <w:sz w:val="16"/>
              </w:rPr>
              <w:t>Slow (up to 3–4 weeks); culture positive in only ~55–60%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PAS/GMS-positive hyphae in nail plate</w:t>
            </w:r>
          </w:p>
        </w:tc>
        <w:tc>
          <w:tcPr>
            <w:tcW w:type="dxa" w:w="892"/>
            <w:vAlign w:val="top"/>
          </w:tcPr>
          <w:p>
            <w:pPr>
              <w:spacing w:after="40" w:before="0" w:line="259" w:lineRule="auto"/>
            </w:pPr>
            <w:r>
              <w:rPr>
                <w:rFonts w:ascii="Calibri" w:hAnsi="Calibri"/>
                <w:b w:val="0"/>
                <w:i w:val="0"/>
                <w:color w:val="212121"/>
                <w:sz w:val="16"/>
              </w:rPr>
              <w:t>Nail-clipping histopathology with PAS / Grocott stain</w:t>
            </w:r>
          </w:p>
        </w:tc>
        <w:tc>
          <w:tcPr>
            <w:tcW w:type="dxa" w:w="950"/>
            <w:vAlign w:val="top"/>
          </w:tcPr>
          <w:p>
            <w:pPr>
              <w:spacing w:after="40" w:before="0" w:line="259" w:lineRule="auto"/>
            </w:pPr>
            <w:r>
              <w:rPr>
                <w:rFonts w:ascii="Calibri" w:hAnsi="Calibri"/>
                <w:b w:val="0"/>
                <w:i w:val="0"/>
                <w:color w:val="212121"/>
                <w:sz w:val="16"/>
              </w:rPr>
              <w:t>No organisms</w:t>
            </w:r>
          </w:p>
        </w:tc>
        <w:tc>
          <w:tcPr>
            <w:tcW w:type="dxa" w:w="950"/>
            <w:vAlign w:val="top"/>
          </w:tcPr>
          <w:p>
            <w:pPr>
              <w:spacing w:after="40" w:before="0" w:line="259" w:lineRule="auto"/>
            </w:pPr>
            <w:r>
              <w:rPr>
                <w:rFonts w:ascii="Calibri" w:hAnsi="Calibri"/>
                <w:b w:val="0"/>
                <w:i w:val="0"/>
                <w:color w:val="212121"/>
                <w:sz w:val="16"/>
              </w:rPr>
              <w:t>Fungal hyphae/spores within the nail plate</w:t>
            </w:r>
          </w:p>
        </w:tc>
        <w:tc>
          <w:tcPr>
            <w:tcW w:type="dxa" w:w="1036"/>
            <w:vAlign w:val="top"/>
          </w:tcPr>
          <w:p>
            <w:pPr>
              <w:spacing w:after="40" w:before="0" w:line="259" w:lineRule="auto"/>
            </w:pPr>
            <w:r>
              <w:rPr>
                <w:rFonts w:ascii="Calibri" w:hAnsi="Calibri"/>
                <w:b w:val="0"/>
                <w:i w:val="0"/>
                <w:color w:val="212121"/>
                <w:sz w:val="16"/>
              </w:rPr>
              <w:t>Most sensitive test; useful when KOH/culture negative but suspicion high</w:t>
            </w:r>
          </w:p>
        </w:tc>
        <w:tc>
          <w:tcPr>
            <w:tcW w:type="dxa" w:w="1036"/>
            <w:vAlign w:val="top"/>
          </w:tcPr>
          <w:p>
            <w:pPr>
              <w:spacing w:after="40" w:before="0" w:line="259" w:lineRule="auto"/>
            </w:pPr>
            <w:r>
              <w:rPr>
                <w:rFonts w:ascii="Calibri" w:hAnsi="Calibri"/>
                <w:b w:val="0"/>
                <w:i w:val="0"/>
                <w:color w:val="212121"/>
                <w:sz w:val="16"/>
              </w:rPr>
              <w:t>KOH/culture-negative, psoriasis vs fungus doubt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Most sensitive confirmatory test</w:t>
            </w:r>
          </w:p>
        </w:tc>
        <w:tc>
          <w:tcPr>
            <w:tcW w:type="dxa" w:w="720"/>
            <w:vAlign w:val="top"/>
          </w:tcPr>
          <w:p>
            <w:pPr>
              <w:spacing w:after="40" w:before="0" w:line="259" w:lineRule="auto"/>
            </w:pPr>
            <w:r>
              <w:rPr>
                <w:rFonts w:ascii="Calibri" w:hAnsi="Calibri"/>
                <w:b w:val="0"/>
                <w:i w:val="0"/>
                <w:color w:val="212121"/>
                <w:sz w:val="16"/>
              </w:rPr>
              <w:t>Sensitivity ~92–95%; cannot always speciate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Spiked proximal margin, longitudinal striae, ‘ruin’ pattern</w:t>
            </w:r>
          </w:p>
        </w:tc>
        <w:tc>
          <w:tcPr>
            <w:tcW w:type="dxa" w:w="892"/>
            <w:vAlign w:val="top"/>
          </w:tcPr>
          <w:p>
            <w:pPr>
              <w:spacing w:after="40" w:before="0" w:line="259" w:lineRule="auto"/>
            </w:pPr>
            <w:r>
              <w:rPr>
                <w:rFonts w:ascii="Calibri" w:hAnsi="Calibri"/>
                <w:b w:val="0"/>
                <w:i w:val="0"/>
                <w:color w:val="212121"/>
                <w:sz w:val="16"/>
              </w:rPr>
              <w:t>Onychoscopy (nail dermoscopy)</w:t>
            </w:r>
          </w:p>
        </w:tc>
        <w:tc>
          <w:tcPr>
            <w:tcW w:type="dxa" w:w="950"/>
            <w:vAlign w:val="top"/>
          </w:tcPr>
          <w:p>
            <w:pPr>
              <w:spacing w:after="40" w:before="0" w:line="259" w:lineRule="auto"/>
            </w:pPr>
            <w:r>
              <w:rPr>
                <w:rFonts w:ascii="Calibri" w:hAnsi="Calibri"/>
                <w:b w:val="0"/>
                <w:i w:val="0"/>
                <w:color w:val="212121"/>
                <w:sz w:val="16"/>
              </w:rPr>
              <w:t>Regular free edge; no fungal pattern</w:t>
            </w:r>
          </w:p>
        </w:tc>
        <w:tc>
          <w:tcPr>
            <w:tcW w:type="dxa" w:w="950"/>
            <w:vAlign w:val="top"/>
          </w:tcPr>
          <w:p>
            <w:pPr>
              <w:spacing w:after="40" w:before="0" w:line="259" w:lineRule="auto"/>
            </w:pPr>
            <w:r>
              <w:rPr>
                <w:rFonts w:ascii="Calibri" w:hAnsi="Calibri"/>
                <w:b w:val="0"/>
                <w:i w:val="0"/>
                <w:color w:val="212121"/>
                <w:sz w:val="16"/>
              </w:rPr>
              <w:t>Jagged/spiked onycholytic edge, aurora-borealis/‘ruin’ appearance</w:t>
            </w:r>
          </w:p>
        </w:tc>
        <w:tc>
          <w:tcPr>
            <w:tcW w:type="dxa" w:w="1036"/>
            <w:vAlign w:val="top"/>
          </w:tcPr>
          <w:p>
            <w:pPr>
              <w:spacing w:after="40" w:before="0" w:line="259" w:lineRule="auto"/>
            </w:pPr>
            <w:r>
              <w:rPr>
                <w:rFonts w:ascii="Calibri" w:hAnsi="Calibri"/>
                <w:b w:val="0"/>
                <w:i w:val="0"/>
                <w:color w:val="212121"/>
                <w:sz w:val="16"/>
              </w:rPr>
              <w:t>Non-invasive aid to distinguish onychomycosis from psoriasis/trauma</w:t>
            </w:r>
          </w:p>
        </w:tc>
        <w:tc>
          <w:tcPr>
            <w:tcW w:type="dxa" w:w="1036"/>
            <w:vAlign w:val="top"/>
          </w:tcPr>
          <w:p>
            <w:pPr>
              <w:spacing w:after="40" w:before="0" w:line="259" w:lineRule="auto"/>
            </w:pPr>
            <w:r>
              <w:rPr>
                <w:rFonts w:ascii="Calibri" w:hAnsi="Calibri"/>
                <w:b w:val="0"/>
                <w:i w:val="0"/>
                <w:color w:val="212121"/>
                <w:sz w:val="16"/>
              </w:rPr>
              <w:t>Equivocal dystrophy, psoriasis differential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Useful adjunct</w:t>
            </w:r>
          </w:p>
        </w:tc>
        <w:tc>
          <w:tcPr>
            <w:tcW w:type="dxa" w:w="720"/>
            <w:vAlign w:val="top"/>
          </w:tcPr>
          <w:p>
            <w:pPr>
              <w:spacing w:after="40" w:before="0" w:line="259" w:lineRule="auto"/>
            </w:pPr>
            <w:r>
              <w:rPr>
                <w:rFonts w:ascii="Calibri" w:hAnsi="Calibri"/>
                <w:b w:val="0"/>
                <w:i w:val="0"/>
                <w:color w:val="212121"/>
                <w:sz w:val="16"/>
              </w:rPr>
              <w:t>Onychoscopy positive in ~57%; combining with KOH raises yield markedly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Dermatophyte/species-specific DNA</w:t>
            </w:r>
          </w:p>
        </w:tc>
        <w:tc>
          <w:tcPr>
            <w:tcW w:type="dxa" w:w="892"/>
            <w:vAlign w:val="top"/>
          </w:tcPr>
          <w:p>
            <w:pPr>
              <w:spacing w:after="40" w:before="0" w:line="259" w:lineRule="auto"/>
            </w:pPr>
            <w:r>
              <w:rPr>
                <w:rFonts w:ascii="Calibri" w:hAnsi="Calibri"/>
                <w:b w:val="0"/>
                <w:i w:val="0"/>
                <w:color w:val="212121"/>
                <w:sz w:val="16"/>
              </w:rPr>
              <w:t>PCR / molecular assay</w:t>
            </w:r>
          </w:p>
        </w:tc>
        <w:tc>
          <w:tcPr>
            <w:tcW w:type="dxa" w:w="950"/>
            <w:vAlign w:val="top"/>
          </w:tcPr>
          <w:p>
            <w:pPr>
              <w:spacing w:after="40" w:before="0" w:line="259" w:lineRule="auto"/>
            </w:pPr>
            <w:r>
              <w:rPr>
                <w:rFonts w:ascii="Calibri" w:hAnsi="Calibri"/>
                <w:b w:val="0"/>
                <w:i w:val="0"/>
                <w:color w:val="212121"/>
                <w:sz w:val="16"/>
              </w:rPr>
              <w:t>No fungal DNA</w:t>
            </w:r>
          </w:p>
        </w:tc>
        <w:tc>
          <w:tcPr>
            <w:tcW w:type="dxa" w:w="950"/>
            <w:vAlign w:val="top"/>
          </w:tcPr>
          <w:p>
            <w:pPr>
              <w:spacing w:after="40" w:before="0" w:line="259" w:lineRule="auto"/>
            </w:pPr>
            <w:r>
              <w:rPr>
                <w:rFonts w:ascii="Calibri" w:hAnsi="Calibri"/>
                <w:b w:val="0"/>
                <w:i w:val="0"/>
                <w:color w:val="212121"/>
                <w:sz w:val="16"/>
              </w:rPr>
              <w:t>Dermatophyte or specific fungal DNA detected</w:t>
            </w:r>
          </w:p>
        </w:tc>
        <w:tc>
          <w:tcPr>
            <w:tcW w:type="dxa" w:w="1036"/>
            <w:vAlign w:val="top"/>
          </w:tcPr>
          <w:p>
            <w:pPr>
              <w:spacing w:after="40" w:before="0" w:line="259" w:lineRule="auto"/>
            </w:pPr>
            <w:r>
              <w:rPr>
                <w:rFonts w:ascii="Calibri" w:hAnsi="Calibri"/>
                <w:b w:val="0"/>
                <w:i w:val="0"/>
                <w:color w:val="212121"/>
                <w:sz w:val="16"/>
              </w:rPr>
              <w:t>Rapid, species-specific confirmation; helpful for mixed/mould infections</w:t>
            </w:r>
          </w:p>
        </w:tc>
        <w:tc>
          <w:tcPr>
            <w:tcW w:type="dxa" w:w="1036"/>
            <w:vAlign w:val="top"/>
          </w:tcPr>
          <w:p>
            <w:pPr>
              <w:spacing w:after="40" w:before="0" w:line="259" w:lineRule="auto"/>
            </w:pPr>
            <w:r>
              <w:rPr>
                <w:rFonts w:ascii="Calibri" w:hAnsi="Calibri"/>
                <w:b w:val="0"/>
                <w:i w:val="0"/>
                <w:color w:val="212121"/>
                <w:sz w:val="16"/>
              </w:rPr>
              <w:t>Rapid diagnosis, refractory, research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Emerging, high-yield</w:t>
            </w:r>
          </w:p>
        </w:tc>
        <w:tc>
          <w:tcPr>
            <w:tcW w:type="dxa" w:w="720"/>
            <w:vAlign w:val="top"/>
          </w:tcPr>
          <w:p>
            <w:pPr>
              <w:spacing w:after="40" w:before="0" w:line="259" w:lineRule="auto"/>
            </w:pPr>
            <w:r>
              <w:rPr>
                <w:rFonts w:ascii="Calibri" w:hAnsi="Calibri"/>
                <w:b w:val="0"/>
                <w:i w:val="0"/>
                <w:color w:val="212121"/>
                <w:sz w:val="16"/>
              </w:rPr>
              <w:t>Improves dermatophyte detection by ~20% over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&amp; HbA1c</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Screens for/monitors predisposing diabetes in extensive or recurrent disease</w:t>
            </w:r>
          </w:p>
        </w:tc>
        <w:tc>
          <w:tcPr>
            <w:tcW w:type="dxa" w:w="1036"/>
            <w:vAlign w:val="top"/>
          </w:tcPr>
          <w:p>
            <w:pPr>
              <w:spacing w:after="40" w:before="0" w:line="259" w:lineRule="auto"/>
            </w:pPr>
            <w:r>
              <w:rPr>
                <w:rFonts w:ascii="Calibri" w:hAnsi="Calibri"/>
                <w:b w:val="0"/>
                <w:i w:val="0"/>
                <w:color w:val="212121"/>
                <w:sz w:val="16"/>
              </w:rPr>
              <w:t>Extensive/recurrent onychomycosis, elderly, obese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(selective)</w:t>
            </w:r>
          </w:p>
        </w:tc>
        <w:tc>
          <w:tcPr>
            <w:tcW w:type="dxa" w:w="720"/>
            <w:vAlign w:val="top"/>
          </w:tcPr>
          <w:p>
            <w:pPr>
              <w:spacing w:after="40" w:before="0" w:line="259" w:lineRule="auto"/>
            </w:pPr>
            <w:r>
              <w:rPr>
                <w:rFonts w:ascii="Calibri" w:hAnsi="Calibri"/>
                <w:b w:val="0"/>
                <w:i w:val="0"/>
                <w:color w:val="212121"/>
                <w:sz w:val="16"/>
              </w:rPr>
              <w:t>Onychomycosis in up to 34% of diabetics; higher HbA1c = more nails involved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Discoloured, thickened, brittle, deformed nail(s); cosmetic concern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Typical presenting features; often cosmetic and long-standing</w:t>
            </w:r>
          </w:p>
        </w:tc>
        <w:tc>
          <w:tcPr>
            <w:tcW w:type="dxa" w:w="1036"/>
            <w:vAlign w:val="top"/>
          </w:tcPr>
          <w:p>
            <w:pPr>
              <w:spacing w:after="40" w:before="0" w:line="259" w:lineRule="auto"/>
            </w:pPr>
            <w:r>
              <w:rPr>
                <w:rFonts w:ascii="Calibri" w:hAnsi="Calibri"/>
                <w:b w:val="0"/>
                <w:i w:val="0"/>
                <w:color w:val="212121"/>
                <w:sz w:val="16"/>
              </w:rPr>
              <w:t>Adults/elderly with toenail changes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Frequently painless and neglected until dystrophy is advanced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&amp; progression</w:t>
            </w:r>
          </w:p>
        </w:tc>
        <w:tc>
          <w:tcPr>
            <w:tcW w:type="dxa" w:w="979"/>
            <w:vAlign w:val="top"/>
          </w:tcPr>
          <w:p>
            <w:pPr>
              <w:spacing w:after="40" w:before="0" w:line="259" w:lineRule="auto"/>
            </w:pPr>
            <w:r>
              <w:rPr>
                <w:rFonts w:ascii="Calibri" w:hAnsi="Calibri"/>
                <w:b w:val="0"/>
                <w:i w:val="0"/>
                <w:color w:val="212121"/>
                <w:sz w:val="16"/>
              </w:rPr>
              <w:t>Chronic, slowly spreading distal→proximal over months–years</w:t>
            </w:r>
          </w:p>
        </w:tc>
        <w:tc>
          <w:tcPr>
            <w:tcW w:type="dxa" w:w="950"/>
            <w:vAlign w:val="top"/>
          </w:tcPr>
          <w:p>
            <w:pPr>
              <w:spacing w:after="40" w:before="0" w:line="259" w:lineRule="auto"/>
            </w:pPr>
            <w:r>
              <w:rPr>
                <w:rFonts w:ascii="Calibri" w:hAnsi="Calibri"/>
                <w:b w:val="0"/>
                <w:i w:val="0"/>
                <w:color w:val="212121"/>
                <w:sz w:val="16"/>
              </w:rPr>
              <w:t>Acute/short-lived change</w:t>
            </w:r>
          </w:p>
        </w:tc>
        <w:tc>
          <w:tcPr>
            <w:tcW w:type="dxa" w:w="950"/>
            <w:vAlign w:val="top"/>
          </w:tcPr>
          <w:p>
            <w:pPr>
              <w:spacing w:after="40" w:before="0" w:line="259" w:lineRule="auto"/>
            </w:pPr>
            <w:r>
              <w:rPr>
                <w:rFonts w:ascii="Calibri" w:hAnsi="Calibri"/>
                <w:b w:val="0"/>
                <w:i w:val="0"/>
                <w:color w:val="212121"/>
                <w:sz w:val="16"/>
              </w:rPr>
              <w:t>Chronic, progressive, multiple nails</w:t>
            </w:r>
          </w:p>
        </w:tc>
        <w:tc>
          <w:tcPr>
            <w:tcW w:type="dxa" w:w="1036"/>
            <w:vAlign w:val="top"/>
          </w:tcPr>
          <w:p>
            <w:pPr>
              <w:spacing w:after="40" w:before="0" w:line="259" w:lineRule="auto"/>
            </w:pPr>
            <w:r>
              <w:rPr>
                <w:rFonts w:ascii="Calibri" w:hAnsi="Calibri"/>
                <w:b w:val="0"/>
                <w:i w:val="0"/>
                <w:color w:val="212121"/>
                <w:sz w:val="16"/>
              </w:rPr>
              <w:t>Chronic progressive course supports fungal aetiology over trauma</w:t>
            </w:r>
          </w:p>
        </w:tc>
        <w:tc>
          <w:tcPr>
            <w:tcW w:type="dxa" w:w="1036"/>
            <w:vAlign w:val="top"/>
          </w:tcPr>
          <w:p>
            <w:pPr>
              <w:spacing w:after="40" w:before="0" w:line="259" w:lineRule="auto"/>
            </w:pPr>
            <w:r>
              <w:rPr>
                <w:rFonts w:ascii="Calibri" w:hAnsi="Calibri"/>
                <w:b w:val="0"/>
                <w:i w:val="0"/>
                <w:color w:val="212121"/>
                <w:sz w:val="16"/>
              </w:rPr>
              <w:t>Longstanding toenail dystrophy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Total dystrophy may take 10–15 years to evolve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&amp; aggravating factors</w:t>
            </w:r>
          </w:p>
        </w:tc>
        <w:tc>
          <w:tcPr>
            <w:tcW w:type="dxa" w:w="979"/>
            <w:vAlign w:val="top"/>
          </w:tcPr>
          <w:p>
            <w:pPr>
              <w:spacing w:after="40" w:before="0" w:line="259" w:lineRule="auto"/>
            </w:pPr>
            <w:r>
              <w:rPr>
                <w:rFonts w:ascii="Calibri" w:hAnsi="Calibri"/>
                <w:b w:val="0"/>
                <w:i w:val="0"/>
                <w:color w:val="212121"/>
                <w:sz w:val="16"/>
              </w:rPr>
              <w:t>Occlusive footwear, tinea pedis, trauma, wet-work, communal bathing, diabetes</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Guides trigger avoidance, source control and prophylaxis</w:t>
            </w:r>
          </w:p>
        </w:tc>
        <w:tc>
          <w:tcPr>
            <w:tcW w:type="dxa" w:w="1036"/>
            <w:vAlign w:val="top"/>
          </w:tcPr>
          <w:p>
            <w:pPr>
              <w:spacing w:after="40" w:before="0" w:line="259" w:lineRule="auto"/>
            </w:pPr>
            <w:r>
              <w:rPr>
                <w:rFonts w:ascii="Calibri" w:hAnsi="Calibri"/>
                <w:b w:val="0"/>
                <w:i w:val="0"/>
                <w:color w:val="212121"/>
                <w:sz w:val="16"/>
              </w:rPr>
              <w:t>Athletes, labourers, wet-workers, diabetics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Prognostic / preventive</w:t>
            </w:r>
          </w:p>
        </w:tc>
        <w:tc>
          <w:tcPr>
            <w:tcW w:type="dxa" w:w="720"/>
            <w:vAlign w:val="top"/>
          </w:tcPr>
          <w:p>
            <w:pPr>
              <w:spacing w:after="40" w:before="0" w:line="259" w:lineRule="auto"/>
            </w:pPr>
            <w:r>
              <w:rPr>
                <w:rFonts w:ascii="Calibri" w:hAnsi="Calibri"/>
                <w:b w:val="0"/>
                <w:i w:val="0"/>
                <w:color w:val="212121"/>
                <w:sz w:val="16"/>
              </w:rPr>
              <w:t>Untreated tinea pedis is the commonest reservoir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Comorbidities &amp; drugs</w:t>
            </w:r>
          </w:p>
        </w:tc>
        <w:tc>
          <w:tcPr>
            <w:tcW w:type="dxa" w:w="979"/>
            <w:vAlign w:val="top"/>
          </w:tcPr>
          <w:p>
            <w:pPr>
              <w:spacing w:after="40" w:before="0" w:line="259" w:lineRule="auto"/>
            </w:pPr>
            <w:r>
              <w:rPr>
                <w:rFonts w:ascii="Calibri" w:hAnsi="Calibri"/>
                <w:b w:val="0"/>
                <w:i w:val="0"/>
                <w:color w:val="212121"/>
                <w:sz w:val="16"/>
              </w:rPr>
              <w:t>Diabetes, PAD, immunosuppression/HIV, psoriasis; hepatotoxic drugs/alcohol</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Alters risk, severity, drug choice and monitoring of oral antifungals</w:t>
            </w:r>
          </w:p>
        </w:tc>
        <w:tc>
          <w:tcPr>
            <w:tcW w:type="dxa" w:w="1036"/>
            <w:vAlign w:val="top"/>
          </w:tcPr>
          <w:p>
            <w:pPr>
              <w:spacing w:after="40" w:before="0" w:line="259" w:lineRule="auto"/>
            </w:pPr>
            <w:r>
              <w:rPr>
                <w:rFonts w:ascii="Calibri" w:hAnsi="Calibri"/>
                <w:b w:val="0"/>
                <w:i w:val="0"/>
                <w:color w:val="212121"/>
                <w:sz w:val="16"/>
              </w:rPr>
              <w:t>Diabetics, immunosuppressed, psoriatics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Check liver function/interactions before systemic azoles/terbinafine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Nail inspection &amp; pattern</w:t>
            </w:r>
          </w:p>
        </w:tc>
        <w:tc>
          <w:tcPr>
            <w:tcW w:type="dxa" w:w="979"/>
            <w:vAlign w:val="top"/>
          </w:tcPr>
          <w:p>
            <w:pPr>
              <w:spacing w:after="40" w:before="0" w:line="259" w:lineRule="auto"/>
            </w:pPr>
            <w:r>
              <w:rPr>
                <w:rFonts w:ascii="Calibri" w:hAnsi="Calibri"/>
                <w:b w:val="0"/>
                <w:i w:val="0"/>
                <w:color w:val="212121"/>
                <w:sz w:val="16"/>
              </w:rPr>
              <w:t>Subungual hyperkeratosis, onycholysis, discolouration, thickening; pattern (DLSO/PSO/WSO/TDO)</w:t>
            </w:r>
          </w:p>
        </w:tc>
        <w:tc>
          <w:tcPr>
            <w:tcW w:type="dxa" w:w="950"/>
            <w:vAlign w:val="top"/>
          </w:tcPr>
          <w:p>
            <w:pPr>
              <w:spacing w:after="40" w:before="0" w:line="259" w:lineRule="auto"/>
            </w:pPr>
            <w:r>
              <w:rPr>
                <w:rFonts w:ascii="Calibri" w:hAnsi="Calibri"/>
                <w:b w:val="0"/>
                <w:i w:val="0"/>
                <w:color w:val="212121"/>
                <w:sz w:val="16"/>
              </w:rPr>
              <w:t>Clear, intact nails</w:t>
            </w:r>
          </w:p>
        </w:tc>
        <w:tc>
          <w:tcPr>
            <w:tcW w:type="dxa" w:w="950"/>
            <w:vAlign w:val="top"/>
          </w:tcPr>
          <w:p>
            <w:pPr>
              <w:spacing w:after="40" w:before="0" w:line="259" w:lineRule="auto"/>
            </w:pPr>
            <w:r>
              <w:rPr>
                <w:rFonts w:ascii="Calibri" w:hAnsi="Calibri"/>
                <w:b w:val="0"/>
                <w:i w:val="0"/>
                <w:color w:val="212121"/>
                <w:sz w:val="16"/>
              </w:rPr>
              <w:t>Dystrophic nail(s) in a recognisable fungal pattern</w:t>
            </w:r>
          </w:p>
        </w:tc>
        <w:tc>
          <w:tcPr>
            <w:tcW w:type="dxa" w:w="1036"/>
            <w:vAlign w:val="top"/>
          </w:tcPr>
          <w:p>
            <w:pPr>
              <w:spacing w:after="40" w:before="0" w:line="259" w:lineRule="auto"/>
            </w:pPr>
            <w:r>
              <w:rPr>
                <w:rFonts w:ascii="Calibri" w:hAnsi="Calibri"/>
                <w:b w:val="0"/>
                <w:i w:val="0"/>
                <w:color w:val="212121"/>
                <w:sz w:val="16"/>
              </w:rPr>
              <w:t>Defines clinical type and extent; PSO flags immunosuppression</w:t>
            </w:r>
          </w:p>
        </w:tc>
        <w:tc>
          <w:tcPr>
            <w:tcW w:type="dxa" w:w="1036"/>
            <w:vAlign w:val="top"/>
          </w:tcPr>
          <w:p>
            <w:pPr>
              <w:spacing w:after="40" w:before="0" w:line="259" w:lineRule="auto"/>
            </w:pPr>
            <w:r>
              <w:rPr>
                <w:rFonts w:ascii="Calibri" w:hAnsi="Calibri"/>
                <w:b w:val="0"/>
                <w:i w:val="0"/>
                <w:color w:val="212121"/>
                <w:sz w:val="16"/>
              </w:rPr>
              <w:t>All suspected onychomycosis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DLSO is by far the commonest pattern (~78% in Indian diabetic data)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Foot &amp; skin survey</w:t>
            </w:r>
          </w:p>
        </w:tc>
        <w:tc>
          <w:tcPr>
            <w:tcW w:type="dxa" w:w="979"/>
            <w:vAlign w:val="top"/>
          </w:tcPr>
          <w:p>
            <w:pPr>
              <w:spacing w:after="40" w:before="0" w:line="259" w:lineRule="auto"/>
            </w:pPr>
            <w:r>
              <w:rPr>
                <w:rFonts w:ascii="Calibri" w:hAnsi="Calibri"/>
                <w:b w:val="0"/>
                <w:i w:val="0"/>
                <w:color w:val="212121"/>
                <w:sz w:val="16"/>
              </w:rPr>
              <w:t>Tinea pedis/interdigital maceration, pulses, protective sensation, other tinea</w:t>
            </w:r>
          </w:p>
        </w:tc>
        <w:tc>
          <w:tcPr>
            <w:tcW w:type="dxa" w:w="950"/>
            <w:vAlign w:val="top"/>
          </w:tcPr>
          <w:p>
            <w:pPr>
              <w:spacing w:after="40" w:before="0" w:line="259" w:lineRule="auto"/>
            </w:pPr>
            <w:r>
              <w:rPr>
                <w:rFonts w:ascii="Calibri" w:hAnsi="Calibri"/>
                <w:b w:val="0"/>
                <w:i w:val="0"/>
                <w:color w:val="212121"/>
                <w:sz w:val="16"/>
              </w:rPr>
              <w:t>Normal foot skin, pulses &amp; sensation</w:t>
            </w:r>
          </w:p>
        </w:tc>
        <w:tc>
          <w:tcPr>
            <w:tcW w:type="dxa" w:w="950"/>
            <w:vAlign w:val="top"/>
          </w:tcPr>
          <w:p>
            <w:pPr>
              <w:spacing w:after="40" w:before="0" w:line="259" w:lineRule="auto"/>
            </w:pPr>
            <w:r>
              <w:rPr>
                <w:rFonts w:ascii="Calibri" w:hAnsi="Calibri"/>
                <w:b w:val="0"/>
                <w:i w:val="0"/>
                <w:color w:val="212121"/>
                <w:sz w:val="16"/>
              </w:rPr>
              <w:t>Athlete’s foot, absent pulses, sensory loss</w:t>
            </w:r>
          </w:p>
        </w:tc>
        <w:tc>
          <w:tcPr>
            <w:tcW w:type="dxa" w:w="1036"/>
            <w:vAlign w:val="top"/>
          </w:tcPr>
          <w:p>
            <w:pPr>
              <w:spacing w:after="40" w:before="0" w:line="259" w:lineRule="auto"/>
            </w:pPr>
            <w:r>
              <w:rPr>
                <w:rFonts w:ascii="Calibri" w:hAnsi="Calibri"/>
                <w:b w:val="0"/>
                <w:i w:val="0"/>
                <w:color w:val="212121"/>
                <w:sz w:val="16"/>
              </w:rPr>
              <w:t>Detects the reservoir and diabetic-foot/PAD risk that change management</w:t>
            </w:r>
          </w:p>
        </w:tc>
        <w:tc>
          <w:tcPr>
            <w:tcW w:type="dxa" w:w="1036"/>
            <w:vAlign w:val="top"/>
          </w:tcPr>
          <w:p>
            <w:pPr>
              <w:spacing w:after="40" w:before="0" w:line="259" w:lineRule="auto"/>
            </w:pPr>
            <w:r>
              <w:rPr>
                <w:rFonts w:ascii="Calibri" w:hAnsi="Calibri"/>
                <w:b w:val="0"/>
                <w:i w:val="0"/>
                <w:color w:val="212121"/>
                <w:sz w:val="16"/>
              </w:rPr>
              <w:t>Diabetics, PAD, athletes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Prognostic / safety</w:t>
            </w:r>
          </w:p>
        </w:tc>
        <w:tc>
          <w:tcPr>
            <w:tcW w:type="dxa" w:w="720"/>
            <w:vAlign w:val="top"/>
          </w:tcPr>
          <w:p>
            <w:pPr>
              <w:spacing w:after="40" w:before="0" w:line="259" w:lineRule="auto"/>
            </w:pPr>
            <w:r>
              <w:rPr>
                <w:rFonts w:ascii="Calibri" w:hAnsi="Calibri"/>
                <w:b w:val="0"/>
                <w:i w:val="0"/>
                <w:color w:val="212121"/>
                <w:sz w:val="16"/>
              </w:rPr>
              <w:t>Peripheral neuropathy present in ~40% of diabetic onychomycosis patients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Nail discolouration (white, yellow, brown or green)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earliest and commonest complaint — a white or yellow-brown patch that spreads within the nail.</w:t>
            </w:r>
          </w:p>
        </w:tc>
      </w:tr>
      <w:tr>
        <w:trPr>
          <w:cantSplit/>
        </w:trPr>
        <w:tc>
          <w:tcPr>
            <w:tcW w:type="dxa" w:w="2304"/>
            <w:vAlign w:val="top"/>
          </w:tcPr>
          <w:p>
            <w:pPr>
              <w:spacing w:after="40" w:before="0" w:line="259" w:lineRule="auto"/>
            </w:pPr>
            <w:r>
              <w:rPr>
                <w:rFonts w:ascii="Calibri" w:hAnsi="Calibri"/>
                <w:b/>
                <w:i w:val="0"/>
                <w:color w:val="212121"/>
                <w:sz w:val="19"/>
              </w:rPr>
              <w:t>Thickened nail (subungual hyperkeratosis)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Build-up of keratin debris under the nail makes it thick and hard to trim.</w:t>
            </w:r>
          </w:p>
        </w:tc>
      </w:tr>
      <w:tr>
        <w:trPr>
          <w:cantSplit/>
        </w:trPr>
        <w:tc>
          <w:tcPr>
            <w:tcW w:type="dxa" w:w="2304"/>
            <w:vAlign w:val="top"/>
          </w:tcPr>
          <w:p>
            <w:pPr>
              <w:spacing w:after="40" w:before="0" w:line="259" w:lineRule="auto"/>
            </w:pPr>
            <w:r>
              <w:rPr>
                <w:rFonts w:ascii="Calibri" w:hAnsi="Calibri"/>
                <w:b/>
                <w:i w:val="0"/>
                <w:color w:val="212121"/>
                <w:sz w:val="19"/>
              </w:rPr>
              <w:t>Brittle, crumbly or ragged nail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infected nail plate becomes friable and breaks or crumbles at the edge.</w:t>
            </w:r>
          </w:p>
        </w:tc>
      </w:tr>
      <w:tr>
        <w:trPr>
          <w:cantSplit/>
        </w:trPr>
        <w:tc>
          <w:tcPr>
            <w:tcW w:type="dxa" w:w="2304"/>
            <w:vAlign w:val="top"/>
          </w:tcPr>
          <w:p>
            <w:pPr>
              <w:spacing w:after="40" w:before="0" w:line="259" w:lineRule="auto"/>
            </w:pPr>
            <w:r>
              <w:rPr>
                <w:rFonts w:ascii="Calibri" w:hAnsi="Calibri"/>
                <w:b/>
                <w:i w:val="0"/>
                <w:color w:val="212121"/>
                <w:sz w:val="19"/>
              </w:rPr>
              <w:t>Nail lifting / separation (onycholysis)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plate separates from the nail bed, often starting distally or laterally.</w:t>
            </w:r>
          </w:p>
        </w:tc>
      </w:tr>
      <w:tr>
        <w:trPr>
          <w:cantSplit/>
        </w:trPr>
        <w:tc>
          <w:tcPr>
            <w:tcW w:type="dxa" w:w="2304"/>
            <w:vAlign w:val="top"/>
          </w:tcPr>
          <w:p>
            <w:pPr>
              <w:spacing w:after="40" w:before="0" w:line="259" w:lineRule="auto"/>
            </w:pPr>
            <w:r>
              <w:rPr>
                <w:rFonts w:ascii="Calibri" w:hAnsi="Calibri"/>
                <w:b/>
                <w:i w:val="0"/>
                <w:color w:val="212121"/>
                <w:sz w:val="19"/>
              </w:rPr>
              <w:t>Distorted, deformed nail shape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dystrophy alters the nail’s contour and surface.</w:t>
            </w:r>
          </w:p>
        </w:tc>
      </w:tr>
      <w:tr>
        <w:trPr>
          <w:cantSplit/>
        </w:trPr>
        <w:tc>
          <w:tcPr>
            <w:tcW w:type="dxa" w:w="2304"/>
            <w:vAlign w:val="top"/>
          </w:tcPr>
          <w:p>
            <w:pPr>
              <w:spacing w:after="40" w:before="0" w:line="259" w:lineRule="auto"/>
            </w:pPr>
            <w:r>
              <w:rPr>
                <w:rFonts w:ascii="Calibri" w:hAnsi="Calibri"/>
                <w:b/>
                <w:i w:val="0"/>
                <w:color w:val="212121"/>
                <w:sz w:val="19"/>
              </w:rPr>
              <w:t>Cosmetic concern / embarrassment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Unsightly nails are a major reason for consultation and cause social self-consciousness.</w:t>
            </w:r>
          </w:p>
        </w:tc>
      </w:tr>
      <w:tr>
        <w:trPr>
          <w:cantSplit/>
        </w:trPr>
        <w:tc>
          <w:tcPr>
            <w:tcW w:type="dxa" w:w="2304"/>
            <w:vAlign w:val="top"/>
          </w:tcPr>
          <w:p>
            <w:pPr>
              <w:spacing w:after="40" w:before="0" w:line="259" w:lineRule="auto"/>
            </w:pPr>
            <w:r>
              <w:rPr>
                <w:rFonts w:ascii="Calibri" w:hAnsi="Calibri"/>
                <w:b/>
                <w:i w:val="0"/>
                <w:color w:val="212121"/>
                <w:sz w:val="19"/>
              </w:rPr>
              <w:t>Debris and foul odour under the nail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Accumulated keratin/fungal debris can smell unpleasant, especially in toenails.</w:t>
            </w:r>
          </w:p>
        </w:tc>
      </w:tr>
      <w:tr>
        <w:trPr>
          <w:cantSplit/>
        </w:trPr>
        <w:tc>
          <w:tcPr>
            <w:tcW w:type="dxa" w:w="2304"/>
            <w:vAlign w:val="top"/>
          </w:tcPr>
          <w:p>
            <w:pPr>
              <w:spacing w:after="40" w:before="0" w:line="259" w:lineRule="auto"/>
            </w:pPr>
            <w:r>
              <w:rPr>
                <w:rFonts w:ascii="Calibri" w:hAnsi="Calibri"/>
                <w:b/>
                <w:i w:val="0"/>
                <w:color w:val="212121"/>
                <w:sz w:val="19"/>
              </w:rPr>
              <w:t>Itching or scaling of surrounding foot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coexisting tinea pedis, the usual reservoir of toenail infection.</w:t>
            </w:r>
          </w:p>
        </w:tc>
      </w:tr>
      <w:tr>
        <w:trPr>
          <w:cantSplit/>
        </w:trPr>
        <w:tc>
          <w:tcPr>
            <w:tcW w:type="dxa" w:w="2304"/>
            <w:vAlign w:val="top"/>
          </w:tcPr>
          <w:p>
            <w:pPr>
              <w:spacing w:after="40" w:before="0" w:line="259" w:lineRule="auto"/>
            </w:pPr>
            <w:r>
              <w:rPr>
                <w:rFonts w:ascii="Calibri" w:hAnsi="Calibri"/>
                <w:b/>
                <w:i w:val="0"/>
                <w:color w:val="212121"/>
                <w:sz w:val="19"/>
              </w:rPr>
              <w:t>Discomfort or pain wearing shoes / on pressure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Thick, deformed or lifted nails press against footwear and can hurt.</w:t>
            </w:r>
          </w:p>
        </w:tc>
      </w:tr>
      <w:tr>
        <w:trPr>
          <w:cantSplit/>
        </w:trPr>
        <w:tc>
          <w:tcPr>
            <w:tcW w:type="dxa" w:w="2304"/>
            <w:vAlign w:val="top"/>
          </w:tcPr>
          <w:p>
            <w:pPr>
              <w:spacing w:after="40" w:before="0" w:line="259" w:lineRule="auto"/>
            </w:pPr>
            <w:r>
              <w:rPr>
                <w:rFonts w:ascii="Calibri" w:hAnsi="Calibri"/>
                <w:b/>
                <w:i w:val="0"/>
                <w:color w:val="212121"/>
                <w:sz w:val="19"/>
              </w:rPr>
              <w:t>Pain and swelling around the nail fold (paronychia)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Typical of Candida fingernail infection in wet-workers.</w:t>
            </w:r>
          </w:p>
        </w:tc>
      </w:tr>
      <w:tr>
        <w:trPr>
          <w:cantSplit/>
        </w:trPr>
        <w:tc>
          <w:tcPr>
            <w:tcW w:type="dxa" w:w="2304"/>
            <w:vAlign w:val="top"/>
          </w:tcPr>
          <w:p>
            <w:pPr>
              <w:spacing w:after="40" w:before="0" w:line="259" w:lineRule="auto"/>
            </w:pPr>
            <w:r>
              <w:rPr>
                <w:rFonts w:ascii="Calibri" w:hAnsi="Calibri"/>
                <w:b/>
                <w:i w:val="0"/>
                <w:color w:val="212121"/>
                <w:sz w:val="19"/>
              </w:rPr>
              <w:t>Difficulty walking or standing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Advanced, painful or totally dystrophic toenails can impair mobility, especially in the elderly.</w:t>
            </w:r>
          </w:p>
        </w:tc>
      </w:tr>
      <w:tr>
        <w:trPr>
          <w:cantSplit/>
        </w:trPr>
        <w:tc>
          <w:tcPr>
            <w:tcW w:type="dxa" w:w="2304"/>
            <w:vAlign w:val="top"/>
          </w:tcPr>
          <w:p>
            <w:pPr>
              <w:spacing w:after="40" w:before="0" w:line="259" w:lineRule="auto"/>
            </w:pPr>
            <w:r>
              <w:rPr>
                <w:rFonts w:ascii="Calibri" w:hAnsi="Calibri"/>
                <w:b/>
                <w:i w:val="0"/>
                <w:color w:val="212121"/>
                <w:sz w:val="19"/>
              </w:rPr>
              <w:t>Complete loss of the nail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total dystrophic onychomycosis after years of untreated infection.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Distal/lateral subungual hyperkeratosis with onycholysis (DLSO)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of the commonest pattern — debris and separation starting at the distal/lateral edge.</w:t>
            </w:r>
          </w:p>
        </w:tc>
      </w:tr>
      <w:tr>
        <w:trPr>
          <w:cantSplit/>
        </w:trPr>
        <w:tc>
          <w:tcPr>
            <w:tcW w:type="dxa" w:w="3456"/>
            <w:vAlign w:val="top"/>
          </w:tcPr>
          <w:p>
            <w:pPr>
              <w:spacing w:after="40" w:before="0" w:line="259" w:lineRule="auto"/>
            </w:pPr>
            <w:r>
              <w:rPr>
                <w:rFonts w:ascii="Calibri" w:hAnsi="Calibri"/>
                <w:b/>
                <w:i w:val="0"/>
                <w:color w:val="212121"/>
                <w:sz w:val="19"/>
              </w:rPr>
              <w:t>Yellow-white to brown discolouration of the nail plate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Chromonychia from fungal invasion and subungual debris.</w:t>
            </w:r>
          </w:p>
        </w:tc>
      </w:tr>
      <w:tr>
        <w:trPr>
          <w:cantSplit/>
        </w:trPr>
        <w:tc>
          <w:tcPr>
            <w:tcW w:type="dxa" w:w="3456"/>
            <w:vAlign w:val="top"/>
          </w:tcPr>
          <w:p>
            <w:pPr>
              <w:spacing w:after="40" w:before="0" w:line="259" w:lineRule="auto"/>
            </w:pPr>
            <w:r>
              <w:rPr>
                <w:rFonts w:ascii="Calibri" w:hAnsi="Calibri"/>
                <w:b/>
                <w:i w:val="0"/>
                <w:color w:val="212121"/>
                <w:sz w:val="19"/>
              </w:rPr>
              <w:t>Thickened, dystrophic, opaque nail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transparency with thickening and surface irregularity.</w:t>
            </w:r>
          </w:p>
        </w:tc>
      </w:tr>
      <w:tr>
        <w:trPr>
          <w:cantSplit/>
        </w:trPr>
        <w:tc>
          <w:tcPr>
            <w:tcW w:type="dxa" w:w="3456"/>
            <w:vAlign w:val="top"/>
          </w:tcPr>
          <w:p>
            <w:pPr>
              <w:spacing w:after="40" w:before="0" w:line="259" w:lineRule="auto"/>
            </w:pPr>
            <w:r>
              <w:rPr>
                <w:rFonts w:ascii="Calibri" w:hAnsi="Calibri"/>
                <w:b/>
                <w:i w:val="0"/>
                <w:color w:val="212121"/>
                <w:sz w:val="19"/>
              </w:rPr>
              <w:t>Crumbling free edge with subungual debris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Friable keratin debris accumulates and crumbles from beneath the plate.</w:t>
            </w:r>
          </w:p>
        </w:tc>
      </w:tr>
      <w:tr>
        <w:trPr>
          <w:cantSplit/>
        </w:trPr>
        <w:tc>
          <w:tcPr>
            <w:tcW w:type="dxa" w:w="3456"/>
            <w:vAlign w:val="top"/>
          </w:tcPr>
          <w:p>
            <w:pPr>
              <w:spacing w:after="40" w:before="0" w:line="259" w:lineRule="auto"/>
            </w:pPr>
            <w:r>
              <w:rPr>
                <w:rFonts w:ascii="Calibri" w:hAnsi="Calibri"/>
                <w:b/>
                <w:i w:val="0"/>
                <w:color w:val="212121"/>
                <w:sz w:val="19"/>
              </w:rPr>
              <w:t>Coexisting tinea pedis (interdigital maceration/scaling)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Athlete’s foot on the same or adjacent foot — the reservoir; look for it routinely.</w:t>
            </w:r>
          </w:p>
        </w:tc>
      </w:tr>
      <w:tr>
        <w:trPr>
          <w:cantSplit/>
        </w:trPr>
        <w:tc>
          <w:tcPr>
            <w:tcW w:type="dxa" w:w="3456"/>
            <w:vAlign w:val="top"/>
          </w:tcPr>
          <w:p>
            <w:pPr>
              <w:spacing w:after="40" w:before="0" w:line="259" w:lineRule="auto"/>
            </w:pPr>
            <w:r>
              <w:rPr>
                <w:rFonts w:ascii="Calibri" w:hAnsi="Calibri"/>
                <w:b/>
                <w:i w:val="0"/>
                <w:color w:val="212121"/>
                <w:sz w:val="19"/>
              </w:rPr>
              <w:t>Onychoscopy: spiked/jagged proximal edge, longitudinal striae, ‘ruin’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Dermoscopic features that help separate fungus from psoriasis and trauma.</w:t>
            </w:r>
          </w:p>
        </w:tc>
      </w:tr>
      <w:tr>
        <w:trPr>
          <w:cantSplit/>
        </w:trPr>
        <w:tc>
          <w:tcPr>
            <w:tcW w:type="dxa" w:w="3456"/>
            <w:vAlign w:val="top"/>
          </w:tcPr>
          <w:p>
            <w:pPr>
              <w:spacing w:after="40" w:before="0" w:line="259" w:lineRule="auto"/>
            </w:pPr>
            <w:r>
              <w:rPr>
                <w:rFonts w:ascii="Calibri" w:hAnsi="Calibri"/>
                <w:b/>
                <w:i w:val="0"/>
                <w:color w:val="212121"/>
                <w:sz w:val="19"/>
              </w:rPr>
              <w:t>KOH-positive hyphae/arthrospores in clippings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confirmation of fungal elements in nail/subungual material.</w:t>
            </w:r>
          </w:p>
        </w:tc>
      </w:tr>
      <w:tr>
        <w:trPr>
          <w:cantSplit/>
        </w:trPr>
        <w:tc>
          <w:tcPr>
            <w:tcW w:type="dxa" w:w="3456"/>
            <w:vAlign w:val="top"/>
          </w:tcPr>
          <w:p>
            <w:pPr>
              <w:spacing w:after="40" w:before="0" w:line="259" w:lineRule="auto"/>
            </w:pPr>
            <w:r>
              <w:rPr>
                <w:rFonts w:ascii="Calibri" w:hAnsi="Calibri"/>
                <w:b/>
                <w:i w:val="0"/>
                <w:color w:val="212121"/>
                <w:sz w:val="19"/>
              </w:rPr>
              <w:t>White, crumbly surface patches (superficial white onychomycosis)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Opaque white islands on the toenail surface that can be scraped off.</w:t>
            </w:r>
          </w:p>
        </w:tc>
      </w:tr>
      <w:tr>
        <w:trPr>
          <w:cantSplit/>
        </w:trPr>
        <w:tc>
          <w:tcPr>
            <w:tcW w:type="dxa" w:w="3456"/>
            <w:vAlign w:val="top"/>
          </w:tcPr>
          <w:p>
            <w:pPr>
              <w:spacing w:after="40" w:before="0" w:line="259" w:lineRule="auto"/>
            </w:pPr>
            <w:r>
              <w:rPr>
                <w:rFonts w:ascii="Calibri" w:hAnsi="Calibri"/>
                <w:b/>
                <w:i w:val="0"/>
                <w:color w:val="212121"/>
                <w:sz w:val="19"/>
              </w:rPr>
              <w:t>Proximal white discolouration (proximal subungual onychomycosis)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Involvement under the proximal fold — a marker of immunosuppression/HIV.</w:t>
            </w:r>
          </w:p>
        </w:tc>
      </w:tr>
      <w:tr>
        <w:trPr>
          <w:cantSplit/>
        </w:trPr>
        <w:tc>
          <w:tcPr>
            <w:tcW w:type="dxa" w:w="3456"/>
            <w:vAlign w:val="top"/>
          </w:tcPr>
          <w:p>
            <w:pPr>
              <w:spacing w:after="40" w:before="0" w:line="259" w:lineRule="auto"/>
            </w:pPr>
            <w:r>
              <w:rPr>
                <w:rFonts w:ascii="Calibri" w:hAnsi="Calibri"/>
                <w:b/>
                <w:i w:val="0"/>
                <w:color w:val="212121"/>
                <w:sz w:val="19"/>
              </w:rPr>
              <w:t>Chronic paronychia with nail-fold swelling (Candida)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Bolstered, tender proximal fold with secondary nail dystrophy in wet-workers.</w:t>
            </w:r>
          </w:p>
        </w:tc>
      </w:tr>
      <w:tr>
        <w:trPr>
          <w:cantSplit/>
        </w:trPr>
        <w:tc>
          <w:tcPr>
            <w:tcW w:type="dxa" w:w="3456"/>
            <w:vAlign w:val="top"/>
          </w:tcPr>
          <w:p>
            <w:pPr>
              <w:spacing w:after="40" w:before="0" w:line="259" w:lineRule="auto"/>
            </w:pPr>
            <w:r>
              <w:rPr>
                <w:rFonts w:ascii="Calibri" w:hAnsi="Calibri"/>
                <w:b/>
                <w:i w:val="0"/>
                <w:color w:val="212121"/>
                <w:sz w:val="19"/>
              </w:rPr>
              <w:t>Dermatophytoma (longitudinal yellow streak/fungal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dense subungual fungal ball that resists therapy and may need debridement.</w:t>
            </w:r>
          </w:p>
        </w:tc>
      </w:tr>
      <w:tr>
        <w:trPr>
          <w:cantSplit/>
        </w:trPr>
        <w:tc>
          <w:tcPr>
            <w:tcW w:type="dxa" w:w="3456"/>
            <w:vAlign w:val="top"/>
          </w:tcPr>
          <w:p>
            <w:pPr>
              <w:spacing w:after="40" w:before="0" w:line="259" w:lineRule="auto"/>
            </w:pPr>
            <w:r>
              <w:rPr>
                <w:rFonts w:ascii="Calibri" w:hAnsi="Calibri"/>
                <w:b/>
                <w:i w:val="0"/>
                <w:color w:val="212121"/>
                <w:sz w:val="19"/>
              </w:rPr>
              <w:t>Total nail-plate destruction (total dystrophic onychomycosis)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End-stage complete crumbling and loss of the nail.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nail-plate thickening, dystrophy and onycholysis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Subungual hyperkeratosis with debris and foul odour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Dermatophytoma (dense subungual fungal mass) resistant to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 dystrophic onychomycosis with complete nail destruction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to adjacent nails and to foot/hand skin (tinea pedis/manuum)</w:t>
            </w:r>
          </w:p>
        </w:tc>
        <w:tc>
          <w:tcPr>
            <w:tcW w:type="dxa" w:w="2980"/>
            <w:vAlign w:val="top"/>
          </w:tcPr>
          <w:p>
            <w:pPr>
              <w:spacing w:after="40" w:before="0" w:line="259" w:lineRule="auto"/>
            </w:pPr>
            <w:r>
              <w:rPr>
                <w:rFonts w:ascii="Calibri" w:hAnsi="Calibri"/>
                <w:b w:val="0"/>
                <w:i w:val="0"/>
                <w:color w:val="212121"/>
                <w:sz w:val="19"/>
              </w:rPr>
              <w:t>Direct consequences of untreated, progressive fungal invasion of the nail unit.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and acute paronychia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tinea pedis/manuum with the nail acting as a persistent reservoir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recurrence and relapse (roughly 5–50%) and treatment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Transmission to household and communal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 discomfort in footwear and impaired manual/walking function</w:t>
            </w:r>
          </w:p>
        </w:tc>
        <w:tc>
          <w:tcPr>
            <w:tcW w:type="dxa" w:w="2980"/>
            <w:vAlign w:val="top"/>
          </w:tcPr>
          <w:p>
            <w:pPr>
              <w:spacing w:after="40" w:before="0" w:line="259" w:lineRule="auto"/>
            </w:pPr>
            <w:r>
              <w:rPr>
                <w:rFonts w:ascii="Calibri" w:hAnsi="Calibri"/>
                <w:b w:val="0"/>
                <w:i w:val="0"/>
                <w:color w:val="212121"/>
                <w:sz w:val="19"/>
              </w:rPr>
              <w:t>Result from chronicity, the fungal reservoir and secondary microbial invasion.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diabetics/PAD/immunocompromised: cellulitis, foot ulceration, osteomyelitis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Diabetic-foot complications potentially leading to gangrene and lower-limb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disability — embarrassment, stigma, social withdrawal and reduced quality of life</w:t>
            </w:r>
          </w:p>
        </w:tc>
        <w:tc>
          <w:tcPr>
            <w:tcW w:type="dxa" w:w="2980"/>
            <w:vAlign w:val="top"/>
          </w:tcPr>
          <w:p>
            <w:pPr>
              <w:spacing w:after="40" w:before="0" w:line="259" w:lineRule="auto"/>
            </w:pPr>
            <w:r>
              <w:rPr>
                <w:rFonts w:ascii="Calibri" w:hAnsi="Calibri"/>
                <w:b w:val="0"/>
                <w:i w:val="0"/>
                <w:color w:val="212121"/>
                <w:sz w:val="19"/>
              </w:rPr>
              <w:t>Serious limb-threatening infections in vulnerable hosts and the long-term psychosocial burden.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Tinea pedis (athlete’s foot)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usual reservoir of toenail onychomycosis; the same dermatophyte moves between foot skin and nail, each re-seeding the other, so both must be treated together to prevent relapse.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microangiopathy, neuropathy and impaired immunity greatly increase risk; infected dystrophic nails then predispose diabetics to ulceration and serious foot infection, and new onychomycosis can prompt diabetes screening.</w:t>
            </w:r>
          </w:p>
          <w:p>
            <w:pPr>
              <w:spacing w:after="40" w:before="0" w:line="259" w:lineRule="auto"/>
            </w:pPr>
            <w:r>
              <w:rPr>
                <w:rFonts w:ascii="Calibri" w:hAnsi="Calibri"/>
                <w:b/>
                <w:i w:val="0"/>
                <w:color w:val="212121"/>
                <w:sz w:val="19"/>
              </w:rPr>
              <w:t>Up to 34% (in diabetics)</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arterial supply impairs local immunity and healing, favouring infection; toenail onychomycosis can be an early external warning sign of occult PAD.</w:t>
            </w:r>
          </w:p>
        </w:tc>
      </w:tr>
      <w:tr>
        <w:trPr>
          <w:cantSplit/>
        </w:trPr>
        <w:tc>
          <w:tcPr>
            <w:tcW w:type="dxa" w:w="2232"/>
            <w:vAlign w:val="top"/>
          </w:tcPr>
          <w:p>
            <w:pPr>
              <w:spacing w:after="40" w:before="0" w:line="259" w:lineRule="auto"/>
            </w:pPr>
            <w:r>
              <w:rPr>
                <w:rFonts w:ascii="Calibri" w:hAnsi="Calibri"/>
                <w:b/>
                <w:i w:val="0"/>
                <w:color w:val="212121"/>
                <w:sz w:val="19"/>
              </w:rPr>
              <w:t>Diabetic peripheral neuropathy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Sensory loss leads to unnoticed nail/foot trauma and neglect, and coexists with onychomycosis as part of the at-risk diabetic foot.</w:t>
            </w:r>
          </w:p>
          <w:p>
            <w:pPr>
              <w:spacing w:after="40" w:before="0" w:line="259" w:lineRule="auto"/>
            </w:pPr>
            <w:r>
              <w:rPr>
                <w:rFonts w:ascii="Calibri" w:hAnsi="Calibri"/>
                <w:b/>
                <w:i w:val="0"/>
                <w:color w:val="212121"/>
                <w:sz w:val="19"/>
              </w:rPr>
              <w:t>~40% (in diabetic onychomycosis)</w:t>
            </w:r>
          </w:p>
        </w:tc>
      </w:tr>
      <w:tr>
        <w:trPr>
          <w:cantSplit/>
        </w:trPr>
        <w:tc>
          <w:tcPr>
            <w:tcW w:type="dxa" w:w="2232"/>
            <w:vAlign w:val="top"/>
          </w:tcPr>
          <w:p>
            <w:pPr>
              <w:spacing w:after="40" w:before="0" w:line="259" w:lineRule="auto"/>
            </w:pPr>
            <w:r>
              <w:rPr>
                <w:rFonts w:ascii="Calibri" w:hAnsi="Calibri"/>
                <w:b/>
                <w:i w:val="0"/>
                <w:color w:val="212121"/>
                <w:sz w:val="19"/>
              </w:rPr>
              <w:t>Tinea manuum / corporis / cruris (concurrent dermatophytosis)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the same dermatophyte and often coexists amid India’s resistant-dermatophyte epidemic; nails act as a chronic reservoir that re-infects skin.</w:t>
            </w:r>
          </w:p>
        </w:tc>
      </w:tr>
      <w:tr>
        <w:trPr>
          <w:cantSplit/>
        </w:trPr>
        <w:tc>
          <w:tcPr>
            <w:tcW w:type="dxa" w:w="2232"/>
            <w:vAlign w:val="top"/>
          </w:tcPr>
          <w:p>
            <w:pPr>
              <w:spacing w:after="40" w:before="0" w:line="259" w:lineRule="auto"/>
            </w:pPr>
            <w:r>
              <w:rPr>
                <w:rFonts w:ascii="Calibri" w:hAnsi="Calibri"/>
                <w:b/>
                <w:i w:val="0"/>
                <w:color w:val="212121"/>
                <w:sz w:val="19"/>
              </w:rPr>
              <w:t>Nail psoriasis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Psoriatic nail damage predisposes to superadded fungal infection and closely mimics onychomycosis; mycological confirmation is needed because treatments differ.</w:t>
            </w:r>
          </w:p>
          <w:p>
            <w:pPr>
              <w:spacing w:after="40" w:before="0" w:line="259" w:lineRule="auto"/>
            </w:pPr>
            <w:r>
              <w:rPr>
                <w:rFonts w:ascii="Calibri" w:hAnsi="Calibri"/>
                <w:b/>
                <w:i w:val="0"/>
                <w:color w:val="212121"/>
                <w:sz w:val="19"/>
              </w:rPr>
              <w:t>~22% (onychomycosis in psoriasis)</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permits extensive, atypical, treatment-resistant disease; proximal subungual onychomycosis is a recognised cutaneous marker of HIV/AIDS.</w:t>
            </w:r>
          </w:p>
        </w:tc>
      </w:tr>
      <w:tr>
        <w:trPr>
          <w:cantSplit/>
        </w:trPr>
        <w:tc>
          <w:tcPr>
            <w:tcW w:type="dxa" w:w="2232"/>
            <w:vAlign w:val="top"/>
          </w:tcPr>
          <w:p>
            <w:pPr>
              <w:spacing w:after="40" w:before="0" w:line="259" w:lineRule="auto"/>
            </w:pPr>
            <w:r>
              <w:rPr>
                <w:rFonts w:ascii="Calibri" w:hAnsi="Calibri"/>
                <w:b/>
                <w:i w:val="0"/>
                <w:color w:val="212121"/>
                <w:sz w:val="19"/>
              </w:rPr>
              <w:t>Secondary bacterial infection / cellulitis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Cracked, dystrophic, onycholytic nails provide a portal of entry for bacteria, causing paronychia, cellulitis and, in vulnerable hosts, deeper infection.</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diabetes, PAD, reduced mobility and difficulty with foot self-care, all of which raise onychomycosis risk; high BMI was a significant risk factor in Indian diabetic data.</w:t>
            </w:r>
          </w:p>
        </w:tc>
      </w:tr>
      <w:tr>
        <w:trPr>
          <w:cantSplit/>
        </w:trPr>
        <w:tc>
          <w:tcPr>
            <w:tcW w:type="dxa" w:w="2232"/>
            <w:vAlign w:val="top"/>
          </w:tcPr>
          <w:p>
            <w:pPr>
              <w:spacing w:after="40" w:before="0" w:line="259" w:lineRule="auto"/>
            </w:pPr>
            <w:r>
              <w:rPr>
                <w:rFonts w:ascii="Calibri" w:hAnsi="Calibri"/>
                <w:b/>
                <w:i w:val="0"/>
                <w:color w:val="212121"/>
                <w:sz w:val="19"/>
              </w:rPr>
              <w:t>Chronic paronychia (Candida)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Prolonged wet-work damages the cuticle and nail fold, causing Candida onychomycosis with chronic paronychia, chiefly of the fingernails.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nail fungus usually spreads from athlete’s foot — treat and control tinea pedis early to stop it reaching the nails.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feet clean and dry: wash daily, and dry thoroughly between the toes before putting on socks and shoes.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well-fitting, breathable footwear; rotate shoes to let them dry, use moisture-wicking socks and change them daily.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share footwear, socks, towels or nail clippers, and insist on sterilised instruments at salons/pedicures.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slippers/flip-flops in communal showers, swimming pools, gyms, hostels and around temples rather than walking barefoot.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Trim nails straight across, avoid aggressive manicuring, and protect toes from repetitive trauma and tight shoes.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change (a spreading white/yellow patch) and seek confirmation and treatment promptly, before dystrophy becomes total.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communal-shower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closed-shoe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tinea pedis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affected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the diagnosis confirmed (KOH/culture/PAS) before long courses of antifungals, since about half of abnormal nails are not fungal.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limited distal disease, use topical antifungal nail lacquers (e.g., ciclopirox, amorolfine) with regular filing/debridement, understanding that cure is slow.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moderate–severe or multiple-nail disease, take oral terbinafine or itraconazole exactly as prescribed for the full course (toenails often need ~3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tinea pedis/manuum at the same time and disinfect footwear to remove the reservoir and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slow improvement as the nail grows out, and be aware that recurrence is common (~5–50%); maintenance topical prophylaxis helps.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those with PAD or immunosuppression, and anyone with pain, redness or spreading infection should seek medical review promptly to avoid foot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onychomycosis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Multiple-nail /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immunosuppressed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tinea pedis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but wash and dry your feet and change out of sweaty socks and sports shoes promptly after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slippers/flip-flops in shared changing rooms, showers and around pools rather than going barefoot.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properly fitting athletic shoes and moisture-wicking socks to reduce sweat, trauma and maceration.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 out and dry sports shoes between sessions and consider an antifungal foot powder if your feet sweat heavily.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feet and nails regularly for early athlete’s foot or nail changes and treat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runners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 &amp;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hyperhidrosis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Manual/outdoor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specific food causes or cures nail fungus, so avoid unproven ‘anti-fungal’ diets and focus on balanced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malnutrition and maintain good general health to support immunity and nail integrity.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diabetic, keep blood sugar well controlled — better glycaemic control reduces the risk and extent of onychomycosis.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 obesity is linked to diabetes, PAD and difficulty with foot self-care that raise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to support general immune health, especially if diabetic or immunosuppressed.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Let feet breathe at night rather than sleeping in occlusive socks/shoes, and keep bedding and socks clean and dry.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immunosuppressed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impairs peripheral circulation and is linked, via peripheral arterial disease, to toenail fungal infection and poor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tobacco-cessation support, particularly if you have diabetes, PAD or recurrent foot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direct link between alcohol and nail fungus, but keep intake within safe limits for general and immune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impairs self-care and liver function and affects the safety of oral antifungals.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your alcohol intake and any liver problems before starting systemic terbinafine or itraconazole.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needing oral antifungals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that chronic, visible nail disfigurement genuinely affects confidence, mood and social interaction (mean DLQI ~6.1).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the condition is treatable and set realistic expectations about the slow pace of nail regrowth and the chance of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completion of the full treatment course rather than abandoning it out of frustration when improvement seems slow.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support or referral for significant embarrassment, low self-esteem or social withdrawal, particularly in younger patients and those with fingernail involvement.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visible/fingernail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recurrent onychomycosis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edge.com/dermatology/article/96294/hair-nails/incidence-and-epidemiology-onychomycosis-patients-visiting" TargetMode="External"/><Relationship Id="rId10" Type="http://schemas.openxmlformats.org/officeDocument/2006/relationships/hyperlink" Target="https://www.aafp.org/afp/2013/1201/p762" TargetMode="External"/><Relationship Id="rId11" Type="http://schemas.openxmlformats.org/officeDocument/2006/relationships/hyperlink" Target="https://ijdvl.com/prevalence-of-onychomycosis-in-patients-with-diabetes-mellitus-a-cross-sectional-study-from-a-tertiary-care-hospital-in-north-india/" TargetMode="External"/><Relationship Id="rId12" Type="http://schemas.openxmlformats.org/officeDocument/2006/relationships/hyperlink" Target="https://link.springer.com/article/10.1007/s11046-023-00720-6" TargetMode="External"/><Relationship Id="rId13" Type="http://schemas.openxmlformats.org/officeDocument/2006/relationships/hyperlink" Target="https://www.ncbi.nlm.nih.gov/books/NBK441853/" TargetMode="External"/><Relationship Id="rId14" Type="http://schemas.openxmlformats.org/officeDocument/2006/relationships/hyperlink" Target="https://ijdvl.com/onychomycosis-diagnosis-and-management/" TargetMode="External"/><Relationship Id="rId15" Type="http://schemas.openxmlformats.org/officeDocument/2006/relationships/hyperlink" Target="https://www.nature.com/articles/s41598-024-713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