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Folliculitis</w:t>
      </w:r>
    </w:p>
    <w:p>
      <w:pPr>
        <w:spacing w:before="0" w:after="160"/>
      </w:pPr>
      <w:r>
        <w:rPr>
          <w:rFonts w:ascii="Calibri" w:hAnsi="Calibri"/>
          <w:b/>
          <w:i w:val="0"/>
          <w:color w:val="212121"/>
          <w:sz w:val="22"/>
        </w:rPr>
        <w:t xml:space="preserve">AKA </w:t>
      </w:r>
      <w:r>
        <w:rPr>
          <w:rFonts w:ascii="Calibri" w:hAnsi="Calibri"/>
          <w:b w:val="0"/>
          <w:i w:val="0"/>
          <w:color w:val="212121"/>
          <w:sz w:val="22"/>
        </w:rPr>
        <w:t>i.e., Infected/inflamed hair follicles, Hair-follicle infection, Barber's itch / Sycosis barbae (deep beard folliculitis), Razor bumps / Pseudofolliculitis barbae, Hot-tub rash (Pseudomonas folliculitis), Shaving rash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Folliculitis is inflammation of one or more hair follicles, presenting as small, follicle-centred (perifollicular) papules and pustules on any hair-bearing skin, often pierced by a central hair. It may be superficial (limited to the follicular ostium and upper follicle, healing without scarring) or deep (involving the whole follicle and perifollicular dermis, which can scar), and infectious - most commonly Staphylococcus aureus, but also Pseudomonas aeruginosa, Malassezia yeast, dermatophytes, herpes viruses or Demodex mites - or non-infectious (mechanical/occlusive, chemical or drug-induced, and eosinophilic). Most cases are benign and self-limiting, but deep, recurrent or neglected disease can progress to furuncles, abscesses, scarring and permanent hair loss.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Pyodermas, which include folliculitis, are among the commonest skin infections presenting to Indian dermatology clinics and peak during the hot, humid monsoon months. In a South Indian tertiary-care series of 162 pyoderma patients, 65% were primary pyodermas, with impetigo the commonest primary type followed by folliculitis; Staphylococcus aureus was isolated from 83.9% of cases, of which 19.1% were methicillin-resistant (MRSA), reflecting the rising drug resistance behind recurrent, hard-to-treat folliculitis in India. Malassezia (Pityrosporum) folliculitis is especially common in India's tropical climate and is frequently misdiagnosed as acne.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Folliculitis is largely a clinical diagnosis; investigations are directed at identifying the cause and any predisposing illness in recurrent, deep or treatment-resistant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recognition of follicle-centred erythematous papules and pustules on hair-bearing skin, typically with a central hair, is the basis of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distribution and history point to the cause - beard and neck (sycosis barbae, pseudofolliculitis), scalp, upper chest and back (Malassezia), buttocks and thighs (occlusion, prolonged sitting), and onset after shaving/waxing or after hot-tub, whirlpool or pool exposure (Pseudomonas);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Gram stain and bacterial culture with sensitivity from an intact pustule confirm bacterial folliculitis and identify Staphylococcus aureus and MRSA; anterior-nares and perineal swabs help detect S. aureus carriage in recurrent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potassium hydroxide (KOH) mount, fungal culture or biopsy with special stains (PAS) demonstrates Malassezia yeasts or dermatophytes when itchy, monomorphic truncal papulopustules fail to respond to antibacterials;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 lamp examination may show yellow-green follicular fluorescence in Malassezia folliculitis;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(histopathology) is reserved for atypical, deep, scarring or refractory cases and to distinguish eosinophilic folliculitis, folliculitis decalvans and non-infectious mimics;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predisposing conditions - fasting glucose/HbA1c, and HIV or other immunosuppression - is advised in widespread, recurrent or refractory folliculitis.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Folliculitis is classified by the depth of follicular involvement and by cause:</w:t>
      </w:r>
    </w:p>
    <w:p>
      <w:pPr>
        <w:spacing w:before="0" w:after="80"/>
      </w:pPr>
      <w:r>
        <w:rPr>
          <w:rFonts w:ascii="Calibri" w:hAnsi="Calibri"/>
          <w:b w:val="0"/>
          <w:i w:val="0"/>
          <w:color w:val="212121"/>
          <w:sz w:val="21"/>
        </w:rPr>
        <w:t>(1) By depth - superficial folliculitis (e.g., Bockhart impetigo / follicular impetigo) involves only the upper follicle and heals without scarring, whereas deep folliculitis (e.g., sycosis barbae, furuncle/carbuncle, folliculitis decalvans) involves the entire follicle and perifollicular dermis and may scar;</w:t>
      </w:r>
    </w:p>
    <w:p>
      <w:pPr>
        <w:spacing w:before="0" w:after="80"/>
      </w:pPr>
      <w:r>
        <w:rPr>
          <w:rFonts w:ascii="Calibri" w:hAnsi="Calibri"/>
          <w:b w:val="0"/>
          <w:i w:val="0"/>
          <w:color w:val="212121"/>
          <w:sz w:val="21"/>
        </w:rPr>
        <w:t>(2) Infectious folliculitis - bacterial (Staphylococcus aureus most common; Pseudomonas aeruginosa 'hot-tub'/spa-pool folliculitis; gram-negative folliculitis complicating long-term antibiotic therapy for acne), fungal/yeast (Malassezia/Pityrosporum folliculitis, dermatophytic Majocchi granuloma, Candida), viral (herpes simplex, herpes zoster, molluscum contagiosum) and parasitic (Demodex mites, scabies);</w:t>
      </w:r>
    </w:p>
    <w:p>
      <w:pPr>
        <w:spacing w:before="0" w:after="80"/>
      </w:pPr>
      <w:r>
        <w:rPr>
          <w:rFonts w:ascii="Calibri" w:hAnsi="Calibri"/>
          <w:b w:val="0"/>
          <w:i w:val="0"/>
          <w:color w:val="212121"/>
          <w:sz w:val="21"/>
        </w:rPr>
        <w:t>(3) Non-infectious folliculitis - mechanical/irritant (pseudofolliculitis barbae from ingrown hairs after shaving/waxing/threading), occlusive (oils, heavy emollients, tight clothing, adhesive dressings), and chemical or drug-induced (topical and systemic corticosteroids - 'steroid folliculitis' - lithium, and EGFR inhibitors and other targeted agents);</w:t>
      </w:r>
    </w:p>
    <w:p>
      <w:pPr>
        <w:spacing w:before="0" w:after="80"/>
      </w:pPr>
      <w:r>
        <w:rPr>
          <w:rFonts w:ascii="Calibri" w:hAnsi="Calibri"/>
          <w:b w:val="0"/>
          <w:i w:val="0"/>
          <w:color w:val="212121"/>
          <w:sz w:val="21"/>
        </w:rPr>
        <w:t>(4) Eosinophilic folliculitis - an immune-mediated, sterile group including classic Ofuji disease, HIV/immunosuppression-associated eosinophilic folliculitis, and eosinophilic folliculitis of infancy;</w:t>
      </w:r>
    </w:p>
    <w:p>
      <w:pPr>
        <w:spacing w:before="0" w:after="80"/>
      </w:pPr>
      <w:r>
        <w:rPr>
          <w:rFonts w:ascii="Calibri" w:hAnsi="Calibri"/>
          <w:b w:val="0"/>
          <w:i w:val="0"/>
          <w:color w:val="212121"/>
          <w:sz w:val="21"/>
        </w:rPr>
        <w:t>(5) Special and scarring variants - folliculitis decalvans and tufted folliculitis (scarring alopecia of the scalp), dissecting cellulitis, and acne keloidalis nuchae.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Staphylococcus aureus colonisation/infection: The commonest cause of infectious folliculitis; nasal or skin carriage of S. aureus (including MRSA) seeds follicles, especially after minor trauma or occlusion.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Follicular occlusion and maceration: Sweat, humidity, oils and heavy emollients, tight synthetic clothing and adhesive dressings block and macerate follicles, trapping bacteria and yeast - a major driver in India's hot, humid climate.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Mechanical trauma to follicles: Shaving, waxing, threading, plucking, epilation and friction damage follicular epithelium and cause ingrown hairs (pseudofolliculitis barbae).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Malassezia (Pityrosporum) yeast overgrowth: Lipophilic Malassezia proliferates in sebum in warm, humid conditions, causing itchy, monomorphic truncal papulopustules that mimic acne.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Immunosuppression and hyperglycaemia: Diabetes mellitus, HIV, obesity and chronic steroid or antibiotic use impair follicular immunity and predispose to bacterial, fungal, Demodex and eosinophilic folliculitis.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Contaminated water exposure: Inadequately chlorinated hot tubs, whirlpools and swimming pools introduce Pseudomonas aeruginosa, causing 'hot-tub' folliculitis.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Drugs: Long-term oral antibiotics for acne (gram-negative folliculitis), topical/systemic corticosteroids, lithium and EGFR/targeted therapies induce or aggravate folliculitis.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Peak sebaceous-gland activity in the teens and twenties fuels Malassezia (Pityrosporum) folliculitis and acneiform follicular disease, especially on the oily upper back, chest and shoulders.</w:t>
            </w:r>
          </w:p>
          <w:p>
            <w:pPr>
              <w:spacing w:after="40" w:before="60" w:line="259" w:lineRule="auto"/>
            </w:pPr>
            <w:r>
              <w:rPr>
                <w:rFonts w:ascii="Calibri" w:hAnsi="Calibri"/>
                <w:b w:val="0"/>
                <w:i w:val="0"/>
                <w:color w:val="212121"/>
                <w:sz w:val="19"/>
              </w:rPr>
              <w:t>Malassezia folliculitis predominantly affects adolescent and young adult males and is commoner in warm, humid climates such as India.</w:t>
            </w:r>
          </w:p>
          <w:p>
            <w:pPr>
              <w:spacing w:after="40" w:line="252" w:lineRule="auto"/>
            </w:pPr>
            <w:hyperlink r:id="rId9">
              <w:r>
                <w:rPr>
                  <w:rFonts w:ascii="Calibri" w:hAnsi="Calibri" w:cs="Calibri"/>
                  <w:sz w:val="18"/>
                  <w:color w:val="1155CC"/>
                  <w:u w:val="single"/>
                </w:rPr>
                <w:t xml:space="preserve">dermnetnz.org - malassezia folliculitis</w:t>
              </w:r>
            </w:hyperlink>
          </w:p>
          <w:p>
            <w:pPr>
              <w:spacing w:before="60" w:after="40"/>
            </w:pPr>
            <w:r>
              <w:rPr>
                <w:rFonts w:ascii="Calibri" w:hAnsi="Calibri"/>
                <w:b w:val="0"/>
                <w:i w:val="0"/>
                <w:color w:val="5A5A5A"/>
                <w:sz w:val="18"/>
              </w:rPr>
              <w:t>#folliculitis  #malassezia  #sebum  #youngadults  #truncalacne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Thin skin, frequent minor trauma and scratching, close contact and developing immunity make superficial staphylococcal (Bockhart) folliculitis and impetigo-folliculitis common in Indian children.</w:t>
            </w:r>
          </w:p>
          <w:p>
            <w:pPr>
              <w:spacing w:after="40" w:before="60" w:line="259" w:lineRule="auto"/>
            </w:pPr>
            <w:r>
              <w:rPr>
                <w:rFonts w:ascii="Calibri" w:hAnsi="Calibri"/>
                <w:b w:val="0"/>
                <w:i w:val="0"/>
                <w:color w:val="212121"/>
                <w:sz w:val="19"/>
              </w:rPr>
              <w:t>In a South Indian pyoderma series, impetigo was the commonest primary pyoderma followed by folliculitis, with S. aureus isolated in 83.9% of cases.</w:t>
            </w:r>
          </w:p>
          <w:p>
            <w:pPr>
              <w:spacing w:after="40" w:line="252" w:lineRule="auto"/>
            </w:pPr>
            <w:hyperlink r:id="rId10">
              <w:r>
                <w:rPr>
                  <w:rFonts w:ascii="Calibri" w:hAnsi="Calibri" w:cs="Calibri"/>
                  <w:sz w:val="18"/>
                  <w:color w:val="1155CC"/>
                  <w:u w:val="single"/>
                </w:rPr>
                <w:t xml:space="preserve">ijdvl.com - pyoderma in South India</w:t>
              </w:r>
            </w:hyperlink>
          </w:p>
          <w:p>
            <w:pPr>
              <w:spacing w:before="60" w:after="40"/>
            </w:pPr>
            <w:r>
              <w:rPr>
                <w:rFonts w:ascii="Calibri" w:hAnsi="Calibri"/>
                <w:b w:val="0"/>
                <w:i w:val="0"/>
                <w:color w:val="5A5A5A"/>
                <w:sz w:val="18"/>
              </w:rPr>
              <w:t>#folliculitis  #children  #pyoderma  #staphaureus  #impetigo</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Beard shaving predisposes to sycosis barbae and pseudofolliculitis barbae, and Malassezia folliculitis is reported more often in men, giving males a higher overall burden of folliculitis.</w:t>
            </w:r>
          </w:p>
          <w:p>
            <w:pPr>
              <w:spacing w:after="40" w:before="60" w:line="259" w:lineRule="auto"/>
            </w:pPr>
            <w:r>
              <w:rPr>
                <w:rFonts w:ascii="Calibri" w:hAnsi="Calibri"/>
                <w:b w:val="0"/>
                <w:i w:val="0"/>
                <w:color w:val="212121"/>
                <w:sz w:val="19"/>
              </w:rPr>
              <w:t>StatPearls notes Malassezia folliculitis occurs more frequently in men than in women.</w:t>
            </w:r>
          </w:p>
          <w:p>
            <w:pPr>
              <w:spacing w:after="40" w:line="252" w:lineRule="auto"/>
            </w:pPr>
            <w:hyperlink r:id="rId11">
              <w:r>
                <w:rPr>
                  <w:rFonts w:ascii="Calibri" w:hAnsi="Calibri" w:cs="Calibri"/>
                  <w:sz w:val="18"/>
                  <w:color w:val="1155CC"/>
                  <w:u w:val="single"/>
                </w:rPr>
                <w:t xml:space="preserve">ncbi.nlm.nih.gov - StatPearls Folliculitis</w:t>
              </w:r>
            </w:hyperlink>
          </w:p>
          <w:p>
            <w:pPr>
              <w:spacing w:before="60" w:after="40"/>
            </w:pPr>
            <w:r>
              <w:rPr>
                <w:rFonts w:ascii="Calibri" w:hAnsi="Calibri"/>
                <w:b w:val="0"/>
                <w:i w:val="0"/>
                <w:color w:val="5A5A5A"/>
                <w:sz w:val="18"/>
              </w:rPr>
              <w:t>#folliculitis  #sycosisbarbae  #shaving  #male  #malassezia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Hair removal of legs, axillae and the bikini area by shaving, waxing and threading, plus occlusive clothing, causes irritant and staphylococcal folliculitis in women.</w:t>
            </w:r>
          </w:p>
          <w:p>
            <w:pPr>
              <w:spacing w:after="40" w:before="60" w:line="259" w:lineRule="auto"/>
            </w:pPr>
            <w:r>
              <w:rPr>
                <w:rFonts w:ascii="Calibri" w:hAnsi="Calibri"/>
                <w:b w:val="0"/>
                <w:i w:val="0"/>
                <w:color w:val="212121"/>
                <w:sz w:val="19"/>
              </w:rPr>
              <w:t>Hair-removal methods (shaving, waxing) and occlusion are recognised precipitants of folliculitis.</w:t>
            </w:r>
          </w:p>
          <w:p>
            <w:pPr>
              <w:spacing w:after="40" w:line="252" w:lineRule="auto"/>
            </w:pPr>
            <w:hyperlink r:id="rId12">
              <w:r>
                <w:rPr>
                  <w:rFonts w:ascii="Calibri" w:hAnsi="Calibri" w:cs="Calibri"/>
                  <w:sz w:val="18"/>
                  <w:color w:val="1155CC"/>
                  <w:u w:val="single"/>
                </w:rPr>
                <w:t xml:space="preserve">dermnetnz.org - folliculitis</w:t>
              </w:r>
            </w:hyperlink>
          </w:p>
          <w:p>
            <w:pPr>
              <w:spacing w:before="60" w:after="40"/>
            </w:pPr>
            <w:r>
              <w:rPr>
                <w:rFonts w:ascii="Calibri" w:hAnsi="Calibri"/>
                <w:b w:val="0"/>
                <w:i w:val="0"/>
                <w:color w:val="5A5A5A"/>
                <w:sz w:val="18"/>
              </w:rPr>
              <w:t>#folliculitis  #waxing  #threading  #ingrownhair  #female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hair type</w:t>
            </w:r>
          </w:p>
        </w:tc>
        <w:tc>
          <w:tcPr>
            <w:tcW w:type="dxa" w:w="2160"/>
            <w:vAlign w:val="top"/>
          </w:tcPr>
          <w:p>
            <w:pPr>
              <w:spacing w:after="40" w:before="0" w:line="259" w:lineRule="auto"/>
            </w:pPr>
            <w:r>
              <w:rPr>
                <w:rFonts w:ascii="Calibri" w:hAnsi="Calibri"/>
                <w:b w:val="0"/>
                <w:i w:val="0"/>
                <w:color w:val="212121"/>
                <w:sz w:val="19"/>
              </w:rPr>
              <w:t>Coarse, tightly-curled hair</w:t>
            </w:r>
          </w:p>
        </w:tc>
        <w:tc>
          <w:tcPr>
            <w:tcW w:type="dxa" w:w="4276"/>
            <w:vAlign w:val="top"/>
          </w:tcPr>
          <w:p>
            <w:pPr>
              <w:spacing w:after="60" w:line="259" w:lineRule="auto"/>
            </w:pPr>
            <w:r>
              <w:rPr>
                <w:rFonts w:ascii="Calibri" w:hAnsi="Calibri"/>
                <w:b w:val="0"/>
                <w:i w:val="0"/>
                <w:color w:val="212121"/>
                <w:sz w:val="19"/>
              </w:rPr>
              <w:t>Tightly-curled, coarse hair re-enters the skin after close shaving (intra- and trans-follicular penetration), producing pseudofolliculitis barbae with inflammatory razor bumps, hyperpigmentation and scarring.</w:t>
            </w:r>
          </w:p>
          <w:p>
            <w:pPr>
              <w:spacing w:after="40" w:before="60" w:line="259" w:lineRule="auto"/>
            </w:pPr>
            <w:r>
              <w:rPr>
                <w:rFonts w:ascii="Calibri" w:hAnsi="Calibri"/>
                <w:b w:val="0"/>
                <w:i w:val="0"/>
                <w:color w:val="212121"/>
                <w:sz w:val="19"/>
              </w:rPr>
              <w:t>Pseudofolliculitis barbae affects an estimated 45-80% of frequently-shaving men of African ancestry and also affects others with curly hair.</w:t>
            </w:r>
          </w:p>
          <w:p>
            <w:pPr>
              <w:spacing w:after="40" w:line="252" w:lineRule="auto"/>
            </w:pPr>
            <w:hyperlink r:id="rId13">
              <w:r>
                <w:rPr>
                  <w:rFonts w:ascii="Calibri" w:hAnsi="Calibri" w:cs="Calibri"/>
                  <w:sz w:val="18"/>
                  <w:color w:val="1155CC"/>
                  <w:u w:val="single"/>
                </w:rPr>
                <w:t xml:space="preserve">dermnetnz.org - pseudofolliculitis barbae</w:t>
              </w:r>
            </w:hyperlink>
          </w:p>
          <w:p>
            <w:pPr>
              <w:spacing w:before="60" w:after="40"/>
            </w:pPr>
            <w:r>
              <w:rPr>
                <w:rFonts w:ascii="Calibri" w:hAnsi="Calibri"/>
                <w:b w:val="0"/>
                <w:i w:val="0"/>
                <w:color w:val="5A5A5A"/>
                <w:sz w:val="18"/>
              </w:rPr>
              <w:t>#pseudofolliculitis  #razorbumps  #curlyhair  #ingrownhair  #PIH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region</w:t>
            </w:r>
          </w:p>
        </w:tc>
        <w:tc>
          <w:tcPr>
            <w:tcW w:type="dxa" w:w="2160"/>
            <w:vAlign w:val="top"/>
          </w:tcPr>
          <w:p>
            <w:pPr>
              <w:spacing w:after="40" w:before="0" w:line="259" w:lineRule="auto"/>
            </w:pPr>
            <w:r>
              <w:rPr>
                <w:rFonts w:ascii="Calibri" w:hAnsi="Calibri"/>
                <w:b w:val="0"/>
                <w:i w:val="0"/>
                <w:color w:val="212121"/>
                <w:sz w:val="19"/>
              </w:rPr>
              <w:t>Hot, humid tropical India (monsoon)</w:t>
            </w:r>
          </w:p>
        </w:tc>
        <w:tc>
          <w:tcPr>
            <w:tcW w:type="dxa" w:w="4276"/>
            <w:vAlign w:val="top"/>
          </w:tcPr>
          <w:p>
            <w:pPr>
              <w:spacing w:after="60" w:line="259" w:lineRule="auto"/>
            </w:pPr>
            <w:r>
              <w:rPr>
                <w:rFonts w:ascii="Calibri" w:hAnsi="Calibri"/>
                <w:b w:val="0"/>
                <w:i w:val="0"/>
                <w:color w:val="212121"/>
                <w:sz w:val="19"/>
              </w:rPr>
              <w:t>High ambient heat and humidity drive sweating, sebum production and follicular occlusion, favouring both bacterial and Malassezia folliculitis, which flare in the monsoon and summer months.</w:t>
            </w:r>
          </w:p>
          <w:p>
            <w:pPr>
              <w:spacing w:after="40" w:before="60" w:line="259" w:lineRule="auto"/>
            </w:pPr>
            <w:r>
              <w:rPr>
                <w:rFonts w:ascii="Calibri" w:hAnsi="Calibri"/>
                <w:b w:val="0"/>
                <w:i w:val="0"/>
                <w:color w:val="212121"/>
                <w:sz w:val="19"/>
              </w:rPr>
              <w:t>Malassezia folliculitis is more prevalent in warm, humid climates where sebum and sweating promote yeast overgrowth.</w:t>
            </w:r>
          </w:p>
          <w:p>
            <w:pPr>
              <w:spacing w:after="40" w:line="252" w:lineRule="auto"/>
            </w:pPr>
            <w:hyperlink r:id="rId9">
              <w:r>
                <w:rPr>
                  <w:rFonts w:ascii="Calibri" w:hAnsi="Calibri" w:cs="Calibri"/>
                  <w:sz w:val="18"/>
                  <w:color w:val="1155CC"/>
                  <w:u w:val="single"/>
                </w:rPr>
                <w:t xml:space="preserve">dermnetnz.org - malassezia folliculitis</w:t>
              </w:r>
            </w:hyperlink>
          </w:p>
          <w:p>
            <w:pPr>
              <w:spacing w:before="60" w:after="40"/>
            </w:pPr>
            <w:r>
              <w:rPr>
                <w:rFonts w:ascii="Calibri" w:hAnsi="Calibri"/>
                <w:b w:val="0"/>
                <w:i w:val="0"/>
                <w:color w:val="5A5A5A"/>
                <w:sz w:val="18"/>
              </w:rPr>
              <w:t>#humidity  #tropical  #monsoon  #sweating  #occlusion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Overcrowding, manual labourers, limited water/sanitation</w:t>
            </w:r>
          </w:p>
        </w:tc>
        <w:tc>
          <w:tcPr>
            <w:tcW w:type="dxa" w:w="4276"/>
            <w:vAlign w:val="top"/>
          </w:tcPr>
          <w:p>
            <w:pPr>
              <w:spacing w:after="60" w:line="259" w:lineRule="auto"/>
            </w:pPr>
            <w:r>
              <w:rPr>
                <w:rFonts w:ascii="Calibri" w:hAnsi="Calibri"/>
                <w:b w:val="0"/>
                <w:i w:val="0"/>
                <w:color w:val="212121"/>
                <w:sz w:val="19"/>
              </w:rPr>
              <w:t>Overcrowding, heavy physical labour, sweating, limited access to clean water and shared towels/razors increase the burden of staphylococcal pyoderma, including folliculitis.</w:t>
            </w:r>
          </w:p>
          <w:p>
            <w:pPr>
              <w:spacing w:after="40" w:before="60" w:line="259" w:lineRule="auto"/>
            </w:pPr>
            <w:r>
              <w:rPr>
                <w:rFonts w:ascii="Calibri" w:hAnsi="Calibri"/>
                <w:b w:val="0"/>
                <w:i w:val="0"/>
                <w:color w:val="212121"/>
                <w:sz w:val="19"/>
              </w:rPr>
              <w:t>Pyodermas are among the most common skin infections in Indian dermatology practice, with S. aureus the predominant organism (83.9% in a South Indian series).</w:t>
            </w:r>
          </w:p>
          <w:p>
            <w:pPr>
              <w:spacing w:after="40" w:line="252" w:lineRule="auto"/>
            </w:pPr>
            <w:hyperlink r:id="rId10">
              <w:r>
                <w:rPr>
                  <w:rFonts w:ascii="Calibri" w:hAnsi="Calibri" w:cs="Calibri"/>
                  <w:sz w:val="18"/>
                  <w:color w:val="1155CC"/>
                  <w:u w:val="single"/>
                </w:rPr>
                <w:t xml:space="preserve">ijdvl.com - pyoderma in South India</w:t>
              </w:r>
            </w:hyperlink>
          </w:p>
          <w:p>
            <w:pPr>
              <w:spacing w:before="60" w:after="40"/>
            </w:pPr>
            <w:r>
              <w:rPr>
                <w:rFonts w:ascii="Calibri" w:hAnsi="Calibri"/>
                <w:b w:val="0"/>
                <w:i w:val="0"/>
                <w:color w:val="5A5A5A"/>
                <w:sz w:val="18"/>
              </w:rPr>
              <w:t>#pyoderma  #overcrowding  #hygiene  #labourers  #publichealth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 occlusion</w:t>
            </w:r>
          </w:p>
        </w:tc>
        <w:tc>
          <w:tcPr>
            <w:tcW w:type="dxa" w:w="2160"/>
            <w:vAlign w:val="top"/>
          </w:tcPr>
          <w:p>
            <w:pPr>
              <w:spacing w:after="40" w:before="0" w:line="259" w:lineRule="auto"/>
            </w:pPr>
            <w:r>
              <w:rPr>
                <w:rFonts w:ascii="Calibri" w:hAnsi="Calibri"/>
                <w:b w:val="0"/>
                <w:i w:val="0"/>
                <w:color w:val="212121"/>
                <w:sz w:val="19"/>
              </w:rPr>
              <w:t>Drivers, athletes, wearers of tight or occlusive clothing</w:t>
            </w:r>
          </w:p>
        </w:tc>
        <w:tc>
          <w:tcPr>
            <w:tcW w:type="dxa" w:w="4276"/>
            <w:vAlign w:val="top"/>
          </w:tcPr>
          <w:p>
            <w:pPr>
              <w:spacing w:after="60" w:line="259" w:lineRule="auto"/>
            </w:pPr>
            <w:r>
              <w:rPr>
                <w:rFonts w:ascii="Calibri" w:hAnsi="Calibri"/>
                <w:b w:val="0"/>
                <w:i w:val="0"/>
                <w:color w:val="212121"/>
                <w:sz w:val="19"/>
              </w:rPr>
              <w:t>Prolonged friction, sweat and occlusion under tight synthetic clothing, wetsuits, sports gear or from prolonged sitting macerate follicles and precipitate buttock, thigh and truncal folliculitis.</w:t>
            </w:r>
          </w:p>
          <w:p>
            <w:pPr>
              <w:spacing w:after="40" w:before="60" w:line="259" w:lineRule="auto"/>
            </w:pPr>
            <w:r>
              <w:rPr>
                <w:rFonts w:ascii="Calibri" w:hAnsi="Calibri"/>
                <w:b w:val="0"/>
                <w:i w:val="0"/>
                <w:color w:val="212121"/>
                <w:sz w:val="19"/>
              </w:rPr>
              <w:t>Occlusion (tight clothing, dressings, oils) and maceration are established risk factors for folliculitis.</w:t>
            </w:r>
          </w:p>
          <w:p>
            <w:pPr>
              <w:spacing w:after="40" w:line="252" w:lineRule="auto"/>
            </w:pPr>
            <w:hyperlink r:id="rId14">
              <w:r>
                <w:rPr>
                  <w:rFonts w:ascii="Calibri" w:hAnsi="Calibri" w:cs="Calibri"/>
                  <w:sz w:val="18"/>
                  <w:color w:val="1155CC"/>
                  <w:u w:val="single"/>
                </w:rPr>
                <w:t xml:space="preserve">dermnetnz.org - bacterial folliculitis</w:t>
              </w:r>
            </w:hyperlink>
          </w:p>
          <w:p>
            <w:pPr>
              <w:spacing w:before="60" w:after="40"/>
            </w:pPr>
            <w:r>
              <w:rPr>
                <w:rFonts w:ascii="Calibri" w:hAnsi="Calibri"/>
                <w:b w:val="0"/>
                <w:i w:val="0"/>
                <w:color w:val="5A5A5A"/>
                <w:sz w:val="18"/>
              </w:rPr>
              <w:t>#occlusion  #friction  #sweat  #tightclothing  #buttockfolliculitis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Grooming / hair removal</w:t>
            </w:r>
          </w:p>
        </w:tc>
        <w:tc>
          <w:tcPr>
            <w:tcW w:type="dxa" w:w="2160"/>
            <w:vAlign w:val="top"/>
          </w:tcPr>
          <w:p>
            <w:pPr>
              <w:spacing w:after="40" w:before="0" w:line="259" w:lineRule="auto"/>
            </w:pPr>
            <w:r>
              <w:rPr>
                <w:rFonts w:ascii="Calibri" w:hAnsi="Calibri"/>
                <w:b w:val="0"/>
                <w:i w:val="0"/>
                <w:color w:val="212121"/>
                <w:sz w:val="19"/>
              </w:rPr>
              <w:t>Frequent shavers, waxing and threading</w:t>
            </w:r>
          </w:p>
        </w:tc>
        <w:tc>
          <w:tcPr>
            <w:tcW w:type="dxa" w:w="4276"/>
            <w:vAlign w:val="top"/>
          </w:tcPr>
          <w:p>
            <w:pPr>
              <w:spacing w:after="60" w:line="259" w:lineRule="auto"/>
            </w:pPr>
            <w:r>
              <w:rPr>
                <w:rFonts w:ascii="Calibri" w:hAnsi="Calibri"/>
                <w:b w:val="0"/>
                <w:i w:val="0"/>
                <w:color w:val="212121"/>
                <w:sz w:val="19"/>
              </w:rPr>
              <w:t>Repeated shaving against the grain, waxing, threading and plucking traumatise follicles and create ingrown hairs, driving irritant and staphylococcal folliculitis and pseudofolliculitis.</w:t>
            </w:r>
          </w:p>
          <w:p>
            <w:pPr>
              <w:spacing w:after="40" w:before="60" w:line="259" w:lineRule="auto"/>
            </w:pPr>
            <w:r>
              <w:rPr>
                <w:rFonts w:ascii="Calibri" w:hAnsi="Calibri"/>
                <w:b w:val="0"/>
                <w:i w:val="0"/>
                <w:color w:val="212121"/>
                <w:sz w:val="19"/>
              </w:rPr>
              <w:t>Irritant folliculitis from hair regrowth after shaving or waxing is a recognised non-infectious cause.</w:t>
            </w:r>
          </w:p>
          <w:p>
            <w:pPr>
              <w:spacing w:after="40" w:line="252" w:lineRule="auto"/>
            </w:pPr>
            <w:hyperlink r:id="rId12">
              <w:r>
                <w:rPr>
                  <w:rFonts w:ascii="Calibri" w:hAnsi="Calibri" w:cs="Calibri"/>
                  <w:sz w:val="18"/>
                  <w:color w:val="1155CC"/>
                  <w:u w:val="single"/>
                </w:rPr>
                <w:t xml:space="preserve">dermnetnz.org - folliculitis</w:t>
              </w:r>
            </w:hyperlink>
          </w:p>
          <w:p>
            <w:pPr>
              <w:spacing w:before="60" w:after="40"/>
            </w:pPr>
            <w:r>
              <w:rPr>
                <w:rFonts w:ascii="Calibri" w:hAnsi="Calibri"/>
                <w:b w:val="0"/>
                <w:i w:val="0"/>
                <w:color w:val="5A5A5A"/>
                <w:sz w:val="18"/>
              </w:rPr>
              <w:t>#shaving  #waxing  #ingrownhair  #grooming  #razorbumps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&amp; water exposure</w:t>
            </w:r>
          </w:p>
        </w:tc>
        <w:tc>
          <w:tcPr>
            <w:tcW w:type="dxa" w:w="2160"/>
            <w:vAlign w:val="top"/>
          </w:tcPr>
          <w:p>
            <w:pPr>
              <w:spacing w:after="40" w:before="0" w:line="259" w:lineRule="auto"/>
            </w:pPr>
            <w:r>
              <w:rPr>
                <w:rFonts w:ascii="Calibri" w:hAnsi="Calibri"/>
                <w:b w:val="0"/>
                <w:i w:val="0"/>
                <w:color w:val="212121"/>
                <w:sz w:val="19"/>
              </w:rPr>
              <w:t>Hyperhidrosis, shared razors/towels, hot-tub &amp; pool users</w:t>
            </w:r>
          </w:p>
        </w:tc>
        <w:tc>
          <w:tcPr>
            <w:tcW w:type="dxa" w:w="4276"/>
            <w:vAlign w:val="top"/>
          </w:tcPr>
          <w:p>
            <w:pPr>
              <w:spacing w:after="60" w:line="259" w:lineRule="auto"/>
            </w:pPr>
            <w:r>
              <w:rPr>
                <w:rFonts w:ascii="Calibri" w:hAnsi="Calibri"/>
                <w:b w:val="0"/>
                <w:i w:val="0"/>
                <w:color w:val="212121"/>
                <w:sz w:val="19"/>
              </w:rPr>
              <w:t>Excess sweating, infrequent bathing and sharing of razors and towels spread S. aureus, while bathing in inadequately chlorinated hot tubs, whirlpools and pools introduces Pseudomonas aeruginosa ('hot-tub' folliculitis).</w:t>
            </w:r>
          </w:p>
          <w:p>
            <w:pPr>
              <w:spacing w:after="40" w:before="60" w:line="259" w:lineRule="auto"/>
            </w:pPr>
            <w:r>
              <w:rPr>
                <w:rFonts w:ascii="Calibri" w:hAnsi="Calibri"/>
                <w:b w:val="0"/>
                <w:i w:val="0"/>
                <w:color w:val="212121"/>
                <w:sz w:val="19"/>
              </w:rPr>
              <w:t>Pseudomonas aeruginosa causes 'hot-tub'/spa-pool folliculitis after exposure to poorly-maintained warm water.</w:t>
            </w:r>
          </w:p>
          <w:p>
            <w:pPr>
              <w:spacing w:after="40" w:line="252" w:lineRule="auto"/>
            </w:pPr>
            <w:hyperlink r:id="rId11">
              <w:r>
                <w:rPr>
                  <w:rFonts w:ascii="Calibri" w:hAnsi="Calibri" w:cs="Calibri"/>
                  <w:sz w:val="18"/>
                  <w:color w:val="1155CC"/>
                  <w:u w:val="single"/>
                </w:rPr>
                <w:t xml:space="preserve">ncbi.nlm.nih.gov - StatPearls Folliculitis</w:t>
              </w:r>
            </w:hyperlink>
          </w:p>
          <w:p>
            <w:pPr>
              <w:spacing w:before="60" w:after="40"/>
            </w:pPr>
            <w:r>
              <w:rPr>
                <w:rFonts w:ascii="Calibri" w:hAnsi="Calibri"/>
                <w:b w:val="0"/>
                <w:i w:val="0"/>
                <w:color w:val="5A5A5A"/>
                <w:sz w:val="18"/>
              </w:rPr>
              <w:t>#hottubrash  #pseudomonas  #hyperhidrosis  #sharedrazor  #hygiene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is strongly linked to follicular-occlusion disorders (hidradenitis suppurativa, dissecting cellulitis of the scalp) and impairs wound healing, aggravating deep and recurrent folliculitis.</w:t>
            </w:r>
          </w:p>
          <w:p>
            <w:pPr>
              <w:spacing w:after="40" w:before="60" w:line="259" w:lineRule="auto"/>
            </w:pPr>
            <w:r>
              <w:rPr>
                <w:rFonts w:ascii="Calibri" w:hAnsi="Calibri"/>
                <w:b w:val="0"/>
                <w:i w:val="0"/>
                <w:color w:val="212121"/>
                <w:sz w:val="19"/>
              </w:rPr>
              <w:t>Smoking is a recognised aggravator of follicular-occlusion disease and delayed healing.</w:t>
            </w:r>
          </w:p>
          <w:p>
            <w:pPr>
              <w:spacing w:before="60" w:after="40"/>
            </w:pPr>
            <w:r>
              <w:rPr>
                <w:rFonts w:ascii="Calibri" w:hAnsi="Calibri"/>
                <w:b w:val="0"/>
                <w:i w:val="0"/>
                <w:color w:val="5A5A5A"/>
                <w:sz w:val="18"/>
              </w:rPr>
              <w:t>#smoking  #follicularocclusion  #HS  #healing  #lifestyle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 / metabolic</w:t>
            </w:r>
          </w:p>
        </w:tc>
        <w:tc>
          <w:tcPr>
            <w:tcW w:type="dxa" w:w="2160"/>
            <w:vAlign w:val="top"/>
          </w:tcPr>
          <w:p>
            <w:pPr>
              <w:spacing w:after="40" w:before="0" w:line="259" w:lineRule="auto"/>
            </w:pPr>
            <w:r>
              <w:rPr>
                <w:rFonts w:ascii="Calibri" w:hAnsi="Calibri"/>
                <w:b w:val="0"/>
                <w:i w:val="0"/>
                <w:color w:val="212121"/>
                <w:sz w:val="19"/>
              </w:rPr>
              <w:t>High-glycaemic, oily diet &amp; overweight individuals</w:t>
            </w:r>
          </w:p>
        </w:tc>
        <w:tc>
          <w:tcPr>
            <w:tcW w:type="dxa" w:w="4276"/>
            <w:vAlign w:val="top"/>
          </w:tcPr>
          <w:p>
            <w:pPr>
              <w:spacing w:after="60" w:line="259" w:lineRule="auto"/>
            </w:pPr>
            <w:r>
              <w:rPr>
                <w:rFonts w:ascii="Calibri" w:hAnsi="Calibri"/>
                <w:b w:val="0"/>
                <w:i w:val="0"/>
                <w:color w:val="212121"/>
                <w:sz w:val="19"/>
              </w:rPr>
              <w:t>Energy-dense, high-glycaemic and oily diets promote sebum production, insulin resistance and weight gain, indirectly worsening sebaceous (Malassezia and acneiform) folliculitis; obesity itself adds skin folds, sweating and occlusion.</w:t>
            </w:r>
          </w:p>
          <w:p>
            <w:pPr>
              <w:spacing w:after="40" w:before="60" w:line="259" w:lineRule="auto"/>
            </w:pPr>
            <w:r>
              <w:rPr>
                <w:rFonts w:ascii="Calibri" w:hAnsi="Calibri"/>
                <w:b w:val="0"/>
                <w:i w:val="0"/>
                <w:color w:val="212121"/>
                <w:sz w:val="19"/>
              </w:rPr>
              <w:t>Obesity is listed among the principal risk factors for folliculitis.</w:t>
            </w:r>
          </w:p>
          <w:p>
            <w:pPr>
              <w:spacing w:after="40" w:line="252" w:lineRule="auto"/>
            </w:pPr>
            <w:hyperlink r:id="rId11">
              <w:r>
                <w:rPr>
                  <w:rFonts w:ascii="Calibri" w:hAnsi="Calibri" w:cs="Calibri"/>
                  <w:sz w:val="18"/>
                  <w:color w:val="1155CC"/>
                  <w:u w:val="single"/>
                </w:rPr>
                <w:t xml:space="preserve">ncbi.nlm.nih.gov - StatPearls Folliculitis</w:t>
              </w:r>
            </w:hyperlink>
          </w:p>
          <w:p>
            <w:pPr>
              <w:spacing w:before="60" w:after="40"/>
            </w:pPr>
            <w:r>
              <w:rPr>
                <w:rFonts w:ascii="Calibri" w:hAnsi="Calibri"/>
                <w:b w:val="0"/>
                <w:i w:val="0"/>
                <w:color w:val="5A5A5A"/>
                <w:sz w:val="18"/>
              </w:rPr>
              <w:t>#diet  #glycaemicload  #sebum  #obesity  #insulinresistance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Inherited hair-shaft / follicular traits</w:t>
            </w:r>
          </w:p>
        </w:tc>
        <w:tc>
          <w:tcPr>
            <w:tcW w:type="dxa" w:w="2160"/>
            <w:vAlign w:val="top"/>
          </w:tcPr>
          <w:p>
            <w:pPr>
              <w:spacing w:after="40" w:before="0" w:line="259" w:lineRule="auto"/>
            </w:pPr>
            <w:r>
              <w:rPr>
                <w:rFonts w:ascii="Calibri" w:hAnsi="Calibri"/>
                <w:b w:val="0"/>
                <w:i w:val="0"/>
                <w:color w:val="212121"/>
                <w:sz w:val="19"/>
              </w:rPr>
              <w:t>Familial curly hair, keloid-prone, follicular-occlusion tendency</w:t>
            </w:r>
          </w:p>
        </w:tc>
        <w:tc>
          <w:tcPr>
            <w:tcW w:type="dxa" w:w="4276"/>
            <w:vAlign w:val="top"/>
          </w:tcPr>
          <w:p>
            <w:pPr>
              <w:spacing w:after="60" w:line="259" w:lineRule="auto"/>
            </w:pPr>
            <w:r>
              <w:rPr>
                <w:rFonts w:ascii="Calibri" w:hAnsi="Calibri"/>
                <w:b w:val="0"/>
                <w:i w:val="0"/>
                <w:color w:val="212121"/>
                <w:sz w:val="19"/>
              </w:rPr>
              <w:t>Inherited coarse, tightly-curled hair predisposes to pseudofolliculitis; a keloidal tendency underlies acne keloidalis nuchae; and a familial follicular-occlusion tendency underlies folliculitis decalvans and dissecting cellulitis.</w:t>
            </w:r>
          </w:p>
          <w:p>
            <w:pPr>
              <w:spacing w:after="40" w:before="60" w:line="259" w:lineRule="auto"/>
            </w:pPr>
            <w:r>
              <w:rPr>
                <w:rFonts w:ascii="Calibri" w:hAnsi="Calibri"/>
                <w:b w:val="0"/>
                <w:i w:val="0"/>
                <w:color w:val="212121"/>
                <w:sz w:val="19"/>
              </w:rPr>
              <w:t>Pseudofolliculitis barbae is strongly determined by inherited tightly-curled hair shape.</w:t>
            </w:r>
          </w:p>
          <w:p>
            <w:pPr>
              <w:spacing w:after="40" w:line="252" w:lineRule="auto"/>
            </w:pPr>
            <w:hyperlink r:id="rId13">
              <w:r>
                <w:rPr>
                  <w:rFonts w:ascii="Calibri" w:hAnsi="Calibri" w:cs="Calibri"/>
                  <w:sz w:val="18"/>
                  <w:color w:val="1155CC"/>
                  <w:u w:val="single"/>
                </w:rPr>
                <w:t xml:space="preserve">dermnetnz.org - pseudofolliculitis barbae</w:t>
              </w:r>
            </w:hyperlink>
          </w:p>
          <w:p>
            <w:pPr>
              <w:spacing w:before="60" w:after="40"/>
            </w:pPr>
            <w:r>
              <w:rPr>
                <w:rFonts w:ascii="Calibri" w:hAnsi="Calibri"/>
                <w:b w:val="0"/>
                <w:i w:val="0"/>
                <w:color w:val="5A5A5A"/>
                <w:sz w:val="18"/>
              </w:rPr>
              <w:t>#genetics  #curlyhair  #keloid  #AKN  #follicularocclusion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Hyperglycaemia impairs neutrophil chemotaxis and phagocytosis and promotes S. aureus colonisation, causing recurrent staphylococcal folliculitis, furunculosis and slow healing.</w:t>
            </w:r>
          </w:p>
          <w:p>
            <w:pPr>
              <w:spacing w:after="40" w:before="60" w:line="259" w:lineRule="auto"/>
            </w:pPr>
            <w:r>
              <w:rPr>
                <w:rFonts w:ascii="Calibri" w:hAnsi="Calibri"/>
                <w:b w:val="0"/>
                <w:i w:val="0"/>
                <w:color w:val="212121"/>
                <w:sz w:val="19"/>
              </w:rPr>
              <w:t>A history of diabetes is one of the main risk factors identified for folliculitis.</w:t>
            </w:r>
          </w:p>
          <w:p>
            <w:pPr>
              <w:spacing w:after="40" w:line="252" w:lineRule="auto"/>
            </w:pPr>
            <w:hyperlink r:id="rId11">
              <w:r>
                <w:rPr>
                  <w:rFonts w:ascii="Calibri" w:hAnsi="Calibri" w:cs="Calibri"/>
                  <w:sz w:val="18"/>
                  <w:color w:val="1155CC"/>
                  <w:u w:val="single"/>
                </w:rPr>
                <w:t xml:space="preserve">ncbi.nlm.nih.gov - StatPearls Folliculitis</w:t>
              </w:r>
            </w:hyperlink>
          </w:p>
          <w:p>
            <w:pPr>
              <w:spacing w:before="60" w:after="40"/>
            </w:pPr>
            <w:r>
              <w:rPr>
                <w:rFonts w:ascii="Calibri" w:hAnsi="Calibri"/>
                <w:b w:val="0"/>
                <w:i w:val="0"/>
                <w:color w:val="5A5A5A"/>
                <w:sz w:val="18"/>
              </w:rPr>
              <w:t>#diabetes  #hyperglycaemia  #recurrentfolliculitis  #furunculosis  #immunity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Obese individuals</w:t>
            </w:r>
          </w:p>
        </w:tc>
        <w:tc>
          <w:tcPr>
            <w:tcW w:type="dxa" w:w="4276"/>
            <w:vAlign w:val="top"/>
          </w:tcPr>
          <w:p>
            <w:pPr>
              <w:spacing w:after="60" w:line="259" w:lineRule="auto"/>
            </w:pPr>
            <w:r>
              <w:rPr>
                <w:rFonts w:ascii="Calibri" w:hAnsi="Calibri"/>
                <w:b w:val="0"/>
                <w:i w:val="0"/>
                <w:color w:val="212121"/>
                <w:sz w:val="19"/>
              </w:rPr>
              <w:t>Skin folds, increased sweating, friction and occlusion in obesity create a warm, moist microenvironment that favours bacterial and yeast folliculitis and intertriginous infection.</w:t>
            </w:r>
          </w:p>
          <w:p>
            <w:pPr>
              <w:spacing w:after="40" w:before="60" w:line="259" w:lineRule="auto"/>
            </w:pPr>
            <w:r>
              <w:rPr>
                <w:rFonts w:ascii="Calibri" w:hAnsi="Calibri"/>
                <w:b w:val="0"/>
                <w:i w:val="0"/>
                <w:color w:val="212121"/>
                <w:sz w:val="19"/>
              </w:rPr>
              <w:t>Obesity is listed among the risk factors for folliculitis by StatPearls.</w:t>
            </w:r>
          </w:p>
          <w:p>
            <w:pPr>
              <w:spacing w:after="40" w:line="252" w:lineRule="auto"/>
            </w:pPr>
            <w:hyperlink r:id="rId11">
              <w:r>
                <w:rPr>
                  <w:rFonts w:ascii="Calibri" w:hAnsi="Calibri" w:cs="Calibri"/>
                  <w:sz w:val="18"/>
                  <w:color w:val="1155CC"/>
                  <w:u w:val="single"/>
                </w:rPr>
                <w:t xml:space="preserve">ncbi.nlm.nih.gov - StatPearls Folliculitis</w:t>
              </w:r>
            </w:hyperlink>
          </w:p>
          <w:p>
            <w:pPr>
              <w:spacing w:before="60" w:after="40"/>
            </w:pPr>
            <w:r>
              <w:rPr>
                <w:rFonts w:ascii="Calibri" w:hAnsi="Calibri"/>
                <w:b w:val="0"/>
                <w:i w:val="0"/>
                <w:color w:val="5A5A5A"/>
                <w:sz w:val="18"/>
              </w:rPr>
              <w:t>#obesity  #intertrigo  #occlusion  #sweat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Immunocompromised (HIV, transplant, chemotherapy, chronic steroids)</w:t>
            </w:r>
          </w:p>
        </w:tc>
        <w:tc>
          <w:tcPr>
            <w:tcW w:type="dxa" w:w="4276"/>
            <w:vAlign w:val="top"/>
          </w:tcPr>
          <w:p>
            <w:pPr>
              <w:spacing w:after="60" w:line="259" w:lineRule="auto"/>
            </w:pPr>
            <w:r>
              <w:rPr>
                <w:rFonts w:ascii="Calibri" w:hAnsi="Calibri"/>
                <w:b w:val="0"/>
                <w:i w:val="0"/>
                <w:color w:val="212121"/>
                <w:sz w:val="19"/>
              </w:rPr>
              <w:t>Impaired cell-mediated immunity predisposes to refractory bacterial, fungal and Demodex folliculitis and to HIV-associated eosinophilic folliculitis, particularly with low CD4 counts.</w:t>
            </w:r>
          </w:p>
          <w:p>
            <w:pPr>
              <w:spacing w:after="40" w:before="60" w:line="259" w:lineRule="auto"/>
            </w:pPr>
            <w:r>
              <w:rPr>
                <w:rFonts w:ascii="Calibri" w:hAnsi="Calibri"/>
                <w:b w:val="0"/>
                <w:i w:val="0"/>
                <w:color w:val="212121"/>
                <w:sz w:val="19"/>
              </w:rPr>
              <w:t>Immunosuppressed and immunocompromised patients are specifically identified as at risk of folliculitis.</w:t>
            </w:r>
          </w:p>
          <w:p>
            <w:pPr>
              <w:spacing w:after="40" w:line="252" w:lineRule="auto"/>
            </w:pPr>
            <w:hyperlink r:id="rId11">
              <w:r>
                <w:rPr>
                  <w:rFonts w:ascii="Calibri" w:hAnsi="Calibri" w:cs="Calibri"/>
                  <w:sz w:val="18"/>
                  <w:color w:val="1155CC"/>
                  <w:u w:val="single"/>
                </w:rPr>
                <w:t xml:space="preserve">ncbi.nlm.nih.gov - StatPearls Folliculitis</w:t>
              </w:r>
            </w:hyperlink>
          </w:p>
          <w:p>
            <w:pPr>
              <w:spacing w:before="60" w:after="40"/>
            </w:pPr>
            <w:r>
              <w:rPr>
                <w:rFonts w:ascii="Calibri" w:hAnsi="Calibri"/>
                <w:b w:val="0"/>
                <w:i w:val="0"/>
                <w:color w:val="5A5A5A"/>
                <w:sz w:val="18"/>
              </w:rPr>
              <w:t>#HIV  #immunosuppression  #eosinophilic  #demodex  #lowCD4</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Acne on long-term antibiotics</w:t>
            </w:r>
          </w:p>
        </w:tc>
        <w:tc>
          <w:tcPr>
            <w:tcW w:type="dxa" w:w="2160"/>
            <w:vAlign w:val="top"/>
          </w:tcPr>
          <w:p>
            <w:pPr>
              <w:spacing w:after="40" w:before="0" w:line="259" w:lineRule="auto"/>
            </w:pPr>
            <w:r>
              <w:rPr>
                <w:rFonts w:ascii="Calibri" w:hAnsi="Calibri"/>
                <w:b w:val="0"/>
                <w:i w:val="0"/>
                <w:color w:val="212121"/>
                <w:sz w:val="19"/>
              </w:rPr>
              <w:t>Patients on prolonged antibiotic therapy for acne</w:t>
            </w:r>
          </w:p>
        </w:tc>
        <w:tc>
          <w:tcPr>
            <w:tcW w:type="dxa" w:w="4276"/>
            <w:vAlign w:val="top"/>
          </w:tcPr>
          <w:p>
            <w:pPr>
              <w:spacing w:after="60" w:line="259" w:lineRule="auto"/>
            </w:pPr>
            <w:r>
              <w:rPr>
                <w:rFonts w:ascii="Calibri" w:hAnsi="Calibri"/>
                <w:b w:val="0"/>
                <w:i w:val="0"/>
                <w:color w:val="212121"/>
                <w:sz w:val="19"/>
              </w:rPr>
              <w:t>Long-term oral or topical antibiotics for acne alter the follicular flora and select for gram-negative organisms, producing gram-negative folliculitis that mimics acne flare.</w:t>
            </w:r>
          </w:p>
          <w:p>
            <w:pPr>
              <w:spacing w:after="40" w:before="60" w:line="259" w:lineRule="auto"/>
            </w:pPr>
            <w:r>
              <w:rPr>
                <w:rFonts w:ascii="Calibri" w:hAnsi="Calibri"/>
                <w:b w:val="0"/>
                <w:i w:val="0"/>
                <w:color w:val="212121"/>
                <w:sz w:val="19"/>
              </w:rPr>
              <w:t>Gram-negative folliculitis is a recognised complication of prolonged antibiotic treatment for acne, involving E. coli, Klebsiella, Serratia, Proteus and Pseudomonas.</w:t>
            </w:r>
          </w:p>
          <w:p>
            <w:pPr>
              <w:spacing w:after="40" w:line="252" w:lineRule="auto"/>
            </w:pPr>
            <w:hyperlink r:id="rId15">
              <w:r>
                <w:rPr>
                  <w:rFonts w:ascii="Calibri" w:hAnsi="Calibri" w:cs="Calibri"/>
                  <w:sz w:val="18"/>
                  <w:color w:val="1155CC"/>
                  <w:u w:val="single"/>
                </w:rPr>
                <w:t xml:space="preserve">dermnetnz.org - gram-negative folliculitis</w:t>
              </w:r>
            </w:hyperlink>
          </w:p>
          <w:p>
            <w:pPr>
              <w:spacing w:before="60" w:after="40"/>
            </w:pPr>
            <w:r>
              <w:rPr>
                <w:rFonts w:ascii="Calibri" w:hAnsi="Calibri"/>
                <w:b w:val="0"/>
                <w:i w:val="0"/>
                <w:color w:val="5A5A5A"/>
                <w:sz w:val="18"/>
              </w:rPr>
              <w:t>#gramnegative  #acne  #antibiotics  #dysbiosis  #pustules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Sweating, friction and occlusive sportswear during exercise, plus shared gym equipment and communal showers, promote bacterial and Pseudomonas folliculitis; conversely, activity that reduces obesity lowers occlusion-related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dietary cause is established; high-glycaemic and oily diets and consequent obesity may indirectly aggravate sebaceous (Malassezia and acneiform) folliculitis.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insufficient sleep impairs immune function and glycaemic control, which can indirectly favour recurrent folliculitis, but direct evidence is weak.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strongly associated with follicular-occlusion disorders (hidradenitis suppurativa, dissecting cellulitis) and impairs wound healing, worsening deep and recurrent folliculitis.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and associated immune impairment, poor nutrition and neglected hygiene may predispose to skin infection, but a direct causal link to folliculitis is weak.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Stress and anxiety impair immunity and drive scratching and skin-picking (excoriation), which can inoculate and inflame follicles; the chronic, visible rash also causes distress.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Bathing in inadequately chlorinated hot tubs, whirlpools and pools causes Pseudomonas 'hot-tub' folliculitis, whereas regular washing with clean water reduces bacterial folliculitis.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folliculitis.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is central: sharing razors and towels, infrequent bathing, sweat and occlusion spread S. aureus and provoke folliculitis, while good skin hygiene, clean shaving and laundering of clothing and linen reduce it.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Shaving, waxing, threading and plucking, occlusion (oils, tight clothing, dressings), hot-tub and pool exposure, topical corticosteroids and long-term antibiotics directly provoke folliculitis.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Prolonged sitting and sustained pressure or occlusion over the buttocks and thighs (e.g., professional drivers) can precipitate friction and occlusive folliculitis in those areas.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Sharing of razors, towels or clothing</w:t>
            </w:r>
          </w:p>
        </w:tc>
        <w:tc>
          <w:tcPr>
            <w:tcW w:type="dxa" w:w="1655"/>
            <w:vAlign w:val="top"/>
          </w:tcPr>
          <w:p>
            <w:pPr>
              <w:spacing w:after="40" w:before="0" w:line="259" w:lineRule="auto"/>
            </w:pPr>
            <w:r>
              <w:rPr>
                <w:rFonts w:ascii="Calibri" w:hAnsi="Calibri"/>
                <w:b w:val="0"/>
                <w:i w:val="0"/>
                <w:color w:val="212121"/>
                <w:sz w:val="19"/>
              </w:rPr>
              <w:t>All, especially households &amp; hostels</w:t>
            </w:r>
          </w:p>
        </w:tc>
        <w:tc>
          <w:tcPr>
            <w:tcW w:type="dxa" w:w="1512"/>
            <w:vAlign w:val="top"/>
          </w:tcPr>
          <w:p>
            <w:pPr>
              <w:spacing w:after="40" w:before="0" w:line="259" w:lineRule="auto"/>
            </w:pPr>
            <w:r>
              <w:rPr>
                <w:rFonts w:ascii="Calibri" w:hAnsi="Calibri"/>
                <w:b w:val="0"/>
                <w:i w:val="0"/>
                <w:color w:val="212121"/>
                <w:sz w:val="19"/>
              </w:rPr>
              <w:t>Personal, non-shared razors, towels and linen</w:t>
            </w:r>
          </w:p>
        </w:tc>
        <w:tc>
          <w:tcPr>
            <w:tcW w:type="dxa" w:w="1512"/>
            <w:vAlign w:val="top"/>
          </w:tcPr>
          <w:p>
            <w:pPr>
              <w:spacing w:after="40" w:before="0" w:line="259" w:lineRule="auto"/>
            </w:pPr>
            <w:r>
              <w:rPr>
                <w:rFonts w:ascii="Calibri" w:hAnsi="Calibri"/>
                <w:b w:val="0"/>
                <w:i w:val="0"/>
                <w:color w:val="212121"/>
                <w:sz w:val="19"/>
              </w:rPr>
              <w:t>Sharing razors/towels; reusing unwashed items</w:t>
            </w:r>
          </w:p>
        </w:tc>
        <w:tc>
          <w:tcPr>
            <w:tcW w:type="dxa" w:w="1468"/>
            <w:vAlign w:val="top"/>
          </w:tcPr>
          <w:p>
            <w:pPr>
              <w:spacing w:after="60" w:line="259" w:lineRule="auto"/>
            </w:pPr>
            <w:r>
              <w:rPr>
                <w:rFonts w:ascii="Calibri" w:hAnsi="Calibri"/>
                <w:b w:val="0"/>
                <w:i w:val="0"/>
                <w:color w:val="212121"/>
                <w:sz w:val="19"/>
              </w:rPr>
              <w:t>Sharing spreads S. aureus and drives recurrent folliculitis</w:t>
            </w:r>
          </w:p>
          <w:p>
            <w:pPr>
              <w:spacing w:after="40" w:line="252" w:lineRule="auto"/>
            </w:pPr>
            <w:hyperlink r:id="rId14">
              <w:r>
                <w:rPr>
                  <w:rFonts w:ascii="Calibri" w:hAnsi="Calibri" w:cs="Calibri"/>
                  <w:sz w:val="18"/>
                  <w:color w:val="1155CC"/>
                  <w:u w:val="single"/>
                </w:rPr>
                <w:t xml:space="preserve">https://dermnetnz.org/topics/bacterial-folliculitis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Bathing frequency in hot/humid weather</w:t>
            </w:r>
          </w:p>
        </w:tc>
        <w:tc>
          <w:tcPr>
            <w:tcW w:type="dxa" w:w="1655"/>
            <w:vAlign w:val="top"/>
          </w:tcPr>
          <w:p>
            <w:pPr>
              <w:spacing w:after="40" w:before="0" w:line="259" w:lineRule="auto"/>
            </w:pPr>
            <w:r>
              <w:rPr>
                <w:rFonts w:ascii="Calibri" w:hAnsi="Calibri"/>
                <w:b w:val="0"/>
                <w:i w:val="0"/>
                <w:color w:val="212121"/>
                <w:sz w:val="19"/>
              </w:rPr>
              <w:t>Adults, labourers, athletes</w:t>
            </w:r>
          </w:p>
        </w:tc>
        <w:tc>
          <w:tcPr>
            <w:tcW w:type="dxa" w:w="1512"/>
            <w:vAlign w:val="top"/>
          </w:tcPr>
          <w:p>
            <w:pPr>
              <w:spacing w:after="40" w:before="0" w:line="259" w:lineRule="auto"/>
            </w:pPr>
            <w:r>
              <w:rPr>
                <w:rFonts w:ascii="Calibri" w:hAnsi="Calibri"/>
                <w:b w:val="0"/>
                <w:i w:val="0"/>
                <w:color w:val="212121"/>
                <w:sz w:val="19"/>
              </w:rPr>
              <w:t>Daily bathing; prompt washing and drying after sweating</w:t>
            </w:r>
          </w:p>
        </w:tc>
        <w:tc>
          <w:tcPr>
            <w:tcW w:type="dxa" w:w="1512"/>
            <w:vAlign w:val="top"/>
          </w:tcPr>
          <w:p>
            <w:pPr>
              <w:spacing w:after="40" w:before="0" w:line="259" w:lineRule="auto"/>
            </w:pPr>
            <w:r>
              <w:rPr>
                <w:rFonts w:ascii="Calibri" w:hAnsi="Calibri"/>
                <w:b w:val="0"/>
                <w:i w:val="0"/>
                <w:color w:val="212121"/>
                <w:sz w:val="19"/>
              </w:rPr>
              <w:t>Infrequent bathing; staying in sweaty clothes</w:t>
            </w:r>
          </w:p>
        </w:tc>
        <w:tc>
          <w:tcPr>
            <w:tcW w:type="dxa" w:w="1468"/>
            <w:vAlign w:val="top"/>
          </w:tcPr>
          <w:p>
            <w:pPr>
              <w:spacing w:after="40" w:before="0" w:line="259" w:lineRule="auto"/>
            </w:pPr>
            <w:r>
              <w:rPr>
                <w:rFonts w:ascii="Calibri" w:hAnsi="Calibri"/>
                <w:b w:val="0"/>
                <w:i w:val="0"/>
                <w:color w:val="212121"/>
                <w:sz w:val="19"/>
              </w:rPr>
              <w:t>Sweat and occlusion macerate follicles and favour infection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Shaving method &amp; frequency</w:t>
            </w:r>
          </w:p>
        </w:tc>
        <w:tc>
          <w:tcPr>
            <w:tcW w:type="dxa" w:w="1655"/>
            <w:vAlign w:val="top"/>
          </w:tcPr>
          <w:p>
            <w:pPr>
              <w:spacing w:after="40" w:before="0" w:line="259" w:lineRule="auto"/>
            </w:pPr>
            <w:r>
              <w:rPr>
                <w:rFonts w:ascii="Calibri" w:hAnsi="Calibri"/>
                <w:b w:val="0"/>
                <w:i w:val="0"/>
                <w:color w:val="212121"/>
                <w:sz w:val="19"/>
              </w:rPr>
              <w:t>Men (beard), women (legs/axillae)</w:t>
            </w:r>
          </w:p>
        </w:tc>
        <w:tc>
          <w:tcPr>
            <w:tcW w:type="dxa" w:w="1512"/>
            <w:vAlign w:val="top"/>
          </w:tcPr>
          <w:p>
            <w:pPr>
              <w:spacing w:after="40" w:before="0" w:line="259" w:lineRule="auto"/>
            </w:pPr>
            <w:r>
              <w:rPr>
                <w:rFonts w:ascii="Calibri" w:hAnsi="Calibri"/>
                <w:b w:val="0"/>
                <w:i w:val="0"/>
                <w:color w:val="212121"/>
                <w:sz w:val="19"/>
              </w:rPr>
              <w:t>Sharp/single-use blade or electric shaver; shave with the grain; not too close</w:t>
            </w:r>
          </w:p>
        </w:tc>
        <w:tc>
          <w:tcPr>
            <w:tcW w:type="dxa" w:w="1512"/>
            <w:vAlign w:val="top"/>
          </w:tcPr>
          <w:p>
            <w:pPr>
              <w:spacing w:after="40" w:before="0" w:line="259" w:lineRule="auto"/>
            </w:pPr>
            <w:r>
              <w:rPr>
                <w:rFonts w:ascii="Calibri" w:hAnsi="Calibri"/>
                <w:b w:val="0"/>
                <w:i w:val="0"/>
                <w:color w:val="212121"/>
                <w:sz w:val="19"/>
              </w:rPr>
              <w:t>Close, daily, against-grain shaving with a blunt/shared razor</w:t>
            </w:r>
          </w:p>
        </w:tc>
        <w:tc>
          <w:tcPr>
            <w:tcW w:type="dxa" w:w="1468"/>
            <w:vAlign w:val="top"/>
          </w:tcPr>
          <w:p>
            <w:pPr>
              <w:spacing w:after="60" w:line="259" w:lineRule="auto"/>
            </w:pPr>
            <w:r>
              <w:rPr>
                <w:rFonts w:ascii="Calibri" w:hAnsi="Calibri"/>
                <w:b w:val="0"/>
                <w:i w:val="0"/>
                <w:color w:val="212121"/>
                <w:sz w:val="19"/>
              </w:rPr>
              <w:t>Reduces ingrown hairs and pseudofolliculitis</w:t>
            </w:r>
          </w:p>
          <w:p>
            <w:pPr>
              <w:spacing w:after="40" w:line="252" w:lineRule="auto"/>
            </w:pPr>
            <w:hyperlink r:id="rId13">
              <w:r>
                <w:rPr>
                  <w:rFonts w:ascii="Calibri" w:hAnsi="Calibri" w:cs="Calibri"/>
                  <w:sz w:val="18"/>
                  <w:color w:val="1155CC"/>
                  <w:u w:val="single"/>
                </w:rPr>
                <w:t xml:space="preserve">https://dermnetnz.org/topics/pseudofolliculitis-barbae</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Hot-tub / pool exposure &amp; chlorination</w:t>
            </w:r>
          </w:p>
        </w:tc>
        <w:tc>
          <w:tcPr>
            <w:tcW w:type="dxa" w:w="1655"/>
            <w:vAlign w:val="top"/>
          </w:tcPr>
          <w:p>
            <w:pPr>
              <w:spacing w:after="40" w:before="0" w:line="259" w:lineRule="auto"/>
            </w:pPr>
            <w:r>
              <w:rPr>
                <w:rFonts w:ascii="Calibri" w:hAnsi="Calibri"/>
                <w:b w:val="0"/>
                <w:i w:val="0"/>
                <w:color w:val="212121"/>
                <w:sz w:val="19"/>
              </w:rPr>
              <w:t>Swimmers, spa/hot-tub users</w:t>
            </w:r>
          </w:p>
        </w:tc>
        <w:tc>
          <w:tcPr>
            <w:tcW w:type="dxa" w:w="1512"/>
            <w:vAlign w:val="top"/>
          </w:tcPr>
          <w:p>
            <w:pPr>
              <w:spacing w:after="40" w:before="0" w:line="259" w:lineRule="auto"/>
            </w:pPr>
            <w:r>
              <w:rPr>
                <w:rFonts w:ascii="Calibri" w:hAnsi="Calibri"/>
                <w:b w:val="0"/>
                <w:i w:val="0"/>
                <w:color w:val="212121"/>
                <w:sz w:val="19"/>
              </w:rPr>
              <w:t>Properly chlorinated/maintained water; shower after use</w:t>
            </w:r>
          </w:p>
        </w:tc>
        <w:tc>
          <w:tcPr>
            <w:tcW w:type="dxa" w:w="1512"/>
            <w:vAlign w:val="top"/>
          </w:tcPr>
          <w:p>
            <w:pPr>
              <w:spacing w:after="40" w:before="0" w:line="259" w:lineRule="auto"/>
            </w:pPr>
            <w:r>
              <w:rPr>
                <w:rFonts w:ascii="Calibri" w:hAnsi="Calibri"/>
                <w:b w:val="0"/>
                <w:i w:val="0"/>
                <w:color w:val="212121"/>
                <w:sz w:val="19"/>
              </w:rPr>
              <w:t>Bathing in poorly maintained/under-chlorinated hot tubs</w:t>
            </w:r>
          </w:p>
        </w:tc>
        <w:tc>
          <w:tcPr>
            <w:tcW w:type="dxa" w:w="1468"/>
            <w:vAlign w:val="top"/>
          </w:tcPr>
          <w:p>
            <w:pPr>
              <w:spacing w:after="60" w:line="259" w:lineRule="auto"/>
            </w:pPr>
            <w:r>
              <w:rPr>
                <w:rFonts w:ascii="Calibri" w:hAnsi="Calibri"/>
                <w:b w:val="0"/>
                <w:i w:val="0"/>
                <w:color w:val="212121"/>
                <w:sz w:val="19"/>
              </w:rPr>
              <w:t>Prevents Pseudomonas 'hot-tub' folliculitis</w:t>
            </w:r>
          </w:p>
          <w:p>
            <w:pPr>
              <w:spacing w:after="40" w:line="252" w:lineRule="auto"/>
            </w:pPr>
            <w:hyperlink r:id="rId11">
              <w:r>
                <w:rPr>
                  <w:rFonts w:ascii="Calibri" w:hAnsi="Calibri" w:cs="Calibri"/>
                  <w:sz w:val="18"/>
                  <w:color w:val="1155CC"/>
                  <w:u w:val="single"/>
                </w:rPr>
                <w:t xml:space="preserve">https://www.ncbi.nlm.nih.gov/books/NBK547754/</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overweight/obese</w:t>
            </w:r>
          </w:p>
        </w:tc>
        <w:tc>
          <w:tcPr>
            <w:tcW w:type="dxa" w:w="1512"/>
            <w:vAlign w:val="top"/>
          </w:tcPr>
          <w:p>
            <w:pPr>
              <w:spacing w:after="40" w:before="0" w:line="259" w:lineRule="auto"/>
            </w:pPr>
            <w:r>
              <w:rPr>
                <w:rFonts w:ascii="Calibri" w:hAnsi="Calibri"/>
                <w:b w:val="0"/>
                <w:i w:val="0"/>
                <w:color w:val="212121"/>
                <w:sz w:val="19"/>
              </w:rPr>
              <w:t>18.5-22.9 kg/m2 (Asian-Indian cut-off)</w:t>
            </w:r>
          </w:p>
        </w:tc>
        <w:tc>
          <w:tcPr>
            <w:tcW w:type="dxa" w:w="1512"/>
            <w:vAlign w:val="top"/>
          </w:tcPr>
          <w:p>
            <w:pPr>
              <w:spacing w:after="40" w:before="0" w:line="259" w:lineRule="auto"/>
            </w:pPr>
            <w:r>
              <w:rPr>
                <w:rFonts w:ascii="Calibri" w:hAnsi="Calibri"/>
                <w:b w:val="0"/>
                <w:i w:val="0"/>
                <w:color w:val="212121"/>
                <w:sz w:val="19"/>
              </w:rPr>
              <w:t>&gt;=23 overweight; &gt;=25 obese (Asian-Indian)</w:t>
            </w:r>
          </w:p>
        </w:tc>
        <w:tc>
          <w:tcPr>
            <w:tcW w:type="dxa" w:w="1468"/>
            <w:vAlign w:val="top"/>
          </w:tcPr>
          <w:p>
            <w:pPr>
              <w:spacing w:after="60" w:line="259" w:lineRule="auto"/>
            </w:pPr>
            <w:r>
              <w:rPr>
                <w:rFonts w:ascii="Calibri" w:hAnsi="Calibri"/>
                <w:b w:val="0"/>
                <w:i w:val="0"/>
                <w:color w:val="212121"/>
                <w:sz w:val="19"/>
              </w:rPr>
              <w:t>Obesity adds skin folds, sweat and occlusion favouring folliculitis</w:t>
            </w:r>
          </w:p>
          <w:p>
            <w:pPr>
              <w:spacing w:after="40" w:line="252" w:lineRule="auto"/>
            </w:pPr>
            <w:hyperlink r:id="rId11">
              <w:r>
                <w:rPr>
                  <w:rFonts w:ascii="Calibri" w:hAnsi="Calibri" w:cs="Calibri"/>
                  <w:sz w:val="18"/>
                  <w:color w:val="1155CC"/>
                  <w:u w:val="single"/>
                </w:rPr>
                <w:t xml:space="preserve">https://www.ncbi.nlm.nih.gov/books/NBK547754/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in sweaty/occlusive sportswear</w:t>
            </w:r>
          </w:p>
        </w:tc>
        <w:tc>
          <w:tcPr>
            <w:tcW w:type="dxa" w:w="1655"/>
            <w:vAlign w:val="top"/>
          </w:tcPr>
          <w:p>
            <w:pPr>
              <w:spacing w:after="40" w:before="0" w:line="259" w:lineRule="auto"/>
            </w:pPr>
            <w:r>
              <w:rPr>
                <w:rFonts w:ascii="Calibri" w:hAnsi="Calibri"/>
                <w:b w:val="0"/>
                <w:i w:val="0"/>
                <w:color w:val="212121"/>
                <w:sz w:val="19"/>
              </w:rPr>
              <w:t>Athletes, gym-goers</w:t>
            </w:r>
          </w:p>
        </w:tc>
        <w:tc>
          <w:tcPr>
            <w:tcW w:type="dxa" w:w="1512"/>
            <w:vAlign w:val="top"/>
          </w:tcPr>
          <w:p>
            <w:pPr>
              <w:spacing w:after="40" w:before="0" w:line="259" w:lineRule="auto"/>
            </w:pPr>
            <w:r>
              <w:rPr>
                <w:rFonts w:ascii="Calibri" w:hAnsi="Calibri"/>
                <w:b w:val="0"/>
                <w:i w:val="0"/>
                <w:color w:val="212121"/>
                <w:sz w:val="19"/>
              </w:rPr>
              <w:t>Change and shower promptly after activity</w:t>
            </w:r>
          </w:p>
        </w:tc>
        <w:tc>
          <w:tcPr>
            <w:tcW w:type="dxa" w:w="1512"/>
            <w:vAlign w:val="top"/>
          </w:tcPr>
          <w:p>
            <w:pPr>
              <w:spacing w:after="40" w:before="0" w:line="259" w:lineRule="auto"/>
            </w:pPr>
            <w:r>
              <w:rPr>
                <w:rFonts w:ascii="Calibri" w:hAnsi="Calibri"/>
                <w:b w:val="0"/>
                <w:i w:val="0"/>
                <w:color w:val="212121"/>
                <w:sz w:val="19"/>
              </w:rPr>
              <w:t>Prolonged wet/occlusive gear; delayed showering</w:t>
            </w:r>
          </w:p>
        </w:tc>
        <w:tc>
          <w:tcPr>
            <w:tcW w:type="dxa" w:w="1468"/>
            <w:vAlign w:val="top"/>
          </w:tcPr>
          <w:p>
            <w:pPr>
              <w:spacing w:after="40" w:before="0" w:line="259" w:lineRule="auto"/>
            </w:pPr>
            <w:r>
              <w:rPr>
                <w:rFonts w:ascii="Calibri" w:hAnsi="Calibri"/>
                <w:b w:val="0"/>
                <w:i w:val="0"/>
                <w:color w:val="212121"/>
                <w:sz w:val="19"/>
              </w:rPr>
              <w:t>Reduces friction/occlusion folliculitis and Pseudomonas exposure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load / oily-food intake</w:t>
            </w:r>
          </w:p>
        </w:tc>
        <w:tc>
          <w:tcPr>
            <w:tcW w:type="dxa" w:w="1655"/>
            <w:vAlign w:val="top"/>
          </w:tcPr>
          <w:p>
            <w:pPr>
              <w:spacing w:after="40" w:before="0" w:line="259" w:lineRule="auto"/>
            </w:pPr>
            <w:r>
              <w:rPr>
                <w:rFonts w:ascii="Calibri" w:hAnsi="Calibri"/>
                <w:b w:val="0"/>
                <w:i w:val="0"/>
                <w:color w:val="212121"/>
                <w:sz w:val="19"/>
              </w:rPr>
              <w:t>Acne-prone, overweight, Malassezia-prone</w:t>
            </w:r>
          </w:p>
        </w:tc>
        <w:tc>
          <w:tcPr>
            <w:tcW w:type="dxa" w:w="1512"/>
            <w:vAlign w:val="top"/>
          </w:tcPr>
          <w:p>
            <w:pPr>
              <w:spacing w:after="40" w:before="0" w:line="259" w:lineRule="auto"/>
            </w:pPr>
            <w:r>
              <w:rPr>
                <w:rFonts w:ascii="Calibri" w:hAnsi="Calibri"/>
                <w:b w:val="0"/>
                <w:i w:val="0"/>
                <w:color w:val="212121"/>
                <w:sz w:val="19"/>
              </w:rPr>
              <w:t>Low-glycaemic, balanced diet</w:t>
            </w:r>
          </w:p>
        </w:tc>
        <w:tc>
          <w:tcPr>
            <w:tcW w:type="dxa" w:w="1512"/>
            <w:vAlign w:val="top"/>
          </w:tcPr>
          <w:p>
            <w:pPr>
              <w:spacing w:after="40" w:before="0" w:line="259" w:lineRule="auto"/>
            </w:pPr>
            <w:r>
              <w:rPr>
                <w:rFonts w:ascii="Calibri" w:hAnsi="Calibri"/>
                <w:b w:val="0"/>
                <w:i w:val="0"/>
                <w:color w:val="212121"/>
                <w:sz w:val="19"/>
              </w:rPr>
              <w:t>High sugar, refined-carb and fried-food intake</w:t>
            </w:r>
          </w:p>
        </w:tc>
        <w:tc>
          <w:tcPr>
            <w:tcW w:type="dxa" w:w="1468"/>
            <w:vAlign w:val="top"/>
          </w:tcPr>
          <w:p>
            <w:pPr>
              <w:spacing w:after="40" w:before="0" w:line="259" w:lineRule="auto"/>
            </w:pPr>
            <w:r>
              <w:rPr>
                <w:rFonts w:ascii="Calibri" w:hAnsi="Calibri"/>
                <w:b w:val="0"/>
                <w:i w:val="0"/>
                <w:color w:val="212121"/>
                <w:sz w:val="19"/>
              </w:rPr>
              <w:t>May indirectly worsen sebaceous/Malassezia folliculitis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recurrent/deep folliculitis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&gt;=1 cigarette/day</w:t>
            </w:r>
          </w:p>
        </w:tc>
        <w:tc>
          <w:tcPr>
            <w:tcW w:type="dxa" w:w="1468"/>
            <w:vAlign w:val="top"/>
          </w:tcPr>
          <w:p>
            <w:pPr>
              <w:spacing w:after="40" w:before="0" w:line="259" w:lineRule="auto"/>
            </w:pPr>
            <w:r>
              <w:rPr>
                <w:rFonts w:ascii="Calibri" w:hAnsi="Calibri"/>
                <w:b w:val="0"/>
                <w:i w:val="0"/>
                <w:color w:val="212121"/>
                <w:sz w:val="19"/>
              </w:rPr>
              <w:t>Smoking aggravates follicular-occlusion disease and delays healing</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Topical corticosteroid / oil use on skin</w:t>
            </w:r>
          </w:p>
        </w:tc>
        <w:tc>
          <w:tcPr>
            <w:tcW w:type="dxa" w:w="1655"/>
            <w:vAlign w:val="top"/>
          </w:tcPr>
          <w:p>
            <w:pPr>
              <w:spacing w:after="40" w:before="0" w:line="259" w:lineRule="auto"/>
            </w:pPr>
            <w:r>
              <w:rPr>
                <w:rFonts w:ascii="Calibri" w:hAnsi="Calibri"/>
                <w:b w:val="0"/>
                <w:i w:val="0"/>
                <w:color w:val="212121"/>
                <w:sz w:val="19"/>
              </w:rPr>
              <w:t>Self-medicating, cosmetic users</w:t>
            </w:r>
          </w:p>
        </w:tc>
        <w:tc>
          <w:tcPr>
            <w:tcW w:type="dxa" w:w="1512"/>
            <w:vAlign w:val="top"/>
          </w:tcPr>
          <w:p>
            <w:pPr>
              <w:spacing w:after="40" w:before="0" w:line="259" w:lineRule="auto"/>
            </w:pPr>
            <w:r>
              <w:rPr>
                <w:rFonts w:ascii="Calibri" w:hAnsi="Calibri"/>
                <w:b w:val="0"/>
                <w:i w:val="0"/>
                <w:color w:val="212121"/>
                <w:sz w:val="19"/>
              </w:rPr>
              <w:t>Avoid unsupervised potent steroids and heavy occlusive oils</w:t>
            </w:r>
          </w:p>
        </w:tc>
        <w:tc>
          <w:tcPr>
            <w:tcW w:type="dxa" w:w="1512"/>
            <w:vAlign w:val="top"/>
          </w:tcPr>
          <w:p>
            <w:pPr>
              <w:spacing w:after="40" w:before="0" w:line="259" w:lineRule="auto"/>
            </w:pPr>
            <w:r>
              <w:rPr>
                <w:rFonts w:ascii="Calibri" w:hAnsi="Calibri"/>
                <w:b w:val="0"/>
                <w:i w:val="0"/>
                <w:color w:val="212121"/>
                <w:sz w:val="19"/>
              </w:rPr>
              <w:t>Chronic OTC steroid creams; heavy oils/emollients on trunk</w:t>
            </w:r>
          </w:p>
        </w:tc>
        <w:tc>
          <w:tcPr>
            <w:tcW w:type="dxa" w:w="1468"/>
            <w:vAlign w:val="top"/>
          </w:tcPr>
          <w:p>
            <w:pPr>
              <w:spacing w:after="60" w:line="259" w:lineRule="auto"/>
            </w:pPr>
            <w:r>
              <w:rPr>
                <w:rFonts w:ascii="Calibri" w:hAnsi="Calibri"/>
                <w:b w:val="0"/>
                <w:i w:val="0"/>
                <w:color w:val="212121"/>
                <w:sz w:val="19"/>
              </w:rPr>
              <w:t>Steroid and occlusive folliculitis; steroid-modified infection</w:t>
            </w:r>
          </w:p>
          <w:p>
            <w:pPr>
              <w:spacing w:after="40" w:line="252" w:lineRule="auto"/>
            </w:pPr>
            <w:hyperlink r:id="rId12">
              <w:r>
                <w:rPr>
                  <w:rFonts w:ascii="Calibri" w:hAnsi="Calibri" w:cs="Calibri"/>
                  <w:sz w:val="18"/>
                  <w:color w:val="1155CC"/>
                  <w:u w:val="single"/>
                </w:rPr>
                <w:t xml:space="preserve">https://dermnetnz.org/topics/folliculitis</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Nasal / skin S. aureus carriage</w:t>
            </w:r>
          </w:p>
        </w:tc>
        <w:tc>
          <w:tcPr>
            <w:tcW w:type="dxa" w:w="1655"/>
            <w:vAlign w:val="top"/>
          </w:tcPr>
          <w:p>
            <w:pPr>
              <w:spacing w:after="40" w:before="0" w:line="259" w:lineRule="auto"/>
            </w:pPr>
            <w:r>
              <w:rPr>
                <w:rFonts w:ascii="Calibri" w:hAnsi="Calibri"/>
                <w:b w:val="0"/>
                <w:i w:val="0"/>
                <w:color w:val="212121"/>
                <w:sz w:val="19"/>
              </w:rPr>
              <w:t>Recurrent folliculitis/furunculosis</w:t>
            </w:r>
          </w:p>
        </w:tc>
        <w:tc>
          <w:tcPr>
            <w:tcW w:type="dxa" w:w="1512"/>
            <w:vAlign w:val="top"/>
          </w:tcPr>
          <w:p>
            <w:pPr>
              <w:spacing w:after="40" w:before="0" w:line="259" w:lineRule="auto"/>
            </w:pPr>
            <w:r>
              <w:rPr>
                <w:rFonts w:ascii="Calibri" w:hAnsi="Calibri"/>
                <w:b w:val="0"/>
                <w:i w:val="0"/>
                <w:color w:val="212121"/>
                <w:sz w:val="19"/>
              </w:rPr>
              <w:t>No carriage; decolonised if recurrent</w:t>
            </w:r>
          </w:p>
        </w:tc>
        <w:tc>
          <w:tcPr>
            <w:tcW w:type="dxa" w:w="1512"/>
            <w:vAlign w:val="top"/>
          </w:tcPr>
          <w:p>
            <w:pPr>
              <w:spacing w:after="40" w:before="0" w:line="259" w:lineRule="auto"/>
            </w:pPr>
            <w:r>
              <w:rPr>
                <w:rFonts w:ascii="Calibri" w:hAnsi="Calibri"/>
                <w:b w:val="0"/>
                <w:i w:val="0"/>
                <w:color w:val="212121"/>
                <w:sz w:val="19"/>
              </w:rPr>
              <w:t>Positive nasal/perineal S. aureus or MRSA carriage</w:t>
            </w:r>
          </w:p>
        </w:tc>
        <w:tc>
          <w:tcPr>
            <w:tcW w:type="dxa" w:w="1468"/>
            <w:vAlign w:val="top"/>
          </w:tcPr>
          <w:p>
            <w:pPr>
              <w:spacing w:after="60" w:line="259" w:lineRule="auto"/>
            </w:pPr>
            <w:r>
              <w:rPr>
                <w:rFonts w:ascii="Calibri" w:hAnsi="Calibri"/>
                <w:b w:val="0"/>
                <w:i w:val="0"/>
                <w:color w:val="212121"/>
                <w:sz w:val="19"/>
              </w:rPr>
              <w:t>Carriage sustains recurrent disease; guides decolonisation</w:t>
            </w:r>
          </w:p>
          <w:p>
            <w:pPr>
              <w:spacing w:after="40" w:line="252" w:lineRule="auto"/>
            </w:pPr>
            <w:hyperlink r:id="rId14">
              <w:r>
                <w:rPr>
                  <w:rFonts w:ascii="Calibri" w:hAnsi="Calibri" w:cs="Calibri"/>
                  <w:sz w:val="18"/>
                  <w:color w:val="1155CC"/>
                  <w:u w:val="single"/>
                </w:rPr>
                <w:t xml:space="preserve">https://dermnetnz.org/topics/bacterial-folliculitis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Pus Gram stain</w:t>
            </w:r>
          </w:p>
        </w:tc>
        <w:tc>
          <w:tcPr>
            <w:tcW w:type="dxa" w:w="892"/>
            <w:vAlign w:val="top"/>
          </w:tcPr>
          <w:p>
            <w:pPr>
              <w:spacing w:after="40" w:before="0" w:line="259" w:lineRule="auto"/>
            </w:pPr>
            <w:r>
              <w:rPr>
                <w:rFonts w:ascii="Calibri" w:hAnsi="Calibri"/>
                <w:b w:val="0"/>
                <w:i w:val="0"/>
                <w:color w:val="212121"/>
                <w:sz w:val="16"/>
              </w:rPr>
              <w:t>Smear from intact pustule</w:t>
            </w:r>
          </w:p>
        </w:tc>
        <w:tc>
          <w:tcPr>
            <w:tcW w:type="dxa" w:w="950"/>
            <w:vAlign w:val="top"/>
          </w:tcPr>
          <w:p>
            <w:pPr>
              <w:spacing w:after="40" w:before="0" w:line="259" w:lineRule="auto"/>
            </w:pPr>
            <w:r>
              <w:rPr>
                <w:rFonts w:ascii="Calibri" w:hAnsi="Calibri"/>
                <w:b w:val="0"/>
                <w:i w:val="0"/>
                <w:color w:val="212121"/>
                <w:sz w:val="16"/>
              </w:rPr>
              <w:t>No organisms / mixed skin flora</w:t>
            </w:r>
          </w:p>
        </w:tc>
        <w:tc>
          <w:tcPr>
            <w:tcW w:type="dxa" w:w="950"/>
            <w:vAlign w:val="top"/>
          </w:tcPr>
          <w:p>
            <w:pPr>
              <w:spacing w:after="40" w:before="0" w:line="259" w:lineRule="auto"/>
            </w:pPr>
            <w:r>
              <w:rPr>
                <w:rFonts w:ascii="Calibri" w:hAnsi="Calibri"/>
                <w:b w:val="0"/>
                <w:i w:val="0"/>
                <w:color w:val="212121"/>
                <w:sz w:val="16"/>
              </w:rPr>
              <w:t>Gram-positive cocci in clusters (staphylococci)</w:t>
            </w:r>
          </w:p>
        </w:tc>
        <w:tc>
          <w:tcPr>
            <w:tcW w:type="dxa" w:w="1036"/>
            <w:vAlign w:val="top"/>
          </w:tcPr>
          <w:p>
            <w:pPr>
              <w:spacing w:after="40" w:before="0" w:line="259" w:lineRule="auto"/>
            </w:pPr>
            <w:r>
              <w:rPr>
                <w:rFonts w:ascii="Calibri" w:hAnsi="Calibri"/>
                <w:b w:val="0"/>
                <w:i w:val="0"/>
                <w:color w:val="212121"/>
                <w:sz w:val="16"/>
              </w:rPr>
              <w:t>Supports bacterial (staphylococcal) folliculitis and guides empirical therapy</w:t>
            </w:r>
          </w:p>
        </w:tc>
        <w:tc>
          <w:tcPr>
            <w:tcW w:type="dxa" w:w="1036"/>
            <w:vAlign w:val="top"/>
          </w:tcPr>
          <w:p>
            <w:pPr>
              <w:spacing w:after="40" w:before="0" w:line="259" w:lineRule="auto"/>
            </w:pPr>
            <w:r>
              <w:rPr>
                <w:rFonts w:ascii="Calibri" w:hAnsi="Calibri"/>
                <w:b w:val="0"/>
                <w:i w:val="0"/>
                <w:color w:val="212121"/>
                <w:sz w:val="16"/>
              </w:rPr>
              <w:t>Purulent, recurrent or deep folliculitis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Rapid, inexpensive first-line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Bacterial culture &amp; sensitivity</w:t>
            </w:r>
          </w:p>
        </w:tc>
        <w:tc>
          <w:tcPr>
            <w:tcW w:type="dxa" w:w="892"/>
            <w:vAlign w:val="top"/>
          </w:tcPr>
          <w:p>
            <w:pPr>
              <w:spacing w:after="40" w:before="0" w:line="259" w:lineRule="auto"/>
            </w:pPr>
            <w:r>
              <w:rPr>
                <w:rFonts w:ascii="Calibri" w:hAnsi="Calibri"/>
                <w:b w:val="0"/>
                <w:i w:val="0"/>
                <w:color w:val="212121"/>
                <w:sz w:val="16"/>
              </w:rPr>
              <w:t>Pus culture (aerobic)</w:t>
            </w:r>
          </w:p>
        </w:tc>
        <w:tc>
          <w:tcPr>
            <w:tcW w:type="dxa" w:w="950"/>
            <w:vAlign w:val="top"/>
          </w:tcPr>
          <w:p>
            <w:pPr>
              <w:spacing w:after="40" w:before="0" w:line="259" w:lineRule="auto"/>
            </w:pPr>
            <w:r>
              <w:rPr>
                <w:rFonts w:ascii="Calibri" w:hAnsi="Calibri"/>
                <w:b w:val="0"/>
                <w:i w:val="0"/>
                <w:color w:val="212121"/>
                <w:sz w:val="16"/>
              </w:rPr>
              <w:t>No pathogenic growth</w:t>
            </w:r>
          </w:p>
        </w:tc>
        <w:tc>
          <w:tcPr>
            <w:tcW w:type="dxa" w:w="950"/>
            <w:vAlign w:val="top"/>
          </w:tcPr>
          <w:p>
            <w:pPr>
              <w:spacing w:after="40" w:before="0" w:line="259" w:lineRule="auto"/>
            </w:pPr>
            <w:r>
              <w:rPr>
                <w:rFonts w:ascii="Calibri" w:hAnsi="Calibri"/>
                <w:b w:val="0"/>
                <w:i w:val="0"/>
                <w:color w:val="212121"/>
                <w:sz w:val="16"/>
              </w:rPr>
              <w:t>S. aureus (with MRSA if methicillin-resistant); Pseudomonas in hot-tub type</w:t>
            </w:r>
          </w:p>
        </w:tc>
        <w:tc>
          <w:tcPr>
            <w:tcW w:type="dxa" w:w="1036"/>
            <w:vAlign w:val="top"/>
          </w:tcPr>
          <w:p>
            <w:pPr>
              <w:spacing w:after="40" w:before="0" w:line="259" w:lineRule="auto"/>
            </w:pPr>
            <w:r>
              <w:rPr>
                <w:rFonts w:ascii="Calibri" w:hAnsi="Calibri"/>
                <w:b w:val="0"/>
                <w:i w:val="0"/>
                <w:color w:val="212121"/>
                <w:sz w:val="16"/>
              </w:rPr>
              <w:t>Confirms organism and antibiotic susceptibility; identifies MRSA</w:t>
            </w:r>
          </w:p>
        </w:tc>
        <w:tc>
          <w:tcPr>
            <w:tcW w:type="dxa" w:w="1036"/>
            <w:vAlign w:val="top"/>
          </w:tcPr>
          <w:p>
            <w:pPr>
              <w:spacing w:after="40" w:before="0" w:line="259" w:lineRule="auto"/>
            </w:pPr>
            <w:r>
              <w:rPr>
                <w:rFonts w:ascii="Calibri" w:hAnsi="Calibri"/>
                <w:b w:val="0"/>
                <w:i w:val="0"/>
                <w:color w:val="212121"/>
                <w:sz w:val="16"/>
              </w:rPr>
              <w:t>Recurrent, extensive or antibiotic-failed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MRSA reported in ~19% of S. aureus in Indian pyoderma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w:t>
            </w:r>
          </w:p>
        </w:tc>
        <w:tc>
          <w:tcPr>
            <w:tcW w:type="dxa" w:w="1036"/>
            <w:vAlign w:val="top"/>
          </w:tcPr>
          <w:p>
            <w:pPr>
              <w:spacing w:after="40" w:before="0" w:line="259" w:lineRule="auto"/>
            </w:pPr>
            <w:r>
              <w:rPr>
                <w:rFonts w:ascii="Calibri" w:hAnsi="Calibri"/>
                <w:b w:val="0"/>
                <w:i w:val="0"/>
                <w:color w:val="212121"/>
                <w:sz w:val="16"/>
              </w:rPr>
              <w:t>KOH mount</w:t>
            </w:r>
          </w:p>
        </w:tc>
        <w:tc>
          <w:tcPr>
            <w:tcW w:type="dxa" w:w="892"/>
            <w:vAlign w:val="top"/>
          </w:tcPr>
          <w:p>
            <w:pPr>
              <w:spacing w:after="40" w:before="0" w:line="259" w:lineRule="auto"/>
            </w:pPr>
            <w:r>
              <w:rPr>
                <w:rFonts w:ascii="Calibri" w:hAnsi="Calibri"/>
                <w:b w:val="0"/>
                <w:i w:val="0"/>
                <w:color w:val="212121"/>
                <w:sz w:val="16"/>
              </w:rPr>
              <w:t>Skin scraping / pustule smear</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Clusters of round yeast cells (Malassezia); hyphae in dermatophyte</w:t>
            </w:r>
          </w:p>
        </w:tc>
        <w:tc>
          <w:tcPr>
            <w:tcW w:type="dxa" w:w="1036"/>
            <w:vAlign w:val="top"/>
          </w:tcPr>
          <w:p>
            <w:pPr>
              <w:spacing w:after="40" w:before="0" w:line="259" w:lineRule="auto"/>
            </w:pPr>
            <w:r>
              <w:rPr>
                <w:rFonts w:ascii="Calibri" w:hAnsi="Calibri"/>
                <w:b w:val="0"/>
                <w:i w:val="0"/>
                <w:color w:val="212121"/>
                <w:sz w:val="16"/>
              </w:rPr>
              <w:t>Identifies fungal/yeast folliculitis when antibacterials fail</w:t>
            </w:r>
          </w:p>
        </w:tc>
        <w:tc>
          <w:tcPr>
            <w:tcW w:type="dxa" w:w="1036"/>
            <w:vAlign w:val="top"/>
          </w:tcPr>
          <w:p>
            <w:pPr>
              <w:spacing w:after="40" w:before="0" w:line="259" w:lineRule="auto"/>
            </w:pPr>
            <w:r>
              <w:rPr>
                <w:rFonts w:ascii="Calibri" w:hAnsi="Calibri"/>
                <w:b w:val="0"/>
                <w:i w:val="0"/>
                <w:color w:val="212121"/>
                <w:sz w:val="16"/>
              </w:rPr>
              <w:t>Itchy monomorphic truncal papulopustules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Consider in acne-like truncal eruptions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w:t>
            </w:r>
          </w:p>
        </w:tc>
        <w:tc>
          <w:tcPr>
            <w:tcW w:type="dxa" w:w="1036"/>
            <w:vAlign w:val="top"/>
          </w:tcPr>
          <w:p>
            <w:pPr>
              <w:spacing w:after="40" w:before="0" w:line="259" w:lineRule="auto"/>
            </w:pPr>
            <w:r>
              <w:rPr>
                <w:rFonts w:ascii="Calibri" w:hAnsi="Calibri"/>
                <w:b w:val="0"/>
                <w:i w:val="0"/>
                <w:color w:val="212121"/>
                <w:sz w:val="16"/>
              </w:rPr>
              <w:t>Fungal culture</w:t>
            </w:r>
          </w:p>
        </w:tc>
        <w:tc>
          <w:tcPr>
            <w:tcW w:type="dxa" w:w="892"/>
            <w:vAlign w:val="top"/>
          </w:tcPr>
          <w:p>
            <w:pPr>
              <w:spacing w:after="40" w:before="0" w:line="259" w:lineRule="auto"/>
            </w:pPr>
            <w:r>
              <w:rPr>
                <w:rFonts w:ascii="Calibri" w:hAnsi="Calibri"/>
                <w:b w:val="0"/>
                <w:i w:val="0"/>
                <w:color w:val="212121"/>
                <w:sz w:val="16"/>
              </w:rPr>
              <w:t>Sabouraud dextrose agar</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Malassezia (lipid-dependent) or dermatophyte growth</w:t>
            </w:r>
          </w:p>
        </w:tc>
        <w:tc>
          <w:tcPr>
            <w:tcW w:type="dxa" w:w="1036"/>
            <w:vAlign w:val="top"/>
          </w:tcPr>
          <w:p>
            <w:pPr>
              <w:spacing w:after="40" w:before="0" w:line="259" w:lineRule="auto"/>
            </w:pPr>
            <w:r>
              <w:rPr>
                <w:rFonts w:ascii="Calibri" w:hAnsi="Calibri"/>
                <w:b w:val="0"/>
                <w:i w:val="0"/>
                <w:color w:val="212121"/>
                <w:sz w:val="16"/>
              </w:rPr>
              <w:t>Confirms fungal cause; guides antifungal therapy</w:t>
            </w:r>
          </w:p>
        </w:tc>
        <w:tc>
          <w:tcPr>
            <w:tcW w:type="dxa" w:w="1036"/>
            <w:vAlign w:val="top"/>
          </w:tcPr>
          <w:p>
            <w:pPr>
              <w:spacing w:after="40" w:before="0" w:line="259" w:lineRule="auto"/>
            </w:pPr>
            <w:r>
              <w:rPr>
                <w:rFonts w:ascii="Calibri" w:hAnsi="Calibri"/>
                <w:b w:val="0"/>
                <w:i w:val="0"/>
                <w:color w:val="212121"/>
                <w:sz w:val="16"/>
              </w:rPr>
              <w:t>Refractory or atypical folliculitis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Malassezia needs lipid-supplemented media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testing</w:t>
            </w:r>
          </w:p>
        </w:tc>
        <w:tc>
          <w:tcPr>
            <w:tcW w:type="dxa" w:w="950"/>
            <w:vAlign w:val="top"/>
          </w:tcPr>
          <w:p>
            <w:pPr>
              <w:spacing w:after="40" w:before="0" w:line="259" w:lineRule="auto"/>
            </w:pPr>
            <w:r>
              <w:rPr>
                <w:rFonts w:ascii="Calibri" w:hAnsi="Calibri"/>
                <w:b w:val="0"/>
                <w:i w:val="0"/>
                <w:color w:val="212121"/>
                <w:sz w:val="16"/>
              </w:rPr>
              <w:t>FBS 70-99 mg/dL; HbA1c 4.0-5.6%</w:t>
            </w:r>
          </w:p>
        </w:tc>
        <w:tc>
          <w:tcPr>
            <w:tcW w:type="dxa" w:w="950"/>
            <w:vAlign w:val="top"/>
          </w:tcPr>
          <w:p>
            <w:pPr>
              <w:spacing w:after="40" w:before="0" w:line="259" w:lineRule="auto"/>
            </w:pPr>
            <w:r>
              <w:rPr>
                <w:rFonts w:ascii="Calibri" w:hAnsi="Calibri"/>
                <w:b w:val="0"/>
                <w:i w:val="0"/>
                <w:color w:val="212121"/>
                <w:sz w:val="16"/>
              </w:rPr>
              <w:t>FBS &gt;=126 mg/dL; HbA1c &gt;=6.5%</w:t>
            </w:r>
          </w:p>
        </w:tc>
        <w:tc>
          <w:tcPr>
            <w:tcW w:type="dxa" w:w="1036"/>
            <w:vAlign w:val="top"/>
          </w:tcPr>
          <w:p>
            <w:pPr>
              <w:spacing w:after="40" w:before="0" w:line="259" w:lineRule="auto"/>
            </w:pPr>
            <w:r>
              <w:rPr>
                <w:rFonts w:ascii="Calibri" w:hAnsi="Calibri"/>
                <w:b w:val="0"/>
                <w:i w:val="0"/>
                <w:color w:val="212121"/>
                <w:sz w:val="16"/>
              </w:rPr>
              <w:t>Detects underlying diabetes driving recurrent staphylococcal folliculitis</w:t>
            </w:r>
          </w:p>
        </w:tc>
        <w:tc>
          <w:tcPr>
            <w:tcW w:type="dxa" w:w="1036"/>
            <w:vAlign w:val="top"/>
          </w:tcPr>
          <w:p>
            <w:pPr>
              <w:spacing w:after="40" w:before="0" w:line="259" w:lineRule="auto"/>
            </w:pPr>
            <w:r>
              <w:rPr>
                <w:rFonts w:ascii="Calibri" w:hAnsi="Calibri"/>
                <w:b w:val="0"/>
                <w:i w:val="0"/>
                <w:color w:val="212121"/>
                <w:sz w:val="16"/>
              </w:rPr>
              <w:t>Recurrent folliculitis/furunculosis, obese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Diabetes is a key risk factor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immunology</w:t>
            </w:r>
          </w:p>
        </w:tc>
        <w:tc>
          <w:tcPr>
            <w:tcW w:type="dxa" w:w="1036"/>
            <w:vAlign w:val="top"/>
          </w:tcPr>
          <w:p>
            <w:pPr>
              <w:spacing w:after="40" w:before="0" w:line="259" w:lineRule="auto"/>
            </w:pPr>
            <w:r>
              <w:rPr>
                <w:rFonts w:ascii="Calibri" w:hAnsi="Calibri"/>
                <w:b w:val="0"/>
                <w:i w:val="0"/>
                <w:color w:val="212121"/>
                <w:sz w:val="16"/>
              </w:rPr>
              <w:t>HIV serology &amp; CD4 count</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HIV non-reactive; CD4 normal</w:t>
            </w:r>
          </w:p>
        </w:tc>
        <w:tc>
          <w:tcPr>
            <w:tcW w:type="dxa" w:w="950"/>
            <w:vAlign w:val="top"/>
          </w:tcPr>
          <w:p>
            <w:pPr>
              <w:spacing w:after="40" w:before="0" w:line="259" w:lineRule="auto"/>
            </w:pPr>
            <w:r>
              <w:rPr>
                <w:rFonts w:ascii="Calibri" w:hAnsi="Calibri"/>
                <w:b w:val="0"/>
                <w:i w:val="0"/>
                <w:color w:val="212121"/>
                <w:sz w:val="16"/>
              </w:rPr>
              <w:t>HIV-reactive; low CD4</w:t>
            </w:r>
          </w:p>
        </w:tc>
        <w:tc>
          <w:tcPr>
            <w:tcW w:type="dxa" w:w="1036"/>
            <w:vAlign w:val="top"/>
          </w:tcPr>
          <w:p>
            <w:pPr>
              <w:spacing w:after="40" w:before="0" w:line="259" w:lineRule="auto"/>
            </w:pPr>
            <w:r>
              <w:rPr>
                <w:rFonts w:ascii="Calibri" w:hAnsi="Calibri"/>
                <w:b w:val="0"/>
                <w:i w:val="0"/>
                <w:color w:val="212121"/>
                <w:sz w:val="16"/>
              </w:rPr>
              <w:t>Identifies immunosuppression behind eosinophilic or refractory folliculitis</w:t>
            </w:r>
          </w:p>
        </w:tc>
        <w:tc>
          <w:tcPr>
            <w:tcW w:type="dxa" w:w="1036"/>
            <w:vAlign w:val="top"/>
          </w:tcPr>
          <w:p>
            <w:pPr>
              <w:spacing w:after="40" w:before="0" w:line="259" w:lineRule="auto"/>
            </w:pPr>
            <w:r>
              <w:rPr>
                <w:rFonts w:ascii="Calibri" w:hAnsi="Calibri"/>
                <w:b w:val="0"/>
                <w:i w:val="0"/>
                <w:color w:val="212121"/>
                <w:sz w:val="16"/>
              </w:rPr>
              <w:t>Widespread, atypical or treatment-resistant folliculitis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HIV-associated eosinophilic folliculitis with low CD4</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CBC &amp; absolute eosinophil count</w:t>
            </w:r>
          </w:p>
        </w:tc>
        <w:tc>
          <w:tcPr>
            <w:tcW w:type="dxa" w:w="892"/>
            <w:vAlign w:val="top"/>
          </w:tcPr>
          <w:p>
            <w:pPr>
              <w:spacing w:after="40" w:before="0" w:line="259" w:lineRule="auto"/>
            </w:pPr>
            <w:r>
              <w:rPr>
                <w:rFonts w:ascii="Calibri" w:hAnsi="Calibri"/>
                <w:b w:val="0"/>
                <w:i w:val="0"/>
                <w:color w:val="212121"/>
                <w:sz w:val="16"/>
              </w:rPr>
              <w:t>Blood count</w:t>
            </w:r>
          </w:p>
        </w:tc>
        <w:tc>
          <w:tcPr>
            <w:tcW w:type="dxa" w:w="950"/>
            <w:vAlign w:val="top"/>
          </w:tcPr>
          <w:p>
            <w:pPr>
              <w:spacing w:after="40" w:before="0" w:line="259" w:lineRule="auto"/>
            </w:pPr>
            <w:r>
              <w:rPr>
                <w:rFonts w:ascii="Calibri" w:hAnsi="Calibri"/>
                <w:b w:val="0"/>
                <w:i w:val="0"/>
                <w:color w:val="212121"/>
                <w:sz w:val="16"/>
              </w:rPr>
              <w:t>Normal WBC and eosinophils</w:t>
            </w:r>
          </w:p>
        </w:tc>
        <w:tc>
          <w:tcPr>
            <w:tcW w:type="dxa" w:w="950"/>
            <w:vAlign w:val="top"/>
          </w:tcPr>
          <w:p>
            <w:pPr>
              <w:spacing w:after="40" w:before="0" w:line="259" w:lineRule="auto"/>
            </w:pPr>
            <w:r>
              <w:rPr>
                <w:rFonts w:ascii="Calibri" w:hAnsi="Calibri"/>
                <w:b w:val="0"/>
                <w:i w:val="0"/>
                <w:color w:val="212121"/>
                <w:sz w:val="16"/>
              </w:rPr>
              <w:t>Peripheral eosinophilia (eosinophilic folliculitis); leucocytosis if secondary infection</w:t>
            </w:r>
          </w:p>
        </w:tc>
        <w:tc>
          <w:tcPr>
            <w:tcW w:type="dxa" w:w="1036"/>
            <w:vAlign w:val="top"/>
          </w:tcPr>
          <w:p>
            <w:pPr>
              <w:spacing w:after="40" w:before="0" w:line="259" w:lineRule="auto"/>
            </w:pPr>
            <w:r>
              <w:rPr>
                <w:rFonts w:ascii="Calibri" w:hAnsi="Calibri"/>
                <w:b w:val="0"/>
                <w:i w:val="0"/>
                <w:color w:val="212121"/>
                <w:sz w:val="16"/>
              </w:rPr>
              <w:t>Supports eosinophilic folliculitis and gauges secondary bacterial spread</w:t>
            </w:r>
          </w:p>
        </w:tc>
        <w:tc>
          <w:tcPr>
            <w:tcW w:type="dxa" w:w="1036"/>
            <w:vAlign w:val="top"/>
          </w:tcPr>
          <w:p>
            <w:pPr>
              <w:spacing w:after="40" w:before="0" w:line="259" w:lineRule="auto"/>
            </w:pPr>
            <w:r>
              <w:rPr>
                <w:rFonts w:ascii="Calibri" w:hAnsi="Calibri"/>
                <w:b w:val="0"/>
                <w:i w:val="0"/>
                <w:color w:val="212121"/>
                <w:sz w:val="16"/>
              </w:rPr>
              <w:t>Immunosuppressed, sterile-pustule folliculitis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Correlate with biopsy findings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biopsy</w:t>
            </w:r>
          </w:p>
        </w:tc>
        <w:tc>
          <w:tcPr>
            <w:tcW w:type="dxa" w:w="892"/>
            <w:vAlign w:val="top"/>
          </w:tcPr>
          <w:p>
            <w:pPr>
              <w:spacing w:after="40" w:before="0" w:line="259" w:lineRule="auto"/>
            </w:pPr>
            <w:r>
              <w:rPr>
                <w:rFonts w:ascii="Calibri" w:hAnsi="Calibri"/>
                <w:b w:val="0"/>
                <w:i w:val="0"/>
                <w:color w:val="212121"/>
                <w:sz w:val="16"/>
              </w:rPr>
              <w:t>Punch biopsy with H&amp;E / special stains</w:t>
            </w:r>
          </w:p>
        </w:tc>
        <w:tc>
          <w:tcPr>
            <w:tcW w:type="dxa" w:w="950"/>
            <w:vAlign w:val="top"/>
          </w:tcPr>
          <w:p>
            <w:pPr>
              <w:spacing w:after="40" w:before="0" w:line="259" w:lineRule="auto"/>
            </w:pPr>
            <w:r>
              <w:rPr>
                <w:rFonts w:ascii="Calibri" w:hAnsi="Calibri"/>
                <w:b w:val="0"/>
                <w:i w:val="0"/>
                <w:color w:val="212121"/>
                <w:sz w:val="16"/>
              </w:rPr>
              <w:t>Normal follicle</w:t>
            </w:r>
          </w:p>
        </w:tc>
        <w:tc>
          <w:tcPr>
            <w:tcW w:type="dxa" w:w="950"/>
            <w:vAlign w:val="top"/>
          </w:tcPr>
          <w:p>
            <w:pPr>
              <w:spacing w:after="40" w:before="0" w:line="259" w:lineRule="auto"/>
            </w:pPr>
            <w:r>
              <w:rPr>
                <w:rFonts w:ascii="Calibri" w:hAnsi="Calibri"/>
                <w:b w:val="0"/>
                <w:i w:val="0"/>
                <w:color w:val="212121"/>
                <w:sz w:val="16"/>
              </w:rPr>
              <w:t>Perifollicular neutrophilic/eosinophilic infiltrate; folliculitis decalvans / scarring changes</w:t>
            </w:r>
          </w:p>
        </w:tc>
        <w:tc>
          <w:tcPr>
            <w:tcW w:type="dxa" w:w="1036"/>
            <w:vAlign w:val="top"/>
          </w:tcPr>
          <w:p>
            <w:pPr>
              <w:spacing w:after="40" w:before="0" w:line="259" w:lineRule="auto"/>
            </w:pPr>
            <w:r>
              <w:rPr>
                <w:rFonts w:ascii="Calibri" w:hAnsi="Calibri"/>
                <w:b w:val="0"/>
                <w:i w:val="0"/>
                <w:color w:val="212121"/>
                <w:sz w:val="16"/>
              </w:rPr>
              <w:t>Confirms diagnosis and subtype in atypical, deep or scarring disease</w:t>
            </w:r>
          </w:p>
        </w:tc>
        <w:tc>
          <w:tcPr>
            <w:tcW w:type="dxa" w:w="1036"/>
            <w:vAlign w:val="top"/>
          </w:tcPr>
          <w:p>
            <w:pPr>
              <w:spacing w:after="40" w:before="0" w:line="259" w:lineRule="auto"/>
            </w:pPr>
            <w:r>
              <w:rPr>
                <w:rFonts w:ascii="Calibri" w:hAnsi="Calibri"/>
                <w:b w:val="0"/>
                <w:i w:val="0"/>
                <w:color w:val="212121"/>
                <w:sz w:val="16"/>
              </w:rPr>
              <w:t>Scarring, refractory or diagnostically unclear folliculitis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PAS stain for fungi; distinguishes cicatricial alopecia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Precipitant history</w:t>
            </w:r>
          </w:p>
        </w:tc>
        <w:tc>
          <w:tcPr>
            <w:tcW w:type="dxa" w:w="979"/>
            <w:vAlign w:val="top"/>
          </w:tcPr>
          <w:p>
            <w:pPr>
              <w:spacing w:after="40" w:before="0" w:line="259" w:lineRule="auto"/>
            </w:pPr>
            <w:r>
              <w:rPr>
                <w:rFonts w:ascii="Calibri" w:hAnsi="Calibri"/>
                <w:b w:val="0"/>
                <w:i w:val="0"/>
                <w:color w:val="212121"/>
                <w:sz w:val="16"/>
              </w:rPr>
              <w:t>Shaving/waxing, hot-tub/pool, new products/drugs</w:t>
            </w:r>
          </w:p>
        </w:tc>
        <w:tc>
          <w:tcPr>
            <w:tcW w:type="dxa" w:w="950"/>
            <w:vAlign w:val="top"/>
          </w:tcPr>
          <w:p>
            <w:pPr>
              <w:spacing w:after="40" w:before="0" w:line="259" w:lineRule="auto"/>
            </w:pPr>
            <w:r>
              <w:rPr>
                <w:rFonts w:ascii="Calibri" w:hAnsi="Calibri"/>
                <w:b w:val="0"/>
                <w:i w:val="0"/>
                <w:color w:val="212121"/>
                <w:sz w:val="16"/>
              </w:rPr>
              <w:t>No identifiable trigger</w:t>
            </w:r>
          </w:p>
        </w:tc>
        <w:tc>
          <w:tcPr>
            <w:tcW w:type="dxa" w:w="950"/>
            <w:vAlign w:val="top"/>
          </w:tcPr>
          <w:p>
            <w:pPr>
              <w:spacing w:after="40" w:before="0" w:line="259" w:lineRule="auto"/>
            </w:pPr>
            <w:r>
              <w:rPr>
                <w:rFonts w:ascii="Calibri" w:hAnsi="Calibri"/>
                <w:b w:val="0"/>
                <w:i w:val="0"/>
                <w:color w:val="212121"/>
                <w:sz w:val="16"/>
              </w:rPr>
              <w:t>Onset after shaving/waxing, hot-tub use, occlusive oils, steroids or long-term antibiotics</w:t>
            </w:r>
          </w:p>
        </w:tc>
        <w:tc>
          <w:tcPr>
            <w:tcW w:type="dxa" w:w="1036"/>
            <w:vAlign w:val="top"/>
          </w:tcPr>
          <w:p>
            <w:pPr>
              <w:spacing w:after="40" w:before="0" w:line="259" w:lineRule="auto"/>
            </w:pPr>
            <w:r>
              <w:rPr>
                <w:rFonts w:ascii="Calibri" w:hAnsi="Calibri"/>
                <w:b w:val="0"/>
                <w:i w:val="0"/>
                <w:color w:val="212121"/>
                <w:sz w:val="16"/>
              </w:rPr>
              <w:t>Pinpoints mechanical, Pseudomonas, occlusive, steroid or gram-negative folliculitis</w:t>
            </w:r>
          </w:p>
        </w:tc>
        <w:tc>
          <w:tcPr>
            <w:tcW w:type="dxa" w:w="1036"/>
            <w:vAlign w:val="top"/>
          </w:tcPr>
          <w:p>
            <w:pPr>
              <w:spacing w:after="40" w:before="0" w:line="259" w:lineRule="auto"/>
            </w:pPr>
            <w:r>
              <w:rPr>
                <w:rFonts w:ascii="Calibri" w:hAnsi="Calibri"/>
                <w:b w:val="0"/>
                <w:i w:val="0"/>
                <w:color w:val="212121"/>
                <w:sz w:val="16"/>
              </w:rPr>
              <w:t>All patients, especially recurrent cases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Directs targeted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Predisposing illness &amp; recurrence</w:t>
            </w:r>
          </w:p>
        </w:tc>
        <w:tc>
          <w:tcPr>
            <w:tcW w:type="dxa" w:w="979"/>
            <w:vAlign w:val="top"/>
          </w:tcPr>
          <w:p>
            <w:pPr>
              <w:spacing w:after="40" w:before="0" w:line="259" w:lineRule="auto"/>
            </w:pPr>
            <w:r>
              <w:rPr>
                <w:rFonts w:ascii="Calibri" w:hAnsi="Calibri"/>
                <w:b w:val="0"/>
                <w:i w:val="0"/>
                <w:color w:val="212121"/>
                <w:sz w:val="16"/>
              </w:rPr>
              <w:t>Diabetes, HIV/immunosuppression, atopy, antibiotic/steroid use</w:t>
            </w:r>
          </w:p>
        </w:tc>
        <w:tc>
          <w:tcPr>
            <w:tcW w:type="dxa" w:w="950"/>
            <w:vAlign w:val="top"/>
          </w:tcPr>
          <w:p>
            <w:pPr>
              <w:spacing w:after="40" w:before="0" w:line="259" w:lineRule="auto"/>
            </w:pPr>
            <w:r>
              <w:rPr>
                <w:rFonts w:ascii="Calibri" w:hAnsi="Calibri"/>
                <w:b w:val="0"/>
                <w:i w:val="0"/>
                <w:color w:val="212121"/>
                <w:sz w:val="16"/>
              </w:rPr>
              <w:t>No comorbidity; single episode</w:t>
            </w:r>
          </w:p>
        </w:tc>
        <w:tc>
          <w:tcPr>
            <w:tcW w:type="dxa" w:w="950"/>
            <w:vAlign w:val="top"/>
          </w:tcPr>
          <w:p>
            <w:pPr>
              <w:spacing w:after="40" w:before="0" w:line="259" w:lineRule="auto"/>
            </w:pPr>
            <w:r>
              <w:rPr>
                <w:rFonts w:ascii="Calibri" w:hAnsi="Calibri"/>
                <w:b w:val="0"/>
                <w:i w:val="0"/>
                <w:color w:val="212121"/>
                <w:sz w:val="16"/>
              </w:rPr>
              <w:t>Diabetes, immunosuppression or frequent recurrences</w:t>
            </w:r>
          </w:p>
        </w:tc>
        <w:tc>
          <w:tcPr>
            <w:tcW w:type="dxa" w:w="1036"/>
            <w:vAlign w:val="top"/>
          </w:tcPr>
          <w:p>
            <w:pPr>
              <w:spacing w:after="40" w:before="0" w:line="259" w:lineRule="auto"/>
            </w:pPr>
            <w:r>
              <w:rPr>
                <w:rFonts w:ascii="Calibri" w:hAnsi="Calibri"/>
                <w:b w:val="0"/>
                <w:i w:val="0"/>
                <w:color w:val="212121"/>
                <w:sz w:val="16"/>
              </w:rPr>
              <w:t>Identifies systemic drivers needing screening and decolonisation</w:t>
            </w:r>
          </w:p>
        </w:tc>
        <w:tc>
          <w:tcPr>
            <w:tcW w:type="dxa" w:w="1036"/>
            <w:vAlign w:val="top"/>
          </w:tcPr>
          <w:p>
            <w:pPr>
              <w:spacing w:after="40" w:before="0" w:line="259" w:lineRule="auto"/>
            </w:pPr>
            <w:r>
              <w:rPr>
                <w:rFonts w:ascii="Calibri" w:hAnsi="Calibri"/>
                <w:b w:val="0"/>
                <w:i w:val="0"/>
                <w:color w:val="212121"/>
                <w:sz w:val="16"/>
              </w:rPr>
              <w:t>Recurrent, widespread or refractory folliculitis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Recurrent disease warrants glucose and HIV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Lesion morphology</w:t>
            </w:r>
          </w:p>
        </w:tc>
        <w:tc>
          <w:tcPr>
            <w:tcW w:type="dxa" w:w="979"/>
            <w:vAlign w:val="top"/>
          </w:tcPr>
          <w:p>
            <w:pPr>
              <w:spacing w:after="40" w:before="0" w:line="259" w:lineRule="auto"/>
            </w:pPr>
            <w:r>
              <w:rPr>
                <w:rFonts w:ascii="Calibri" w:hAnsi="Calibri"/>
                <w:b w:val="0"/>
                <w:i w:val="0"/>
                <w:color w:val="212121"/>
                <w:sz w:val="16"/>
              </w:rPr>
              <w:t>Follicle-centred papulopustules with central hair</w:t>
            </w:r>
          </w:p>
        </w:tc>
        <w:tc>
          <w:tcPr>
            <w:tcW w:type="dxa" w:w="950"/>
            <w:vAlign w:val="top"/>
          </w:tcPr>
          <w:p>
            <w:pPr>
              <w:spacing w:after="40" w:before="0" w:line="259" w:lineRule="auto"/>
            </w:pPr>
            <w:r>
              <w:rPr>
                <w:rFonts w:ascii="Calibri" w:hAnsi="Calibri"/>
                <w:b w:val="0"/>
                <w:i w:val="0"/>
                <w:color w:val="212121"/>
                <w:sz w:val="16"/>
              </w:rPr>
              <w:t>No follicular lesions</w:t>
            </w:r>
          </w:p>
        </w:tc>
        <w:tc>
          <w:tcPr>
            <w:tcW w:type="dxa" w:w="950"/>
            <w:vAlign w:val="top"/>
          </w:tcPr>
          <w:p>
            <w:pPr>
              <w:spacing w:after="40" w:before="0" w:line="259" w:lineRule="auto"/>
            </w:pPr>
            <w:r>
              <w:rPr>
                <w:rFonts w:ascii="Calibri" w:hAnsi="Calibri"/>
                <w:b w:val="0"/>
                <w:i w:val="0"/>
                <w:color w:val="212121"/>
                <w:sz w:val="16"/>
              </w:rPr>
              <w:t>Perifollicular erythematous papules and pustules pierced by a hair</w:t>
            </w:r>
          </w:p>
        </w:tc>
        <w:tc>
          <w:tcPr>
            <w:tcW w:type="dxa" w:w="1036"/>
            <w:vAlign w:val="top"/>
          </w:tcPr>
          <w:p>
            <w:pPr>
              <w:spacing w:after="40" w:before="0" w:line="259" w:lineRule="auto"/>
            </w:pPr>
            <w:r>
              <w:rPr>
                <w:rFonts w:ascii="Calibri" w:hAnsi="Calibri"/>
                <w:b w:val="0"/>
                <w:i w:val="0"/>
                <w:color w:val="212121"/>
                <w:sz w:val="16"/>
              </w:rPr>
              <w:t>Establishes the clinical diagnosis of folliculitis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Distribution suggests cause (beard, trunk, buttocks)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Depth &amp; scarring assessment</w:t>
            </w:r>
          </w:p>
        </w:tc>
        <w:tc>
          <w:tcPr>
            <w:tcW w:type="dxa" w:w="979"/>
            <w:vAlign w:val="top"/>
          </w:tcPr>
          <w:p>
            <w:pPr>
              <w:spacing w:after="40" w:before="0" w:line="259" w:lineRule="auto"/>
            </w:pPr>
            <w:r>
              <w:rPr>
                <w:rFonts w:ascii="Calibri" w:hAnsi="Calibri"/>
                <w:b w:val="0"/>
                <w:i w:val="0"/>
                <w:color w:val="212121"/>
                <w:sz w:val="16"/>
              </w:rPr>
              <w:t>Superficial vs deep; nodules, tufting, alopecia</w:t>
            </w:r>
          </w:p>
        </w:tc>
        <w:tc>
          <w:tcPr>
            <w:tcW w:type="dxa" w:w="950"/>
            <w:vAlign w:val="top"/>
          </w:tcPr>
          <w:p>
            <w:pPr>
              <w:spacing w:after="40" w:before="0" w:line="259" w:lineRule="auto"/>
            </w:pPr>
            <w:r>
              <w:rPr>
                <w:rFonts w:ascii="Calibri" w:hAnsi="Calibri"/>
                <w:b w:val="0"/>
                <w:i w:val="0"/>
                <w:color w:val="212121"/>
                <w:sz w:val="16"/>
              </w:rPr>
              <w:t>Superficial, non-scarring</w:t>
            </w:r>
          </w:p>
        </w:tc>
        <w:tc>
          <w:tcPr>
            <w:tcW w:type="dxa" w:w="950"/>
            <w:vAlign w:val="top"/>
          </w:tcPr>
          <w:p>
            <w:pPr>
              <w:spacing w:after="40" w:before="0" w:line="259" w:lineRule="auto"/>
            </w:pPr>
            <w:r>
              <w:rPr>
                <w:rFonts w:ascii="Calibri" w:hAnsi="Calibri"/>
                <w:b w:val="0"/>
                <w:i w:val="0"/>
                <w:color w:val="212121"/>
                <w:sz w:val="16"/>
              </w:rPr>
              <w:t>Deep nodules/boils; tufted hairs and scarred patches (decalvans)</w:t>
            </w:r>
          </w:p>
        </w:tc>
        <w:tc>
          <w:tcPr>
            <w:tcW w:type="dxa" w:w="1036"/>
            <w:vAlign w:val="top"/>
          </w:tcPr>
          <w:p>
            <w:pPr>
              <w:spacing w:after="40" w:before="0" w:line="259" w:lineRule="auto"/>
            </w:pPr>
            <w:r>
              <w:rPr>
                <w:rFonts w:ascii="Calibri" w:hAnsi="Calibri"/>
                <w:b w:val="0"/>
                <w:i w:val="0"/>
                <w:color w:val="212121"/>
                <w:sz w:val="16"/>
              </w:rPr>
              <w:t>Separates benign superficial disease from scarring/deep variants</w:t>
            </w:r>
          </w:p>
        </w:tc>
        <w:tc>
          <w:tcPr>
            <w:tcW w:type="dxa" w:w="1036"/>
            <w:vAlign w:val="top"/>
          </w:tcPr>
          <w:p>
            <w:pPr>
              <w:spacing w:after="40" w:before="0" w:line="259" w:lineRule="auto"/>
            </w:pPr>
            <w:r>
              <w:rPr>
                <w:rFonts w:ascii="Calibri" w:hAnsi="Calibri"/>
                <w:b w:val="0"/>
                <w:i w:val="0"/>
                <w:color w:val="212121"/>
                <w:sz w:val="16"/>
              </w:rPr>
              <w:t>Scalp, beard and recurrent folliculitis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Scarring alopecia is irreversible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Wood's lamp</w:t>
            </w:r>
          </w:p>
        </w:tc>
        <w:tc>
          <w:tcPr>
            <w:tcW w:type="dxa" w:w="950"/>
            <w:vAlign w:val="top"/>
          </w:tcPr>
          <w:p>
            <w:pPr>
              <w:spacing w:after="40" w:before="0" w:line="259" w:lineRule="auto"/>
            </w:pPr>
            <w:r>
              <w:rPr>
                <w:rFonts w:ascii="Calibri" w:hAnsi="Calibri"/>
                <w:b w:val="0"/>
                <w:i w:val="0"/>
                <w:color w:val="212121"/>
                <w:sz w:val="16"/>
              </w:rPr>
              <w:t>Ultraviolet examination</w:t>
            </w:r>
          </w:p>
        </w:tc>
        <w:tc>
          <w:tcPr>
            <w:tcW w:type="dxa" w:w="979"/>
            <w:vAlign w:val="top"/>
          </w:tcPr>
          <w:p>
            <w:pPr>
              <w:spacing w:after="40" w:before="0" w:line="259" w:lineRule="auto"/>
            </w:pPr>
            <w:r>
              <w:rPr>
                <w:rFonts w:ascii="Calibri" w:hAnsi="Calibri"/>
                <w:b w:val="0"/>
                <w:i w:val="0"/>
                <w:color w:val="212121"/>
                <w:sz w:val="16"/>
              </w:rPr>
              <w:t>Follicular fluorescence</w:t>
            </w:r>
          </w:p>
        </w:tc>
        <w:tc>
          <w:tcPr>
            <w:tcW w:type="dxa" w:w="950"/>
            <w:vAlign w:val="top"/>
          </w:tcPr>
          <w:p>
            <w:pPr>
              <w:spacing w:after="40" w:before="0" w:line="259" w:lineRule="auto"/>
            </w:pPr>
            <w:r>
              <w:rPr>
                <w:rFonts w:ascii="Calibri" w:hAnsi="Calibri"/>
                <w:b w:val="0"/>
                <w:i w:val="0"/>
                <w:color w:val="212121"/>
                <w:sz w:val="16"/>
              </w:rPr>
              <w:t>No fluorescence</w:t>
            </w:r>
          </w:p>
        </w:tc>
        <w:tc>
          <w:tcPr>
            <w:tcW w:type="dxa" w:w="950"/>
            <w:vAlign w:val="top"/>
          </w:tcPr>
          <w:p>
            <w:pPr>
              <w:spacing w:after="40" w:before="0" w:line="259" w:lineRule="auto"/>
            </w:pPr>
            <w:r>
              <w:rPr>
                <w:rFonts w:ascii="Calibri" w:hAnsi="Calibri"/>
                <w:b w:val="0"/>
                <w:i w:val="0"/>
                <w:color w:val="212121"/>
                <w:sz w:val="16"/>
              </w:rPr>
              <w:t>Yellow-green follicular fluorescence (Malassezia)</w:t>
            </w:r>
          </w:p>
        </w:tc>
        <w:tc>
          <w:tcPr>
            <w:tcW w:type="dxa" w:w="1036"/>
            <w:vAlign w:val="top"/>
          </w:tcPr>
          <w:p>
            <w:pPr>
              <w:spacing w:after="40" w:before="0" w:line="259" w:lineRule="auto"/>
            </w:pPr>
            <w:r>
              <w:rPr>
                <w:rFonts w:ascii="Calibri" w:hAnsi="Calibri"/>
                <w:b w:val="0"/>
                <w:i w:val="0"/>
                <w:color w:val="212121"/>
                <w:sz w:val="16"/>
              </w:rPr>
              <w:t>Supports Malassezia folliculitis at the bedside</w:t>
            </w:r>
          </w:p>
        </w:tc>
        <w:tc>
          <w:tcPr>
            <w:tcW w:type="dxa" w:w="1036"/>
            <w:vAlign w:val="top"/>
          </w:tcPr>
          <w:p>
            <w:pPr>
              <w:spacing w:after="40" w:before="0" w:line="259" w:lineRule="auto"/>
            </w:pPr>
            <w:r>
              <w:rPr>
                <w:rFonts w:ascii="Calibri" w:hAnsi="Calibri"/>
                <w:b w:val="0"/>
                <w:i w:val="0"/>
                <w:color w:val="212121"/>
                <w:sz w:val="16"/>
              </w:rPr>
              <w:t>Itchy truncal papulopustules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Quick adjunct; confirm with KOH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950"/>
            <w:vAlign w:val="top"/>
          </w:tcPr>
          <w:p>
            <w:pPr>
              <w:spacing w:after="40" w:before="0" w:line="259" w:lineRule="auto"/>
            </w:pPr>
            <w:r>
              <w:rPr>
                <w:rFonts w:ascii="Calibri" w:hAnsi="Calibri"/>
                <w:b w:val="0"/>
                <w:i w:val="0"/>
                <w:color w:val="212121"/>
                <w:sz w:val="16"/>
              </w:rPr>
              <w:t>Dermatoscope</w:t>
            </w:r>
          </w:p>
        </w:tc>
        <w:tc>
          <w:tcPr>
            <w:tcW w:type="dxa" w:w="979"/>
            <w:vAlign w:val="top"/>
          </w:tcPr>
          <w:p>
            <w:pPr>
              <w:spacing w:after="40" w:before="0" w:line="259" w:lineRule="auto"/>
            </w:pPr>
            <w:r>
              <w:rPr>
                <w:rFonts w:ascii="Calibri" w:hAnsi="Calibri"/>
                <w:b w:val="0"/>
                <w:i w:val="0"/>
                <w:color w:val="212121"/>
                <w:sz w:val="16"/>
              </w:rPr>
              <w:t>Perifollicular findings</w:t>
            </w:r>
          </w:p>
        </w:tc>
        <w:tc>
          <w:tcPr>
            <w:tcW w:type="dxa" w:w="950"/>
            <w:vAlign w:val="top"/>
          </w:tcPr>
          <w:p>
            <w:pPr>
              <w:spacing w:after="40" w:before="0" w:line="259" w:lineRule="auto"/>
            </w:pPr>
            <w:r>
              <w:rPr>
                <w:rFonts w:ascii="Calibri" w:hAnsi="Calibri"/>
                <w:b w:val="0"/>
                <w:i w:val="0"/>
                <w:color w:val="212121"/>
                <w:sz w:val="16"/>
              </w:rPr>
              <w:t>Normal follicular pattern</w:t>
            </w:r>
          </w:p>
        </w:tc>
        <w:tc>
          <w:tcPr>
            <w:tcW w:type="dxa" w:w="950"/>
            <w:vAlign w:val="top"/>
          </w:tcPr>
          <w:p>
            <w:pPr>
              <w:spacing w:after="40" w:before="0" w:line="259" w:lineRule="auto"/>
            </w:pPr>
            <w:r>
              <w:rPr>
                <w:rFonts w:ascii="Calibri" w:hAnsi="Calibri"/>
                <w:b w:val="0"/>
                <w:i w:val="0"/>
                <w:color w:val="212121"/>
                <w:sz w:val="16"/>
              </w:rPr>
              <w:t>Perifollicular pustules, scaling and hair-shaft changes</w:t>
            </w:r>
          </w:p>
        </w:tc>
        <w:tc>
          <w:tcPr>
            <w:tcW w:type="dxa" w:w="1036"/>
            <w:vAlign w:val="top"/>
          </w:tcPr>
          <w:p>
            <w:pPr>
              <w:spacing w:after="40" w:before="0" w:line="259" w:lineRule="auto"/>
            </w:pPr>
            <w:r>
              <w:rPr>
                <w:rFonts w:ascii="Calibri" w:hAnsi="Calibri"/>
                <w:b w:val="0"/>
                <w:i w:val="0"/>
                <w:color w:val="212121"/>
                <w:sz w:val="16"/>
              </w:rPr>
              <w:t>Non-invasive adjunct, useful in Malassezia and scarring folliculitis</w:t>
            </w:r>
          </w:p>
        </w:tc>
        <w:tc>
          <w:tcPr>
            <w:tcW w:type="dxa" w:w="1036"/>
            <w:vAlign w:val="top"/>
          </w:tcPr>
          <w:p>
            <w:pPr>
              <w:spacing w:after="40" w:before="0" w:line="259" w:lineRule="auto"/>
            </w:pPr>
            <w:r>
              <w:rPr>
                <w:rFonts w:ascii="Calibri" w:hAnsi="Calibri"/>
                <w:b w:val="0"/>
                <w:i w:val="0"/>
                <w:color w:val="212121"/>
                <w:sz w:val="16"/>
              </w:rPr>
              <w:t>Truncal and scalp folliculitis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Dermoscopy aids assessment of Malassezia folliculitis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Systemic check</w:t>
            </w:r>
          </w:p>
        </w:tc>
        <w:tc>
          <w:tcPr>
            <w:tcW w:type="dxa" w:w="950"/>
            <w:vAlign w:val="top"/>
          </w:tcPr>
          <w:p>
            <w:pPr>
              <w:spacing w:after="40" w:before="0" w:line="259" w:lineRule="auto"/>
            </w:pPr>
            <w:r>
              <w:rPr>
                <w:rFonts w:ascii="Calibri" w:hAnsi="Calibri"/>
                <w:b w:val="0"/>
                <w:i w:val="0"/>
                <w:color w:val="212121"/>
                <w:sz w:val="16"/>
              </w:rPr>
              <w:t>Signs of spread</w:t>
            </w:r>
          </w:p>
        </w:tc>
        <w:tc>
          <w:tcPr>
            <w:tcW w:type="dxa" w:w="979"/>
            <w:vAlign w:val="top"/>
          </w:tcPr>
          <w:p>
            <w:pPr>
              <w:spacing w:after="40" w:before="0" w:line="259" w:lineRule="auto"/>
            </w:pPr>
            <w:r>
              <w:rPr>
                <w:rFonts w:ascii="Calibri" w:hAnsi="Calibri"/>
                <w:b w:val="0"/>
                <w:i w:val="0"/>
                <w:color w:val="212121"/>
                <w:sz w:val="16"/>
              </w:rPr>
              <w:t>Furuncle, abscess, cellulitis, lymphadenopathy, fever</w:t>
            </w:r>
          </w:p>
        </w:tc>
        <w:tc>
          <w:tcPr>
            <w:tcW w:type="dxa" w:w="950"/>
            <w:vAlign w:val="top"/>
          </w:tcPr>
          <w:p>
            <w:pPr>
              <w:spacing w:after="40" w:before="0" w:line="259" w:lineRule="auto"/>
            </w:pPr>
            <w:r>
              <w:rPr>
                <w:rFonts w:ascii="Calibri" w:hAnsi="Calibri"/>
                <w:b w:val="0"/>
                <w:i w:val="0"/>
                <w:color w:val="212121"/>
                <w:sz w:val="16"/>
              </w:rPr>
              <w:t>Localised superficial lesions</w:t>
            </w:r>
          </w:p>
        </w:tc>
        <w:tc>
          <w:tcPr>
            <w:tcW w:type="dxa" w:w="950"/>
            <w:vAlign w:val="top"/>
          </w:tcPr>
          <w:p>
            <w:pPr>
              <w:spacing w:after="40" w:before="0" w:line="259" w:lineRule="auto"/>
            </w:pPr>
            <w:r>
              <w:rPr>
                <w:rFonts w:ascii="Calibri" w:hAnsi="Calibri"/>
                <w:b w:val="0"/>
                <w:i w:val="0"/>
                <w:color w:val="212121"/>
                <w:sz w:val="16"/>
              </w:rPr>
              <w:t>Fluctuant nodules, spreading erythema, tender nodes or fever</w:t>
            </w:r>
          </w:p>
        </w:tc>
        <w:tc>
          <w:tcPr>
            <w:tcW w:type="dxa" w:w="1036"/>
            <w:vAlign w:val="top"/>
          </w:tcPr>
          <w:p>
            <w:pPr>
              <w:spacing w:after="40" w:before="0" w:line="259" w:lineRule="auto"/>
            </w:pPr>
            <w:r>
              <w:rPr>
                <w:rFonts w:ascii="Calibri" w:hAnsi="Calibri"/>
                <w:b w:val="0"/>
                <w:i w:val="0"/>
                <w:color w:val="212121"/>
                <w:sz w:val="16"/>
              </w:rPr>
              <w:t>Detects progression to furunculosis, abscess or cellulitis needing systemic therapy</w:t>
            </w:r>
          </w:p>
        </w:tc>
        <w:tc>
          <w:tcPr>
            <w:tcW w:type="dxa" w:w="1036"/>
            <w:vAlign w:val="top"/>
          </w:tcPr>
          <w:p>
            <w:pPr>
              <w:spacing w:after="40" w:before="0" w:line="259" w:lineRule="auto"/>
            </w:pPr>
            <w:r>
              <w:rPr>
                <w:rFonts w:ascii="Calibri" w:hAnsi="Calibri"/>
                <w:b w:val="0"/>
                <w:i w:val="0"/>
                <w:color w:val="212121"/>
                <w:sz w:val="16"/>
              </w:rPr>
              <w:t>Diabetic, immunosuppressed, deep folliculitis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need for incision/drainage and systemic antibiotics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Itchy follicular bumps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Pruritus around hair follicles is the commonest early complaint, marked in Malassezia and irritant folliculitis.</w:t>
            </w:r>
          </w:p>
        </w:tc>
      </w:tr>
      <w:tr>
        <w:trPr>
          <w:cantSplit/>
        </w:trPr>
        <w:tc>
          <w:tcPr>
            <w:tcW w:type="dxa" w:w="2304"/>
            <w:vAlign w:val="top"/>
          </w:tcPr>
          <w:p>
            <w:pPr>
              <w:spacing w:after="40" w:before="0" w:line="259" w:lineRule="auto"/>
            </w:pPr>
            <w:r>
              <w:rPr>
                <w:rFonts w:ascii="Calibri" w:hAnsi="Calibri"/>
                <w:b/>
                <w:i w:val="0"/>
                <w:color w:val="212121"/>
                <w:sz w:val="19"/>
              </w:rPr>
              <w:t>Follicular pustules or 'pimples' with a central hair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Small pus-filled or red spots centred on follicles, sometimes with a visible hair.</w:t>
            </w:r>
          </w:p>
        </w:tc>
      </w:tr>
      <w:tr>
        <w:trPr>
          <w:cantSplit/>
        </w:trPr>
        <w:tc>
          <w:tcPr>
            <w:tcW w:type="dxa" w:w="2304"/>
            <w:vAlign w:val="top"/>
          </w:tcPr>
          <w:p>
            <w:pPr>
              <w:spacing w:after="40" w:before="0" w:line="259" w:lineRule="auto"/>
            </w:pPr>
            <w:r>
              <w:rPr>
                <w:rFonts w:ascii="Calibri" w:hAnsi="Calibri"/>
                <w:b/>
                <w:i w:val="0"/>
                <w:color w:val="212121"/>
                <w:sz w:val="19"/>
              </w:rPr>
              <w:t>Tenderness or soreness of the spots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Inflamed follicles are tender, more so in deep folliculitis.</w:t>
            </w:r>
          </w:p>
        </w:tc>
      </w:tr>
      <w:tr>
        <w:trPr>
          <w:cantSplit/>
        </w:trPr>
        <w:tc>
          <w:tcPr>
            <w:tcW w:type="dxa" w:w="2304"/>
            <w:vAlign w:val="top"/>
          </w:tcPr>
          <w:p>
            <w:pPr>
              <w:spacing w:after="40" w:before="0" w:line="259" w:lineRule="auto"/>
            </w:pPr>
            <w:r>
              <w:rPr>
                <w:rFonts w:ascii="Calibri" w:hAnsi="Calibri"/>
                <w:b/>
                <w:i w:val="0"/>
                <w:color w:val="212121"/>
                <w:sz w:val="19"/>
              </w:rPr>
              <w:t>Burning or stinging after shaving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 of pseudofolliculitis barbae and sycosis barbae in the beard and neck.</w:t>
            </w:r>
          </w:p>
        </w:tc>
      </w:tr>
      <w:tr>
        <w:trPr>
          <w:cantSplit/>
        </w:trPr>
        <w:tc>
          <w:tcPr>
            <w:tcW w:type="dxa" w:w="2304"/>
            <w:vAlign w:val="top"/>
          </w:tcPr>
          <w:p>
            <w:pPr>
              <w:spacing w:after="40" w:before="0" w:line="259" w:lineRule="auto"/>
            </w:pPr>
            <w:r>
              <w:rPr>
                <w:rFonts w:ascii="Calibri" w:hAnsi="Calibri"/>
                <w:b/>
                <w:i w:val="0"/>
                <w:color w:val="212121"/>
                <w:sz w:val="19"/>
              </w:rPr>
              <w:t>Crops of spots in typical sites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Beard, scalp, chest, upper back, buttocks, thighs and legs depending on the cause.</w:t>
            </w:r>
          </w:p>
        </w:tc>
      </w:tr>
      <w:tr>
        <w:trPr>
          <w:cantSplit/>
        </w:trPr>
        <w:tc>
          <w:tcPr>
            <w:tcW w:type="dxa" w:w="2304"/>
            <w:vAlign w:val="top"/>
          </w:tcPr>
          <w:p>
            <w:pPr>
              <w:spacing w:after="40" w:before="0" w:line="259" w:lineRule="auto"/>
            </w:pPr>
            <w:r>
              <w:rPr>
                <w:rFonts w:ascii="Calibri" w:hAnsi="Calibri"/>
                <w:b/>
                <w:i w:val="0"/>
                <w:color w:val="212121"/>
                <w:sz w:val="19"/>
              </w:rPr>
              <w:t>Redness around follicles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Perifollicular erythema surrounds the papules and pustules.</w:t>
            </w:r>
          </w:p>
        </w:tc>
      </w:tr>
      <w:tr>
        <w:trPr>
          <w:cantSplit/>
        </w:trPr>
        <w:tc>
          <w:tcPr>
            <w:tcW w:type="dxa" w:w="2304"/>
            <w:vAlign w:val="top"/>
          </w:tcPr>
          <w:p>
            <w:pPr>
              <w:spacing w:after="40" w:before="0" w:line="259" w:lineRule="auto"/>
            </w:pPr>
            <w:r>
              <w:rPr>
                <w:rFonts w:ascii="Calibri" w:hAnsi="Calibri"/>
                <w:b/>
                <w:i w:val="0"/>
                <w:color w:val="212121"/>
                <w:sz w:val="19"/>
              </w:rPr>
              <w:t>Ingrown hairs / razor bumps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Curled hairs re-entering the skin after shaving/waxing, especially with curly hair.</w:t>
            </w:r>
          </w:p>
        </w:tc>
      </w:tr>
      <w:tr>
        <w:trPr>
          <w:cantSplit/>
        </w:trPr>
        <w:tc>
          <w:tcPr>
            <w:tcW w:type="dxa" w:w="2304"/>
            <w:vAlign w:val="top"/>
          </w:tcPr>
          <w:p>
            <w:pPr>
              <w:spacing w:after="40" w:before="0" w:line="259" w:lineRule="auto"/>
            </w:pPr>
            <w:r>
              <w:rPr>
                <w:rFonts w:ascii="Calibri" w:hAnsi="Calibri"/>
                <w:b/>
                <w:i w:val="0"/>
                <w:color w:val="212121"/>
                <w:sz w:val="19"/>
              </w:rPr>
              <w:t>Recurrent boils in the same area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deep folliculitis/furunculosis and possible S. aureus carriage, diabetes or immunosuppression.</w:t>
            </w:r>
          </w:p>
        </w:tc>
      </w:tr>
      <w:tr>
        <w:trPr>
          <w:cantSplit/>
        </w:trPr>
        <w:tc>
          <w:tcPr>
            <w:tcW w:type="dxa" w:w="2304"/>
            <w:vAlign w:val="top"/>
          </w:tcPr>
          <w:p>
            <w:pPr>
              <w:spacing w:after="40" w:before="0" w:line="259" w:lineRule="auto"/>
            </w:pPr>
            <w:r>
              <w:rPr>
                <w:rFonts w:ascii="Calibri" w:hAnsi="Calibri"/>
                <w:b/>
                <w:i w:val="0"/>
                <w:color w:val="212121"/>
                <w:sz w:val="19"/>
              </w:rPr>
              <w:t>Painful nodules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Deep folliculitis progressing to furuncles or carbuncles.</w:t>
            </w:r>
          </w:p>
        </w:tc>
      </w:tr>
      <w:tr>
        <w:trPr>
          <w:cantSplit/>
        </w:trPr>
        <w:tc>
          <w:tcPr>
            <w:tcW w:type="dxa" w:w="2304"/>
            <w:vAlign w:val="top"/>
          </w:tcPr>
          <w:p>
            <w:pPr>
              <w:spacing w:after="40" w:before="0" w:line="259" w:lineRule="auto"/>
            </w:pPr>
            <w:r>
              <w:rPr>
                <w:rFonts w:ascii="Calibri" w:hAnsi="Calibri"/>
                <w:b/>
                <w:i w:val="0"/>
                <w:color w:val="212121"/>
                <w:sz w:val="19"/>
              </w:rPr>
              <w:t>Persistent itchy truncal rash unresponsive to acne treatment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Characteristic of Malassezia folliculitis, often misdiagnosed as acne.</w:t>
            </w:r>
          </w:p>
        </w:tc>
      </w:tr>
      <w:tr>
        <w:trPr>
          <w:cantSplit/>
        </w:trPr>
        <w:tc>
          <w:tcPr>
            <w:tcW w:type="dxa" w:w="2304"/>
            <w:vAlign w:val="top"/>
          </w:tcPr>
          <w:p>
            <w:pPr>
              <w:spacing w:after="40" w:before="0" w:line="259" w:lineRule="auto"/>
            </w:pPr>
            <w:r>
              <w:rPr>
                <w:rFonts w:ascii="Calibri" w:hAnsi="Calibri"/>
                <w:b/>
                <w:i w:val="0"/>
                <w:color w:val="212121"/>
                <w:sz w:val="19"/>
              </w:rPr>
              <w:t>Patchy hair loss on the scalp or beard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in deep, scarring folliculitis such as folliculitis decalvans.</w:t>
            </w:r>
          </w:p>
        </w:tc>
      </w:tr>
      <w:tr>
        <w:trPr>
          <w:cantSplit/>
        </w:trPr>
        <w:tc>
          <w:tcPr>
            <w:tcW w:type="dxa" w:w="2304"/>
            <w:vAlign w:val="top"/>
          </w:tcPr>
          <w:p>
            <w:pPr>
              <w:spacing w:after="40" w:before="0" w:line="259" w:lineRule="auto"/>
            </w:pPr>
            <w:r>
              <w:rPr>
                <w:rFonts w:ascii="Calibri" w:hAnsi="Calibri"/>
                <w:b/>
                <w:i w:val="0"/>
                <w:color w:val="212121"/>
                <w:sz w:val="19"/>
              </w:rPr>
              <w:t>Fever and malaise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extensive, deep or complicated infection (abscess, cellulitis), especially in the immunocompromised.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Follicular papules and pustules pierced by a central hair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of folliculitis on any hair-bearing skin.</w:t>
            </w:r>
          </w:p>
        </w:tc>
      </w:tr>
      <w:tr>
        <w:trPr>
          <w:cantSplit/>
        </w:trPr>
        <w:tc>
          <w:tcPr>
            <w:tcW w:type="dxa" w:w="3456"/>
            <w:vAlign w:val="top"/>
          </w:tcPr>
          <w:p>
            <w:pPr>
              <w:spacing w:after="40" w:before="0" w:line="259" w:lineRule="auto"/>
            </w:pPr>
            <w:r>
              <w:rPr>
                <w:rFonts w:ascii="Calibri" w:hAnsi="Calibri"/>
                <w:b/>
                <w:i w:val="0"/>
                <w:color w:val="212121"/>
                <w:sz w:val="19"/>
              </w:rPr>
              <w:t>Perifollicular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Redness rimming each involved follicle.</w:t>
            </w:r>
          </w:p>
        </w:tc>
      </w:tr>
      <w:tr>
        <w:trPr>
          <w:cantSplit/>
        </w:trPr>
        <w:tc>
          <w:tcPr>
            <w:tcW w:type="dxa" w:w="3456"/>
            <w:vAlign w:val="top"/>
          </w:tcPr>
          <w:p>
            <w:pPr>
              <w:spacing w:after="40" w:before="0" w:line="259" w:lineRule="auto"/>
            </w:pPr>
            <w:r>
              <w:rPr>
                <w:rFonts w:ascii="Calibri" w:hAnsi="Calibri"/>
                <w:b/>
                <w:i w:val="0"/>
                <w:color w:val="212121"/>
                <w:sz w:val="19"/>
              </w:rPr>
              <w:t>Superficial pustules that rupture and crust (Bockhart impetigo)</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Fragile domed pustules that heal without scarring.</w:t>
            </w:r>
          </w:p>
        </w:tc>
      </w:tr>
      <w:tr>
        <w:trPr>
          <w:cantSplit/>
        </w:trPr>
        <w:tc>
          <w:tcPr>
            <w:tcW w:type="dxa" w:w="3456"/>
            <w:vAlign w:val="top"/>
          </w:tcPr>
          <w:p>
            <w:pPr>
              <w:spacing w:after="40" w:before="0" w:line="259" w:lineRule="auto"/>
            </w:pPr>
            <w:r>
              <w:rPr>
                <w:rFonts w:ascii="Calibri" w:hAnsi="Calibri"/>
                <w:b/>
                <w:i w:val="0"/>
                <w:color w:val="212121"/>
                <w:sz w:val="19"/>
              </w:rPr>
              <w:t>Monomorphic dome-shaped papulopustules on the upper trunk without comedones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Suggests Malassezia folliculitis; absence of comedones helps distinguish it from acne.</w:t>
            </w:r>
          </w:p>
        </w:tc>
      </w:tr>
      <w:tr>
        <w:trPr>
          <w:cantSplit/>
        </w:trPr>
        <w:tc>
          <w:tcPr>
            <w:tcW w:type="dxa" w:w="3456"/>
            <w:vAlign w:val="top"/>
          </w:tcPr>
          <w:p>
            <w:pPr>
              <w:spacing w:after="40" w:before="0" w:line="259" w:lineRule="auto"/>
            </w:pPr>
            <w:r>
              <w:rPr>
                <w:rFonts w:ascii="Calibri" w:hAnsi="Calibri"/>
                <w:b/>
                <w:i w:val="0"/>
                <w:color w:val="212121"/>
                <w:sz w:val="19"/>
              </w:rPr>
              <w:t>Ingrown hairs with papules in beard/neck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Pseudofolliculitis barbae from tightly-curled hair re-entering the skin.</w:t>
            </w:r>
          </w:p>
        </w:tc>
      </w:tr>
      <w:tr>
        <w:trPr>
          <w:cantSplit/>
        </w:trPr>
        <w:tc>
          <w:tcPr>
            <w:tcW w:type="dxa" w:w="3456"/>
            <w:vAlign w:val="top"/>
          </w:tcPr>
          <w:p>
            <w:pPr>
              <w:spacing w:after="40" w:before="0" w:line="259" w:lineRule="auto"/>
            </w:pPr>
            <w:r>
              <w:rPr>
                <w:rFonts w:ascii="Calibri" w:hAnsi="Calibri"/>
                <w:b/>
                <w:i w:val="0"/>
                <w:color w:val="212121"/>
                <w:sz w:val="19"/>
              </w:rPr>
              <w:t>Post-inflammatory hyperpigmentation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 in Indian and darker skin over healed follicular lesions.</w:t>
            </w:r>
          </w:p>
        </w:tc>
      </w:tr>
      <w:tr>
        <w:trPr>
          <w:cantSplit/>
        </w:trPr>
        <w:tc>
          <w:tcPr>
            <w:tcW w:type="dxa" w:w="3456"/>
            <w:vAlign w:val="top"/>
          </w:tcPr>
          <w:p>
            <w:pPr>
              <w:spacing w:after="40" w:before="0" w:line="259" w:lineRule="auto"/>
            </w:pPr>
            <w:r>
              <w:rPr>
                <w:rFonts w:ascii="Calibri" w:hAnsi="Calibri"/>
                <w:b/>
                <w:i w:val="0"/>
                <w:color w:val="212121"/>
                <w:sz w:val="19"/>
              </w:rPr>
              <w:t>Deep, tender erythematous nodules or boils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Deep folliculitis progressing to furuncle/carbuncle.</w:t>
            </w:r>
          </w:p>
        </w:tc>
      </w:tr>
      <w:tr>
        <w:trPr>
          <w:cantSplit/>
        </w:trPr>
        <w:tc>
          <w:tcPr>
            <w:tcW w:type="dxa" w:w="3456"/>
            <w:vAlign w:val="top"/>
          </w:tcPr>
          <w:p>
            <w:pPr>
              <w:spacing w:after="40" w:before="0" w:line="259" w:lineRule="auto"/>
            </w:pPr>
            <w:r>
              <w:rPr>
                <w:rFonts w:ascii="Calibri" w:hAnsi="Calibri"/>
                <w:b/>
                <w:i w:val="0"/>
                <w:color w:val="212121"/>
                <w:sz w:val="19"/>
              </w:rPr>
              <w:t>Yellow-green follicular fluorescence under Wood's lamp</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Supports Malassezia folliculitis.</w:t>
            </w:r>
          </w:p>
        </w:tc>
      </w:tr>
      <w:tr>
        <w:trPr>
          <w:cantSplit/>
        </w:trPr>
        <w:tc>
          <w:tcPr>
            <w:tcW w:type="dxa" w:w="3456"/>
            <w:vAlign w:val="top"/>
          </w:tcPr>
          <w:p>
            <w:pPr>
              <w:spacing w:after="40" w:before="0" w:line="259" w:lineRule="auto"/>
            </w:pPr>
            <w:r>
              <w:rPr>
                <w:rFonts w:ascii="Calibri" w:hAnsi="Calibri"/>
                <w:b/>
                <w:i w:val="0"/>
                <w:color w:val="212121"/>
                <w:sz w:val="19"/>
              </w:rPr>
              <w:t>Tufted hairs and scarred patches on the scalp</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Folliculitis decalvans - multiple hairs emerging from one ostium with cicatricial alopecia.</w:t>
            </w:r>
          </w:p>
        </w:tc>
      </w:tr>
      <w:tr>
        <w:trPr>
          <w:cantSplit/>
        </w:trPr>
        <w:tc>
          <w:tcPr>
            <w:tcW w:type="dxa" w:w="3456"/>
            <w:vAlign w:val="top"/>
          </w:tcPr>
          <w:p>
            <w:pPr>
              <w:spacing w:after="40" w:before="0" w:line="259" w:lineRule="auto"/>
            </w:pPr>
            <w:r>
              <w:rPr>
                <w:rFonts w:ascii="Calibri" w:hAnsi="Calibri"/>
                <w:b/>
                <w:i w:val="0"/>
                <w:color w:val="212121"/>
                <w:sz w:val="19"/>
              </w:rPr>
              <w:t>Keloidal papules and plaques at the nape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Acne keloidalis nuchae, a scarring folliculitis of the posterior scalp/neck.</w:t>
            </w:r>
          </w:p>
        </w:tc>
      </w:tr>
      <w:tr>
        <w:trPr>
          <w:cantSplit/>
        </w:trPr>
        <w:tc>
          <w:tcPr>
            <w:tcW w:type="dxa" w:w="3456"/>
            <w:vAlign w:val="top"/>
          </w:tcPr>
          <w:p>
            <w:pPr>
              <w:spacing w:after="40" w:before="0" w:line="259" w:lineRule="auto"/>
            </w:pPr>
            <w:r>
              <w:rPr>
                <w:rFonts w:ascii="Calibri" w:hAnsi="Calibri"/>
                <w:b/>
                <w:i w:val="0"/>
                <w:color w:val="212121"/>
                <w:sz w:val="19"/>
              </w:rPr>
              <w:t>Regional lymphadenopathy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Accompanies deep or secondarily infected folliculitis.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Furuncle (boil) and carbuncle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Skin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impetiginization / crusting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spread to cellulitis or erysipelas</w:t>
            </w:r>
          </w:p>
        </w:tc>
        <w:tc>
          <w:tcPr>
            <w:tcW w:type="dxa" w:w="2980"/>
            <w:vAlign w:val="top"/>
          </w:tcPr>
          <w:p>
            <w:pPr>
              <w:spacing w:after="40" w:before="0" w:line="259" w:lineRule="auto"/>
            </w:pPr>
            <w:r>
              <w:rPr>
                <w:rFonts w:ascii="Calibri" w:hAnsi="Calibri"/>
                <w:b w:val="0"/>
                <w:i w:val="0"/>
                <w:color w:val="212121"/>
                <w:sz w:val="19"/>
              </w:rPr>
              <w:t>Direct deepening or lateral extension of the follicular infection, most often staphylococcal.</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and chronic folliculitis / furunculosis (often with S. aureus or MRSA carriage)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hyperpigmentation, especially in skin of colour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Majocchi granuloma (deep dermatophyte folliculitis)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and sepsis from S. aureus in diabetic or immunocompromised patients</w:t>
            </w:r>
          </w:p>
        </w:tc>
        <w:tc>
          <w:tcPr>
            <w:tcW w:type="dxa" w:w="2980"/>
            <w:vAlign w:val="top"/>
          </w:tcPr>
          <w:p>
            <w:pPr>
              <w:spacing w:after="40" w:before="0" w:line="259" w:lineRule="auto"/>
            </w:pPr>
            <w:r>
              <w:rPr>
                <w:rFonts w:ascii="Calibri" w:hAnsi="Calibri"/>
                <w:b w:val="0"/>
                <w:i w:val="0"/>
                <w:color w:val="212121"/>
                <w:sz w:val="19"/>
              </w:rPr>
              <w:t>Result from persistence, resistance (MRSA) and host susceptibility such as diabetes and immunosuppression.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Scarring (cicatricial) alopecia - folliculitis decalvans and dissecting cellulitis of the scalp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Keloids and acne keloidalis nuchae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hair loss and cosmetic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discharging sinuses and abscess tracts</w:t>
            </w:r>
          </w:p>
        </w:tc>
        <w:tc>
          <w:tcPr>
            <w:tcW w:type="dxa" w:w="2980"/>
            <w:vAlign w:val="top"/>
          </w:tcPr>
          <w:p>
            <w:pPr>
              <w:spacing w:after="40" w:before="0" w:line="259" w:lineRule="auto"/>
            </w:pPr>
            <w:r>
              <w:rPr>
                <w:rFonts w:ascii="Calibri" w:hAnsi="Calibri"/>
                <w:b w:val="0"/>
                <w:i w:val="0"/>
                <w:color w:val="212121"/>
                <w:sz w:val="19"/>
              </w:rPr>
              <w:t>Irreversible, disabling outcomes of neglected deep or scarring folliculitis; permanent hair loss is expected in folliculitis decalvans.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neutrophil function and promotes S. aureus colonisation, causing recurrent staphylococcal folliculitis and furunculosis; diabetes is a principal risk factor.</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Skin folds, sweating, friction and occlusion create a warm moist niche favouring bacterial and yeast folliculitis and intertrigo.</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cell-mediated immunity predisposes to refractory bacterial, fungal and Demodex folliculitis and to HIV-associated eosinophilic folliculitis with low CD4 counts.</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Barrier defect and heavy S. aureus colonisation predispose eczematous skin to folliculitis, and follicular infection in turn flares the eczema.</w:t>
            </w:r>
          </w:p>
        </w:tc>
      </w:tr>
      <w:tr>
        <w:trPr>
          <w:cantSplit/>
        </w:trPr>
        <w:tc>
          <w:tcPr>
            <w:tcW w:type="dxa" w:w="2232"/>
            <w:vAlign w:val="top"/>
          </w:tcPr>
          <w:p>
            <w:pPr>
              <w:spacing w:after="40" w:before="0" w:line="259" w:lineRule="auto"/>
            </w:pPr>
            <w:r>
              <w:rPr>
                <w:rFonts w:ascii="Calibri" w:hAnsi="Calibri"/>
                <w:b/>
                <w:i w:val="0"/>
                <w:color w:val="212121"/>
                <w:sz w:val="19"/>
              </w:rPr>
              <w:t>Acne vulgaris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Malassezia folliculitis mimics and coexists with acne, and prolonged antibiotic therapy for acne causes gram-negative folliculitis, complicating diagnosis and treatment.</w:t>
            </w:r>
          </w:p>
        </w:tc>
      </w:tr>
      <w:tr>
        <w:trPr>
          <w:cantSplit/>
        </w:trPr>
        <w:tc>
          <w:tcPr>
            <w:tcW w:type="dxa" w:w="2232"/>
            <w:vAlign w:val="top"/>
          </w:tcPr>
          <w:p>
            <w:pPr>
              <w:spacing w:after="40" w:before="0" w:line="259" w:lineRule="auto"/>
            </w:pPr>
            <w:r>
              <w:rPr>
                <w:rFonts w:ascii="Calibri" w:hAnsi="Calibri"/>
                <w:b/>
                <w:i w:val="0"/>
                <w:color w:val="212121"/>
                <w:sz w:val="19"/>
              </w:rPr>
              <w:t>Hidradenitis suppurativa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Part of the follicular-occlusion spectrum with shared drivers (smoking, obesity, occlusion); recurrent deep folliculitis of flexures overlaps clinically.</w:t>
            </w:r>
          </w:p>
        </w:tc>
      </w:tr>
      <w:tr>
        <w:trPr>
          <w:cantSplit/>
        </w:trPr>
        <w:tc>
          <w:tcPr>
            <w:tcW w:type="dxa" w:w="2232"/>
            <w:vAlign w:val="top"/>
          </w:tcPr>
          <w:p>
            <w:pPr>
              <w:spacing w:after="40" w:before="0" w:line="259" w:lineRule="auto"/>
            </w:pPr>
            <w:r>
              <w:rPr>
                <w:rFonts w:ascii="Calibri" w:hAnsi="Calibri"/>
                <w:b/>
                <w:i w:val="0"/>
                <w:color w:val="212121"/>
                <w:sz w:val="19"/>
              </w:rPr>
              <w:t>Furunculosis / carbuncle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Deep progression of folliculitis into boils and coalescent abscesses, typically S. aureus-driven.</w:t>
            </w:r>
          </w:p>
        </w:tc>
      </w:tr>
      <w:tr>
        <w:trPr>
          <w:cantSplit/>
        </w:trPr>
        <w:tc>
          <w:tcPr>
            <w:tcW w:type="dxa" w:w="2232"/>
            <w:vAlign w:val="top"/>
          </w:tcPr>
          <w:p>
            <w:pPr>
              <w:spacing w:after="40" w:before="0" w:line="259" w:lineRule="auto"/>
            </w:pPr>
            <w:r>
              <w:rPr>
                <w:rFonts w:ascii="Calibri" w:hAnsi="Calibri"/>
                <w:b/>
                <w:i w:val="0"/>
                <w:color w:val="212121"/>
                <w:sz w:val="19"/>
              </w:rPr>
              <w:t>Impetigo and other pyodermas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Coexisting superficial S. aureus/streptococcal skin infection; in Indian series impetigo is the commonest primary pyoderma, folliculitis next.</w:t>
            </w:r>
          </w:p>
          <w:p>
            <w:pPr>
              <w:spacing w:after="40" w:before="0" w:line="259" w:lineRule="auto"/>
            </w:pPr>
            <w:r>
              <w:rPr>
                <w:rFonts w:ascii="Calibri" w:hAnsi="Calibri"/>
                <w:b/>
                <w:i w:val="0"/>
                <w:color w:val="212121"/>
                <w:sz w:val="19"/>
              </w:rPr>
              <w:t>S. aureus in 83.9% of pyoderma</w:t>
            </w:r>
          </w:p>
        </w:tc>
      </w:tr>
      <w:tr>
        <w:trPr>
          <w:cantSplit/>
        </w:trPr>
        <w:tc>
          <w:tcPr>
            <w:tcW w:type="dxa" w:w="2232"/>
            <w:vAlign w:val="top"/>
          </w:tcPr>
          <w:p>
            <w:pPr>
              <w:spacing w:after="40" w:before="0" w:line="259" w:lineRule="auto"/>
            </w:pPr>
            <w:r>
              <w:rPr>
                <w:rFonts w:ascii="Calibri" w:hAnsi="Calibri"/>
                <w:b/>
                <w:i w:val="0"/>
                <w:color w:val="212121"/>
                <w:sz w:val="19"/>
              </w:rPr>
              <w:t>MRSA colonisation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Methicillin-resistant S. aureus carriage sustains recurrent, treatment-resistant folliculitis and dictates antibiotic choice and decolonisation.</w:t>
            </w:r>
          </w:p>
          <w:p>
            <w:pPr>
              <w:spacing w:after="40" w:before="0" w:line="259" w:lineRule="auto"/>
            </w:pPr>
            <w:r>
              <w:rPr>
                <w:rFonts w:ascii="Calibri" w:hAnsi="Calibri"/>
                <w:b/>
                <w:i w:val="0"/>
                <w:color w:val="212121"/>
                <w:sz w:val="19"/>
              </w:rPr>
              <w:t>19.1% of S. aureus strains</w:t>
            </w:r>
          </w:p>
        </w:tc>
      </w:tr>
      <w:tr>
        <w:trPr>
          <w:cantSplit/>
        </w:trPr>
        <w:tc>
          <w:tcPr>
            <w:tcW w:type="dxa" w:w="2232"/>
            <w:vAlign w:val="top"/>
          </w:tcPr>
          <w:p>
            <w:pPr>
              <w:spacing w:after="40" w:before="0" w:line="259" w:lineRule="auto"/>
            </w:pPr>
            <w:r>
              <w:rPr>
                <w:rFonts w:ascii="Calibri" w:hAnsi="Calibri"/>
                <w:b/>
                <w:i w:val="0"/>
                <w:color w:val="212121"/>
                <w:sz w:val="19"/>
              </w:rPr>
              <w:t>Folliculitis decalvans / scarring alopecia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deep neutrophilic folliculitis of the scalp, considered an abnormal immune response to S. aureus, causing permanent scarring hair loss.</w:t>
            </w:r>
          </w:p>
        </w:tc>
      </w:tr>
      <w:tr>
        <w:trPr>
          <w:cantSplit/>
        </w:trPr>
        <w:tc>
          <w:tcPr>
            <w:tcW w:type="dxa" w:w="2232"/>
            <w:vAlign w:val="top"/>
          </w:tcPr>
          <w:p>
            <w:pPr>
              <w:spacing w:after="40" w:before="0" w:line="259" w:lineRule="auto"/>
            </w:pPr>
            <w:r>
              <w:rPr>
                <w:rFonts w:ascii="Calibri" w:hAnsi="Calibri"/>
                <w:b/>
                <w:i w:val="0"/>
                <w:color w:val="212121"/>
                <w:sz w:val="19"/>
              </w:rPr>
              <w:t>Pseudofolliculitis barbae / acne keloidalis nuchae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Shaving-related follicular disease of the beard and nape that overlaps with, mimics and predisposes to infectious folliculitis and scarring.</w:t>
            </w:r>
          </w:p>
        </w:tc>
      </w:tr>
      <w:tr>
        <w:trPr>
          <w:cantSplit/>
        </w:trPr>
        <w:tc>
          <w:tcPr>
            <w:tcW w:type="dxa" w:w="2232"/>
            <w:vAlign w:val="top"/>
          </w:tcPr>
          <w:p>
            <w:pPr>
              <w:spacing w:after="40" w:before="0" w:line="259" w:lineRule="auto"/>
            </w:pPr>
            <w:r>
              <w:rPr>
                <w:rFonts w:ascii="Calibri" w:hAnsi="Calibri"/>
                <w:b/>
                <w:i w:val="0"/>
                <w:color w:val="212121"/>
                <w:sz w:val="19"/>
              </w:rPr>
              <w:t>Dermatophytosis (tinea) / Majocchi granuloma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Deep dermatophyte invasion of follicles, often steroid-modified, mimics bacterial folliculitis and requires antifungal rather than antibacterial therapy.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folliculitis is inflammation of hair follicles, usually from bacteria (Staphylococcus aureus), yeast (Malassezia) or shaving, and is often mild and self-limiting.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signs - itchy or tender red spots and pustules centred on hairs - and avoid squeezing, scratching or picking, which spread infection and cause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razors, towels, clothing or bed linen; wash and sun-dry these, and keep personal grooming items clean.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Shave less often and correctly - soften hair first, use a sharp single-use or clean blade or an electric shaver, shave in the direction of hair growth, and avoid very close, repeated strokes.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skin cool, clean and dry in hot, humid weather; change out of sweaty or occlusive clothing promptly and shower after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advice for recurrent, spreading, painful or scarring lesions, fever, or folliculitis that does not settle, and get screened for diabetes or immune problems if it keeps recurring.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shavers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Recurrent-folliculitis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mild bacterial folliculitis, use antiseptic washes (e.g., chlorhexidine) and topical antibiotics as advised; complete the full course of any prescribed antibiotic.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lesions are itchy, monomorphic and on the trunk and do not respond to antibiotics, suspect Malassezia folliculitis and use topical/oral antifungals as prescribed rather than more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Warm compresses help deep, tender lesions to settle or point; do not squeeze boils - large or fluctuant ones need medical incision and 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recurrent disease, follow decolonisation advice (e.g., nasal mupirocin and antiseptic body washes) and treat household contacts and shared items as directed.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precipitants - stop unsupervised topical steroids, review long-term acne antibiotics with a doctor, and avoid the offending hot tub or occlusive product.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folliculitis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Malassezia-folliculitis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Recurrent/furunculosis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acne antibiotics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promptly and change out of sweaty, occlusive sportswear and swimwear after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breathable, moisture-wicking cotton clothing; avoid prolonged tight synthetic gear that traps sweat.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Wipe down and avoid sharing gym equipment, mats and towels; sit on a clean towel on shared benches.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through regular activity to reduce skin folds, sweating and occlusion-related folliculitis.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low-glycaemic diet with whole grains, pulses, vegetables and fruit to limit sebum-driving spikes and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sugary drinks, refined carbohydrates and deep-fried, oily foods that may aggravate sebaceous and Malassezia folliculitis.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diabetes or prediabetes, keep blood glucose well controlled, as hyperglycaemia predisposes to recurrent staphylococcal folliculitis.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and maintain adequate protein, zinc and vitamin intake to support skin immunity and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Acne/Malassezia-prone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function and, in diabetics,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bedding and pillowcases clean and change them regularly, especially with scalp, beard or facial folliculitis.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night-time itch and avoid scratching during sleep, which inoculates and inflames follicles.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Recurrent-folliculitis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which is strongly linked to follicular-occlusion disorders (hidradenitis suppurativa, dissecting cellulitis) and impairs skin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 counselling, nicotine replacement or pharmacotherapy - to improve outcomes in deep and recurrent folliculitis.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which also impairs wound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deep/recurrent folliculitis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Hidradenitis-spectrum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within safe limits, as heavy use impairs immunity, nutrition and hygiene and may predispose to skin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during active infection or antibiotic/antifungal courses that interact with alcohol.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Recurrent-infection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and anxiety, which impair immunity and drive scratching and skin-picking that inflame follicles.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distress and self-consciousness caused by visible or scarring facial and scalp folliculitis; seek support when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compulsive picking or excoriation, seek behavioural support to break the scratch-infection cycle.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visible/scarring folliculitis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Anxiety/stress-prone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Skin-picking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reassurance about the generally benign, self-limiting nature of most folliculitis to reduce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for scarring variants (folliculitis decalvans, keloidalis nuchae) where hair loss may be permanent, and discuss camouflage and support options.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support in chronic, disfiguring or relapsing disease affecting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Chronic/recurrent folliculitis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Scarring-alopecia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truncal folliculitis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active buttock, thigh or truncal folliculitis, favour non-occlusive activity and avoid friction, tight gear and shared wet surfaces.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hot tubs, whirlpools and poorly-maintained pools until Pseudomonas 'hot-tub' folliculitis resolves.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graded activity with prompt showering and clean, dry clothing to prevent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with folliculitis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Hot-tub folliculitis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 with intertriginous folliculitis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rmnetnz.org/topics/malassezia-folliculitis" TargetMode="External"/><Relationship Id="rId10" Type="http://schemas.openxmlformats.org/officeDocument/2006/relationships/hyperlink" Target="https://ijdvl.com/clinico-bacteriological-study-of-pyodermas-in-a-tertiary-care-centre-in-south-india/" TargetMode="External"/><Relationship Id="rId11" Type="http://schemas.openxmlformats.org/officeDocument/2006/relationships/hyperlink" Target="https://www.ncbi.nlm.nih.gov/books/NBK547754/" TargetMode="External"/><Relationship Id="rId12" Type="http://schemas.openxmlformats.org/officeDocument/2006/relationships/hyperlink" Target="https://dermnetnz.org/topics/folliculitis" TargetMode="External"/><Relationship Id="rId13" Type="http://schemas.openxmlformats.org/officeDocument/2006/relationships/hyperlink" Target="https://dermnetnz.org/topics/pseudofolliculitis-barbae" TargetMode="External"/><Relationship Id="rId14" Type="http://schemas.openxmlformats.org/officeDocument/2006/relationships/hyperlink" Target="https://dermnetnz.org/topics/bacterial-folliculitis" TargetMode="External"/><Relationship Id="rId15" Type="http://schemas.openxmlformats.org/officeDocument/2006/relationships/hyperlink" Target="https://dermnetnz.org/topics/gram-negative-follicul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