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Herpes Simplex (labialis &amp; genital)</w:t>
      </w:r>
    </w:p>
    <w:p>
      <w:pPr>
        <w:spacing w:before="0" w:after="160"/>
      </w:pPr>
      <w:r>
        <w:rPr>
          <w:rFonts w:ascii="Calibri" w:hAnsi="Calibri"/>
          <w:b/>
          <w:i w:val="0"/>
          <w:color w:val="212121"/>
          <w:sz w:val="22"/>
        </w:rPr>
        <w:t xml:space="preserve">AKA </w:t>
      </w:r>
      <w:r>
        <w:rPr>
          <w:rFonts w:ascii="Calibri" w:hAnsi="Calibri"/>
          <w:b w:val="0"/>
          <w:i w:val="0"/>
          <w:color w:val="212121"/>
          <w:sz w:val="22"/>
        </w:rPr>
        <w:t>i.e., Herpes labialis (cold sores, fever blisters), Genital herpes, Oral herpes, HSV-1 and HSV-2 infection, Herpes simplex virus infection, Herpetic gingivostomatitis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Herpes simplex is a lifelong infection caused by herpes simplex virus type 1 (HSV-1) or type 2 (HSV-2), two closely related double-stranded DNA alphaherpesviruses. It classically produces crops of painful, grouped vesicles on an erythematous base that erode into shallow ulcers and crust over, either at the mucocutaneous junction of the lips and mouth (herpes labialis / orolabial herpes) or over the genital and perianal region (genital herpes). After the primary infection the virus travels along sensory nerves to establish lifelong latency in the trigeminal (orolabial) or sacral (genital) ganglia, from which it periodically reactivates to cause recurrent lesions or, more often, asymptomatic viral shedding that transmits infection to others. HSV-1 is the usual cause of orolabial herpes and HSV-2 of genital herpes, although HSV-1 now causes a rising share of genital infections through oro-genital contact.</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Herpes simplex is among the commonest chronic viral infections worldwide and an increasingly important cause of genital ulcer disease in India. The WHO estimates that about 3.8 billion people under 50 years (64%) carry HSV-1 and roughly 520 million people aged 15-49 (13%) carry HSV-2, with an estimated 205 million (5.3%) experiencing at least one symptomatic episode of genital herpes in 2020; women are infected almost twice as often as men. In India, community-based HSV-2 seroprevalence is generally in the 5-14% range: about 5.87% in a population-based Andhra Pradesh study (7.07% in women versus 4.70% in men), 11.3% among married women in Mysore, and 8.7% among pregnant women across Northeast India (from 2.7% in Manipur to 15.0% in Arunachal Pradesh). Genital herpes has risen sharply among Indian STI-clinic attendees - a roughly fourfold increase from 5.7% in the early 1990s to 22.4% in 2000-2004 in North India - and is far higher in key populations (female sex workers ~38-57%, men who have sex with men ~40%, transgender persons ~71%). HSV-1 seroprevalence in Indian adults is high (about 48% in one study of Indian men) and rises with age, and HSV-1 remains the predominant cause of orolabial cold sores.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Herpes simplex is usually a clinical diagnosis - grouped vesicles or ulcers on an erythematous base with a typical prodrome and recurrence pattern - confirmed and typed by laboratory testing, particularly in genital, atypical, severe, first-episode or immunocompromised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Nucleic acid amplification testing (HSV PCR / NAAT) of a swab from the base of a fresh lesion is the most sensitive confirmatory test (sensitivity ~90.9-100%) and distinguishes HSV-1 from HSV-2;</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Viral culture of vesicle fluid can confirm and type the virus but has low and falling sensitivity, especially for older, crusted or recurrent lesions;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Tzanck smear showing multinucleated giant cells supports a herpesvirus infection but is non-specific (cannot separate HSV-1, HSV-2 or varicella-zoster) and is now largely superseded by PCR;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Type-specific serology (glycoprotein G-based IgG: gG1 for HSV-1, gG2 for HSV-2) identifies established, latent or asymptomatic infection and its type, and is useful in recurrent genital disease with negative lesion tests or to assess a partner's status; low positive index values need confirmatory testing;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Direct fluorescent antibody / antigen detection can give rapid results where PCR is unavailable;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 suspected HSV encephalitis or meningitis, CSF HSV PCR is the investigation of choice; neonatal and disseminated disease require surface, blood and CSF PCR.</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Herpes simplex infection can be classified by causative virus type, by anatomical site, and by the clinical stage of infection:</w:t>
      </w:r>
    </w:p>
    <w:p>
      <w:pPr>
        <w:spacing w:before="0" w:after="80"/>
      </w:pPr>
      <w:r>
        <w:rPr>
          <w:rFonts w:ascii="Calibri" w:hAnsi="Calibri"/>
          <w:b w:val="0"/>
          <w:i w:val="0"/>
          <w:color w:val="212121"/>
          <w:sz w:val="21"/>
        </w:rPr>
        <w:t>(1) By virus type - HSV-1 (predominantly orolabial but an increasing cause of genital herpes) and HSV-2 (predominantly genital, with a higher recurrence rate and a stronger association with HIV acquisition);</w:t>
      </w:r>
    </w:p>
    <w:p>
      <w:pPr>
        <w:spacing w:before="0" w:after="80"/>
      </w:pPr>
      <w:r>
        <w:rPr>
          <w:rFonts w:ascii="Calibri" w:hAnsi="Calibri"/>
          <w:b w:val="0"/>
          <w:i w:val="0"/>
          <w:color w:val="212121"/>
          <w:sz w:val="21"/>
        </w:rPr>
        <w:t>(2) Orolabial herpes (herpes labialis) - 'cold sores' or 'fever blisters' on the vermilion border of the lip and perioral skin, and, on first infection in children, primary herpetic gingivostomatitis;</w:t>
      </w:r>
    </w:p>
    <w:p>
      <w:pPr>
        <w:spacing w:before="0" w:after="80"/>
      </w:pPr>
      <w:r>
        <w:rPr>
          <w:rFonts w:ascii="Calibri" w:hAnsi="Calibri"/>
          <w:b w:val="0"/>
          <w:i w:val="0"/>
          <w:color w:val="212121"/>
          <w:sz w:val="21"/>
        </w:rPr>
        <w:t>(3) Genital herpes - vesicles and ulcers of the vulva, vagina, cervix, penis, scrotum, and perianal / perineal skin, subclassified into primary (first infection, no pre-existing HSV antibody), non-primary first episode (first clinical episode in a person with prior antibody to the other type), and recurrent episodes;</w:t>
      </w:r>
    </w:p>
    <w:p>
      <w:pPr>
        <w:spacing w:before="0" w:after="80"/>
      </w:pPr>
      <w:r>
        <w:rPr>
          <w:rFonts w:ascii="Calibri" w:hAnsi="Calibri"/>
          <w:b w:val="0"/>
          <w:i w:val="0"/>
          <w:color w:val="212121"/>
          <w:sz w:val="21"/>
        </w:rPr>
        <w:t>(4) Other or complicated sites - herpetic whitlow (finger), herpes gladiatorum (skin, in contact-sport athletes), ocular herpes (keratitis, blepharoconjunctivitis), eczema herpeticum, herpetic proctitis, and CNS / disseminated disease (aseptic meningitis, encephalitis, neonatal and disseminated herpes);</w:t>
      </w:r>
    </w:p>
    <w:p>
      <w:pPr>
        <w:spacing w:before="0" w:after="80"/>
      </w:pPr>
      <w:r>
        <w:rPr>
          <w:rFonts w:ascii="Calibri" w:hAnsi="Calibri"/>
          <w:b w:val="0"/>
          <w:i w:val="0"/>
          <w:color w:val="212121"/>
          <w:sz w:val="21"/>
        </w:rPr>
        <w:t>(5) By clinical activity - symptomatic clinical outbreaks versus subclinical (asymptomatic) viral shedding, the latter accounting for the majority of transmission.</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Herpes simplex virus type 1 (HSV-1): A double-stranded DNA alphaherpesvirus, the usual cause of orolabial herpes; transmitted mainly via saliva and oral contact and increasingly a cause of genital herpes through oro-genital contact.</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Herpes simplex virus type 2 (HSV-2): The principal cause of genital herpes, transmitted sexually (including during asymptomatic shedding), with a higher genital recurrence rate than HSV-1.</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Lifelong latency and reactivation: After primary infection the virus establishes lifelong latency in sensory ganglia (trigeminal for orolabial, sacral for genital) and periodically reactivates to cause recurrent lesions or asymptomatic shedding.</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Asymptomatic viral shedding: Most transmission occurs from people who are unaware they are infected, during subclinical shedding without visible lesions.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Sexual risk behaviours: Multiple partners, early sexual debut, inconsistent condom use and coexisting STIs increase HSV-2 acquisition and transmission.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Immunosuppression: HIV infection, organ transplantation, chemotherapy and corticosteroid therapy increase the frequency, severity, duration and dissemination of HSV disease.</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Reactivation triggers: Ultraviolet / sun exposure, fever and febrile illness, physical or emotional stress, menstruation and local trauma (dental work, lip procedures) precipitate recurrences.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Young reproductive-age adults</w:t>
            </w:r>
          </w:p>
        </w:tc>
        <w:tc>
          <w:tcPr>
            <w:tcW w:type="dxa" w:w="4276"/>
            <w:vAlign w:val="top"/>
          </w:tcPr>
          <w:p>
            <w:pPr>
              <w:spacing w:after="60" w:line="259" w:lineRule="auto"/>
            </w:pPr>
            <w:r>
              <w:rPr>
                <w:rFonts w:ascii="Calibri" w:hAnsi="Calibri"/>
                <w:b w:val="0"/>
                <w:i w:val="0"/>
                <w:color w:val="212121"/>
                <w:sz w:val="19"/>
              </w:rPr>
              <w:t>HSV-2 acquisition peaks in sexually active young adults as exposure begins with sexual debut; primary genital herpes is typically most florid at this age. Orolabial HSV-1 is often first acquired in childhood and adolescence.</w:t>
            </w:r>
          </w:p>
          <w:p>
            <w:pPr>
              <w:spacing w:after="40" w:before="60" w:line="259" w:lineRule="auto"/>
            </w:pPr>
            <w:r>
              <w:rPr>
                <w:rFonts w:ascii="Calibri" w:hAnsi="Calibri"/>
                <w:b w:val="0"/>
                <w:i w:val="0"/>
                <w:color w:val="212121"/>
                <w:sz w:val="19"/>
              </w:rPr>
              <w:t>Among married women in Mysore, HSV-2 seroprevalence rose from 5.4% at 15-20 years to 8.3% at 21-25 and 14.4% at 26+ years; prevalence consistently increases with age and cumulative sexual exposure.</w:t>
            </w:r>
          </w:p>
          <w:p>
            <w:pPr>
              <w:spacing w:after="40" w:line="252" w:lineRule="auto"/>
            </w:pPr>
            <w:hyperlink r:id="rId9">
              <w:r>
                <w:rPr>
                  <w:rFonts w:ascii="Calibri" w:hAnsi="Calibri" w:cs="Calibri"/>
                  <w:sz w:val="18"/>
                  <w:color w:val="1155CC"/>
                  <w:u w:val="single"/>
                </w:rPr>
                <w:t xml:space="preserve">pmc.ncbi.nlm.nih.gov - HSV-2 among married women, Mysore</w:t>
              </w:r>
            </w:hyperlink>
          </w:p>
          <w:p>
            <w:pPr>
              <w:spacing w:before="60" w:after="40"/>
            </w:pPr>
            <w:r>
              <w:rPr>
                <w:rFonts w:ascii="Calibri" w:hAnsi="Calibri"/>
                <w:b w:val="0"/>
                <w:i w:val="0"/>
                <w:color w:val="5A5A5A"/>
                <w:sz w:val="18"/>
              </w:rPr>
              <w:t>#herpes  #HSV2  #youngadults  #genitalherpes  #sexualdebut</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 older adults</w:t>
            </w:r>
          </w:p>
        </w:tc>
        <w:tc>
          <w:tcPr>
            <w:tcW w:type="dxa" w:w="4276"/>
            <w:vAlign w:val="top"/>
          </w:tcPr>
          <w:p>
            <w:pPr>
              <w:spacing w:after="60" w:line="259" w:lineRule="auto"/>
            </w:pPr>
            <w:r>
              <w:rPr>
                <w:rFonts w:ascii="Calibri" w:hAnsi="Calibri"/>
                <w:b w:val="0"/>
                <w:i w:val="0"/>
                <w:color w:val="212121"/>
                <w:sz w:val="19"/>
              </w:rPr>
              <w:t>Cumulative lifetime exposure means HSV seroprevalence is highest in older adults, and waning cell-mediated immunity (immunosenescence) can produce more frequent, severe or atypical reactivations; immunocompromised elders risk disseminated disease.</w:t>
            </w:r>
          </w:p>
          <w:p>
            <w:pPr>
              <w:spacing w:after="40" w:before="60" w:line="259" w:lineRule="auto"/>
            </w:pPr>
            <w:r>
              <w:rPr>
                <w:rFonts w:ascii="Calibri" w:hAnsi="Calibri"/>
                <w:b w:val="0"/>
                <w:i w:val="0"/>
                <w:color w:val="212121"/>
                <w:sz w:val="19"/>
              </w:rPr>
              <w:t>HSV-2 seroprevalence increases steadily with age in Indian community and population studies, and HSV-1 seroprevalence in Indian men rose significantly with age (about 48% overall).</w:t>
            </w:r>
          </w:p>
          <w:p>
            <w:pPr>
              <w:spacing w:after="40" w:line="252" w:lineRule="auto"/>
            </w:pPr>
            <w:hyperlink r:id="rId10">
              <w:r>
                <w:rPr>
                  <w:rFonts w:ascii="Calibri" w:hAnsi="Calibri" w:cs="Calibri"/>
                  <w:sz w:val="18"/>
                  <w:color w:val="1155CC"/>
                  <w:u w:val="single"/>
                </w:rPr>
                <w:t xml:space="preserve">phs.weill.cornell.edu - HSV-1/HSV-2 seroprevalence, Indian men</w:t>
              </w:r>
            </w:hyperlink>
          </w:p>
          <w:p>
            <w:pPr>
              <w:spacing w:before="60" w:after="40"/>
            </w:pPr>
            <w:r>
              <w:rPr>
                <w:rFonts w:ascii="Calibri" w:hAnsi="Calibri"/>
                <w:b w:val="0"/>
                <w:i w:val="0"/>
                <w:color w:val="5A5A5A"/>
                <w:sz w:val="18"/>
              </w:rPr>
              <w:t>#elderly  #immunosenescence  #reactivation  #severe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are biologically more susceptible to genital HSV-2 acquisition because of the larger, more vulnerable genital mucosal surface, and typically have more severe primary episodes; genital herpes in pregnancy also carries neonatal risk.</w:t>
            </w:r>
          </w:p>
          <w:p>
            <w:pPr>
              <w:spacing w:after="40" w:before="60" w:line="259" w:lineRule="auto"/>
            </w:pPr>
            <w:r>
              <w:rPr>
                <w:rFonts w:ascii="Calibri" w:hAnsi="Calibri"/>
                <w:b w:val="0"/>
                <w:i w:val="0"/>
                <w:color w:val="212121"/>
                <w:sz w:val="19"/>
              </w:rPr>
              <w:t>WHO estimates women are infected with HSV-2 almost twice as often as men; in a population-based Andhra Pradesh study HSV-2 was 7.07% in women versus 4.70% in men (adjusted OR ~1.54).</w:t>
            </w:r>
          </w:p>
          <w:p>
            <w:pPr>
              <w:spacing w:after="40" w:line="252" w:lineRule="auto"/>
            </w:pPr>
            <w:hyperlink r:id="rId11">
              <w:r>
                <w:rPr>
                  <w:rFonts w:ascii="Calibri" w:hAnsi="Calibri" w:cs="Calibri"/>
                  <w:sz w:val="18"/>
                  <w:color w:val="1155CC"/>
                  <w:u w:val="single"/>
                </w:rPr>
                <w:t xml:space="preserve">link.springer.com - population HSV-2 seroprevalence, Andhra Pradesh</w:t>
              </w:r>
            </w:hyperlink>
          </w:p>
          <w:p>
            <w:pPr>
              <w:spacing w:before="60" w:after="40"/>
            </w:pPr>
            <w:r>
              <w:rPr>
                <w:rFonts w:ascii="Calibri" w:hAnsi="Calibri"/>
                <w:b w:val="0"/>
                <w:i w:val="0"/>
                <w:color w:val="5A5A5A"/>
                <w:sz w:val="18"/>
              </w:rPr>
              <w:t>#female  #mucosalsusceptibility  #pregnancy  #genitalherpes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 education / low literacy</w:t>
            </w:r>
          </w:p>
        </w:tc>
        <w:tc>
          <w:tcPr>
            <w:tcW w:type="dxa" w:w="4276"/>
            <w:vAlign w:val="top"/>
          </w:tcPr>
          <w:p>
            <w:pPr>
              <w:spacing w:after="60" w:line="259" w:lineRule="auto"/>
            </w:pPr>
            <w:r>
              <w:rPr>
                <w:rFonts w:ascii="Calibri" w:hAnsi="Calibri"/>
                <w:b w:val="0"/>
                <w:i w:val="0"/>
                <w:color w:val="212121"/>
                <w:sz w:val="19"/>
              </w:rPr>
              <w:t>Lower education and literacy are linked to reduced awareness of transmission, later care-seeking and higher-risk sexual networks, raising HSV-2 acquisition risk.</w:t>
            </w:r>
          </w:p>
          <w:p>
            <w:pPr>
              <w:spacing w:after="40" w:before="60" w:line="259" w:lineRule="auto"/>
            </w:pPr>
            <w:r>
              <w:rPr>
                <w:rFonts w:ascii="Calibri" w:hAnsi="Calibri"/>
                <w:b w:val="0"/>
                <w:i w:val="0"/>
                <w:color w:val="212121"/>
                <w:sz w:val="19"/>
              </w:rPr>
              <w:t>Less education (0-7 vs &gt;7 years) independently predicted HSV-2 seropositivity in Mysore women, and low education (AOR ~3.7) predicted infection among pregnant women in Northeast India.</w:t>
            </w:r>
          </w:p>
          <w:p>
            <w:pPr>
              <w:spacing w:after="40" w:line="252" w:lineRule="auto"/>
            </w:pPr>
            <w:hyperlink r:id="rId12">
              <w:r>
                <w:rPr>
                  <w:rFonts w:ascii="Calibri" w:hAnsi="Calibri" w:cs="Calibri"/>
                  <w:sz w:val="18"/>
                  <w:color w:val="1155CC"/>
                  <w:u w:val="single"/>
                </w:rPr>
                <w:t xml:space="preserve">link.springer.com - HSV-2 in pregnant women, Northeast India</w:t>
              </w:r>
            </w:hyperlink>
          </w:p>
          <w:p>
            <w:pPr>
              <w:spacing w:before="60" w:after="40"/>
            </w:pPr>
            <w:r>
              <w:rPr>
                <w:rFonts w:ascii="Calibri" w:hAnsi="Calibri"/>
                <w:b w:val="0"/>
                <w:i w:val="0"/>
                <w:color w:val="5A5A5A"/>
                <w:sz w:val="18"/>
              </w:rPr>
              <w:t>#loweducation  #awareness  #lowSES  #healthaccess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Northeast India (Arunachal, Mizoram)</w:t>
            </w:r>
          </w:p>
        </w:tc>
        <w:tc>
          <w:tcPr>
            <w:tcW w:type="dxa" w:w="4276"/>
            <w:vAlign w:val="top"/>
          </w:tcPr>
          <w:p>
            <w:pPr>
              <w:spacing w:after="60" w:line="259" w:lineRule="auto"/>
            </w:pPr>
            <w:r>
              <w:rPr>
                <w:rFonts w:ascii="Calibri" w:hAnsi="Calibri"/>
                <w:b w:val="0"/>
                <w:i w:val="0"/>
                <w:color w:val="212121"/>
                <w:sz w:val="19"/>
              </w:rPr>
              <w:t>Parts of Northeast India show higher HSV-2 burden, reflecting local sexual-network patterns, overlap with HIV and injecting-drug-use corridors, and variable condom use.</w:t>
            </w:r>
          </w:p>
          <w:p>
            <w:pPr>
              <w:spacing w:after="40" w:before="60" w:line="259" w:lineRule="auto"/>
            </w:pPr>
            <w:r>
              <w:rPr>
                <w:rFonts w:ascii="Calibri" w:hAnsi="Calibri"/>
                <w:b w:val="0"/>
                <w:i w:val="0"/>
                <w:color w:val="212121"/>
                <w:sz w:val="19"/>
              </w:rPr>
              <w:t>Among pregnant women across five Northeastern states, overall HSV-2 seroprevalence was 8.7%, ranging from 2.7% in Manipur and 4.0% in Assam to 13.4% in Mizoram and 15.0% in Arunachal Pradesh.</w:t>
            </w:r>
          </w:p>
          <w:p>
            <w:pPr>
              <w:spacing w:after="40" w:line="252" w:lineRule="auto"/>
            </w:pPr>
            <w:hyperlink r:id="rId12">
              <w:r>
                <w:rPr>
                  <w:rFonts w:ascii="Calibri" w:hAnsi="Calibri" w:cs="Calibri"/>
                  <w:sz w:val="18"/>
                  <w:color w:val="1155CC"/>
                  <w:u w:val="single"/>
                </w:rPr>
                <w:t xml:space="preserve">link.springer.com - HSV-2 in pregnant women, Northeast India</w:t>
              </w:r>
            </w:hyperlink>
          </w:p>
          <w:p>
            <w:pPr>
              <w:spacing w:before="60" w:after="40"/>
            </w:pPr>
            <w:r>
              <w:rPr>
                <w:rFonts w:ascii="Calibri" w:hAnsi="Calibri"/>
                <w:b w:val="0"/>
                <w:i w:val="0"/>
                <w:color w:val="5A5A5A"/>
                <w:sz w:val="18"/>
              </w:rPr>
              <w:t>#northeastindia  #regional  #HSV2  #HIVoverlap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Care setting</w:t>
            </w:r>
          </w:p>
        </w:tc>
        <w:tc>
          <w:tcPr>
            <w:tcW w:type="dxa" w:w="2160"/>
            <w:vAlign w:val="top"/>
          </w:tcPr>
          <w:p>
            <w:pPr>
              <w:spacing w:after="40" w:before="0" w:line="259" w:lineRule="auto"/>
            </w:pPr>
            <w:r>
              <w:rPr>
                <w:rFonts w:ascii="Calibri" w:hAnsi="Calibri"/>
                <w:b w:val="0"/>
                <w:i w:val="0"/>
                <w:color w:val="212121"/>
                <w:sz w:val="19"/>
              </w:rPr>
              <w:t>Urban STI-clinic / high-STI-burden populations</w:t>
            </w:r>
          </w:p>
        </w:tc>
        <w:tc>
          <w:tcPr>
            <w:tcW w:type="dxa" w:w="4276"/>
            <w:vAlign w:val="top"/>
          </w:tcPr>
          <w:p>
            <w:pPr>
              <w:spacing w:after="60" w:line="259" w:lineRule="auto"/>
            </w:pPr>
            <w:r>
              <w:rPr>
                <w:rFonts w:ascii="Calibri" w:hAnsi="Calibri"/>
                <w:b w:val="0"/>
                <w:i w:val="0"/>
                <w:color w:val="212121"/>
                <w:sz w:val="19"/>
              </w:rPr>
              <w:t>Genital herpes is concentrated in and rising among people attending STI clinics in Indian cities, reflecting a broader shift from bacterial to viral genital ulcer disease.</w:t>
            </w:r>
          </w:p>
          <w:p>
            <w:pPr>
              <w:spacing w:after="40" w:before="60" w:line="259" w:lineRule="auto"/>
            </w:pPr>
            <w:r>
              <w:rPr>
                <w:rFonts w:ascii="Calibri" w:hAnsi="Calibri"/>
                <w:b w:val="0"/>
                <w:i w:val="0"/>
                <w:color w:val="212121"/>
                <w:sz w:val="19"/>
              </w:rPr>
              <w:t>Genital herpes among North Indian STI-clinic attendees rose roughly fourfold, from 5.7% in the early 1990s to 22.4% in 2000-2004; Rohtak reported a rise from 16.9% (2001) to 31.3% (2006).</w:t>
            </w:r>
          </w:p>
          <w:p>
            <w:pPr>
              <w:spacing w:after="40" w:line="252" w:lineRule="auto"/>
            </w:pPr>
            <w:hyperlink r:id="rId13">
              <w:r>
                <w:rPr>
                  <w:rFonts w:ascii="Calibri" w:hAnsi="Calibri" w:cs="Calibri"/>
                  <w:sz w:val="18"/>
                  <w:color w:val="1155CC"/>
                  <w:u w:val="single"/>
                </w:rPr>
                <w:t xml:space="preserve">ijdvl.com - emerging trends in viral STIs in India</w:t>
              </w:r>
            </w:hyperlink>
          </w:p>
          <w:p>
            <w:pPr>
              <w:spacing w:before="60" w:after="40"/>
            </w:pPr>
            <w:r>
              <w:rPr>
                <w:rFonts w:ascii="Calibri" w:hAnsi="Calibri"/>
                <w:b w:val="0"/>
                <w:i w:val="0"/>
                <w:color w:val="5A5A5A"/>
                <w:sz w:val="18"/>
              </w:rPr>
              <w:t>#STIclinic  #urban  #risingtrend  #GUD</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Sexual behaviour</w:t>
            </w:r>
          </w:p>
        </w:tc>
        <w:tc>
          <w:tcPr>
            <w:tcW w:type="dxa" w:w="2160"/>
            <w:vAlign w:val="top"/>
          </w:tcPr>
          <w:p>
            <w:pPr>
              <w:spacing w:after="40" w:before="0" w:line="259" w:lineRule="auto"/>
            </w:pPr>
            <w:r>
              <w:rPr>
                <w:rFonts w:ascii="Calibri" w:hAnsi="Calibri"/>
                <w:b w:val="0"/>
                <w:i w:val="0"/>
                <w:color w:val="212121"/>
                <w:sz w:val="19"/>
              </w:rPr>
              <w:t>Multiple partners / unprotected sex</w:t>
            </w:r>
          </w:p>
        </w:tc>
        <w:tc>
          <w:tcPr>
            <w:tcW w:type="dxa" w:w="4276"/>
            <w:vAlign w:val="top"/>
          </w:tcPr>
          <w:p>
            <w:pPr>
              <w:spacing w:after="60" w:line="259" w:lineRule="auto"/>
            </w:pPr>
            <w:r>
              <w:rPr>
                <w:rFonts w:ascii="Calibri" w:hAnsi="Calibri"/>
                <w:b w:val="0"/>
                <w:i w:val="0"/>
                <w:color w:val="212121"/>
                <w:sz w:val="19"/>
              </w:rPr>
              <w:t>Multiple lifetime sexual partners, condom non-use and coexisting STIs greatly increase exposure to HSV-2 and to HSV-1 genital infection; asymptomatic shedding sustains transmission.</w:t>
            </w:r>
          </w:p>
          <w:p>
            <w:pPr>
              <w:spacing w:after="40" w:before="60" w:line="259" w:lineRule="auto"/>
            </w:pPr>
            <w:r>
              <w:rPr>
                <w:rFonts w:ascii="Calibri" w:hAnsi="Calibri"/>
                <w:b w:val="0"/>
                <w:i w:val="0"/>
                <w:color w:val="212121"/>
                <w:sz w:val="19"/>
              </w:rPr>
              <w:t>In Northeast Indian pregnant women, condom non-use (AOR ~4.7) and multiple sex partners (AOR ~2.5) were strong independent predictors of HSV-2 infection.</w:t>
            </w:r>
          </w:p>
          <w:p>
            <w:pPr>
              <w:spacing w:after="40" w:line="252" w:lineRule="auto"/>
            </w:pPr>
            <w:hyperlink r:id="rId12">
              <w:r>
                <w:rPr>
                  <w:rFonts w:ascii="Calibri" w:hAnsi="Calibri" w:cs="Calibri"/>
                  <w:sz w:val="18"/>
                  <w:color w:val="1155CC"/>
                  <w:u w:val="single"/>
                </w:rPr>
                <w:t xml:space="preserve">link.springer.com - HSV-2 risk factors, Northeast India</w:t>
              </w:r>
            </w:hyperlink>
          </w:p>
          <w:p>
            <w:pPr>
              <w:spacing w:before="60" w:after="40"/>
            </w:pPr>
            <w:r>
              <w:rPr>
                <w:rFonts w:ascii="Calibri" w:hAnsi="Calibri"/>
                <w:b w:val="0"/>
                <w:i w:val="0"/>
                <w:color w:val="5A5A5A"/>
                <w:sz w:val="18"/>
              </w:rPr>
              <w:t>#multiplepartners  #condomnonuse  #unsafesex  #transmission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Key populations</w:t>
            </w:r>
          </w:p>
        </w:tc>
        <w:tc>
          <w:tcPr>
            <w:tcW w:type="dxa" w:w="2160"/>
            <w:vAlign w:val="top"/>
          </w:tcPr>
          <w:p>
            <w:pPr>
              <w:spacing w:after="40" w:before="0" w:line="259" w:lineRule="auto"/>
            </w:pPr>
            <w:r>
              <w:rPr>
                <w:rFonts w:ascii="Calibri" w:hAnsi="Calibri"/>
                <w:b w:val="0"/>
                <w:i w:val="0"/>
                <w:color w:val="212121"/>
                <w:sz w:val="19"/>
              </w:rPr>
              <w:t>Sex workers, MSM, transgender persons</w:t>
            </w:r>
          </w:p>
        </w:tc>
        <w:tc>
          <w:tcPr>
            <w:tcW w:type="dxa" w:w="4276"/>
            <w:vAlign w:val="top"/>
          </w:tcPr>
          <w:p>
            <w:pPr>
              <w:spacing w:after="60" w:line="259" w:lineRule="auto"/>
            </w:pPr>
            <w:r>
              <w:rPr>
                <w:rFonts w:ascii="Calibri" w:hAnsi="Calibri"/>
                <w:b w:val="0"/>
                <w:i w:val="0"/>
                <w:color w:val="212121"/>
                <w:sz w:val="19"/>
              </w:rPr>
              <w:t>Concentrated sexual networks, higher partner turnover and overlapping HIV risk make HSV-2 seroprevalence markedly high in key populations, who also act as reservoirs for onward transmission.</w:t>
            </w:r>
          </w:p>
          <w:p>
            <w:pPr>
              <w:spacing w:after="40" w:before="60" w:line="259" w:lineRule="auto"/>
            </w:pPr>
            <w:r>
              <w:rPr>
                <w:rFonts w:ascii="Calibri" w:hAnsi="Calibri"/>
                <w:b w:val="0"/>
                <w:i w:val="0"/>
                <w:color w:val="212121"/>
                <w:sz w:val="19"/>
              </w:rPr>
              <w:t>Indian data show HSV-2 seroprevalence of ~38% in Chennai and 57.2% in Goa female sex workers, ~40% in Mumbai MSM and ~71% in Mumbai transgender persons.</w:t>
            </w:r>
          </w:p>
          <w:p>
            <w:pPr>
              <w:spacing w:after="40" w:line="252" w:lineRule="auto"/>
            </w:pPr>
            <w:hyperlink r:id="rId13">
              <w:r>
                <w:rPr>
                  <w:rFonts w:ascii="Calibri" w:hAnsi="Calibri" w:cs="Calibri"/>
                  <w:sz w:val="18"/>
                  <w:color w:val="1155CC"/>
                  <w:u w:val="single"/>
                </w:rPr>
                <w:t xml:space="preserve">ijdvl.com - emerging trends in viral STIs in India</w:t>
              </w:r>
            </w:hyperlink>
          </w:p>
          <w:p>
            <w:pPr>
              <w:spacing w:before="60" w:after="40"/>
            </w:pPr>
            <w:r>
              <w:rPr>
                <w:rFonts w:ascii="Calibri" w:hAnsi="Calibri"/>
                <w:b w:val="0"/>
                <w:i w:val="0"/>
                <w:color w:val="5A5A5A"/>
                <w:sz w:val="18"/>
              </w:rPr>
              <w:t>#keypopulations  #FSW  #MSM  #transgender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Early sexual debut</w:t>
            </w:r>
          </w:p>
        </w:tc>
        <w:tc>
          <w:tcPr>
            <w:tcW w:type="dxa" w:w="2160"/>
            <w:vAlign w:val="top"/>
          </w:tcPr>
          <w:p>
            <w:pPr>
              <w:spacing w:after="40" w:before="0" w:line="259" w:lineRule="auto"/>
            </w:pPr>
            <w:r>
              <w:rPr>
                <w:rFonts w:ascii="Calibri" w:hAnsi="Calibri"/>
                <w:b w:val="0"/>
                <w:i w:val="0"/>
                <w:color w:val="212121"/>
                <w:sz w:val="19"/>
              </w:rPr>
              <w:t>Sexual initiation before age 18</w:t>
            </w:r>
          </w:p>
        </w:tc>
        <w:tc>
          <w:tcPr>
            <w:tcW w:type="dxa" w:w="4276"/>
            <w:vAlign w:val="top"/>
          </w:tcPr>
          <w:p>
            <w:pPr>
              <w:spacing w:after="60" w:line="259" w:lineRule="auto"/>
            </w:pPr>
            <w:r>
              <w:rPr>
                <w:rFonts w:ascii="Calibri" w:hAnsi="Calibri"/>
                <w:b w:val="0"/>
                <w:i w:val="0"/>
                <w:color w:val="212121"/>
                <w:sz w:val="19"/>
              </w:rPr>
              <w:t>Early sexual debut lengthens the exposure window, is associated with more lifetime partners, and correlates with reduced negotiating power for safer sex, all raising HSV-2 risk.</w:t>
            </w:r>
          </w:p>
          <w:p>
            <w:pPr>
              <w:spacing w:after="40" w:before="60" w:line="259" w:lineRule="auto"/>
            </w:pPr>
            <w:r>
              <w:rPr>
                <w:rFonts w:ascii="Calibri" w:hAnsi="Calibri"/>
                <w:b w:val="0"/>
                <w:i w:val="0"/>
                <w:color w:val="212121"/>
                <w:sz w:val="19"/>
              </w:rPr>
              <w:t>First intercourse before age 18 was the strongest independent predictor of HSV-2 among Northeast Indian pregnant women (AOR ~9.6).</w:t>
            </w:r>
          </w:p>
          <w:p>
            <w:pPr>
              <w:spacing w:after="40" w:line="252" w:lineRule="auto"/>
            </w:pPr>
            <w:hyperlink r:id="rId12">
              <w:r>
                <w:rPr>
                  <w:rFonts w:ascii="Calibri" w:hAnsi="Calibri" w:cs="Calibri"/>
                  <w:sz w:val="18"/>
                  <w:color w:val="1155CC"/>
                  <w:u w:val="single"/>
                </w:rPr>
                <w:t xml:space="preserve">link.springer.com - HSV-2 risk factors, Northeast India</w:t>
              </w:r>
            </w:hyperlink>
          </w:p>
          <w:p>
            <w:pPr>
              <w:spacing w:before="60" w:after="40"/>
            </w:pPr>
            <w:r>
              <w:rPr>
                <w:rFonts w:ascii="Calibri" w:hAnsi="Calibri"/>
                <w:b w:val="0"/>
                <w:i w:val="0"/>
                <w:color w:val="5A5A5A"/>
                <w:sz w:val="18"/>
              </w:rPr>
              <w:t>#earlydebut  #exposurewindow  #adolescents  #HSV2</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Tobacco / substance use</w:t>
            </w:r>
          </w:p>
        </w:tc>
        <w:tc>
          <w:tcPr>
            <w:tcW w:type="dxa" w:w="2160"/>
            <w:vAlign w:val="top"/>
          </w:tcPr>
          <w:p>
            <w:pPr>
              <w:spacing w:after="40" w:before="0" w:line="259" w:lineRule="auto"/>
            </w:pPr>
            <w:r>
              <w:rPr>
                <w:rFonts w:ascii="Calibri" w:hAnsi="Calibri"/>
                <w:b w:val="0"/>
                <w:i w:val="0"/>
                <w:color w:val="212121"/>
                <w:sz w:val="19"/>
              </w:rPr>
              <w:t>Tobacco users and people who inject drugs</w:t>
            </w:r>
          </w:p>
        </w:tc>
        <w:tc>
          <w:tcPr>
            <w:tcW w:type="dxa" w:w="4276"/>
            <w:vAlign w:val="top"/>
          </w:tcPr>
          <w:p>
            <w:pPr>
              <w:spacing w:after="60" w:line="259" w:lineRule="auto"/>
            </w:pPr>
            <w:r>
              <w:rPr>
                <w:rFonts w:ascii="Calibri" w:hAnsi="Calibri"/>
                <w:b w:val="0"/>
                <w:i w:val="0"/>
                <w:color w:val="212121"/>
                <w:sz w:val="19"/>
              </w:rPr>
              <w:t>Tobacco and substance use cluster with higher-risk sexual behaviour and impaired mucosal immunity; injecting-drug networks strongly overlap with HSV-2 and HIV.</w:t>
            </w:r>
          </w:p>
          <w:p>
            <w:pPr>
              <w:spacing w:after="40" w:before="60" w:line="259" w:lineRule="auto"/>
            </w:pPr>
            <w:r>
              <w:rPr>
                <w:rFonts w:ascii="Calibri" w:hAnsi="Calibri"/>
                <w:b w:val="0"/>
                <w:i w:val="0"/>
                <w:color w:val="212121"/>
                <w:sz w:val="19"/>
              </w:rPr>
              <w:t>In population data from Andhra Pradesh, tobacco use and tattooing were independent risk markers for HSV-2 in men; South Indian injecting drug users show HSV-2 seroprevalence around 40%.</w:t>
            </w:r>
          </w:p>
          <w:p>
            <w:pPr>
              <w:spacing w:after="40" w:line="252" w:lineRule="auto"/>
            </w:pPr>
            <w:hyperlink r:id="rId11">
              <w:r>
                <w:rPr>
                  <w:rFonts w:ascii="Calibri" w:hAnsi="Calibri" w:cs="Calibri"/>
                  <w:sz w:val="18"/>
                  <w:color w:val="1155CC"/>
                  <w:u w:val="single"/>
                </w:rPr>
                <w:t xml:space="preserve">link.springer.com - HSV-2 risk factors, Andhra Pradesh</w:t>
              </w:r>
            </w:hyperlink>
          </w:p>
          <w:p>
            <w:pPr>
              <w:spacing w:before="60" w:after="40"/>
            </w:pPr>
            <w:r>
              <w:rPr>
                <w:rFonts w:ascii="Calibri" w:hAnsi="Calibri"/>
                <w:b w:val="0"/>
                <w:i w:val="0"/>
                <w:color w:val="5A5A5A"/>
                <w:sz w:val="18"/>
              </w:rPr>
              <w:t>#tobacco  #substanceuse  #injectingdruguse  #mucosalimmunity</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Undernutrition / micronutrient deficiency</w:t>
            </w:r>
          </w:p>
        </w:tc>
        <w:tc>
          <w:tcPr>
            <w:tcW w:type="dxa" w:w="2160"/>
            <w:vAlign w:val="top"/>
          </w:tcPr>
          <w:p>
            <w:pPr>
              <w:spacing w:after="40" w:before="0" w:line="259" w:lineRule="auto"/>
            </w:pPr>
            <w:r>
              <w:rPr>
                <w:rFonts w:ascii="Calibri" w:hAnsi="Calibri"/>
                <w:b w:val="0"/>
                <w:i w:val="0"/>
                <w:color w:val="212121"/>
                <w:sz w:val="19"/>
              </w:rPr>
              <w:t>Malnourished, deficient in zinc / vitamins</w:t>
            </w:r>
          </w:p>
        </w:tc>
        <w:tc>
          <w:tcPr>
            <w:tcW w:type="dxa" w:w="4276"/>
            <w:vAlign w:val="top"/>
          </w:tcPr>
          <w:p>
            <w:pPr>
              <w:spacing w:after="60" w:line="259" w:lineRule="auto"/>
            </w:pPr>
            <w:r>
              <w:rPr>
                <w:rFonts w:ascii="Calibri" w:hAnsi="Calibri"/>
                <w:b w:val="0"/>
                <w:i w:val="0"/>
                <w:color w:val="212121"/>
                <w:sz w:val="19"/>
              </w:rPr>
              <w:t>Protein-energy malnutrition and deficiencies of zinc, vitamin C and vitamin D impair cell-mediated immunity, which controls HSV latency; deficient hosts tend to have more frequent, prolonged or severe recurrences.</w:t>
            </w:r>
          </w:p>
          <w:p>
            <w:pPr>
              <w:spacing w:after="40" w:before="60" w:line="259" w:lineRule="auto"/>
            </w:pPr>
            <w:r>
              <w:rPr>
                <w:rFonts w:ascii="Calibri" w:hAnsi="Calibri"/>
                <w:b w:val="0"/>
                <w:i w:val="0"/>
                <w:color w:val="212121"/>
                <w:sz w:val="19"/>
              </w:rPr>
              <w:t>Impaired cell-mediated immunity is a recognised driver of more frequent and severe HSV reactivation; correcting undernutrition supports immune control (general clinical evidence).</w:t>
            </w:r>
          </w:p>
          <w:p>
            <w:pPr>
              <w:spacing w:before="60" w:after="40"/>
            </w:pPr>
            <w:r>
              <w:rPr>
                <w:rFonts w:ascii="Calibri" w:hAnsi="Calibri"/>
                <w:b w:val="0"/>
                <w:i w:val="0"/>
                <w:color w:val="5A5A5A"/>
                <w:sz w:val="18"/>
              </w:rPr>
              <w:t>#malnutrition  #zinc  #vitaminD  #cellmediatedimmunity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Dietary triggers (lysine / arginine)</w:t>
            </w:r>
          </w:p>
        </w:tc>
        <w:tc>
          <w:tcPr>
            <w:tcW w:type="dxa" w:w="2160"/>
            <w:vAlign w:val="top"/>
          </w:tcPr>
          <w:p>
            <w:pPr>
              <w:spacing w:after="40" w:before="0" w:line="259" w:lineRule="auto"/>
            </w:pPr>
            <w:r>
              <w:rPr>
                <w:rFonts w:ascii="Calibri" w:hAnsi="Calibri"/>
                <w:b w:val="0"/>
                <w:i w:val="0"/>
                <w:color w:val="212121"/>
                <w:sz w:val="19"/>
              </w:rPr>
              <w:t>People reporting food-related recurrences</w:t>
            </w:r>
          </w:p>
        </w:tc>
        <w:tc>
          <w:tcPr>
            <w:tcW w:type="dxa" w:w="4276"/>
            <w:vAlign w:val="top"/>
          </w:tcPr>
          <w:p>
            <w:pPr>
              <w:spacing w:after="60" w:line="259" w:lineRule="auto"/>
            </w:pPr>
            <w:r>
              <w:rPr>
                <w:rFonts w:ascii="Calibri" w:hAnsi="Calibri"/>
                <w:b w:val="0"/>
                <w:i w:val="0"/>
                <w:color w:val="212121"/>
                <w:sz w:val="19"/>
              </w:rPr>
              <w:t>An arginine-rich diet is hypothesised to favour, and lysine to inhibit, HSV replication in vitro, but clinical trial evidence that lysine supplementation prevents recurrences is weak and inconsistent; diet is at most a minor modifier.</w:t>
            </w:r>
          </w:p>
          <w:p>
            <w:pPr>
              <w:spacing w:after="40" w:before="60" w:line="259" w:lineRule="auto"/>
            </w:pPr>
            <w:r>
              <w:rPr>
                <w:rFonts w:ascii="Calibri" w:hAnsi="Calibri"/>
                <w:b w:val="0"/>
                <w:i w:val="0"/>
                <w:color w:val="212121"/>
                <w:sz w:val="19"/>
              </w:rPr>
              <w:t>Evidence for lysine supplementation or arginine restriction preventing herpes recurrence is limited and inconsistent; it should not replace antiviral therapy (general clinical statement).</w:t>
            </w:r>
          </w:p>
          <w:p>
            <w:pPr>
              <w:spacing w:before="60" w:after="40"/>
            </w:pPr>
            <w:r>
              <w:rPr>
                <w:rFonts w:ascii="Calibri" w:hAnsi="Calibri"/>
                <w:b w:val="0"/>
                <w:i w:val="0"/>
                <w:color w:val="5A5A5A"/>
                <w:sz w:val="18"/>
              </w:rPr>
              <w:t>#lysine  #arginine  #dietarytrigger  #weakevidence</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Host immunogenetic susceptibility</w:t>
            </w:r>
          </w:p>
        </w:tc>
        <w:tc>
          <w:tcPr>
            <w:tcW w:type="dxa" w:w="2160"/>
            <w:vAlign w:val="top"/>
          </w:tcPr>
          <w:p>
            <w:pPr>
              <w:spacing w:after="40" w:before="0" w:line="259" w:lineRule="auto"/>
            </w:pPr>
            <w:r>
              <w:rPr>
                <w:rFonts w:ascii="Calibri" w:hAnsi="Calibri"/>
                <w:b w:val="0"/>
                <w:i w:val="0"/>
                <w:color w:val="212121"/>
                <w:sz w:val="19"/>
              </w:rPr>
              <w:t>HLA / innate-immunity variants</w:t>
            </w:r>
          </w:p>
        </w:tc>
        <w:tc>
          <w:tcPr>
            <w:tcW w:type="dxa" w:w="4276"/>
            <w:vAlign w:val="top"/>
          </w:tcPr>
          <w:p>
            <w:pPr>
              <w:spacing w:after="60" w:line="259" w:lineRule="auto"/>
            </w:pPr>
            <w:r>
              <w:rPr>
                <w:rFonts w:ascii="Calibri" w:hAnsi="Calibri"/>
                <w:b w:val="0"/>
                <w:i w:val="0"/>
                <w:color w:val="212121"/>
                <w:sz w:val="19"/>
              </w:rPr>
              <w:t>Host genetic variation in HLA type, cytokine and innate-immune genes influences susceptibility to infection and the frequency and severity of reactivation; rare inborn errors of the TLR3 interferon pathway predispose specifically to HSV-1 encephalitis.</w:t>
            </w:r>
          </w:p>
          <w:p>
            <w:pPr>
              <w:spacing w:after="40" w:before="60" w:line="259" w:lineRule="auto"/>
            </w:pPr>
            <w:r>
              <w:rPr>
                <w:rFonts w:ascii="Calibri" w:hAnsi="Calibri"/>
                <w:b w:val="0"/>
                <w:i w:val="0"/>
                <w:color w:val="212121"/>
                <w:sz w:val="19"/>
              </w:rPr>
              <w:t>Inherited defects of the TLR3-interferon pathway are established, well-characterised risk factors for childhood herpes simplex encephalitis (general clinical evidence).</w:t>
            </w:r>
          </w:p>
          <w:p>
            <w:pPr>
              <w:spacing w:before="60" w:after="40"/>
            </w:pPr>
            <w:r>
              <w:rPr>
                <w:rFonts w:ascii="Calibri" w:hAnsi="Calibri"/>
                <w:b w:val="0"/>
                <w:i w:val="0"/>
                <w:color w:val="5A5A5A"/>
                <w:sz w:val="18"/>
              </w:rPr>
              <w:t>#HLA  #TLR3  #hostgenetics  #encephalitissusceptibility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HIV infection</w:t>
            </w:r>
          </w:p>
        </w:tc>
        <w:tc>
          <w:tcPr>
            <w:tcW w:type="dxa" w:w="2160"/>
            <w:vAlign w:val="top"/>
          </w:tcPr>
          <w:p>
            <w:pPr>
              <w:spacing w:after="40" w:before="0" w:line="259" w:lineRule="auto"/>
            </w:pPr>
            <w:r>
              <w:rPr>
                <w:rFonts w:ascii="Calibri" w:hAnsi="Calibri"/>
                <w:b w:val="0"/>
                <w:i w:val="0"/>
                <w:color w:val="212121"/>
                <w:sz w:val="19"/>
              </w:rPr>
              <w:t>People living with HIV / immunosuppression</w:t>
            </w:r>
          </w:p>
        </w:tc>
        <w:tc>
          <w:tcPr>
            <w:tcW w:type="dxa" w:w="4276"/>
            <w:vAlign w:val="top"/>
          </w:tcPr>
          <w:p>
            <w:pPr>
              <w:spacing w:after="60" w:line="259" w:lineRule="auto"/>
            </w:pPr>
            <w:r>
              <w:rPr>
                <w:rFonts w:ascii="Calibri" w:hAnsi="Calibri"/>
                <w:b w:val="0"/>
                <w:i w:val="0"/>
                <w:color w:val="212121"/>
                <w:sz w:val="19"/>
              </w:rPr>
              <w:t>HSV-2 and HIV are strongly, bidirectionally linked: HSV-2 genital ulceration provides a portal for HIV and recruits HIV-target cells (roughly tripling HIV acquisition risk), while HIV-related immunosuppression causes more frequent, chronic, extensive, ulcerative and drug-resistant HSV disease.</w:t>
            </w:r>
          </w:p>
          <w:p>
            <w:pPr>
              <w:spacing w:after="40" w:before="60" w:line="259" w:lineRule="auto"/>
            </w:pPr>
            <w:r>
              <w:rPr>
                <w:rFonts w:ascii="Calibri" w:hAnsi="Calibri"/>
                <w:b w:val="0"/>
                <w:i w:val="0"/>
                <w:color w:val="212121"/>
                <w:sz w:val="19"/>
              </w:rPr>
              <w:t>WHO notes HSV-2 increases HIV acquisition risk about three-fold; in a population-based Andhra Pradesh study HIV was the strongest correlate of HSV-2 (ORs ~8.2-14.2).</w:t>
            </w:r>
          </w:p>
          <w:p>
            <w:pPr>
              <w:spacing w:after="40" w:line="252" w:lineRule="auto"/>
            </w:pPr>
            <w:hyperlink r:id="rId11">
              <w:r>
                <w:rPr>
                  <w:rFonts w:ascii="Calibri" w:hAnsi="Calibri" w:cs="Calibri"/>
                  <w:sz w:val="18"/>
                  <w:color w:val="1155CC"/>
                  <w:u w:val="single"/>
                </w:rPr>
                <w:t xml:space="preserve">link.springer.com - HSV-2 and HIV, Andhra Pradesh</w:t>
              </w:r>
            </w:hyperlink>
          </w:p>
          <w:p>
            <w:pPr>
              <w:spacing w:before="60" w:after="40"/>
            </w:pPr>
            <w:r>
              <w:rPr>
                <w:rFonts w:ascii="Calibri" w:hAnsi="Calibri"/>
                <w:b w:val="0"/>
                <w:i w:val="0"/>
                <w:color w:val="5A5A5A"/>
                <w:sz w:val="18"/>
              </w:rPr>
              <w:t>#HIV  #coinfection  #immunosuppression  #genitalulcer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Pregnancy</w:t>
            </w:r>
          </w:p>
        </w:tc>
        <w:tc>
          <w:tcPr>
            <w:tcW w:type="dxa" w:w="2160"/>
            <w:vAlign w:val="top"/>
          </w:tcPr>
          <w:p>
            <w:pPr>
              <w:spacing w:after="40" w:before="0" w:line="259" w:lineRule="auto"/>
            </w:pPr>
            <w:r>
              <w:rPr>
                <w:rFonts w:ascii="Calibri" w:hAnsi="Calibri"/>
                <w:b w:val="0"/>
                <w:i w:val="0"/>
                <w:color w:val="212121"/>
                <w:sz w:val="19"/>
              </w:rPr>
              <w:t>Pregnant women (especially near delivery)</w:t>
            </w:r>
          </w:p>
        </w:tc>
        <w:tc>
          <w:tcPr>
            <w:tcW w:type="dxa" w:w="4276"/>
            <w:vAlign w:val="top"/>
          </w:tcPr>
          <w:p>
            <w:pPr>
              <w:spacing w:after="60" w:line="259" w:lineRule="auto"/>
            </w:pPr>
            <w:r>
              <w:rPr>
                <w:rFonts w:ascii="Calibri" w:hAnsi="Calibri"/>
                <w:b w:val="0"/>
                <w:i w:val="0"/>
                <w:color w:val="212121"/>
                <w:sz w:val="19"/>
              </w:rPr>
              <w:t>Genital HSV in pregnancy, above all a primary infection acquired in the third trimester, can be transmitted to the newborn at delivery, causing neonatal herpes; this drives screening, suppressive therapy from 36 weeks and caesarean decisions when lesions are present.</w:t>
            </w:r>
          </w:p>
          <w:p>
            <w:pPr>
              <w:spacing w:after="40" w:before="60" w:line="259" w:lineRule="auto"/>
            </w:pPr>
            <w:r>
              <w:rPr>
                <w:rFonts w:ascii="Calibri" w:hAnsi="Calibri"/>
                <w:b w:val="0"/>
                <w:i w:val="0"/>
                <w:color w:val="212121"/>
                <w:sz w:val="19"/>
              </w:rPr>
              <w:t>Neonatal herpes is rare, occurring in an estimated 10 per 100,000 births globally, but carries high morbidity and mortality; HSV-2 among Indian pregnant women averages ~8.7% in the Northeast.</w:t>
            </w:r>
          </w:p>
          <w:p>
            <w:pPr>
              <w:spacing w:after="40" w:line="252" w:lineRule="auto"/>
            </w:pPr>
            <w:hyperlink r:id="rId14">
              <w:r>
                <w:rPr>
                  <w:rFonts w:ascii="Calibri" w:hAnsi="Calibri" w:cs="Calibri"/>
                  <w:sz w:val="18"/>
                  <w:color w:val="1155CC"/>
                  <w:u w:val="single"/>
                </w:rPr>
                <w:t xml:space="preserve">who.int - herpes simplex virus fact sheet (neonatal herpes)</w:t>
              </w:r>
            </w:hyperlink>
          </w:p>
          <w:p>
            <w:pPr>
              <w:spacing w:before="60" w:after="40"/>
            </w:pPr>
            <w:r>
              <w:rPr>
                <w:rFonts w:ascii="Calibri" w:hAnsi="Calibri"/>
                <w:b w:val="0"/>
                <w:i w:val="0"/>
                <w:color w:val="5A5A5A"/>
                <w:sz w:val="18"/>
              </w:rPr>
              <w:t>#pregnancy  #neonatalherpes  #thirdtrimester  #caesarean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Atopic dermatitis / eczema</w:t>
            </w:r>
          </w:p>
        </w:tc>
        <w:tc>
          <w:tcPr>
            <w:tcW w:type="dxa" w:w="2160"/>
            <w:vAlign w:val="top"/>
          </w:tcPr>
          <w:p>
            <w:pPr>
              <w:spacing w:after="40" w:before="0" w:line="259" w:lineRule="auto"/>
            </w:pPr>
            <w:r>
              <w:rPr>
                <w:rFonts w:ascii="Calibri" w:hAnsi="Calibri"/>
                <w:b w:val="0"/>
                <w:i w:val="0"/>
                <w:color w:val="212121"/>
                <w:sz w:val="19"/>
              </w:rPr>
              <w:t>Patients with eczema or a disrupted skin barrier</w:t>
            </w:r>
          </w:p>
        </w:tc>
        <w:tc>
          <w:tcPr>
            <w:tcW w:type="dxa" w:w="4276"/>
            <w:vAlign w:val="top"/>
          </w:tcPr>
          <w:p>
            <w:pPr>
              <w:spacing w:after="60" w:line="259" w:lineRule="auto"/>
            </w:pPr>
            <w:r>
              <w:rPr>
                <w:rFonts w:ascii="Calibri" w:hAnsi="Calibri"/>
                <w:b w:val="0"/>
                <w:i w:val="0"/>
                <w:color w:val="212121"/>
                <w:sz w:val="19"/>
              </w:rPr>
              <w:t>A defective skin barrier allows HSV to spread widely across affected skin, producing eczema herpeticum - a rapidly disseminating, monomorphic, punched-out vesicular eruption that can become a medical emergency.</w:t>
            </w:r>
          </w:p>
          <w:p>
            <w:pPr>
              <w:spacing w:after="40" w:before="60" w:line="259" w:lineRule="auto"/>
            </w:pPr>
            <w:r>
              <w:rPr>
                <w:rFonts w:ascii="Calibri" w:hAnsi="Calibri"/>
                <w:b w:val="0"/>
                <w:i w:val="0"/>
                <w:color w:val="212121"/>
                <w:sz w:val="19"/>
              </w:rPr>
              <w:t>Eczema herpeticum is a recognised dermatological emergency complicating atopic dermatitis and other barrier-disrupting skin diseases (general clinical evidence).</w:t>
            </w:r>
          </w:p>
          <w:p>
            <w:pPr>
              <w:spacing w:before="60" w:after="40"/>
            </w:pPr>
            <w:r>
              <w:rPr>
                <w:rFonts w:ascii="Calibri" w:hAnsi="Calibri"/>
                <w:b w:val="0"/>
                <w:i w:val="0"/>
                <w:color w:val="5A5A5A"/>
                <w:sz w:val="18"/>
              </w:rPr>
              <w:t>#atopicdermatitis  #eczemaherpeticum  #barrierdefect  #disseminated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Other sexually transmitted infections</w:t>
            </w:r>
          </w:p>
        </w:tc>
        <w:tc>
          <w:tcPr>
            <w:tcW w:type="dxa" w:w="2160"/>
            <w:vAlign w:val="top"/>
          </w:tcPr>
          <w:p>
            <w:pPr>
              <w:spacing w:after="40" w:before="0" w:line="259" w:lineRule="auto"/>
            </w:pPr>
            <w:r>
              <w:rPr>
                <w:rFonts w:ascii="Calibri" w:hAnsi="Calibri"/>
                <w:b w:val="0"/>
                <w:i w:val="0"/>
                <w:color w:val="212121"/>
                <w:sz w:val="19"/>
              </w:rPr>
              <w:t>Coexisting syphilis, trichomoniasis, bacterial vaginosis</w:t>
            </w:r>
          </w:p>
        </w:tc>
        <w:tc>
          <w:tcPr>
            <w:tcW w:type="dxa" w:w="4276"/>
            <w:vAlign w:val="top"/>
          </w:tcPr>
          <w:p>
            <w:pPr>
              <w:spacing w:after="60" w:line="259" w:lineRule="auto"/>
            </w:pPr>
            <w:r>
              <w:rPr>
                <w:rFonts w:ascii="Calibri" w:hAnsi="Calibri"/>
                <w:b w:val="0"/>
                <w:i w:val="0"/>
                <w:color w:val="212121"/>
                <w:sz w:val="19"/>
              </w:rPr>
              <w:t>Genital inflammation and ulceration from other STIs share transmission routes with HSV-2 and facilitate its acquisition; co-infection is common and alters management of genital ulcer disease.</w:t>
            </w:r>
          </w:p>
          <w:p>
            <w:pPr>
              <w:spacing w:after="40" w:before="60" w:line="259" w:lineRule="auto"/>
            </w:pPr>
            <w:r>
              <w:rPr>
                <w:rFonts w:ascii="Calibri" w:hAnsi="Calibri"/>
                <w:b w:val="0"/>
                <w:i w:val="0"/>
                <w:color w:val="212121"/>
                <w:sz w:val="19"/>
              </w:rPr>
              <w:t>In Mysore women, HSV-2 was independently associated with a history of genital ulcers (OR ~2.3), trichomoniasis (OR ~3.2) and bacterial vaginosis (OR ~1.8).</w:t>
            </w:r>
          </w:p>
          <w:p>
            <w:pPr>
              <w:spacing w:after="40" w:line="252" w:lineRule="auto"/>
            </w:pPr>
            <w:hyperlink r:id="rId9">
              <w:r>
                <w:rPr>
                  <w:rFonts w:ascii="Calibri" w:hAnsi="Calibri" w:cs="Calibri"/>
                  <w:sz w:val="18"/>
                  <w:color w:val="1155CC"/>
                  <w:u w:val="single"/>
                </w:rPr>
                <w:t xml:space="preserve">pmc.ncbi.nlm.nih.gov - HSV-2 and coexisting STIs, Mysore</w:t>
              </w:r>
            </w:hyperlink>
          </w:p>
          <w:p>
            <w:pPr>
              <w:spacing w:before="60" w:after="40"/>
            </w:pPr>
            <w:r>
              <w:rPr>
                <w:rFonts w:ascii="Calibri" w:hAnsi="Calibri"/>
                <w:b w:val="0"/>
                <w:i w:val="0"/>
                <w:color w:val="5A5A5A"/>
                <w:sz w:val="18"/>
              </w:rPr>
              <w:t>#STIcoinfection  #syphilis  #trichomoniasis  #bacterialvaginosis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There is no strong direct link between routine exercise and HSV risk, though moderate activity supports the cell-mediated immunity that controls latency. Skin-to-skin contact sports (wrestling, rugby) can transmit HSV-1 skin infection (herpes gladiatorum).</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Undernutrition and micronutrient deficiency (zinc, vitamins C and D) weaken cell-mediated immunity and may increase recurrence frequency; evidence for lysine supplementation or arginine restriction preventing recurrences is weak and inconsistent.</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Sleep deprivation and disrupted circadian rhythm suppress cell-mediated immunity and are recognised precipitants of HSV reactivation; adequate sleep supports immune control of latent virus.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Tobacco use impairs mucosal and innate immunity and clusters with higher-risk sexual behaviour, modestly increasing HSV-2 acquisition and possibly recurrence.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Heavy alcohol use impairs immune defence and promotes disinhibited, unprotected sexual behaviour, indirectly raising HSV-2 acquisition risk.</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Psychological and emotional stress is one of the best-documented triggers of recurrent herpes; chronic stress suppresses cell-mediated immunity and precipitates outbreaks, while recurrent, stigmatised herpes in turn causes anxiety and depression (bidirectional).</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relationship between hydration and HSV risk; adequate fluids and clean water support general mucosal health and hygiene measures that limit autoinoculation.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direct association between caffeine intake and HSV acquisition or reactivation.</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Hand hygiene and not touching active lesions prevent autoinoculation to the eyes (keratitis) and fingers (whitlow) and reduce transmission; avoiding sharing of utensils, lip products, razors and towels during an orolabial outbreak lowers HSV-1 spread.</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Ultraviolet / sun exposure, fever and febrile illness, physical or emotional stress, menstruation, local trauma (dental or lip procedures) and immunosuppression are well-recognised triggers of HSV reactivation and recurrent lesions.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Ultraviolet / sun exposure</w:t>
            </w:r>
          </w:p>
        </w:tc>
        <w:tc>
          <w:tcPr>
            <w:tcW w:type="dxa" w:w="1655"/>
            <w:vAlign w:val="top"/>
          </w:tcPr>
          <w:p>
            <w:pPr>
              <w:spacing w:after="40" w:before="0" w:line="259" w:lineRule="auto"/>
            </w:pPr>
            <w:r>
              <w:rPr>
                <w:rFonts w:ascii="Calibri" w:hAnsi="Calibri"/>
                <w:b w:val="0"/>
                <w:i w:val="0"/>
                <w:color w:val="212121"/>
                <w:sz w:val="19"/>
              </w:rPr>
              <w:t>Recurrent herpes labialis</w:t>
            </w:r>
          </w:p>
        </w:tc>
        <w:tc>
          <w:tcPr>
            <w:tcW w:type="dxa" w:w="1512"/>
            <w:vAlign w:val="top"/>
          </w:tcPr>
          <w:p>
            <w:pPr>
              <w:spacing w:after="40" w:before="0" w:line="259" w:lineRule="auto"/>
            </w:pPr>
            <w:r>
              <w:rPr>
                <w:rFonts w:ascii="Calibri" w:hAnsi="Calibri"/>
                <w:b w:val="0"/>
                <w:i w:val="0"/>
                <w:color w:val="212121"/>
                <w:sz w:val="19"/>
              </w:rPr>
              <w:t>Sun protection; lip balm with SPF, shade</w:t>
            </w:r>
          </w:p>
        </w:tc>
        <w:tc>
          <w:tcPr>
            <w:tcW w:type="dxa" w:w="1512"/>
            <w:vAlign w:val="top"/>
          </w:tcPr>
          <w:p>
            <w:pPr>
              <w:spacing w:after="40" w:before="0" w:line="259" w:lineRule="auto"/>
            </w:pPr>
            <w:r>
              <w:rPr>
                <w:rFonts w:ascii="Calibri" w:hAnsi="Calibri"/>
                <w:b w:val="0"/>
                <w:i w:val="0"/>
                <w:color w:val="212121"/>
                <w:sz w:val="19"/>
              </w:rPr>
              <w:t>Intense / unprotected UV exposure</w:t>
            </w:r>
          </w:p>
        </w:tc>
        <w:tc>
          <w:tcPr>
            <w:tcW w:type="dxa" w:w="1468"/>
            <w:vAlign w:val="top"/>
          </w:tcPr>
          <w:p>
            <w:pPr>
              <w:spacing w:after="40" w:before="0" w:line="259" w:lineRule="auto"/>
            </w:pPr>
            <w:r>
              <w:rPr>
                <w:rFonts w:ascii="Calibri" w:hAnsi="Calibri"/>
                <w:b w:val="0"/>
                <w:i w:val="0"/>
                <w:color w:val="212121"/>
                <w:sz w:val="19"/>
              </w:rPr>
              <w:t>UV light is a classic trigger of labial cold-sore recurrence; SPF lip protection reduces episodes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Febrile illness</w:t>
            </w:r>
          </w:p>
        </w:tc>
        <w:tc>
          <w:tcPr>
            <w:tcW w:type="dxa" w:w="1655"/>
            <w:vAlign w:val="top"/>
          </w:tcPr>
          <w:p>
            <w:pPr>
              <w:spacing w:after="40" w:before="0" w:line="259" w:lineRule="auto"/>
            </w:pPr>
            <w:r>
              <w:rPr>
                <w:rFonts w:ascii="Calibri" w:hAnsi="Calibri"/>
                <w:b w:val="0"/>
                <w:i w:val="0"/>
                <w:color w:val="212121"/>
                <w:sz w:val="19"/>
              </w:rPr>
              <w:t>HSV-1/HSV-2 carriers</w:t>
            </w:r>
          </w:p>
        </w:tc>
        <w:tc>
          <w:tcPr>
            <w:tcW w:type="dxa" w:w="1512"/>
            <w:vAlign w:val="top"/>
          </w:tcPr>
          <w:p>
            <w:pPr>
              <w:spacing w:after="40" w:before="0" w:line="259" w:lineRule="auto"/>
            </w:pPr>
            <w:r>
              <w:rPr>
                <w:rFonts w:ascii="Calibri" w:hAnsi="Calibri"/>
                <w:b w:val="0"/>
                <w:i w:val="0"/>
                <w:color w:val="212121"/>
                <w:sz w:val="19"/>
              </w:rPr>
              <w:t>Prompt treatment of fevers/infections</w:t>
            </w:r>
          </w:p>
        </w:tc>
        <w:tc>
          <w:tcPr>
            <w:tcW w:type="dxa" w:w="1512"/>
            <w:vAlign w:val="top"/>
          </w:tcPr>
          <w:p>
            <w:pPr>
              <w:spacing w:after="40" w:before="0" w:line="259" w:lineRule="auto"/>
            </w:pPr>
            <w:r>
              <w:rPr>
                <w:rFonts w:ascii="Calibri" w:hAnsi="Calibri"/>
                <w:b w:val="0"/>
                <w:i w:val="0"/>
                <w:color w:val="212121"/>
                <w:sz w:val="19"/>
              </w:rPr>
              <w:t>Fever / intercurrent infection</w:t>
            </w:r>
          </w:p>
        </w:tc>
        <w:tc>
          <w:tcPr>
            <w:tcW w:type="dxa" w:w="1468"/>
            <w:vAlign w:val="top"/>
          </w:tcPr>
          <w:p>
            <w:pPr>
              <w:spacing w:after="40" w:before="0" w:line="259" w:lineRule="auto"/>
            </w:pPr>
            <w:r>
              <w:rPr>
                <w:rFonts w:ascii="Calibri" w:hAnsi="Calibri"/>
                <w:b w:val="0"/>
                <w:i w:val="0"/>
                <w:color w:val="212121"/>
                <w:sz w:val="19"/>
              </w:rPr>
              <w:t>Recurrences are so linked to fever they are called 'fever blisters'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Condom use / partner number</w:t>
            </w:r>
          </w:p>
        </w:tc>
        <w:tc>
          <w:tcPr>
            <w:tcW w:type="dxa" w:w="1655"/>
            <w:vAlign w:val="top"/>
          </w:tcPr>
          <w:p>
            <w:pPr>
              <w:spacing w:after="40" w:before="0" w:line="259" w:lineRule="auto"/>
            </w:pPr>
            <w:r>
              <w:rPr>
                <w:rFonts w:ascii="Calibri" w:hAnsi="Calibri"/>
                <w:b w:val="0"/>
                <w:i w:val="0"/>
                <w:color w:val="212121"/>
                <w:sz w:val="19"/>
              </w:rPr>
              <w:t>Sexually active adults, key populations</w:t>
            </w:r>
          </w:p>
        </w:tc>
        <w:tc>
          <w:tcPr>
            <w:tcW w:type="dxa" w:w="1512"/>
            <w:vAlign w:val="top"/>
          </w:tcPr>
          <w:p>
            <w:pPr>
              <w:spacing w:after="40" w:before="0" w:line="259" w:lineRule="auto"/>
            </w:pPr>
            <w:r>
              <w:rPr>
                <w:rFonts w:ascii="Calibri" w:hAnsi="Calibri"/>
                <w:b w:val="0"/>
                <w:i w:val="0"/>
                <w:color w:val="212121"/>
                <w:sz w:val="19"/>
              </w:rPr>
              <w:t>Consistent condom use; fewer partners</w:t>
            </w:r>
          </w:p>
        </w:tc>
        <w:tc>
          <w:tcPr>
            <w:tcW w:type="dxa" w:w="1512"/>
            <w:vAlign w:val="top"/>
          </w:tcPr>
          <w:p>
            <w:pPr>
              <w:spacing w:after="40" w:before="0" w:line="259" w:lineRule="auto"/>
            </w:pPr>
            <w:r>
              <w:rPr>
                <w:rFonts w:ascii="Calibri" w:hAnsi="Calibri"/>
                <w:b w:val="0"/>
                <w:i w:val="0"/>
                <w:color w:val="212121"/>
                <w:sz w:val="19"/>
              </w:rPr>
              <w:t>Condom non-use; multiple partners</w:t>
            </w:r>
          </w:p>
        </w:tc>
        <w:tc>
          <w:tcPr>
            <w:tcW w:type="dxa" w:w="1468"/>
            <w:vAlign w:val="top"/>
          </w:tcPr>
          <w:p>
            <w:pPr>
              <w:spacing w:after="60" w:line="259" w:lineRule="auto"/>
            </w:pPr>
            <w:r>
              <w:rPr>
                <w:rFonts w:ascii="Calibri" w:hAnsi="Calibri"/>
                <w:b w:val="0"/>
                <w:i w:val="0"/>
                <w:color w:val="212121"/>
                <w:sz w:val="19"/>
              </w:rPr>
              <w:t>Condom non-use raised HSV-2 risk (AOR ~4.7) in Northeast Indian women</w:t>
            </w:r>
          </w:p>
          <w:p>
            <w:pPr>
              <w:spacing w:after="40" w:line="252" w:lineRule="auto"/>
            </w:pPr>
            <w:hyperlink r:id="rId12">
              <w:r>
                <w:rPr>
                  <w:rFonts w:ascii="Calibri" w:hAnsi="Calibri" w:cs="Calibri"/>
                  <w:sz w:val="18"/>
                  <w:color w:val="1155CC"/>
                  <w:u w:val="single"/>
                </w:rPr>
                <w:t xml:space="preserve">https://link.springer.com/article/10.1186/1471-2334-11-325</w:t>
              </w:r>
            </w:hyperlink>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Perceived stress level</w:t>
            </w:r>
          </w:p>
        </w:tc>
        <w:tc>
          <w:tcPr>
            <w:tcW w:type="dxa" w:w="1655"/>
            <w:vAlign w:val="top"/>
          </w:tcPr>
          <w:p>
            <w:pPr>
              <w:spacing w:after="40" w:before="0" w:line="259" w:lineRule="auto"/>
            </w:pPr>
            <w:r>
              <w:rPr>
                <w:rFonts w:ascii="Calibri" w:hAnsi="Calibri"/>
                <w:b w:val="0"/>
                <w:i w:val="0"/>
                <w:color w:val="212121"/>
                <w:sz w:val="19"/>
              </w:rPr>
              <w:t>Frequent recurrers</w:t>
            </w:r>
          </w:p>
        </w:tc>
        <w:tc>
          <w:tcPr>
            <w:tcW w:type="dxa" w:w="1512"/>
            <w:vAlign w:val="top"/>
          </w:tcPr>
          <w:p>
            <w:pPr>
              <w:spacing w:after="40" w:before="0" w:line="259" w:lineRule="auto"/>
            </w:pPr>
            <w:r>
              <w:rPr>
                <w:rFonts w:ascii="Calibri" w:hAnsi="Calibri"/>
                <w:b w:val="0"/>
                <w:i w:val="0"/>
                <w:color w:val="212121"/>
                <w:sz w:val="19"/>
              </w:rPr>
              <w:t>Well-managed, low chronic stress</w:t>
            </w:r>
          </w:p>
        </w:tc>
        <w:tc>
          <w:tcPr>
            <w:tcW w:type="dxa" w:w="1512"/>
            <w:vAlign w:val="top"/>
          </w:tcPr>
          <w:p>
            <w:pPr>
              <w:spacing w:after="40" w:before="0" w:line="259" w:lineRule="auto"/>
            </w:pPr>
            <w:r>
              <w:rPr>
                <w:rFonts w:ascii="Calibri" w:hAnsi="Calibri"/>
                <w:b w:val="0"/>
                <w:i w:val="0"/>
                <w:color w:val="212121"/>
                <w:sz w:val="19"/>
              </w:rPr>
              <w:t>High or sustained psychological stress</w:t>
            </w:r>
          </w:p>
        </w:tc>
        <w:tc>
          <w:tcPr>
            <w:tcW w:type="dxa" w:w="1468"/>
            <w:vAlign w:val="top"/>
          </w:tcPr>
          <w:p>
            <w:pPr>
              <w:spacing w:after="40" w:before="0" w:line="259" w:lineRule="auto"/>
            </w:pPr>
            <w:r>
              <w:rPr>
                <w:rFonts w:ascii="Calibri" w:hAnsi="Calibri"/>
                <w:b w:val="0"/>
                <w:i w:val="0"/>
                <w:color w:val="212121"/>
                <w:sz w:val="19"/>
              </w:rPr>
              <w:t>Stress suppresses cell-mediated immunity and precipitates outbreaks</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 quality</w:t>
            </w:r>
          </w:p>
        </w:tc>
        <w:tc>
          <w:tcPr>
            <w:tcW w:type="dxa" w:w="1655"/>
            <w:vAlign w:val="top"/>
          </w:tcPr>
          <w:p>
            <w:pPr>
              <w:spacing w:after="40" w:before="0" w:line="259" w:lineRule="auto"/>
            </w:pPr>
            <w:r>
              <w:rPr>
                <w:rFonts w:ascii="Calibri" w:hAnsi="Calibri"/>
                <w:b w:val="0"/>
                <w:i w:val="0"/>
                <w:color w:val="212121"/>
                <w:sz w:val="19"/>
              </w:rPr>
              <w:t>Adults with frequent recurrences</w:t>
            </w:r>
          </w:p>
        </w:tc>
        <w:tc>
          <w:tcPr>
            <w:tcW w:type="dxa" w:w="1512"/>
            <w:vAlign w:val="top"/>
          </w:tcPr>
          <w:p>
            <w:pPr>
              <w:spacing w:after="40" w:before="0" w:line="259" w:lineRule="auto"/>
            </w:pPr>
            <w:r>
              <w:rPr>
                <w:rFonts w:ascii="Calibri" w:hAnsi="Calibri"/>
                <w:b w:val="0"/>
                <w:i w:val="0"/>
                <w:color w:val="212121"/>
                <w:sz w:val="19"/>
              </w:rPr>
              <w:t>7-9 hours of good-quality sleep</w:t>
            </w:r>
          </w:p>
        </w:tc>
        <w:tc>
          <w:tcPr>
            <w:tcW w:type="dxa" w:w="1512"/>
            <w:vAlign w:val="top"/>
          </w:tcPr>
          <w:p>
            <w:pPr>
              <w:spacing w:after="40" w:before="0" w:line="259" w:lineRule="auto"/>
            </w:pPr>
            <w:r>
              <w:rPr>
                <w:rFonts w:ascii="Calibri" w:hAnsi="Calibri"/>
                <w:b w:val="0"/>
                <w:i w:val="0"/>
                <w:color w:val="212121"/>
                <w:sz w:val="19"/>
              </w:rPr>
              <w:t>Chronic sleep deprivation</w:t>
            </w:r>
          </w:p>
        </w:tc>
        <w:tc>
          <w:tcPr>
            <w:tcW w:type="dxa" w:w="1468"/>
            <w:vAlign w:val="top"/>
          </w:tcPr>
          <w:p>
            <w:pPr>
              <w:spacing w:after="40" w:before="0" w:line="259" w:lineRule="auto"/>
            </w:pPr>
            <w:r>
              <w:rPr>
                <w:rFonts w:ascii="Calibri" w:hAnsi="Calibri"/>
                <w:b w:val="0"/>
                <w:i w:val="0"/>
                <w:color w:val="212121"/>
                <w:sz w:val="19"/>
              </w:rPr>
              <w:t>Poor sleep impairs immune control of latent virus</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Hand hygiene / lesion contact</w:t>
            </w:r>
          </w:p>
        </w:tc>
        <w:tc>
          <w:tcPr>
            <w:tcW w:type="dxa" w:w="1655"/>
            <w:vAlign w:val="top"/>
          </w:tcPr>
          <w:p>
            <w:pPr>
              <w:spacing w:after="40" w:before="0" w:line="259" w:lineRule="auto"/>
            </w:pPr>
            <w:r>
              <w:rPr>
                <w:rFonts w:ascii="Calibri" w:hAnsi="Calibri"/>
                <w:b w:val="0"/>
                <w:i w:val="0"/>
                <w:color w:val="212121"/>
                <w:sz w:val="19"/>
              </w:rPr>
              <w:t>Active orolabial or genital lesions</w:t>
            </w:r>
          </w:p>
        </w:tc>
        <w:tc>
          <w:tcPr>
            <w:tcW w:type="dxa" w:w="1512"/>
            <w:vAlign w:val="top"/>
          </w:tcPr>
          <w:p>
            <w:pPr>
              <w:spacing w:after="40" w:before="0" w:line="259" w:lineRule="auto"/>
            </w:pPr>
            <w:r>
              <w:rPr>
                <w:rFonts w:ascii="Calibri" w:hAnsi="Calibri"/>
                <w:b w:val="0"/>
                <w:i w:val="0"/>
                <w:color w:val="212121"/>
                <w:sz w:val="19"/>
              </w:rPr>
              <w:t>Wash hands; avoid touching lesions/eyes</w:t>
            </w:r>
          </w:p>
        </w:tc>
        <w:tc>
          <w:tcPr>
            <w:tcW w:type="dxa" w:w="1512"/>
            <w:vAlign w:val="top"/>
          </w:tcPr>
          <w:p>
            <w:pPr>
              <w:spacing w:after="40" w:before="0" w:line="259" w:lineRule="auto"/>
            </w:pPr>
            <w:r>
              <w:rPr>
                <w:rFonts w:ascii="Calibri" w:hAnsi="Calibri"/>
                <w:b w:val="0"/>
                <w:i w:val="0"/>
                <w:color w:val="212121"/>
                <w:sz w:val="19"/>
              </w:rPr>
              <w:t>Touching lesions then eyes/fingers; sharing lip items</w:t>
            </w:r>
          </w:p>
        </w:tc>
        <w:tc>
          <w:tcPr>
            <w:tcW w:type="dxa" w:w="1468"/>
            <w:vAlign w:val="top"/>
          </w:tcPr>
          <w:p>
            <w:pPr>
              <w:spacing w:after="40" w:before="0" w:line="259" w:lineRule="auto"/>
            </w:pPr>
            <w:r>
              <w:rPr>
                <w:rFonts w:ascii="Calibri" w:hAnsi="Calibri"/>
                <w:b w:val="0"/>
                <w:i w:val="0"/>
                <w:color w:val="212121"/>
                <w:sz w:val="19"/>
              </w:rPr>
              <w:t>Prevents autoinoculation (keratitis, whitlow) and transmission</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Immune status (e.g., CD4 in HIV)</w:t>
            </w:r>
          </w:p>
        </w:tc>
        <w:tc>
          <w:tcPr>
            <w:tcW w:type="dxa" w:w="1655"/>
            <w:vAlign w:val="top"/>
          </w:tcPr>
          <w:p>
            <w:pPr>
              <w:spacing w:after="40" w:before="0" w:line="259" w:lineRule="auto"/>
            </w:pPr>
            <w:r>
              <w:rPr>
                <w:rFonts w:ascii="Calibri" w:hAnsi="Calibri"/>
                <w:b w:val="0"/>
                <w:i w:val="0"/>
                <w:color w:val="212121"/>
                <w:sz w:val="19"/>
              </w:rPr>
              <w:t>HIV-positive, transplant, chemotherapy</w:t>
            </w:r>
          </w:p>
        </w:tc>
        <w:tc>
          <w:tcPr>
            <w:tcW w:type="dxa" w:w="1512"/>
            <w:vAlign w:val="top"/>
          </w:tcPr>
          <w:p>
            <w:pPr>
              <w:spacing w:after="40" w:before="0" w:line="259" w:lineRule="auto"/>
            </w:pPr>
            <w:r>
              <w:rPr>
                <w:rFonts w:ascii="Calibri" w:hAnsi="Calibri"/>
                <w:b w:val="0"/>
                <w:i w:val="0"/>
                <w:color w:val="212121"/>
                <w:sz w:val="19"/>
              </w:rPr>
              <w:t>Preserved immunity; virally suppressed HIV</w:t>
            </w:r>
          </w:p>
        </w:tc>
        <w:tc>
          <w:tcPr>
            <w:tcW w:type="dxa" w:w="1512"/>
            <w:vAlign w:val="top"/>
          </w:tcPr>
          <w:p>
            <w:pPr>
              <w:spacing w:after="40" w:before="0" w:line="259" w:lineRule="auto"/>
            </w:pPr>
            <w:r>
              <w:rPr>
                <w:rFonts w:ascii="Calibri" w:hAnsi="Calibri"/>
                <w:b w:val="0"/>
                <w:i w:val="0"/>
                <w:color w:val="212121"/>
                <w:sz w:val="19"/>
              </w:rPr>
              <w:t>Advanced immunosuppression (e.g., low CD4)</w:t>
            </w:r>
          </w:p>
        </w:tc>
        <w:tc>
          <w:tcPr>
            <w:tcW w:type="dxa" w:w="1468"/>
            <w:vAlign w:val="top"/>
          </w:tcPr>
          <w:p>
            <w:pPr>
              <w:spacing w:after="60" w:line="259" w:lineRule="auto"/>
            </w:pPr>
            <w:r>
              <w:rPr>
                <w:rFonts w:ascii="Calibri" w:hAnsi="Calibri"/>
                <w:b w:val="0"/>
                <w:i w:val="0"/>
                <w:color w:val="212121"/>
                <w:sz w:val="19"/>
              </w:rPr>
              <w:t>Immunosuppression causes frequent, severe, chronic or resistant HSV</w:t>
            </w:r>
          </w:p>
          <w:p>
            <w:pPr>
              <w:spacing w:after="40" w:line="252" w:lineRule="auto"/>
            </w:pPr>
            <w:hyperlink r:id="rId14">
              <w:r>
                <w:rPr>
                  <w:rFonts w:ascii="Calibri" w:hAnsi="Calibri" w:cs="Calibri"/>
                  <w:sz w:val="18"/>
                  <w:color w:val="1155CC"/>
                  <w:u w:val="single"/>
                </w:rPr>
                <w:t xml:space="preserve">https://www.who.int/news-room/fact-sheets/detail/herpes-simplex-virus</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Tobacco use</w:t>
            </w:r>
          </w:p>
        </w:tc>
        <w:tc>
          <w:tcPr>
            <w:tcW w:type="dxa" w:w="1655"/>
            <w:vAlign w:val="top"/>
          </w:tcPr>
          <w:p>
            <w:pPr>
              <w:spacing w:after="40" w:before="0" w:line="259" w:lineRule="auto"/>
            </w:pPr>
            <w:r>
              <w:rPr>
                <w:rFonts w:ascii="Calibri" w:hAnsi="Calibri"/>
                <w:b w:val="0"/>
                <w:i w:val="0"/>
                <w:color w:val="212121"/>
                <w:sz w:val="19"/>
              </w:rPr>
              <w:t>Smokers / smokeless-tobacco users</w:t>
            </w:r>
          </w:p>
        </w:tc>
        <w:tc>
          <w:tcPr>
            <w:tcW w:type="dxa" w:w="1512"/>
            <w:vAlign w:val="top"/>
          </w:tcPr>
          <w:p>
            <w:pPr>
              <w:spacing w:after="40" w:before="0" w:line="259" w:lineRule="auto"/>
            </w:pPr>
            <w:r>
              <w:rPr>
                <w:rFonts w:ascii="Calibri" w:hAnsi="Calibri"/>
                <w:b w:val="0"/>
                <w:i w:val="0"/>
                <w:color w:val="212121"/>
                <w:sz w:val="19"/>
              </w:rPr>
              <w:t>No tobacco use</w:t>
            </w:r>
          </w:p>
        </w:tc>
        <w:tc>
          <w:tcPr>
            <w:tcW w:type="dxa" w:w="1512"/>
            <w:vAlign w:val="top"/>
          </w:tcPr>
          <w:p>
            <w:pPr>
              <w:spacing w:after="40" w:before="0" w:line="259" w:lineRule="auto"/>
            </w:pPr>
            <w:r>
              <w:rPr>
                <w:rFonts w:ascii="Calibri" w:hAnsi="Calibri"/>
                <w:b w:val="0"/>
                <w:i w:val="0"/>
                <w:color w:val="212121"/>
                <w:sz w:val="19"/>
              </w:rPr>
              <w:t>Any tobacco use</w:t>
            </w:r>
          </w:p>
        </w:tc>
        <w:tc>
          <w:tcPr>
            <w:tcW w:type="dxa" w:w="1468"/>
            <w:vAlign w:val="top"/>
          </w:tcPr>
          <w:p>
            <w:pPr>
              <w:spacing w:after="60" w:line="259" w:lineRule="auto"/>
            </w:pPr>
            <w:r>
              <w:rPr>
                <w:rFonts w:ascii="Calibri" w:hAnsi="Calibri"/>
                <w:b w:val="0"/>
                <w:i w:val="0"/>
                <w:color w:val="212121"/>
                <w:sz w:val="19"/>
              </w:rPr>
              <w:t>Tobacco use was an independent HSV-2 risk marker in Indian men</w:t>
            </w:r>
          </w:p>
          <w:p>
            <w:pPr>
              <w:spacing w:after="40" w:line="252" w:lineRule="auto"/>
            </w:pPr>
            <w:hyperlink r:id="rId11">
              <w:r>
                <w:rPr>
                  <w:rFonts w:ascii="Calibri" w:hAnsi="Calibri" w:cs="Calibri"/>
                  <w:sz w:val="18"/>
                  <w:color w:val="1155CC"/>
                  <w:u w:val="single"/>
                </w:rPr>
                <w:t xml:space="preserve">https://link.springer.com/article/10.1186/1471-2334-10-59</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 risky-sex behaviour</w:t>
            </w:r>
          </w:p>
        </w:tc>
        <w:tc>
          <w:tcPr>
            <w:tcW w:type="dxa" w:w="1655"/>
            <w:vAlign w:val="top"/>
          </w:tcPr>
          <w:p>
            <w:pPr>
              <w:spacing w:after="40" w:before="0" w:line="259" w:lineRule="auto"/>
            </w:pPr>
            <w:r>
              <w:rPr>
                <w:rFonts w:ascii="Calibri" w:hAnsi="Calibri"/>
                <w:b w:val="0"/>
                <w:i w:val="0"/>
                <w:color w:val="212121"/>
                <w:sz w:val="19"/>
              </w:rPr>
              <w:t>Heavy drinkers</w:t>
            </w:r>
          </w:p>
        </w:tc>
        <w:tc>
          <w:tcPr>
            <w:tcW w:type="dxa" w:w="1512"/>
            <w:vAlign w:val="top"/>
          </w:tcPr>
          <w:p>
            <w:pPr>
              <w:spacing w:after="40" w:before="0" w:line="259" w:lineRule="auto"/>
            </w:pPr>
            <w:r>
              <w:rPr>
                <w:rFonts w:ascii="Calibri" w:hAnsi="Calibri"/>
                <w:b w:val="0"/>
                <w:i w:val="0"/>
                <w:color w:val="212121"/>
                <w:sz w:val="19"/>
              </w:rPr>
              <w:t>Within safe limits; no disinhibited unsafe sex</w:t>
            </w:r>
          </w:p>
        </w:tc>
        <w:tc>
          <w:tcPr>
            <w:tcW w:type="dxa" w:w="1512"/>
            <w:vAlign w:val="top"/>
          </w:tcPr>
          <w:p>
            <w:pPr>
              <w:spacing w:after="40" w:before="0" w:line="259" w:lineRule="auto"/>
            </w:pPr>
            <w:r>
              <w:rPr>
                <w:rFonts w:ascii="Calibri" w:hAnsi="Calibri"/>
                <w:b w:val="0"/>
                <w:i w:val="0"/>
                <w:color w:val="212121"/>
                <w:sz w:val="19"/>
              </w:rPr>
              <w:t>Heavy or binge drinking</w:t>
            </w:r>
          </w:p>
        </w:tc>
        <w:tc>
          <w:tcPr>
            <w:tcW w:type="dxa" w:w="1468"/>
            <w:vAlign w:val="top"/>
          </w:tcPr>
          <w:p>
            <w:pPr>
              <w:spacing w:after="40" w:before="0" w:line="259" w:lineRule="auto"/>
            </w:pPr>
            <w:r>
              <w:rPr>
                <w:rFonts w:ascii="Calibri" w:hAnsi="Calibri"/>
                <w:b w:val="0"/>
                <w:i w:val="0"/>
                <w:color w:val="212121"/>
                <w:sz w:val="19"/>
              </w:rPr>
              <w:t>Alcohol promotes unprotected sex and impairs immunity</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Nutritional / micronutrient status</w:t>
            </w:r>
          </w:p>
        </w:tc>
        <w:tc>
          <w:tcPr>
            <w:tcW w:type="dxa" w:w="1655"/>
            <w:vAlign w:val="top"/>
          </w:tcPr>
          <w:p>
            <w:pPr>
              <w:spacing w:after="40" w:before="0" w:line="259" w:lineRule="auto"/>
            </w:pPr>
            <w:r>
              <w:rPr>
                <w:rFonts w:ascii="Calibri" w:hAnsi="Calibri"/>
                <w:b w:val="0"/>
                <w:i w:val="0"/>
                <w:color w:val="212121"/>
                <w:sz w:val="19"/>
              </w:rPr>
              <w:t>Malnourished, deficient hosts</w:t>
            </w:r>
          </w:p>
        </w:tc>
        <w:tc>
          <w:tcPr>
            <w:tcW w:type="dxa" w:w="1512"/>
            <w:vAlign w:val="top"/>
          </w:tcPr>
          <w:p>
            <w:pPr>
              <w:spacing w:after="40" w:before="0" w:line="259" w:lineRule="auto"/>
            </w:pPr>
            <w:r>
              <w:rPr>
                <w:rFonts w:ascii="Calibri" w:hAnsi="Calibri"/>
                <w:b w:val="0"/>
                <w:i w:val="0"/>
                <w:color w:val="212121"/>
                <w:sz w:val="19"/>
              </w:rPr>
              <w:t>Balanced diet; adequate zinc and vitamins C/D</w:t>
            </w:r>
          </w:p>
        </w:tc>
        <w:tc>
          <w:tcPr>
            <w:tcW w:type="dxa" w:w="1512"/>
            <w:vAlign w:val="top"/>
          </w:tcPr>
          <w:p>
            <w:pPr>
              <w:spacing w:after="40" w:before="0" w:line="259" w:lineRule="auto"/>
            </w:pPr>
            <w:r>
              <w:rPr>
                <w:rFonts w:ascii="Calibri" w:hAnsi="Calibri"/>
                <w:b w:val="0"/>
                <w:i w:val="0"/>
                <w:color w:val="212121"/>
                <w:sz w:val="19"/>
              </w:rPr>
              <w:t>Undernutrition; micronutrient deficiency</w:t>
            </w:r>
          </w:p>
        </w:tc>
        <w:tc>
          <w:tcPr>
            <w:tcW w:type="dxa" w:w="1468"/>
            <w:vAlign w:val="top"/>
          </w:tcPr>
          <w:p>
            <w:pPr>
              <w:spacing w:after="40" w:before="0" w:line="259" w:lineRule="auto"/>
            </w:pPr>
            <w:r>
              <w:rPr>
                <w:rFonts w:ascii="Calibri" w:hAnsi="Calibri"/>
                <w:b w:val="0"/>
                <w:i w:val="0"/>
                <w:color w:val="212121"/>
                <w:sz w:val="19"/>
              </w:rPr>
              <w:t>Deficiency weakens cell-mediated immunity that controls latency</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HSV PCR / NAAT of lesion swab</w:t>
            </w:r>
          </w:p>
        </w:tc>
        <w:tc>
          <w:tcPr>
            <w:tcW w:type="dxa" w:w="892"/>
            <w:vAlign w:val="top"/>
          </w:tcPr>
          <w:p>
            <w:pPr>
              <w:spacing w:after="40" w:before="0" w:line="259" w:lineRule="auto"/>
            </w:pPr>
            <w:r>
              <w:rPr>
                <w:rFonts w:ascii="Calibri" w:hAnsi="Calibri"/>
                <w:b w:val="0"/>
                <w:i w:val="0"/>
                <w:color w:val="212121"/>
                <w:sz w:val="16"/>
              </w:rPr>
              <w:t>Nucleic acid amplification test</w:t>
            </w:r>
          </w:p>
        </w:tc>
        <w:tc>
          <w:tcPr>
            <w:tcW w:type="dxa" w:w="950"/>
            <w:vAlign w:val="top"/>
          </w:tcPr>
          <w:p>
            <w:pPr>
              <w:spacing w:after="40" w:before="0" w:line="259" w:lineRule="auto"/>
            </w:pPr>
            <w:r>
              <w:rPr>
                <w:rFonts w:ascii="Calibri" w:hAnsi="Calibri"/>
                <w:b w:val="0"/>
                <w:i w:val="0"/>
                <w:color w:val="212121"/>
                <w:sz w:val="16"/>
              </w:rPr>
              <w:t>HSV DNA not detected</w:t>
            </w:r>
          </w:p>
        </w:tc>
        <w:tc>
          <w:tcPr>
            <w:tcW w:type="dxa" w:w="950"/>
            <w:vAlign w:val="top"/>
          </w:tcPr>
          <w:p>
            <w:pPr>
              <w:spacing w:after="40" w:before="0" w:line="259" w:lineRule="auto"/>
            </w:pPr>
            <w:r>
              <w:rPr>
                <w:rFonts w:ascii="Calibri" w:hAnsi="Calibri"/>
                <w:b w:val="0"/>
                <w:i w:val="0"/>
                <w:color w:val="212121"/>
                <w:sz w:val="16"/>
              </w:rPr>
              <w:t>HSV-1 or HSV-2 DNA detected</w:t>
            </w:r>
          </w:p>
        </w:tc>
        <w:tc>
          <w:tcPr>
            <w:tcW w:type="dxa" w:w="1036"/>
            <w:vAlign w:val="top"/>
          </w:tcPr>
          <w:p>
            <w:pPr>
              <w:spacing w:after="40" w:before="0" w:line="259" w:lineRule="auto"/>
            </w:pPr>
            <w:r>
              <w:rPr>
                <w:rFonts w:ascii="Calibri" w:hAnsi="Calibri"/>
                <w:b w:val="0"/>
                <w:i w:val="0"/>
                <w:color w:val="212121"/>
                <w:sz w:val="16"/>
              </w:rPr>
              <w:t>Most sensitive confirmatory test; confirms and types the virus</w:t>
            </w:r>
          </w:p>
        </w:tc>
        <w:tc>
          <w:tcPr>
            <w:tcW w:type="dxa" w:w="1036"/>
            <w:vAlign w:val="top"/>
          </w:tcPr>
          <w:p>
            <w:pPr>
              <w:spacing w:after="40" w:before="0" w:line="259" w:lineRule="auto"/>
            </w:pPr>
            <w:r>
              <w:rPr>
                <w:rFonts w:ascii="Calibri" w:hAnsi="Calibri"/>
                <w:b w:val="0"/>
                <w:i w:val="0"/>
                <w:color w:val="212121"/>
                <w:sz w:val="16"/>
              </w:rPr>
              <w:t>Genital, atypical, severe, first-episode or immunocompromised lesions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Swab the base of a fresh/de-roofed vesicle; sensitivity ~90.9-100%</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Virology</w:t>
            </w:r>
          </w:p>
        </w:tc>
        <w:tc>
          <w:tcPr>
            <w:tcW w:type="dxa" w:w="1036"/>
            <w:vAlign w:val="top"/>
          </w:tcPr>
          <w:p>
            <w:pPr>
              <w:spacing w:after="40" w:before="0" w:line="259" w:lineRule="auto"/>
            </w:pPr>
            <w:r>
              <w:rPr>
                <w:rFonts w:ascii="Calibri" w:hAnsi="Calibri"/>
                <w:b w:val="0"/>
                <w:i w:val="0"/>
                <w:color w:val="212121"/>
                <w:sz w:val="16"/>
              </w:rPr>
              <w:t>Viral culture</w:t>
            </w:r>
          </w:p>
        </w:tc>
        <w:tc>
          <w:tcPr>
            <w:tcW w:type="dxa" w:w="892"/>
            <w:vAlign w:val="top"/>
          </w:tcPr>
          <w:p>
            <w:pPr>
              <w:spacing w:after="40" w:before="0" w:line="259" w:lineRule="auto"/>
            </w:pPr>
            <w:r>
              <w:rPr>
                <w:rFonts w:ascii="Calibri" w:hAnsi="Calibri"/>
                <w:b w:val="0"/>
                <w:i w:val="0"/>
                <w:color w:val="212121"/>
                <w:sz w:val="16"/>
              </w:rPr>
              <w:t>HSV cell culture</w:t>
            </w:r>
          </w:p>
        </w:tc>
        <w:tc>
          <w:tcPr>
            <w:tcW w:type="dxa" w:w="950"/>
            <w:vAlign w:val="top"/>
          </w:tcPr>
          <w:p>
            <w:pPr>
              <w:spacing w:after="40" w:before="0" w:line="259" w:lineRule="auto"/>
            </w:pPr>
            <w:r>
              <w:rPr>
                <w:rFonts w:ascii="Calibri" w:hAnsi="Calibri"/>
                <w:b w:val="0"/>
                <w:i w:val="0"/>
                <w:color w:val="212121"/>
                <w:sz w:val="16"/>
              </w:rPr>
              <w:t>No viral growth</w:t>
            </w:r>
          </w:p>
        </w:tc>
        <w:tc>
          <w:tcPr>
            <w:tcW w:type="dxa" w:w="950"/>
            <w:vAlign w:val="top"/>
          </w:tcPr>
          <w:p>
            <w:pPr>
              <w:spacing w:after="40" w:before="0" w:line="259" w:lineRule="auto"/>
            </w:pPr>
            <w:r>
              <w:rPr>
                <w:rFonts w:ascii="Calibri" w:hAnsi="Calibri"/>
                <w:b w:val="0"/>
                <w:i w:val="0"/>
                <w:color w:val="212121"/>
                <w:sz w:val="16"/>
              </w:rPr>
              <w:t>HSV isolated and typed</w:t>
            </w:r>
          </w:p>
        </w:tc>
        <w:tc>
          <w:tcPr>
            <w:tcW w:type="dxa" w:w="1036"/>
            <w:vAlign w:val="top"/>
          </w:tcPr>
          <w:p>
            <w:pPr>
              <w:spacing w:after="40" w:before="0" w:line="259" w:lineRule="auto"/>
            </w:pPr>
            <w:r>
              <w:rPr>
                <w:rFonts w:ascii="Calibri" w:hAnsi="Calibri"/>
                <w:b w:val="0"/>
                <w:i w:val="0"/>
                <w:color w:val="212121"/>
                <w:sz w:val="16"/>
              </w:rPr>
              <w:t>Confirms and types virus but low sensitivity, especially in recurrent/crusted lesions</w:t>
            </w:r>
          </w:p>
        </w:tc>
        <w:tc>
          <w:tcPr>
            <w:tcW w:type="dxa" w:w="1036"/>
            <w:vAlign w:val="top"/>
          </w:tcPr>
          <w:p>
            <w:pPr>
              <w:spacing w:after="40" w:before="0" w:line="259" w:lineRule="auto"/>
            </w:pPr>
            <w:r>
              <w:rPr>
                <w:rFonts w:ascii="Calibri" w:hAnsi="Calibri"/>
                <w:b w:val="0"/>
                <w:i w:val="0"/>
                <w:color w:val="212121"/>
                <w:sz w:val="16"/>
              </w:rPr>
              <w:t>Fresh vesicular lesions where PCR unavailable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Sensitivity falls as lesions age; largely replaced by PCR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Cytology</w:t>
            </w:r>
          </w:p>
        </w:tc>
        <w:tc>
          <w:tcPr>
            <w:tcW w:type="dxa" w:w="1036"/>
            <w:vAlign w:val="top"/>
          </w:tcPr>
          <w:p>
            <w:pPr>
              <w:spacing w:after="40" w:before="0" w:line="259" w:lineRule="auto"/>
            </w:pPr>
            <w:r>
              <w:rPr>
                <w:rFonts w:ascii="Calibri" w:hAnsi="Calibri"/>
                <w:b w:val="0"/>
                <w:i w:val="0"/>
                <w:color w:val="212121"/>
                <w:sz w:val="16"/>
              </w:rPr>
              <w:t>Tzanck smear</w:t>
            </w:r>
          </w:p>
        </w:tc>
        <w:tc>
          <w:tcPr>
            <w:tcW w:type="dxa" w:w="892"/>
            <w:vAlign w:val="top"/>
          </w:tcPr>
          <w:p>
            <w:pPr>
              <w:spacing w:after="40" w:before="0" w:line="259" w:lineRule="auto"/>
            </w:pPr>
            <w:r>
              <w:rPr>
                <w:rFonts w:ascii="Calibri" w:hAnsi="Calibri"/>
                <w:b w:val="0"/>
                <w:i w:val="0"/>
                <w:color w:val="212121"/>
                <w:sz w:val="16"/>
              </w:rPr>
              <w:t>Lesion cytology</w:t>
            </w:r>
          </w:p>
        </w:tc>
        <w:tc>
          <w:tcPr>
            <w:tcW w:type="dxa" w:w="950"/>
            <w:vAlign w:val="top"/>
          </w:tcPr>
          <w:p>
            <w:pPr>
              <w:spacing w:after="40" w:before="0" w:line="259" w:lineRule="auto"/>
            </w:pPr>
            <w:r>
              <w:rPr>
                <w:rFonts w:ascii="Calibri" w:hAnsi="Calibri"/>
                <w:b w:val="0"/>
                <w:i w:val="0"/>
                <w:color w:val="212121"/>
                <w:sz w:val="16"/>
              </w:rPr>
              <w:t>No multinucleated giant cells</w:t>
            </w:r>
          </w:p>
        </w:tc>
        <w:tc>
          <w:tcPr>
            <w:tcW w:type="dxa" w:w="950"/>
            <w:vAlign w:val="top"/>
          </w:tcPr>
          <w:p>
            <w:pPr>
              <w:spacing w:after="40" w:before="0" w:line="259" w:lineRule="auto"/>
            </w:pPr>
            <w:r>
              <w:rPr>
                <w:rFonts w:ascii="Calibri" w:hAnsi="Calibri"/>
                <w:b w:val="0"/>
                <w:i w:val="0"/>
                <w:color w:val="212121"/>
                <w:sz w:val="16"/>
              </w:rPr>
              <w:t>Multinucleated giant cells present</w:t>
            </w:r>
          </w:p>
        </w:tc>
        <w:tc>
          <w:tcPr>
            <w:tcW w:type="dxa" w:w="1036"/>
            <w:vAlign w:val="top"/>
          </w:tcPr>
          <w:p>
            <w:pPr>
              <w:spacing w:after="40" w:before="0" w:line="259" w:lineRule="auto"/>
            </w:pPr>
            <w:r>
              <w:rPr>
                <w:rFonts w:ascii="Calibri" w:hAnsi="Calibri"/>
                <w:b w:val="0"/>
                <w:i w:val="0"/>
                <w:color w:val="212121"/>
                <w:sz w:val="16"/>
              </w:rPr>
              <w:t>Supports herpesvirus infection but non-specific (HSV vs VZV)</w:t>
            </w:r>
          </w:p>
        </w:tc>
        <w:tc>
          <w:tcPr>
            <w:tcW w:type="dxa" w:w="1036"/>
            <w:vAlign w:val="top"/>
          </w:tcPr>
          <w:p>
            <w:pPr>
              <w:spacing w:after="40" w:before="0" w:line="259" w:lineRule="auto"/>
            </w:pPr>
            <w:r>
              <w:rPr>
                <w:rFonts w:ascii="Calibri" w:hAnsi="Calibri"/>
                <w:b w:val="0"/>
                <w:i w:val="0"/>
                <w:color w:val="212121"/>
                <w:sz w:val="16"/>
              </w:rPr>
              <w:t>Vesicular eruptions, resource-limited settings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Cannot distinguish HSV-1, HSV-2 or varicella-zoster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Type-specific IgG (gG1 / gG2)</w:t>
            </w:r>
          </w:p>
        </w:tc>
        <w:tc>
          <w:tcPr>
            <w:tcW w:type="dxa" w:w="892"/>
            <w:vAlign w:val="top"/>
          </w:tcPr>
          <w:p>
            <w:pPr>
              <w:spacing w:after="40" w:before="0" w:line="259" w:lineRule="auto"/>
            </w:pPr>
            <w:r>
              <w:rPr>
                <w:rFonts w:ascii="Calibri" w:hAnsi="Calibri"/>
                <w:b w:val="0"/>
                <w:i w:val="0"/>
                <w:color w:val="212121"/>
                <w:sz w:val="16"/>
              </w:rPr>
              <w:t>Glycoprotein G-based ELISA</w:t>
            </w:r>
          </w:p>
        </w:tc>
        <w:tc>
          <w:tcPr>
            <w:tcW w:type="dxa" w:w="950"/>
            <w:vAlign w:val="top"/>
          </w:tcPr>
          <w:p>
            <w:pPr>
              <w:spacing w:after="40" w:before="0" w:line="259" w:lineRule="auto"/>
            </w:pPr>
            <w:r>
              <w:rPr>
                <w:rFonts w:ascii="Calibri" w:hAnsi="Calibri"/>
                <w:b w:val="0"/>
                <w:i w:val="0"/>
                <w:color w:val="212121"/>
                <w:sz w:val="16"/>
              </w:rPr>
              <w:t>Seronegative</w:t>
            </w:r>
          </w:p>
        </w:tc>
        <w:tc>
          <w:tcPr>
            <w:tcW w:type="dxa" w:w="950"/>
            <w:vAlign w:val="top"/>
          </w:tcPr>
          <w:p>
            <w:pPr>
              <w:spacing w:after="40" w:before="0" w:line="259" w:lineRule="auto"/>
            </w:pPr>
            <w:r>
              <w:rPr>
                <w:rFonts w:ascii="Calibri" w:hAnsi="Calibri"/>
                <w:b w:val="0"/>
                <w:i w:val="0"/>
                <w:color w:val="212121"/>
                <w:sz w:val="16"/>
              </w:rPr>
              <w:t>HSV-1 and/or HSV-2 IgG positive</w:t>
            </w:r>
          </w:p>
        </w:tc>
        <w:tc>
          <w:tcPr>
            <w:tcW w:type="dxa" w:w="1036"/>
            <w:vAlign w:val="top"/>
          </w:tcPr>
          <w:p>
            <w:pPr>
              <w:spacing w:after="40" w:before="0" w:line="259" w:lineRule="auto"/>
            </w:pPr>
            <w:r>
              <w:rPr>
                <w:rFonts w:ascii="Calibri" w:hAnsi="Calibri"/>
                <w:b w:val="0"/>
                <w:i w:val="0"/>
                <w:color w:val="212121"/>
                <w:sz w:val="16"/>
              </w:rPr>
              <w:t>Identifies established/latent infection and its type; useful when lesion tests negative</w:t>
            </w:r>
          </w:p>
        </w:tc>
        <w:tc>
          <w:tcPr>
            <w:tcW w:type="dxa" w:w="1036"/>
            <w:vAlign w:val="top"/>
          </w:tcPr>
          <w:p>
            <w:pPr>
              <w:spacing w:after="40" w:before="0" w:line="259" w:lineRule="auto"/>
            </w:pPr>
            <w:r>
              <w:rPr>
                <w:rFonts w:ascii="Calibri" w:hAnsi="Calibri"/>
                <w:b w:val="0"/>
                <w:i w:val="0"/>
                <w:color w:val="212121"/>
                <w:sz w:val="16"/>
              </w:rPr>
              <w:t>Recurrent genital herpes, partner testing, asymptomatic assessment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Confirm low positive index values; IgG takes weeks to seroconvert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HIV screening</w:t>
            </w:r>
          </w:p>
        </w:tc>
        <w:tc>
          <w:tcPr>
            <w:tcW w:type="dxa" w:w="892"/>
            <w:vAlign w:val="top"/>
          </w:tcPr>
          <w:p>
            <w:pPr>
              <w:spacing w:after="40" w:before="0" w:line="259" w:lineRule="auto"/>
            </w:pPr>
            <w:r>
              <w:rPr>
                <w:rFonts w:ascii="Calibri" w:hAnsi="Calibri"/>
                <w:b w:val="0"/>
                <w:i w:val="0"/>
                <w:color w:val="212121"/>
                <w:sz w:val="16"/>
              </w:rPr>
              <w:t>HIV antibody/antigen test</w:t>
            </w:r>
          </w:p>
        </w:tc>
        <w:tc>
          <w:tcPr>
            <w:tcW w:type="dxa" w:w="950"/>
            <w:vAlign w:val="top"/>
          </w:tcPr>
          <w:p>
            <w:pPr>
              <w:spacing w:after="40" w:before="0" w:line="259" w:lineRule="auto"/>
            </w:pPr>
            <w:r>
              <w:rPr>
                <w:rFonts w:ascii="Calibri" w:hAnsi="Calibri"/>
                <w:b w:val="0"/>
                <w:i w:val="0"/>
                <w:color w:val="212121"/>
                <w:sz w:val="16"/>
              </w:rPr>
              <w:t>Non-reactive</w:t>
            </w:r>
          </w:p>
        </w:tc>
        <w:tc>
          <w:tcPr>
            <w:tcW w:type="dxa" w:w="950"/>
            <w:vAlign w:val="top"/>
          </w:tcPr>
          <w:p>
            <w:pPr>
              <w:spacing w:after="40" w:before="0" w:line="259" w:lineRule="auto"/>
            </w:pPr>
            <w:r>
              <w:rPr>
                <w:rFonts w:ascii="Calibri" w:hAnsi="Calibri"/>
                <w:b w:val="0"/>
                <w:i w:val="0"/>
                <w:color w:val="212121"/>
                <w:sz w:val="16"/>
              </w:rPr>
              <w:t>Reactive</w:t>
            </w:r>
          </w:p>
        </w:tc>
        <w:tc>
          <w:tcPr>
            <w:tcW w:type="dxa" w:w="1036"/>
            <w:vAlign w:val="top"/>
          </w:tcPr>
          <w:p>
            <w:pPr>
              <w:spacing w:after="40" w:before="0" w:line="259" w:lineRule="auto"/>
            </w:pPr>
            <w:r>
              <w:rPr>
                <w:rFonts w:ascii="Calibri" w:hAnsi="Calibri"/>
                <w:b w:val="0"/>
                <w:i w:val="0"/>
                <w:color w:val="212121"/>
                <w:sz w:val="16"/>
              </w:rPr>
              <w:t>Genital herpes and HIV are strongly linked; co-testing is standard</w:t>
            </w:r>
          </w:p>
        </w:tc>
        <w:tc>
          <w:tcPr>
            <w:tcW w:type="dxa" w:w="1036"/>
            <w:vAlign w:val="top"/>
          </w:tcPr>
          <w:p>
            <w:pPr>
              <w:spacing w:after="40" w:before="0" w:line="259" w:lineRule="auto"/>
            </w:pPr>
            <w:r>
              <w:rPr>
                <w:rFonts w:ascii="Calibri" w:hAnsi="Calibri"/>
                <w:b w:val="0"/>
                <w:i w:val="0"/>
                <w:color w:val="212121"/>
                <w:sz w:val="16"/>
              </w:rPr>
              <w:t>All patients with genital herpes / GUD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Offer to every patient with a new genital ulcer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Syphilis / other STI screen</w:t>
            </w:r>
          </w:p>
        </w:tc>
        <w:tc>
          <w:tcPr>
            <w:tcW w:type="dxa" w:w="892"/>
            <w:vAlign w:val="top"/>
          </w:tcPr>
          <w:p>
            <w:pPr>
              <w:spacing w:after="40" w:before="0" w:line="259" w:lineRule="auto"/>
            </w:pPr>
            <w:r>
              <w:rPr>
                <w:rFonts w:ascii="Calibri" w:hAnsi="Calibri"/>
                <w:b w:val="0"/>
                <w:i w:val="0"/>
                <w:color w:val="212121"/>
                <w:sz w:val="16"/>
              </w:rPr>
              <w:t>VDRL/RPR and STI panel</w:t>
            </w:r>
          </w:p>
        </w:tc>
        <w:tc>
          <w:tcPr>
            <w:tcW w:type="dxa" w:w="950"/>
            <w:vAlign w:val="top"/>
          </w:tcPr>
          <w:p>
            <w:pPr>
              <w:spacing w:after="40" w:before="0" w:line="259" w:lineRule="auto"/>
            </w:pPr>
            <w:r>
              <w:rPr>
                <w:rFonts w:ascii="Calibri" w:hAnsi="Calibri"/>
                <w:b w:val="0"/>
                <w:i w:val="0"/>
                <w:color w:val="212121"/>
                <w:sz w:val="16"/>
              </w:rPr>
              <w:t>Non-reactive / negative</w:t>
            </w:r>
          </w:p>
        </w:tc>
        <w:tc>
          <w:tcPr>
            <w:tcW w:type="dxa" w:w="950"/>
            <w:vAlign w:val="top"/>
          </w:tcPr>
          <w:p>
            <w:pPr>
              <w:spacing w:after="40" w:before="0" w:line="259" w:lineRule="auto"/>
            </w:pPr>
            <w:r>
              <w:rPr>
                <w:rFonts w:ascii="Calibri" w:hAnsi="Calibri"/>
                <w:b w:val="0"/>
                <w:i w:val="0"/>
                <w:color w:val="212121"/>
                <w:sz w:val="16"/>
              </w:rPr>
              <w:t>Reactive / positive</w:t>
            </w:r>
          </w:p>
        </w:tc>
        <w:tc>
          <w:tcPr>
            <w:tcW w:type="dxa" w:w="1036"/>
            <w:vAlign w:val="top"/>
          </w:tcPr>
          <w:p>
            <w:pPr>
              <w:spacing w:after="40" w:before="0" w:line="259" w:lineRule="auto"/>
            </w:pPr>
            <w:r>
              <w:rPr>
                <w:rFonts w:ascii="Calibri" w:hAnsi="Calibri"/>
                <w:b w:val="0"/>
                <w:i w:val="0"/>
                <w:color w:val="212121"/>
                <w:sz w:val="16"/>
              </w:rPr>
              <w:t>Excludes co-existing causes of genital ulcer disease</w:t>
            </w:r>
          </w:p>
        </w:tc>
        <w:tc>
          <w:tcPr>
            <w:tcW w:type="dxa" w:w="1036"/>
            <w:vAlign w:val="top"/>
          </w:tcPr>
          <w:p>
            <w:pPr>
              <w:spacing w:after="40" w:before="0" w:line="259" w:lineRule="auto"/>
            </w:pPr>
            <w:r>
              <w:rPr>
                <w:rFonts w:ascii="Calibri" w:hAnsi="Calibri"/>
                <w:b w:val="0"/>
                <w:i w:val="0"/>
                <w:color w:val="212121"/>
                <w:sz w:val="16"/>
              </w:rPr>
              <w:t>Patients with genital ulcers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GUD is often mixed-aetiology; screen broadly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CSF HSV PCR</w:t>
            </w:r>
          </w:p>
        </w:tc>
        <w:tc>
          <w:tcPr>
            <w:tcW w:type="dxa" w:w="892"/>
            <w:vAlign w:val="top"/>
          </w:tcPr>
          <w:p>
            <w:pPr>
              <w:spacing w:after="40" w:before="0" w:line="259" w:lineRule="auto"/>
            </w:pPr>
            <w:r>
              <w:rPr>
                <w:rFonts w:ascii="Calibri" w:hAnsi="Calibri"/>
                <w:b w:val="0"/>
                <w:i w:val="0"/>
                <w:color w:val="212121"/>
                <w:sz w:val="16"/>
              </w:rPr>
              <w:t>Cerebrospinal fluid PCR</w:t>
            </w:r>
          </w:p>
        </w:tc>
        <w:tc>
          <w:tcPr>
            <w:tcW w:type="dxa" w:w="950"/>
            <w:vAlign w:val="top"/>
          </w:tcPr>
          <w:p>
            <w:pPr>
              <w:spacing w:after="40" w:before="0" w:line="259" w:lineRule="auto"/>
            </w:pPr>
            <w:r>
              <w:rPr>
                <w:rFonts w:ascii="Calibri" w:hAnsi="Calibri"/>
                <w:b w:val="0"/>
                <w:i w:val="0"/>
                <w:color w:val="212121"/>
                <w:sz w:val="16"/>
              </w:rPr>
              <w:t>HSV DNA not detected</w:t>
            </w:r>
          </w:p>
        </w:tc>
        <w:tc>
          <w:tcPr>
            <w:tcW w:type="dxa" w:w="950"/>
            <w:vAlign w:val="top"/>
          </w:tcPr>
          <w:p>
            <w:pPr>
              <w:spacing w:after="40" w:before="0" w:line="259" w:lineRule="auto"/>
            </w:pPr>
            <w:r>
              <w:rPr>
                <w:rFonts w:ascii="Calibri" w:hAnsi="Calibri"/>
                <w:b w:val="0"/>
                <w:i w:val="0"/>
                <w:color w:val="212121"/>
                <w:sz w:val="16"/>
              </w:rPr>
              <w:t>HSV DNA detected</w:t>
            </w:r>
          </w:p>
        </w:tc>
        <w:tc>
          <w:tcPr>
            <w:tcW w:type="dxa" w:w="1036"/>
            <w:vAlign w:val="top"/>
          </w:tcPr>
          <w:p>
            <w:pPr>
              <w:spacing w:after="40" w:before="0" w:line="259" w:lineRule="auto"/>
            </w:pPr>
            <w:r>
              <w:rPr>
                <w:rFonts w:ascii="Calibri" w:hAnsi="Calibri"/>
                <w:b w:val="0"/>
                <w:i w:val="0"/>
                <w:color w:val="212121"/>
                <w:sz w:val="16"/>
              </w:rPr>
              <w:t>Investigation of choice for HSV encephalitis / meningitis</w:t>
            </w:r>
          </w:p>
        </w:tc>
        <w:tc>
          <w:tcPr>
            <w:tcW w:type="dxa" w:w="1036"/>
            <w:vAlign w:val="top"/>
          </w:tcPr>
          <w:p>
            <w:pPr>
              <w:spacing w:after="40" w:before="0" w:line="259" w:lineRule="auto"/>
            </w:pPr>
            <w:r>
              <w:rPr>
                <w:rFonts w:ascii="Calibri" w:hAnsi="Calibri"/>
                <w:b w:val="0"/>
                <w:i w:val="0"/>
                <w:color w:val="212121"/>
                <w:sz w:val="16"/>
              </w:rPr>
              <w:t>Encephalopathy, meningism, neonates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Start empirical IV acyclovir immediately when encephalitis is suspected</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Painful oral or genital blisters/ulcers +/- prodrome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Recurrent painful grouped vesicles/ulcers</w:t>
            </w:r>
          </w:p>
        </w:tc>
        <w:tc>
          <w:tcPr>
            <w:tcW w:type="dxa" w:w="1036"/>
            <w:vAlign w:val="top"/>
          </w:tcPr>
          <w:p>
            <w:pPr>
              <w:spacing w:after="40" w:before="0" w:line="259" w:lineRule="auto"/>
            </w:pPr>
            <w:r>
              <w:rPr>
                <w:rFonts w:ascii="Calibri" w:hAnsi="Calibri"/>
                <w:b w:val="0"/>
                <w:i w:val="0"/>
                <w:color w:val="212121"/>
                <w:sz w:val="16"/>
              </w:rPr>
              <w:t>Cardinal presentation of herpes labialis or genital herpes</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Note tingling/burning prodrome, site and evolution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Sexual and risk history</w:t>
            </w:r>
          </w:p>
        </w:tc>
        <w:tc>
          <w:tcPr>
            <w:tcW w:type="dxa" w:w="979"/>
            <w:vAlign w:val="top"/>
          </w:tcPr>
          <w:p>
            <w:pPr>
              <w:spacing w:after="40" w:before="0" w:line="259" w:lineRule="auto"/>
            </w:pPr>
            <w:r>
              <w:rPr>
                <w:rFonts w:ascii="Calibri" w:hAnsi="Calibri"/>
                <w:b w:val="0"/>
                <w:i w:val="0"/>
                <w:color w:val="212121"/>
                <w:sz w:val="16"/>
              </w:rPr>
              <w:t>Partners, condom use, prior STI, HIV status</w:t>
            </w:r>
          </w:p>
        </w:tc>
        <w:tc>
          <w:tcPr>
            <w:tcW w:type="dxa" w:w="950"/>
            <w:vAlign w:val="top"/>
          </w:tcPr>
          <w:p>
            <w:pPr>
              <w:spacing w:after="40" w:before="0" w:line="259" w:lineRule="auto"/>
            </w:pPr>
            <w:r>
              <w:rPr>
                <w:rFonts w:ascii="Calibri" w:hAnsi="Calibri"/>
                <w:b w:val="0"/>
                <w:i w:val="0"/>
                <w:color w:val="212121"/>
                <w:sz w:val="16"/>
              </w:rPr>
              <w:t>Low-risk history</w:t>
            </w:r>
          </w:p>
        </w:tc>
        <w:tc>
          <w:tcPr>
            <w:tcW w:type="dxa" w:w="950"/>
            <w:vAlign w:val="top"/>
          </w:tcPr>
          <w:p>
            <w:pPr>
              <w:spacing w:after="40" w:before="0" w:line="259" w:lineRule="auto"/>
            </w:pPr>
            <w:r>
              <w:rPr>
                <w:rFonts w:ascii="Calibri" w:hAnsi="Calibri"/>
                <w:b w:val="0"/>
                <w:i w:val="0"/>
                <w:color w:val="212121"/>
                <w:sz w:val="16"/>
              </w:rPr>
              <w:t>Multiple partners, condom non-use, prior STI</w:t>
            </w:r>
          </w:p>
        </w:tc>
        <w:tc>
          <w:tcPr>
            <w:tcW w:type="dxa" w:w="1036"/>
            <w:vAlign w:val="top"/>
          </w:tcPr>
          <w:p>
            <w:pPr>
              <w:spacing w:after="40" w:before="0" w:line="259" w:lineRule="auto"/>
            </w:pPr>
            <w:r>
              <w:rPr>
                <w:rFonts w:ascii="Calibri" w:hAnsi="Calibri"/>
                <w:b w:val="0"/>
                <w:i w:val="0"/>
                <w:color w:val="212121"/>
                <w:sz w:val="16"/>
              </w:rPr>
              <w:t>Identifies acquisition risk and need for partner management</w:t>
            </w:r>
          </w:p>
        </w:tc>
        <w:tc>
          <w:tcPr>
            <w:tcW w:type="dxa" w:w="1036"/>
            <w:vAlign w:val="top"/>
          </w:tcPr>
          <w:p>
            <w:pPr>
              <w:spacing w:after="40" w:before="0" w:line="259" w:lineRule="auto"/>
            </w:pPr>
            <w:r>
              <w:rPr>
                <w:rFonts w:ascii="Calibri" w:hAnsi="Calibri"/>
                <w:b w:val="0"/>
                <w:i w:val="0"/>
                <w:color w:val="212121"/>
                <w:sz w:val="16"/>
              </w:rPr>
              <w:t>Genital herpes, key populations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Approach sensitively; enables partner notification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Recurrence pattern and triggers</w:t>
            </w:r>
          </w:p>
        </w:tc>
        <w:tc>
          <w:tcPr>
            <w:tcW w:type="dxa" w:w="979"/>
            <w:vAlign w:val="top"/>
          </w:tcPr>
          <w:p>
            <w:pPr>
              <w:spacing w:after="40" w:before="0" w:line="259" w:lineRule="auto"/>
            </w:pPr>
            <w:r>
              <w:rPr>
                <w:rFonts w:ascii="Calibri" w:hAnsi="Calibri"/>
                <w:b w:val="0"/>
                <w:i w:val="0"/>
                <w:color w:val="212121"/>
                <w:sz w:val="16"/>
              </w:rPr>
              <w:t>Episodes/year; stress, UV, fever, menstruation</w:t>
            </w:r>
          </w:p>
        </w:tc>
        <w:tc>
          <w:tcPr>
            <w:tcW w:type="dxa" w:w="950"/>
            <w:vAlign w:val="top"/>
          </w:tcPr>
          <w:p>
            <w:pPr>
              <w:spacing w:after="40" w:before="0" w:line="259" w:lineRule="auto"/>
            </w:pPr>
            <w:r>
              <w:rPr>
                <w:rFonts w:ascii="Calibri" w:hAnsi="Calibri"/>
                <w:b w:val="0"/>
                <w:i w:val="0"/>
                <w:color w:val="212121"/>
                <w:sz w:val="16"/>
              </w:rPr>
              <w:t>Rare/no recurrence</w:t>
            </w:r>
          </w:p>
        </w:tc>
        <w:tc>
          <w:tcPr>
            <w:tcW w:type="dxa" w:w="950"/>
            <w:vAlign w:val="top"/>
          </w:tcPr>
          <w:p>
            <w:pPr>
              <w:spacing w:after="40" w:before="0" w:line="259" w:lineRule="auto"/>
            </w:pPr>
            <w:r>
              <w:rPr>
                <w:rFonts w:ascii="Calibri" w:hAnsi="Calibri"/>
                <w:b w:val="0"/>
                <w:i w:val="0"/>
                <w:color w:val="212121"/>
                <w:sz w:val="16"/>
              </w:rPr>
              <w:t>Frequent recurrences with identifiable triggers</w:t>
            </w:r>
          </w:p>
        </w:tc>
        <w:tc>
          <w:tcPr>
            <w:tcW w:type="dxa" w:w="1036"/>
            <w:vAlign w:val="top"/>
          </w:tcPr>
          <w:p>
            <w:pPr>
              <w:spacing w:after="40" w:before="0" w:line="259" w:lineRule="auto"/>
            </w:pPr>
            <w:r>
              <w:rPr>
                <w:rFonts w:ascii="Calibri" w:hAnsi="Calibri"/>
                <w:b w:val="0"/>
                <w:i w:val="0"/>
                <w:color w:val="212121"/>
                <w:sz w:val="16"/>
              </w:rPr>
              <w:t>Guides episodic versus suppressive antiviral therapy</w:t>
            </w:r>
          </w:p>
        </w:tc>
        <w:tc>
          <w:tcPr>
            <w:tcW w:type="dxa" w:w="1036"/>
            <w:vAlign w:val="top"/>
          </w:tcPr>
          <w:p>
            <w:pPr>
              <w:spacing w:after="40" w:before="0" w:line="259" w:lineRule="auto"/>
            </w:pPr>
            <w:r>
              <w:rPr>
                <w:rFonts w:ascii="Calibri" w:hAnsi="Calibri"/>
                <w:b w:val="0"/>
                <w:i w:val="0"/>
                <w:color w:val="212121"/>
                <w:sz w:val="16"/>
              </w:rPr>
              <w:t>Frequent recurrers</w:t>
            </w:r>
          </w:p>
        </w:tc>
        <w:tc>
          <w:tcPr>
            <w:tcW w:type="dxa" w:w="720"/>
            <w:vAlign w:val="top"/>
          </w:tcPr>
          <w:p>
            <w:pPr>
              <w:spacing w:after="40" w:before="0" w:line="259" w:lineRule="auto"/>
            </w:pPr>
            <w:r>
              <w:rPr>
                <w:rFonts w:ascii="Calibri" w:hAnsi="Calibri"/>
                <w:b w:val="0"/>
                <w:i w:val="0"/>
                <w:color w:val="212121"/>
                <w:sz w:val="16"/>
              </w:rPr>
              <w:t>Mental health; 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&gt;= ~6 episodes/year supports suppressive therapy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Local examination</w:t>
            </w:r>
          </w:p>
        </w:tc>
        <w:tc>
          <w:tcPr>
            <w:tcW w:type="dxa" w:w="950"/>
            <w:vAlign w:val="top"/>
          </w:tcPr>
          <w:p>
            <w:pPr>
              <w:spacing w:after="40" w:before="0" w:line="259" w:lineRule="auto"/>
            </w:pPr>
            <w:r>
              <w:rPr>
                <w:rFonts w:ascii="Calibri" w:hAnsi="Calibri"/>
                <w:b w:val="0"/>
                <w:i w:val="0"/>
                <w:color w:val="212121"/>
                <w:sz w:val="16"/>
              </w:rPr>
              <w:t>Lesion morphology</w:t>
            </w:r>
          </w:p>
        </w:tc>
        <w:tc>
          <w:tcPr>
            <w:tcW w:type="dxa" w:w="979"/>
            <w:vAlign w:val="top"/>
          </w:tcPr>
          <w:p>
            <w:pPr>
              <w:spacing w:after="40" w:before="0" w:line="259" w:lineRule="auto"/>
            </w:pPr>
            <w:r>
              <w:rPr>
                <w:rFonts w:ascii="Calibri" w:hAnsi="Calibri"/>
                <w:b w:val="0"/>
                <w:i w:val="0"/>
                <w:color w:val="212121"/>
                <w:sz w:val="16"/>
              </w:rPr>
              <w:t>Grouped vesicles on erythematous base to shallow ulcers/crusts</w:t>
            </w:r>
          </w:p>
        </w:tc>
        <w:tc>
          <w:tcPr>
            <w:tcW w:type="dxa" w:w="950"/>
            <w:vAlign w:val="top"/>
          </w:tcPr>
          <w:p>
            <w:pPr>
              <w:spacing w:after="40" w:before="0" w:line="259" w:lineRule="auto"/>
            </w:pPr>
            <w:r>
              <w:rPr>
                <w:rFonts w:ascii="Calibri" w:hAnsi="Calibri"/>
                <w:b w:val="0"/>
                <w:i w:val="0"/>
                <w:color w:val="212121"/>
                <w:sz w:val="16"/>
              </w:rPr>
              <w:t>No lesions</w:t>
            </w:r>
          </w:p>
        </w:tc>
        <w:tc>
          <w:tcPr>
            <w:tcW w:type="dxa" w:w="950"/>
            <w:vAlign w:val="top"/>
          </w:tcPr>
          <w:p>
            <w:pPr>
              <w:spacing w:after="40" w:before="0" w:line="259" w:lineRule="auto"/>
            </w:pPr>
            <w:r>
              <w:rPr>
                <w:rFonts w:ascii="Calibri" w:hAnsi="Calibri"/>
                <w:b w:val="0"/>
                <w:i w:val="0"/>
                <w:color w:val="212121"/>
                <w:sz w:val="16"/>
              </w:rPr>
              <w:t>Characteristic grouped vesicles/ulcers</w:t>
            </w:r>
          </w:p>
        </w:tc>
        <w:tc>
          <w:tcPr>
            <w:tcW w:type="dxa" w:w="1036"/>
            <w:vAlign w:val="top"/>
          </w:tcPr>
          <w:p>
            <w:pPr>
              <w:spacing w:after="40" w:before="0" w:line="259" w:lineRule="auto"/>
            </w:pPr>
            <w:r>
              <w:rPr>
                <w:rFonts w:ascii="Calibri" w:hAnsi="Calibri"/>
                <w:b w:val="0"/>
                <w:i w:val="0"/>
                <w:color w:val="212121"/>
                <w:sz w:val="16"/>
              </w:rPr>
              <w:t>Distinguishes herpes from other genital/oral ulcers</w:t>
            </w:r>
          </w:p>
        </w:tc>
        <w:tc>
          <w:tcPr>
            <w:tcW w:type="dxa" w:w="1036"/>
            <w:vAlign w:val="top"/>
          </w:tcPr>
          <w:p>
            <w:pPr>
              <w:spacing w:after="40" w:before="0" w:line="259" w:lineRule="auto"/>
            </w:pPr>
            <w:r>
              <w:rPr>
                <w:rFonts w:ascii="Calibri" w:hAnsi="Calibri"/>
                <w:b w:val="0"/>
                <w:i w:val="0"/>
                <w:color w:val="212121"/>
                <w:sz w:val="16"/>
              </w:rPr>
              <w:t>Orolabial and genital lesions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Photograph/document distribution; de-roof a vesicle for PCR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Local examination</w:t>
            </w:r>
          </w:p>
        </w:tc>
        <w:tc>
          <w:tcPr>
            <w:tcW w:type="dxa" w:w="950"/>
            <w:vAlign w:val="top"/>
          </w:tcPr>
          <w:p>
            <w:pPr>
              <w:spacing w:after="40" w:before="0" w:line="259" w:lineRule="auto"/>
            </w:pPr>
            <w:r>
              <w:rPr>
                <w:rFonts w:ascii="Calibri" w:hAnsi="Calibri"/>
                <w:b w:val="0"/>
                <w:i w:val="0"/>
                <w:color w:val="212121"/>
                <w:sz w:val="16"/>
              </w:rPr>
              <w:t>Regional lymph nodes</w:t>
            </w:r>
          </w:p>
        </w:tc>
        <w:tc>
          <w:tcPr>
            <w:tcW w:type="dxa" w:w="979"/>
            <w:vAlign w:val="top"/>
          </w:tcPr>
          <w:p>
            <w:pPr>
              <w:spacing w:after="40" w:before="0" w:line="259" w:lineRule="auto"/>
            </w:pPr>
            <w:r>
              <w:rPr>
                <w:rFonts w:ascii="Calibri" w:hAnsi="Calibri"/>
                <w:b w:val="0"/>
                <w:i w:val="0"/>
                <w:color w:val="212121"/>
                <w:sz w:val="16"/>
              </w:rPr>
              <w:t>Tender inguinal / cervical lymphadenopathy</w:t>
            </w:r>
          </w:p>
        </w:tc>
        <w:tc>
          <w:tcPr>
            <w:tcW w:type="dxa" w:w="950"/>
            <w:vAlign w:val="top"/>
          </w:tcPr>
          <w:p>
            <w:pPr>
              <w:spacing w:after="40" w:before="0" w:line="259" w:lineRule="auto"/>
            </w:pPr>
            <w:r>
              <w:rPr>
                <w:rFonts w:ascii="Calibri" w:hAnsi="Calibri"/>
                <w:b w:val="0"/>
                <w:i w:val="0"/>
                <w:color w:val="212121"/>
                <w:sz w:val="16"/>
              </w:rPr>
              <w:t>No adenopathy</w:t>
            </w:r>
          </w:p>
        </w:tc>
        <w:tc>
          <w:tcPr>
            <w:tcW w:type="dxa" w:w="950"/>
            <w:vAlign w:val="top"/>
          </w:tcPr>
          <w:p>
            <w:pPr>
              <w:spacing w:after="40" w:before="0" w:line="259" w:lineRule="auto"/>
            </w:pPr>
            <w:r>
              <w:rPr>
                <w:rFonts w:ascii="Calibri" w:hAnsi="Calibri"/>
                <w:b w:val="0"/>
                <w:i w:val="0"/>
                <w:color w:val="212121"/>
                <w:sz w:val="16"/>
              </w:rPr>
              <w:t>Tender regional nodes (esp. primary episode)</w:t>
            </w:r>
          </w:p>
        </w:tc>
        <w:tc>
          <w:tcPr>
            <w:tcW w:type="dxa" w:w="1036"/>
            <w:vAlign w:val="top"/>
          </w:tcPr>
          <w:p>
            <w:pPr>
              <w:spacing w:after="40" w:before="0" w:line="259" w:lineRule="auto"/>
            </w:pPr>
            <w:r>
              <w:rPr>
                <w:rFonts w:ascii="Calibri" w:hAnsi="Calibri"/>
                <w:b w:val="0"/>
                <w:i w:val="0"/>
                <w:color w:val="212121"/>
                <w:sz w:val="16"/>
              </w:rPr>
              <w:t>Supports active primary/recurrent HSV infection</w:t>
            </w:r>
          </w:p>
        </w:tc>
        <w:tc>
          <w:tcPr>
            <w:tcW w:type="dxa" w:w="1036"/>
            <w:vAlign w:val="top"/>
          </w:tcPr>
          <w:p>
            <w:pPr>
              <w:spacing w:after="40" w:before="0" w:line="259" w:lineRule="auto"/>
            </w:pPr>
            <w:r>
              <w:rPr>
                <w:rFonts w:ascii="Calibri" w:hAnsi="Calibri"/>
                <w:b w:val="0"/>
                <w:i w:val="0"/>
                <w:color w:val="212121"/>
                <w:sz w:val="16"/>
              </w:rPr>
              <w:t>Primary genital or orolabial herpes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Bilateral tender inguinal nodes typical of primary genital herpes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General examination</w:t>
            </w:r>
          </w:p>
        </w:tc>
        <w:tc>
          <w:tcPr>
            <w:tcW w:type="dxa" w:w="950"/>
            <w:vAlign w:val="top"/>
          </w:tcPr>
          <w:p>
            <w:pPr>
              <w:spacing w:after="40" w:before="0" w:line="259" w:lineRule="auto"/>
            </w:pPr>
            <w:r>
              <w:rPr>
                <w:rFonts w:ascii="Calibri" w:hAnsi="Calibri"/>
                <w:b w:val="0"/>
                <w:i w:val="0"/>
                <w:color w:val="212121"/>
                <w:sz w:val="16"/>
              </w:rPr>
              <w:t>Immune and pregnancy status</w:t>
            </w:r>
          </w:p>
        </w:tc>
        <w:tc>
          <w:tcPr>
            <w:tcW w:type="dxa" w:w="979"/>
            <w:vAlign w:val="top"/>
          </w:tcPr>
          <w:p>
            <w:pPr>
              <w:spacing w:after="40" w:before="0" w:line="259" w:lineRule="auto"/>
            </w:pPr>
            <w:r>
              <w:rPr>
                <w:rFonts w:ascii="Calibri" w:hAnsi="Calibri"/>
                <w:b w:val="0"/>
                <w:i w:val="0"/>
                <w:color w:val="212121"/>
                <w:sz w:val="16"/>
              </w:rPr>
              <w:t>Immunosuppression signs; pregnancy; systemic upset</w:t>
            </w:r>
          </w:p>
        </w:tc>
        <w:tc>
          <w:tcPr>
            <w:tcW w:type="dxa" w:w="950"/>
            <w:vAlign w:val="top"/>
          </w:tcPr>
          <w:p>
            <w:pPr>
              <w:spacing w:after="40" w:before="0" w:line="259" w:lineRule="auto"/>
            </w:pPr>
            <w:r>
              <w:rPr>
                <w:rFonts w:ascii="Calibri" w:hAnsi="Calibri"/>
                <w:b w:val="0"/>
                <w:i w:val="0"/>
                <w:color w:val="212121"/>
                <w:sz w:val="16"/>
              </w:rPr>
              <w:t>Immunocompetent, not pregnant, well</w:t>
            </w:r>
          </w:p>
        </w:tc>
        <w:tc>
          <w:tcPr>
            <w:tcW w:type="dxa" w:w="950"/>
            <w:vAlign w:val="top"/>
          </w:tcPr>
          <w:p>
            <w:pPr>
              <w:spacing w:after="40" w:before="0" w:line="259" w:lineRule="auto"/>
            </w:pPr>
            <w:r>
              <w:rPr>
                <w:rFonts w:ascii="Calibri" w:hAnsi="Calibri"/>
                <w:b w:val="0"/>
                <w:i w:val="0"/>
                <w:color w:val="212121"/>
                <w:sz w:val="16"/>
              </w:rPr>
              <w:t>Immunosuppressed, pregnant, or systemically unwell</w:t>
            </w:r>
          </w:p>
        </w:tc>
        <w:tc>
          <w:tcPr>
            <w:tcW w:type="dxa" w:w="1036"/>
            <w:vAlign w:val="top"/>
          </w:tcPr>
          <w:p>
            <w:pPr>
              <w:spacing w:after="40" w:before="0" w:line="259" w:lineRule="auto"/>
            </w:pPr>
            <w:r>
              <w:rPr>
                <w:rFonts w:ascii="Calibri" w:hAnsi="Calibri"/>
                <w:b w:val="0"/>
                <w:i w:val="0"/>
                <w:color w:val="212121"/>
                <w:sz w:val="16"/>
              </w:rPr>
              <w:t>Flags risk of severe/disseminated or neonatal disease</w:t>
            </w:r>
          </w:p>
        </w:tc>
        <w:tc>
          <w:tcPr>
            <w:tcW w:type="dxa" w:w="1036"/>
            <w:vAlign w:val="top"/>
          </w:tcPr>
          <w:p>
            <w:pPr>
              <w:spacing w:after="40" w:before="0" w:line="259" w:lineRule="auto"/>
            </w:pPr>
            <w:r>
              <w:rPr>
                <w:rFonts w:ascii="Calibri" w:hAnsi="Calibri"/>
                <w:b w:val="0"/>
                <w:i w:val="0"/>
                <w:color w:val="212121"/>
                <w:sz w:val="16"/>
              </w:rPr>
              <w:t>HIV, transplant, chemotherapy, pregnant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Alters therapy intensity and delivery planning</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Prodrome - tingling, burning or itching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Localized tingling, itching or burning at the site precedes the visible lesions by hours to a day.</w:t>
            </w:r>
          </w:p>
        </w:tc>
      </w:tr>
      <w:tr>
        <w:trPr>
          <w:cantSplit/>
        </w:trPr>
        <w:tc>
          <w:tcPr>
            <w:tcW w:type="dxa" w:w="2304"/>
            <w:vAlign w:val="top"/>
          </w:tcPr>
          <w:p>
            <w:pPr>
              <w:spacing w:after="40" w:before="0" w:line="259" w:lineRule="auto"/>
            </w:pPr>
            <w:r>
              <w:rPr>
                <w:rFonts w:ascii="Calibri" w:hAnsi="Calibri"/>
                <w:b/>
                <w:i w:val="0"/>
                <w:color w:val="212121"/>
                <w:sz w:val="19"/>
              </w:rPr>
              <w:t>Painful grouped vesicles / blisters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Clusters of small fluid-filled blisters on an erythematous base at the lip, perioral skin or genitals.</w:t>
            </w:r>
          </w:p>
        </w:tc>
      </w:tr>
      <w:tr>
        <w:trPr>
          <w:cantSplit/>
        </w:trPr>
        <w:tc>
          <w:tcPr>
            <w:tcW w:type="dxa" w:w="2304"/>
            <w:vAlign w:val="top"/>
          </w:tcPr>
          <w:p>
            <w:pPr>
              <w:spacing w:after="40" w:before="0" w:line="259" w:lineRule="auto"/>
            </w:pPr>
            <w:r>
              <w:rPr>
                <w:rFonts w:ascii="Calibri" w:hAnsi="Calibri"/>
                <w:b/>
                <w:i w:val="0"/>
                <w:color w:val="212121"/>
                <w:sz w:val="19"/>
              </w:rPr>
              <w:t>Painful ulcers / erosions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Vesicles rupture into shallow, tender ulcers that then crust and heal, usually within 1-2 weeks.</w:t>
            </w:r>
          </w:p>
        </w:tc>
      </w:tr>
      <w:tr>
        <w:trPr>
          <w:cantSplit/>
        </w:trPr>
        <w:tc>
          <w:tcPr>
            <w:tcW w:type="dxa" w:w="2304"/>
            <w:vAlign w:val="top"/>
          </w:tcPr>
          <w:p>
            <w:pPr>
              <w:spacing w:after="40" w:before="0" w:line="259" w:lineRule="auto"/>
            </w:pPr>
            <w:r>
              <w:rPr>
                <w:rFonts w:ascii="Calibri" w:hAnsi="Calibri"/>
                <w:b/>
                <w:i w:val="0"/>
                <w:color w:val="212121"/>
                <w:sz w:val="19"/>
              </w:rPr>
              <w:t>Orolabial cold sores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Recurrent lesions at the vermilion border of the lip - the classic 'cold sore' or 'fever blister'.</w:t>
            </w:r>
          </w:p>
        </w:tc>
      </w:tr>
      <w:tr>
        <w:trPr>
          <w:cantSplit/>
        </w:trPr>
        <w:tc>
          <w:tcPr>
            <w:tcW w:type="dxa" w:w="2304"/>
            <w:vAlign w:val="top"/>
          </w:tcPr>
          <w:p>
            <w:pPr>
              <w:spacing w:after="40" w:before="0" w:line="259" w:lineRule="auto"/>
            </w:pPr>
            <w:r>
              <w:rPr>
                <w:rFonts w:ascii="Calibri" w:hAnsi="Calibri"/>
                <w:b/>
                <w:i w:val="0"/>
                <w:color w:val="212121"/>
                <w:sz w:val="19"/>
              </w:rPr>
              <w:t>Painful genital sores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Painful vesicles and ulcers of the vulva, penis, perianal or perineal skin in genital herpes.</w:t>
            </w:r>
          </w:p>
        </w:tc>
      </w:tr>
      <w:tr>
        <w:trPr>
          <w:cantSplit/>
        </w:trPr>
        <w:tc>
          <w:tcPr>
            <w:tcW w:type="dxa" w:w="2304"/>
            <w:vAlign w:val="top"/>
          </w:tcPr>
          <w:p>
            <w:pPr>
              <w:spacing w:after="40" w:before="0" w:line="259" w:lineRule="auto"/>
            </w:pPr>
            <w:r>
              <w:rPr>
                <w:rFonts w:ascii="Calibri" w:hAnsi="Calibri"/>
                <w:b/>
                <w:i w:val="0"/>
                <w:color w:val="212121"/>
                <w:sz w:val="19"/>
              </w:rPr>
              <w:t>Dysuria / painful urination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Especially in women with primary genital herpes, when urine contacts vulvar ulcers; can cause urinary retention.</w:t>
            </w:r>
          </w:p>
        </w:tc>
      </w:tr>
      <w:tr>
        <w:trPr>
          <w:cantSplit/>
        </w:trPr>
        <w:tc>
          <w:tcPr>
            <w:tcW w:type="dxa" w:w="2304"/>
            <w:vAlign w:val="top"/>
          </w:tcPr>
          <w:p>
            <w:pPr>
              <w:spacing w:after="40" w:before="0" w:line="259" w:lineRule="auto"/>
            </w:pPr>
            <w:r>
              <w:rPr>
                <w:rFonts w:ascii="Calibri" w:hAnsi="Calibri"/>
                <w:b/>
                <w:i w:val="0"/>
                <w:color w:val="212121"/>
                <w:sz w:val="19"/>
              </w:rPr>
              <w:t>Fever, malaise and body aches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Systemic flu-like symptoms accompany primary (first) episodes far more than recurrences.</w:t>
            </w:r>
          </w:p>
        </w:tc>
      </w:tr>
      <w:tr>
        <w:trPr>
          <w:cantSplit/>
        </w:trPr>
        <w:tc>
          <w:tcPr>
            <w:tcW w:type="dxa" w:w="2304"/>
            <w:vAlign w:val="top"/>
          </w:tcPr>
          <w:p>
            <w:pPr>
              <w:spacing w:after="40" w:before="0" w:line="259" w:lineRule="auto"/>
            </w:pPr>
            <w:r>
              <w:rPr>
                <w:rFonts w:ascii="Calibri" w:hAnsi="Calibri"/>
                <w:b/>
                <w:i w:val="0"/>
                <w:color w:val="212121"/>
                <w:sz w:val="19"/>
              </w:rPr>
              <w:t>Tender lymph node swelling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Tender inguinal (genital) or cervical (oral) lymphadenopathy during active infection.</w:t>
            </w:r>
          </w:p>
        </w:tc>
      </w:tr>
      <w:tr>
        <w:trPr>
          <w:cantSplit/>
        </w:trPr>
        <w:tc>
          <w:tcPr>
            <w:tcW w:type="dxa" w:w="2304"/>
            <w:vAlign w:val="top"/>
          </w:tcPr>
          <w:p>
            <w:pPr>
              <w:spacing w:after="40" w:before="0" w:line="259" w:lineRule="auto"/>
            </w:pPr>
            <w:r>
              <w:rPr>
                <w:rFonts w:ascii="Calibri" w:hAnsi="Calibri"/>
                <w:b/>
                <w:i w:val="0"/>
                <w:color w:val="212121"/>
                <w:sz w:val="19"/>
              </w:rPr>
              <w:t>Painful mouth and gums (gingivostomatitis)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Primary HSV-1 in children causes fever, sore throat and painful mouth/gum ulcers with drooling and poor feeding.</w:t>
            </w:r>
          </w:p>
        </w:tc>
      </w:tr>
      <w:tr>
        <w:trPr>
          <w:cantSplit/>
        </w:trPr>
        <w:tc>
          <w:tcPr>
            <w:tcW w:type="dxa" w:w="2304"/>
            <w:vAlign w:val="top"/>
          </w:tcPr>
          <w:p>
            <w:pPr>
              <w:spacing w:after="40" w:before="0" w:line="259" w:lineRule="auto"/>
            </w:pPr>
            <w:r>
              <w:rPr>
                <w:rFonts w:ascii="Calibri" w:hAnsi="Calibri"/>
                <w:b/>
                <w:i w:val="0"/>
                <w:color w:val="212121"/>
                <w:sz w:val="19"/>
              </w:rPr>
              <w:t>Recurrent milder episodes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Reactivations are typically shorter and less severe than the primary episode, often with a reliable prodrome.</w:t>
            </w:r>
          </w:p>
        </w:tc>
      </w:tr>
      <w:tr>
        <w:trPr>
          <w:cantSplit/>
        </w:trPr>
        <w:tc>
          <w:tcPr>
            <w:tcW w:type="dxa" w:w="2304"/>
            <w:vAlign w:val="top"/>
          </w:tcPr>
          <w:p>
            <w:pPr>
              <w:spacing w:after="40" w:before="0" w:line="259" w:lineRule="auto"/>
            </w:pPr>
            <w:r>
              <w:rPr>
                <w:rFonts w:ascii="Calibri" w:hAnsi="Calibri"/>
                <w:b/>
                <w:i w:val="0"/>
                <w:color w:val="212121"/>
                <w:sz w:val="19"/>
              </w:rPr>
              <w:t>Asymptomatic / unrecognized infection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Most HSV-infected people have no or unrecognised symptoms yet can shed virus and transmit infection.</w:t>
            </w:r>
          </w:p>
        </w:tc>
      </w:tr>
      <w:tr>
        <w:trPr>
          <w:cantSplit/>
        </w:trPr>
        <w:tc>
          <w:tcPr>
            <w:tcW w:type="dxa" w:w="2304"/>
            <w:vAlign w:val="top"/>
          </w:tcPr>
          <w:p>
            <w:pPr>
              <w:spacing w:after="40" w:before="0" w:line="259" w:lineRule="auto"/>
            </w:pPr>
            <w:r>
              <w:rPr>
                <w:rFonts w:ascii="Calibri" w:hAnsi="Calibri"/>
                <w:b/>
                <w:i w:val="0"/>
                <w:color w:val="212121"/>
                <w:sz w:val="19"/>
              </w:rPr>
              <w:t>Eye pain, redness or watering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Ocular herpes (keratitis) from autoinoculation - a sight-threatening emergency needing ophthalmology review.</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Grouped vesicles on an erythematous base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hallmark lesion of herpes simplex at any site.</w:t>
            </w:r>
          </w:p>
        </w:tc>
      </w:tr>
      <w:tr>
        <w:trPr>
          <w:cantSplit/>
        </w:trPr>
        <w:tc>
          <w:tcPr>
            <w:tcW w:type="dxa" w:w="3456"/>
            <w:vAlign w:val="top"/>
          </w:tcPr>
          <w:p>
            <w:pPr>
              <w:spacing w:after="40" w:before="0" w:line="259" w:lineRule="auto"/>
            </w:pPr>
            <w:r>
              <w:rPr>
                <w:rFonts w:ascii="Calibri" w:hAnsi="Calibri"/>
                <w:b/>
                <w:i w:val="0"/>
                <w:color w:val="212121"/>
                <w:sz w:val="19"/>
              </w:rPr>
              <w:t>Shallow painful ulcers with an erythematous halo</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Follow vesicle rupture; multiple, tender, well-demarcated.</w:t>
            </w:r>
          </w:p>
        </w:tc>
      </w:tr>
      <w:tr>
        <w:trPr>
          <w:cantSplit/>
        </w:trPr>
        <w:tc>
          <w:tcPr>
            <w:tcW w:type="dxa" w:w="3456"/>
            <w:vAlign w:val="top"/>
          </w:tcPr>
          <w:p>
            <w:pPr>
              <w:spacing w:after="40" w:before="0" w:line="259" w:lineRule="auto"/>
            </w:pPr>
            <w:r>
              <w:rPr>
                <w:rFonts w:ascii="Calibri" w:hAnsi="Calibri"/>
                <w:b/>
                <w:i w:val="0"/>
                <w:color w:val="212121"/>
                <w:sz w:val="19"/>
              </w:rPr>
              <w:t>Crusted / healing lesions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Later-stage lesions crust over before re-epithelialising, usually without scarring.</w:t>
            </w:r>
          </w:p>
        </w:tc>
      </w:tr>
      <w:tr>
        <w:trPr>
          <w:cantSplit/>
        </w:trPr>
        <w:tc>
          <w:tcPr>
            <w:tcW w:type="dxa" w:w="3456"/>
            <w:vAlign w:val="top"/>
          </w:tcPr>
          <w:p>
            <w:pPr>
              <w:spacing w:after="40" w:before="0" w:line="259" w:lineRule="auto"/>
            </w:pPr>
            <w:r>
              <w:rPr>
                <w:rFonts w:ascii="Calibri" w:hAnsi="Calibri"/>
                <w:b/>
                <w:i w:val="0"/>
                <w:color w:val="212121"/>
                <w:sz w:val="19"/>
              </w:rPr>
              <w:t>Perioral / labial vesicles and crusts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Cold sores clustered at the lip margin and perioral skin.</w:t>
            </w:r>
          </w:p>
        </w:tc>
      </w:tr>
      <w:tr>
        <w:trPr>
          <w:cantSplit/>
        </w:trPr>
        <w:tc>
          <w:tcPr>
            <w:tcW w:type="dxa" w:w="3456"/>
            <w:vAlign w:val="top"/>
          </w:tcPr>
          <w:p>
            <w:pPr>
              <w:spacing w:after="40" w:before="0" w:line="259" w:lineRule="auto"/>
            </w:pPr>
            <w:r>
              <w:rPr>
                <w:rFonts w:ascii="Calibri" w:hAnsi="Calibri"/>
                <w:b/>
                <w:i w:val="0"/>
                <w:color w:val="212121"/>
                <w:sz w:val="19"/>
              </w:rPr>
              <w:t>Genital / vulvar / penile / perianal vesicles and ulcers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Characteristic distribution of genital herpes.</w:t>
            </w:r>
          </w:p>
        </w:tc>
      </w:tr>
      <w:tr>
        <w:trPr>
          <w:cantSplit/>
        </w:trPr>
        <w:tc>
          <w:tcPr>
            <w:tcW w:type="dxa" w:w="3456"/>
            <w:vAlign w:val="top"/>
          </w:tcPr>
          <w:p>
            <w:pPr>
              <w:spacing w:after="40" w:before="0" w:line="259" w:lineRule="auto"/>
            </w:pPr>
            <w:r>
              <w:rPr>
                <w:rFonts w:ascii="Calibri" w:hAnsi="Calibri"/>
                <w:b/>
                <w:i w:val="0"/>
                <w:color w:val="212121"/>
                <w:sz w:val="19"/>
              </w:rPr>
              <w:t>Tender regional lymphadenopathy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Firm, tender inguinal or cervical nodes during active infection.</w:t>
            </w:r>
          </w:p>
        </w:tc>
      </w:tr>
      <w:tr>
        <w:trPr>
          <w:cantSplit/>
        </w:trPr>
        <w:tc>
          <w:tcPr>
            <w:tcW w:type="dxa" w:w="3456"/>
            <w:vAlign w:val="top"/>
          </w:tcPr>
          <w:p>
            <w:pPr>
              <w:spacing w:after="40" w:before="0" w:line="259" w:lineRule="auto"/>
            </w:pPr>
            <w:r>
              <w:rPr>
                <w:rFonts w:ascii="Calibri" w:hAnsi="Calibri"/>
                <w:b/>
                <w:i w:val="0"/>
                <w:color w:val="212121"/>
                <w:sz w:val="19"/>
              </w:rPr>
              <w:t>Vulval / vaginal oedema and cervicitis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Extensive, painful inflammation typical of severe primary genital herpes in women.</w:t>
            </w:r>
          </w:p>
        </w:tc>
      </w:tr>
      <w:tr>
        <w:trPr>
          <w:cantSplit/>
        </w:trPr>
        <w:tc>
          <w:tcPr>
            <w:tcW w:type="dxa" w:w="3456"/>
            <w:vAlign w:val="top"/>
          </w:tcPr>
          <w:p>
            <w:pPr>
              <w:spacing w:after="40" w:before="0" w:line="259" w:lineRule="auto"/>
            </w:pPr>
            <w:r>
              <w:rPr>
                <w:rFonts w:ascii="Calibri" w:hAnsi="Calibri"/>
                <w:b/>
                <w:i w:val="0"/>
                <w:color w:val="212121"/>
                <w:sz w:val="19"/>
              </w:rPr>
              <w:t>Herpetic whitlow</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Painful vesicles/pustules on a finger from inoculation of HSV, seen in children and health workers.</w:t>
            </w:r>
          </w:p>
        </w:tc>
      </w:tr>
      <w:tr>
        <w:trPr>
          <w:cantSplit/>
        </w:trPr>
        <w:tc>
          <w:tcPr>
            <w:tcW w:type="dxa" w:w="3456"/>
            <w:vAlign w:val="top"/>
          </w:tcPr>
          <w:p>
            <w:pPr>
              <w:spacing w:after="40" w:before="0" w:line="259" w:lineRule="auto"/>
            </w:pPr>
            <w:r>
              <w:rPr>
                <w:rFonts w:ascii="Calibri" w:hAnsi="Calibri"/>
                <w:b/>
                <w:i w:val="0"/>
                <w:color w:val="212121"/>
                <w:sz w:val="19"/>
              </w:rPr>
              <w:t>Dendritic corneal ulcer on fluorescein staining</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Branching corneal ulcer of HSV keratitis - a sight-threatening sign.</w:t>
            </w:r>
          </w:p>
        </w:tc>
      </w:tr>
      <w:tr>
        <w:trPr>
          <w:cantSplit/>
        </w:trPr>
        <w:tc>
          <w:tcPr>
            <w:tcW w:type="dxa" w:w="3456"/>
            <w:vAlign w:val="top"/>
          </w:tcPr>
          <w:p>
            <w:pPr>
              <w:spacing w:after="40" w:before="0" w:line="259" w:lineRule="auto"/>
            </w:pPr>
            <w:r>
              <w:rPr>
                <w:rFonts w:ascii="Calibri" w:hAnsi="Calibri"/>
                <w:b/>
                <w:i w:val="0"/>
                <w:color w:val="212121"/>
                <w:sz w:val="19"/>
              </w:rPr>
              <w:t>Eczema herpeticum</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Widespread monomorphic punched-out erosions over eczematous skin - a dermatological emergency.</w:t>
            </w:r>
          </w:p>
        </w:tc>
      </w:tr>
      <w:tr>
        <w:trPr>
          <w:cantSplit/>
        </w:trPr>
        <w:tc>
          <w:tcPr>
            <w:tcW w:type="dxa" w:w="3456"/>
            <w:vAlign w:val="top"/>
          </w:tcPr>
          <w:p>
            <w:pPr>
              <w:spacing w:after="40" w:before="0" w:line="259" w:lineRule="auto"/>
            </w:pPr>
            <w:r>
              <w:rPr>
                <w:rFonts w:ascii="Calibri" w:hAnsi="Calibri"/>
                <w:b/>
                <w:i w:val="0"/>
                <w:color w:val="212121"/>
                <w:sz w:val="19"/>
              </w:rPr>
              <w:t>Neonatal skin/eye/mouth vesicles or sepsis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Vesicles, poor feeding, seizures or sepsis in a neonate signal neonatal herpes and demand urgent IV acyclovir.</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infection of eroded lesions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Painful urinary retention (sacral autonomic involvement in primary genital herpes)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Extensive, prolonged or confluent primary mucocutaneous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Autoinoculation to other sites - herpetic whitlow, ocular herpes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Aseptic (Mollaret) meningitis</w:t>
            </w:r>
          </w:p>
        </w:tc>
        <w:tc>
          <w:tcPr>
            <w:tcW w:type="dxa" w:w="2980"/>
            <w:vAlign w:val="top"/>
          </w:tcPr>
          <w:p>
            <w:pPr>
              <w:spacing w:after="40" w:before="0" w:line="259" w:lineRule="auto"/>
            </w:pPr>
            <w:r>
              <w:rPr>
                <w:rFonts w:ascii="Calibri" w:hAnsi="Calibri"/>
                <w:b w:val="0"/>
                <w:i w:val="0"/>
                <w:color w:val="212121"/>
                <w:sz w:val="19"/>
              </w:rPr>
              <w:t>Direct local and neurological consequences of the acute infection, most marked in the primary episode.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 recurrent outbreaks and asymptomatic shedding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HSV keratitis and recurrent ocular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Eczema herpeticum in barrier-disrupted skin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acquisition and transmission of HIV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Herpes-associated erythema multiforme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Significant psychological distress, anxiety and relationship strain</w:t>
            </w:r>
          </w:p>
        </w:tc>
        <w:tc>
          <w:tcPr>
            <w:tcW w:type="dxa" w:w="2980"/>
            <w:vAlign w:val="top"/>
          </w:tcPr>
          <w:p>
            <w:pPr>
              <w:spacing w:after="40" w:before="0" w:line="259" w:lineRule="auto"/>
            </w:pPr>
            <w:r>
              <w:rPr>
                <w:rFonts w:ascii="Calibri" w:hAnsi="Calibri"/>
                <w:b w:val="0"/>
                <w:i w:val="0"/>
                <w:color w:val="212121"/>
                <w:sz w:val="19"/>
              </w:rPr>
              <w:t>Consequences of viral latency, reactivation and immune interaction over time.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Herpes simplex encephalitis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Neonatal herpes (skin-eye-mouth, CNS or disseminated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Disseminated visceral HSV in the severely immunocompromised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Corneal scarring and blindness from recurrent keratitis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Aciclovir-resistant chronic ulcerative HSV in advanced immunosuppression</w:t>
            </w:r>
          </w:p>
        </w:tc>
        <w:tc>
          <w:tcPr>
            <w:tcW w:type="dxa" w:w="2980"/>
            <w:vAlign w:val="top"/>
          </w:tcPr>
          <w:p>
            <w:pPr>
              <w:spacing w:after="40" w:before="0" w:line="259" w:lineRule="auto"/>
            </w:pPr>
            <w:r>
              <w:rPr>
                <w:rFonts w:ascii="Calibri" w:hAnsi="Calibri"/>
                <w:b w:val="0"/>
                <w:i w:val="0"/>
                <w:color w:val="212121"/>
                <w:sz w:val="19"/>
              </w:rPr>
              <w:t>Severe, disabling or life-threatening outcomes, concentrated in neonates and immunocompromised hosts.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HIV infection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Bidirectional: HSV-2 genital ulceration roughly triples HIV acquisition risk, while HIV immunosuppression causes more frequent, chronic, extensive and sometimes drug-resistant HSV. In Indian population data HIV is the strongest correlate of HSV-2.</w:t>
            </w:r>
          </w:p>
          <w:p>
            <w:pPr>
              <w:spacing w:after="40" w:before="0" w:line="259" w:lineRule="auto"/>
            </w:pPr>
            <w:r>
              <w:rPr>
                <w:rFonts w:ascii="Calibri" w:hAnsi="Calibri"/>
                <w:b/>
                <w:i w:val="0"/>
                <w:color w:val="212121"/>
                <w:sz w:val="19"/>
              </w:rPr>
              <w:t>HIV-HSV-2 association OR ~8.2-14.2 (Andhra Pradesh)</w:t>
            </w:r>
          </w:p>
        </w:tc>
      </w:tr>
      <w:tr>
        <w:trPr>
          <w:cantSplit/>
        </w:trPr>
        <w:tc>
          <w:tcPr>
            <w:tcW w:type="dxa" w:w="2232"/>
            <w:vAlign w:val="top"/>
          </w:tcPr>
          <w:p>
            <w:pPr>
              <w:spacing w:after="40" w:before="0" w:line="259" w:lineRule="auto"/>
            </w:pPr>
            <w:r>
              <w:rPr>
                <w:rFonts w:ascii="Calibri" w:hAnsi="Calibri"/>
                <w:b/>
                <w:i w:val="0"/>
                <w:color w:val="212121"/>
                <w:sz w:val="19"/>
              </w:rPr>
              <w:t>Neonatal herpes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Genital HSV, especially a primary infection late in pregnancy, can be transmitted at delivery, causing skin-eye-mouth, CNS or disseminated neonatal disease; drives suppressive therapy and caesarean decisions.</w:t>
            </w:r>
          </w:p>
          <w:p>
            <w:pPr>
              <w:spacing w:after="40" w:before="0" w:line="259" w:lineRule="auto"/>
            </w:pPr>
            <w:r>
              <w:rPr>
                <w:rFonts w:ascii="Calibri" w:hAnsi="Calibri"/>
                <w:b/>
                <w:i w:val="0"/>
                <w:color w:val="212121"/>
                <w:sz w:val="19"/>
              </w:rPr>
              <w:t>~10 per 100,000 births globally</w:t>
            </w:r>
          </w:p>
        </w:tc>
      </w:tr>
      <w:tr>
        <w:trPr>
          <w:cantSplit/>
        </w:trPr>
        <w:tc>
          <w:tcPr>
            <w:tcW w:type="dxa" w:w="2232"/>
            <w:vAlign w:val="top"/>
          </w:tcPr>
          <w:p>
            <w:pPr>
              <w:spacing w:after="40" w:before="0" w:line="259" w:lineRule="auto"/>
            </w:pPr>
            <w:r>
              <w:rPr>
                <w:rFonts w:ascii="Calibri" w:hAnsi="Calibri"/>
                <w:b/>
                <w:i w:val="0"/>
                <w:color w:val="212121"/>
                <w:sz w:val="19"/>
              </w:rPr>
              <w:t>HSV keratitis / ocular herpes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Autoinoculation or reactivation in the trigeminal distribution causes dendritic keratitis; recurrent disease is a leading infectious cause of corneal blindness.</w:t>
            </w:r>
          </w:p>
        </w:tc>
      </w:tr>
      <w:tr>
        <w:trPr>
          <w:cantSplit/>
        </w:trPr>
        <w:tc>
          <w:tcPr>
            <w:tcW w:type="dxa" w:w="2232"/>
            <w:vAlign w:val="top"/>
          </w:tcPr>
          <w:p>
            <w:pPr>
              <w:spacing w:after="40" w:before="0" w:line="259" w:lineRule="auto"/>
            </w:pPr>
            <w:r>
              <w:rPr>
                <w:rFonts w:ascii="Calibri" w:hAnsi="Calibri"/>
                <w:b/>
                <w:i w:val="0"/>
                <w:color w:val="212121"/>
                <w:sz w:val="19"/>
              </w:rPr>
              <w:t>Herpes simplex encephalitis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HSV-1 is the commonest cause of sporadic fatal viral encephalitis; requires immediate empirical IV acyclovir and CSF PCR.</w:t>
            </w:r>
          </w:p>
        </w:tc>
      </w:tr>
      <w:tr>
        <w:trPr>
          <w:cantSplit/>
        </w:trPr>
        <w:tc>
          <w:tcPr>
            <w:tcW w:type="dxa" w:w="2232"/>
            <w:vAlign w:val="top"/>
          </w:tcPr>
          <w:p>
            <w:pPr>
              <w:spacing w:after="40" w:before="0" w:line="259" w:lineRule="auto"/>
            </w:pPr>
            <w:r>
              <w:rPr>
                <w:rFonts w:ascii="Calibri" w:hAnsi="Calibri"/>
                <w:b/>
                <w:i w:val="0"/>
                <w:color w:val="212121"/>
                <w:sz w:val="19"/>
              </w:rPr>
              <w:t>Eczema herpeticum / atopic dermatitis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disrupted skin barrier lets HSV disseminate across the skin as a monomorphic punched-out eruption - a dermatological emergency.</w:t>
            </w:r>
          </w:p>
        </w:tc>
      </w:tr>
      <w:tr>
        <w:trPr>
          <w:cantSplit/>
        </w:trPr>
        <w:tc>
          <w:tcPr>
            <w:tcW w:type="dxa" w:w="2232"/>
            <w:vAlign w:val="top"/>
          </w:tcPr>
          <w:p>
            <w:pPr>
              <w:spacing w:after="40" w:before="0" w:line="259" w:lineRule="auto"/>
            </w:pPr>
            <w:r>
              <w:rPr>
                <w:rFonts w:ascii="Calibri" w:hAnsi="Calibri"/>
                <w:b/>
                <w:i w:val="0"/>
                <w:color w:val="212121"/>
                <w:sz w:val="19"/>
              </w:rPr>
              <w:t>Other genital ulcer STIs (syphilis, chancroid, trichomoniasis, BV)</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 transmission routes and genital inflammation with HSV-2; co-infection is common and alters GUD diagnosis and treatment.</w:t>
            </w:r>
          </w:p>
        </w:tc>
      </w:tr>
      <w:tr>
        <w:trPr>
          <w:cantSplit/>
        </w:trPr>
        <w:tc>
          <w:tcPr>
            <w:tcW w:type="dxa" w:w="2232"/>
            <w:vAlign w:val="top"/>
          </w:tcPr>
          <w:p>
            <w:pPr>
              <w:spacing w:after="40" w:before="0" w:line="259" w:lineRule="auto"/>
            </w:pPr>
            <w:r>
              <w:rPr>
                <w:rFonts w:ascii="Calibri" w:hAnsi="Calibri"/>
                <w:b/>
                <w:i w:val="0"/>
                <w:color w:val="212121"/>
                <w:sz w:val="19"/>
              </w:rPr>
              <w:t>Erythema multiforme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HSV is the commonest identified trigger of recurrent erythema multiforme; suppressive antivirals can prevent attacks.</w:t>
            </w:r>
          </w:p>
        </w:tc>
      </w:tr>
      <w:tr>
        <w:trPr>
          <w:cantSplit/>
        </w:trPr>
        <w:tc>
          <w:tcPr>
            <w:tcW w:type="dxa" w:w="2232"/>
            <w:vAlign w:val="top"/>
          </w:tcPr>
          <w:p>
            <w:pPr>
              <w:spacing w:after="40" w:before="0" w:line="259" w:lineRule="auto"/>
            </w:pPr>
            <w:r>
              <w:rPr>
                <w:rFonts w:ascii="Calibri" w:hAnsi="Calibri"/>
                <w:b/>
                <w:i w:val="0"/>
                <w:color w:val="212121"/>
                <w:sz w:val="19"/>
              </w:rPr>
              <w:t>Aseptic (Mollaret) meningitis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HSV-2 is a leading cause of benign recurrent lymphocytic meningitis, typically following genital herpes.</w:t>
            </w:r>
          </w:p>
        </w:tc>
      </w:tr>
      <w:tr>
        <w:trPr>
          <w:cantSplit/>
        </w:trPr>
        <w:tc>
          <w:tcPr>
            <w:tcW w:type="dxa" w:w="2232"/>
            <w:vAlign w:val="top"/>
          </w:tcPr>
          <w:p>
            <w:pPr>
              <w:spacing w:after="40" w:before="0" w:line="259" w:lineRule="auto"/>
            </w:pPr>
            <w:r>
              <w:rPr>
                <w:rFonts w:ascii="Calibri" w:hAnsi="Calibri"/>
                <w:b/>
                <w:i w:val="0"/>
                <w:color w:val="212121"/>
                <w:sz w:val="19"/>
              </w:rPr>
              <w:t>Depression / anxiety and psychosexual distress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stigma and recurrence of genital herpes cause anxiety and depression, while stress in turn precipitates outbreaks (bidirectional).</w:t>
            </w:r>
          </w:p>
        </w:tc>
      </w:tr>
      <w:tr>
        <w:trPr>
          <w:cantSplit/>
        </w:trPr>
        <w:tc>
          <w:tcPr>
            <w:tcW w:type="dxa" w:w="2232"/>
            <w:vAlign w:val="top"/>
          </w:tcPr>
          <w:p>
            <w:pPr>
              <w:spacing w:after="40" w:before="0" w:line="259" w:lineRule="auto"/>
            </w:pPr>
            <w:r>
              <w:rPr>
                <w:rFonts w:ascii="Calibri" w:hAnsi="Calibri"/>
                <w:b/>
                <w:i w:val="0"/>
                <w:color w:val="212121"/>
                <w:sz w:val="19"/>
              </w:rPr>
              <w:t>Immunosuppression (transplant, chemotherapy, corticosteroids)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Iatrogenic or disease-related immunosuppression produces severe, chronic, disseminated or resistant HSV and warrants antiviral prophylaxis.</w:t>
            </w:r>
          </w:p>
        </w:tc>
      </w:tr>
      <w:tr>
        <w:trPr>
          <w:cantSplit/>
        </w:trPr>
        <w:tc>
          <w:tcPr>
            <w:tcW w:type="dxa" w:w="2232"/>
            <w:vAlign w:val="top"/>
          </w:tcPr>
          <w:p>
            <w:pPr>
              <w:spacing w:after="40" w:before="0" w:line="259" w:lineRule="auto"/>
            </w:pPr>
            <w:r>
              <w:rPr>
                <w:rFonts w:ascii="Calibri" w:hAnsi="Calibri"/>
                <w:b/>
                <w:i w:val="0"/>
                <w:color w:val="212121"/>
                <w:sz w:val="19"/>
              </w:rPr>
              <w:t>Bell's (facial nerve) palsy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HSV-1 reactivation in the geniculate ganglion is implicated in a proportion of cases of idiopathic facial palsy.</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herpes is lifelong and can be transmitted even without visible sores, because of asymptomatic viral shedding.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condoms consistently and limit the number of sexual partners; condoms reduce but do not eliminate genital HSV transmission.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oral, genital or skin contact during an outbreak and from the first prodromal tingling until lesions have fully healed and crusted.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share cups, cutlery, lip balm, towels or razors during an orolabial cold sore; avoid kissing infants and immunocompromised people when a cold sore is active.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touch the sores and then the eyes; wash hands after contact to prevent spread to the eye (keratitis) or finger (whitlow).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Disclose HSV status to sexual partners and, if pregnant, inform the antenatal team so delivery can be planned safely.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Apply lip sunscreen and avoid known personal triggers (intense sun, extreme fatigue) to reduce labial recurrences.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 and partners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Sexually active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Immunocompromised contacts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Start antiviral treatment (aciclovir, valaciclovir or famciclovir) as early as possible - within 24-48 hours or at the prodrome - for the greatest benefit.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frequent or severe recurrences (roughly six or more per year), discuss daily suppressive antiviral therapy, which cuts recurrences by about 70-80% and reduces transmission.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pregnancy, take suppressive antivirals from about 36 weeks if advised, and understand that a caesarean is recommended if genital lesions or prodrome are present at delivery.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lesions clean and dry, use simple analgesia and, for painful genital ulcers, urinate in a warm bath or use topical anaesthetic if advised.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urgent care for eye involvement, severe headache/confusion, a widespread eruption over eczema, or any lesions in a newborn or immunocompromised person.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prescribed antiviral course and attend follow-up for HIV and STI testing and partner management.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symptomatic herpes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 recurrers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 with genital HSV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Immunocompromised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contact sports (wrestling, rugby), do not train or compete with active skin lesions, which can spread HSV-1 (herpes gladiatorum).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Cover any healing skin lesion and do not share towels, mats, razors or water bottles; clean shared equipment.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Shower after training and practise good skin hygiene to limit skin-to-skin transmission.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moderate activity to support the immune function that controls latent virus.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 contact-sport players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recurrent skin HSV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Gym users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diet with adequate protein and micronutrients (zinc, vitamin C, vitamin D) to support cell-mediated 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undernutrition and deficiencies, which can increase the frequency and severity of recurrences.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lysine supplements and arginine restriction have weak, inconsistent evidence and are not a substitute for antivirals.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 deficient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 recurrers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Immunocompromised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as sleep deprivation suppresses immunity and can trigger outbreaks.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 schedule, particularly during periods of illness or high 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coexisting sleep disorders that undermine immune control of the virus.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 recurrers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Stressed individuals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tobacco (smoking and smokeless) to restore mucosal and innate 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available cessation support (counselling, quitlines, nicotine replacement) as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tobacco use clusters with higher-risk sexual behaviour that raises HSV-2 acquisition.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at high STI risk</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safe limits, as heavy drinking impairs immunity and promotes disinhibited, unprotected sex.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binge drinking that leads to unplanned or unprotected sexual encounters.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help for alcohol dependence, which is linked to higher-risk sexual networks.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 binge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at high STI risk</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Merge w:val="restart"/>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psychological stress with relaxation, exercise, adequate sleep and, where needed, counselling, since stress is a leading trigger of recurrences.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to recognise personal stress-related triggers and plan early antiviral use around them.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a routine that limits chronic fatigue and stress, which weaken immune control of the virus.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 recurrers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Highly stressed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reassurance and accurate counselling to reduce the anxiety, shame and stigma that commonly follow a genital herpes diagnosis.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psychological support or referral for depression, anxiety or relationship difficulties related to the diagnosis.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daily suppressive antiviral therapy, which reduces outbreaks and transmission and can markedly improve quality of life and psychological wellbeing.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Signpost to reputable patient information and peer-support resources.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anxiety/depression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in serodiscordant relationships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mc.ncbi.nlm.nih.gov/articles/PMC3613332/" TargetMode="External"/><Relationship Id="rId10" Type="http://schemas.openxmlformats.org/officeDocument/2006/relationships/hyperlink" Target="https://phs.weill.cornell.edu/research-collaboration/publications/seroprevalence-herpes-simplex-virus-types-1-and-2-indian-and" TargetMode="External"/><Relationship Id="rId11" Type="http://schemas.openxmlformats.org/officeDocument/2006/relationships/hyperlink" Target="https://link.springer.com/article/10.1186/1471-2334-10-59" TargetMode="External"/><Relationship Id="rId12" Type="http://schemas.openxmlformats.org/officeDocument/2006/relationships/hyperlink" Target="https://link.springer.com/article/10.1186/1471-2334-11-325" TargetMode="External"/><Relationship Id="rId13" Type="http://schemas.openxmlformats.org/officeDocument/2006/relationships/hyperlink" Target="https://ijdvl.com/emerging-trends-in-viral-sexually-transmitted-infections-in-india/" TargetMode="External"/><Relationship Id="rId14" Type="http://schemas.openxmlformats.org/officeDocument/2006/relationships/hyperlink" Target="https://www.who.int/news-room/fact-sheets/detail/herpes-simplex-vir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