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Varicella / Chickenpox</w:t>
      </w:r>
    </w:p>
    <w:p>
      <w:pPr>
        <w:spacing w:before="0" w:after="160"/>
      </w:pPr>
      <w:r>
        <w:rPr>
          <w:rFonts w:ascii="Calibri" w:hAnsi="Calibri"/>
          <w:b/>
          <w:i w:val="0"/>
          <w:color w:val="212121"/>
          <w:sz w:val="22"/>
        </w:rPr>
        <w:t xml:space="preserve">AKA </w:t>
      </w:r>
      <w:r>
        <w:rPr>
          <w:rFonts w:ascii="Calibri" w:hAnsi="Calibri"/>
          <w:b w:val="0"/>
          <w:i w:val="0"/>
          <w:color w:val="212121"/>
          <w:sz w:val="22"/>
        </w:rPr>
        <w:t>i.e., Chickenpox, Varicella; primary varicella-zoster virus (VZV / human herpesvirus 3) infection; called 'Chhoti Mata'/'Choti Mata' or 'Maa/Mata' (goddess), 'Jal Basant'/'Jalbasant', 'Pani wali Mata', 'Chinna Ammai' (small pox) and 'Sheetala' colloquially across India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Varicella (chickenpox) is a highly contagious, acute, usually self-limiting exanthematous illness caused by primary infection with the varicella-zoster virus (VZV, human herpesvirus 3), an alpha-herpesvirus. It is characterised by a generalised, intensely itchy (pruritic) vesicular rash that erupts in successive crops so that macules, papules, 'dew-drop' vesicles, pustules and crusts are all present at the same time, typically accompanied by fever and malaise. The virus spreads by respiratory aerosols/droplets and by direct contact with vesicle fluid, and after primary infection establishes lifelong latency in sensory (dorsal-root and cranial-nerve) ganglia, from where it can later reactivate as herpes zoster (shingles). Disease is usually mild in healthy children but can be severe or fatal in adults, pregnant women, neonates and immunocompromised hosts.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temperate countries varicella is predominantly a disease of early childhood, but in tropical India a large proportion of adolescents and adults remain susceptible. Indian seroprevalence rises with age from about 29% at 1-5 years to roughly 51% at 5-10 years, 72% at 11-15 years, 80% at 16-20 years and 88-91% by 30-40 years, with an overall (paediatric and adult) VZV seroprevalence of about 68%. Susceptibility persists into the reproductive years: nearly a quarter (about 23%) of pregnant women screened in South India were seronegative and therefore at risk. Because varicella is not part of India's Universal Immunization Programme, is largely a self-limited childhood illness and is not systematically notified, reliable national incidence figures are lacking; cases cluster in winter and spring and outbreaks are common in crowded schools, hostels and institutions. The clinical burden is greatest in adults, in whom a hospital-based Indian series reported organ dysfunction in 68% and an in-hospital mortality of 18%.</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Varicella is primarily a clinical diagnosis based on the characteristic rash and exposure history, with laboratory confirmation reserved for atypical, severe, immunocompromised or pregnant patients: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generalised, intensely pruritic vesicular rash appearing in successive crops, so that lesions at different stages (macules, papules, clear 'dew-drop-on-a-rose-petal' vesicles, pustules and crusts) coexist simultaneously;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centripetal distribution (denser on the trunk, face and scalp than on the limbs), frequently with mucosal (oral, conjunctival, genital) lesions;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short prodrome of fever, malaise, headache, myalgia and anorexia preceding or coinciding with the rash - usually more marked in adolescents and adults and often absent in young children;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history of contact with a case of chickenpox or herpes zoster about 10-21 days earlier in a non-immune (unvaccinated, previously uninfected) person;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Laboratory confirmation when needed: real-time PCR for VZV DNA from vesicle fluid/scraping (most sensitive and specific, highest yield), direct fluorescent antibody (DFA), or a Tzanck smear showing multinucleated giant cells (sensitive but not VZV-specific);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VZV serology - IgM indicating acute infection and IgG indicating past infection/immunity - is used chiefly to establish immune status (for example in exposed pregnant women or healthcare workers) rather than to diagnose the acute rash.</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Varicella has no formal staging but is categorised by host status, severity and clinical setting, which together determine risk and management:</w:t>
      </w:r>
    </w:p>
    <w:p>
      <w:pPr>
        <w:spacing w:before="0" w:after="80"/>
      </w:pPr>
      <w:r>
        <w:rPr>
          <w:rFonts w:ascii="Calibri" w:hAnsi="Calibri"/>
          <w:b w:val="0"/>
          <w:i w:val="0"/>
          <w:color w:val="212121"/>
          <w:sz w:val="21"/>
        </w:rPr>
        <w:t>(1) Typical (uncomplicated) varicella - the self-limited generalised vesicular illness of the immunocompetent child, resolving over about 5-7 days with supportive care;</w:t>
      </w:r>
    </w:p>
    <w:p>
      <w:pPr>
        <w:spacing w:before="0" w:after="80"/>
      </w:pPr>
      <w:r>
        <w:rPr>
          <w:rFonts w:ascii="Calibri" w:hAnsi="Calibri"/>
          <w:b w:val="0"/>
          <w:i w:val="0"/>
          <w:color w:val="212121"/>
          <w:sz w:val="21"/>
        </w:rPr>
        <w:t>(2) Severe / complicated varicella - disease with visceral or systemic involvement (pneumonia, hepatitis, encephalitis, cerebellar ataxia, thrombocytopenia or haemorrhagic varicella), seen predominantly in adults, pregnant women and immunocompromised hosts;</w:t>
      </w:r>
    </w:p>
    <w:p>
      <w:pPr>
        <w:spacing w:before="0" w:after="80"/>
      </w:pPr>
      <w:r>
        <w:rPr>
          <w:rFonts w:ascii="Calibri" w:hAnsi="Calibri"/>
          <w:b w:val="0"/>
          <w:i w:val="0"/>
          <w:color w:val="212121"/>
          <w:sz w:val="21"/>
        </w:rPr>
        <w:t>(3) Varicella in pregnancy - maternal chickenpox that risks severe maternal pneumonia and, depending on gestation, congenital varicella syndrome (highest risk about 2% between 13 and 20 weeks) or neonatal varicella;</w:t>
      </w:r>
    </w:p>
    <w:p>
      <w:pPr>
        <w:spacing w:before="0" w:after="80"/>
      </w:pPr>
      <w:r>
        <w:rPr>
          <w:rFonts w:ascii="Calibri" w:hAnsi="Calibri"/>
          <w:b w:val="0"/>
          <w:i w:val="0"/>
          <w:color w:val="212121"/>
          <w:sz w:val="21"/>
        </w:rPr>
        <w:t>(4) Neonatal varicella - infection of the newborn when the maternal rash appears between 5 days before and 2 days after delivery, historically carrying up to about 30% mortality untreated, reduced to about 7% with immune globulin;</w:t>
      </w:r>
    </w:p>
    <w:p>
      <w:pPr>
        <w:spacing w:before="0" w:after="80"/>
      </w:pPr>
      <w:r>
        <w:rPr>
          <w:rFonts w:ascii="Calibri" w:hAnsi="Calibri"/>
          <w:b w:val="0"/>
          <w:i w:val="0"/>
          <w:color w:val="212121"/>
          <w:sz w:val="21"/>
        </w:rPr>
        <w:t>(5) Breakthrough varicella - a usually mild, modified illness (fewer, often maculopapular lesions with little or no fever) occurring more than 42 days after vaccination in a previously vaccinated person;</w:t>
      </w:r>
    </w:p>
    <w:p>
      <w:pPr>
        <w:spacing w:before="0" w:after="80"/>
      </w:pPr>
      <w:r>
        <w:rPr>
          <w:rFonts w:ascii="Calibri" w:hAnsi="Calibri"/>
          <w:b w:val="0"/>
          <w:i w:val="0"/>
          <w:color w:val="212121"/>
          <w:sz w:val="21"/>
        </w:rPr>
        <w:t>By host status, varicella is further divided into disease in immunocompetent versus immunocompromised individuals (HIV, malignancy, transplant, high-dose corticosteroids/biologics), the latter being prone to progressive, disseminated and haemorrhagic disease.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Primary VZV infection: Chickenpox is the primary infection with varicella-zoster virus (human herpesvirus 3); there is no non-viral cause, and the same virus later reactivates as herpes zoster.</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Airborne and contact transmission: VZV is highly contagious, spreading by respiratory aerosols/droplets and direct contact with vesicle fluid; roughly 90% of susceptible close/household contacts become infected after exposure.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Susceptibility (lack of immunity): Being non-immune - neither previously infected nor vaccinated - is the prerequisite for disease, and a large share of Indian adolescents and adults remain susceptible.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Age and host state: Severity rises sharply with age, and adults, pregnant women, neonates and the immunocompromised are predisposed to severe or complicated disease.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Immunosuppression: HIV/AIDS, haematological and solid malignancies, chemotherapy, transplantation and high-dose corticosteroids or biologics permit progressive, disseminated and haemorrhagic varicella.</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Crowding and seasonality: Close contact in households, schools, hostels and institutions, together with the winter-to-spring season in India, facilitates outbreaks.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Salicylate (aspirin) exposure during infection: Not a cause of varicella but a critical precipitant of Reye syndrome, so aspirin is contraindicated during the illness, particularly in children.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(typically under 10 years)</w:t>
            </w:r>
          </w:p>
        </w:tc>
        <w:tc>
          <w:tcPr>
            <w:tcW w:type="dxa" w:w="4276"/>
            <w:vAlign w:val="top"/>
          </w:tcPr>
          <w:p>
            <w:pPr>
              <w:spacing w:after="60" w:line="259" w:lineRule="auto"/>
            </w:pPr>
            <w:r>
              <w:rPr>
                <w:rFonts w:ascii="Calibri" w:hAnsi="Calibri"/>
                <w:b w:val="0"/>
                <w:i w:val="0"/>
                <w:color w:val="212121"/>
                <w:sz w:val="19"/>
              </w:rPr>
              <w:t>Young children are the classic hosts because most primary VZV exposure occurs in early life; disease at this age is usually mild and self-limited, though children are the main reservoir driving transmission.</w:t>
            </w:r>
          </w:p>
          <w:p>
            <w:pPr>
              <w:spacing w:after="40" w:before="60" w:line="259" w:lineRule="auto"/>
            </w:pPr>
            <w:r>
              <w:rPr>
                <w:rFonts w:ascii="Calibri" w:hAnsi="Calibri"/>
                <w:b w:val="0"/>
                <w:i w:val="0"/>
                <w:color w:val="212121"/>
                <w:sz w:val="19"/>
              </w:rPr>
              <w:t>Before vaccination programmes, over 90% of varicella cases and about 70% of hospitalisations occurred in children; about 90% of susceptible close contacts acquire infection after exposure.</w:t>
            </w:r>
          </w:p>
          <w:p>
            <w:pPr>
              <w:spacing w:after="40" w:line="252" w:lineRule="auto"/>
            </w:pPr>
            <w:hyperlink r:id="rId9">
              <w:r>
                <w:rPr>
                  <w:rFonts w:ascii="Calibri" w:hAnsi="Calibri" w:cs="Calibri"/>
                  <w:sz w:val="18"/>
                  <w:color w:val="1155CC"/>
                  <w:u w:val="single"/>
                </w:rPr>
                <w:t xml:space="preserve">cdc.gov - chickenpox clinical overview</w:t>
              </w:r>
            </w:hyperlink>
          </w:p>
          <w:p>
            <w:pPr>
              <w:spacing w:before="60" w:after="40"/>
            </w:pPr>
            <w:r>
              <w:rPr>
                <w:rFonts w:ascii="Calibri" w:hAnsi="Calibri"/>
                <w:b w:val="0"/>
                <w:i w:val="0"/>
                <w:color w:val="5A5A5A"/>
                <w:sz w:val="18"/>
              </w:rPr>
              <w:t>#chickenpox  #childhoodillness  #highlycontagious  #crops  #VZV</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and adults (15 years and above)</w:t>
            </w:r>
          </w:p>
        </w:tc>
        <w:tc>
          <w:tcPr>
            <w:tcW w:type="dxa" w:w="4276"/>
            <w:vAlign w:val="top"/>
          </w:tcPr>
          <w:p>
            <w:pPr>
              <w:spacing w:after="60" w:line="259" w:lineRule="auto"/>
            </w:pPr>
            <w:r>
              <w:rPr>
                <w:rFonts w:ascii="Calibri" w:hAnsi="Calibri"/>
                <w:b w:val="0"/>
                <w:i w:val="0"/>
                <w:color w:val="212121"/>
                <w:sz w:val="19"/>
              </w:rPr>
              <w:t>In tropical India many people reach adolescence and adulthood still susceptible; primary infection at older ages is far more severe, with a much higher risk of pneumonia, hepatitis, encephalitis and death.</w:t>
            </w:r>
          </w:p>
          <w:p>
            <w:pPr>
              <w:spacing w:after="40" w:before="60" w:line="259" w:lineRule="auto"/>
            </w:pPr>
            <w:r>
              <w:rPr>
                <w:rFonts w:ascii="Calibri" w:hAnsi="Calibri"/>
                <w:b w:val="0"/>
                <w:i w:val="0"/>
                <w:color w:val="212121"/>
                <w:sz w:val="19"/>
              </w:rPr>
              <w:t>In a hospital-based Indian series of 50 adults (mean age 32 years), 68% had organ dysfunction, 34% pneumonia, 24% hepatitis, 20% CNS involvement and in-hospital mortality was 18%.</w:t>
            </w:r>
          </w:p>
          <w:p>
            <w:pPr>
              <w:spacing w:after="40" w:line="252" w:lineRule="auto"/>
            </w:pPr>
            <w:hyperlink r:id="rId10">
              <w:r>
                <w:rPr>
                  <w:rFonts w:ascii="Calibri" w:hAnsi="Calibri" w:cs="Calibri"/>
                  <w:sz w:val="18"/>
                  <w:color w:val="1155CC"/>
                  <w:u w:val="single"/>
                </w:rPr>
                <w:t xml:space="preserve">pmc.ncbi.nlm.nih.gov - adult varicella outcomes (India)</w:t>
              </w:r>
            </w:hyperlink>
          </w:p>
          <w:p>
            <w:pPr>
              <w:spacing w:before="60" w:after="40"/>
            </w:pPr>
            <w:r>
              <w:rPr>
                <w:rFonts w:ascii="Calibri" w:hAnsi="Calibri"/>
                <w:b w:val="0"/>
                <w:i w:val="0"/>
                <w:color w:val="5A5A5A"/>
                <w:sz w:val="18"/>
              </w:rPr>
              <w:t>#adultvaricella  #severe  #pneumonia  #mortality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(predominance in Indian hospital series)</w:t>
            </w:r>
          </w:p>
        </w:tc>
        <w:tc>
          <w:tcPr>
            <w:tcW w:type="dxa" w:w="4276"/>
            <w:vAlign w:val="top"/>
          </w:tcPr>
          <w:p>
            <w:pPr>
              <w:spacing w:after="60" w:line="259" w:lineRule="auto"/>
            </w:pPr>
            <w:r>
              <w:rPr>
                <w:rFonts w:ascii="Calibri" w:hAnsi="Calibri"/>
                <w:b w:val="0"/>
                <w:i w:val="0"/>
                <w:color w:val="212121"/>
                <w:sz w:val="19"/>
              </w:rPr>
              <w:t>Indian hospital cohorts of severe adult varicella show a male predominance, likely reflecting differences in exposure and health-seeking; both sexes are susceptible and pregnant women are a distinct high-risk group.</w:t>
            </w:r>
          </w:p>
          <w:p>
            <w:pPr>
              <w:spacing w:after="40" w:before="60" w:line="259" w:lineRule="auto"/>
            </w:pPr>
            <w:r>
              <w:rPr>
                <w:rFonts w:ascii="Calibri" w:hAnsi="Calibri"/>
                <w:b w:val="0"/>
                <w:i w:val="0"/>
                <w:color w:val="212121"/>
                <w:sz w:val="19"/>
              </w:rPr>
              <w:t>An Indian adult varicella series reported a male-to-female ratio of about 1.6:1 (31 males, 19 females).</w:t>
            </w:r>
          </w:p>
          <w:p>
            <w:pPr>
              <w:spacing w:after="40" w:line="252" w:lineRule="auto"/>
            </w:pPr>
            <w:hyperlink r:id="rId10">
              <w:r>
                <w:rPr>
                  <w:rFonts w:ascii="Calibri" w:hAnsi="Calibri" w:cs="Calibri"/>
                  <w:sz w:val="18"/>
                  <w:color w:val="1155CC"/>
                  <w:u w:val="single"/>
                </w:rPr>
                <w:t xml:space="preserve">pmc.ncbi.nlm.nih.gov - adult varicella outcomes (India)</w:t>
              </w:r>
            </w:hyperlink>
          </w:p>
          <w:p>
            <w:pPr>
              <w:spacing w:before="60" w:after="40"/>
            </w:pPr>
            <w:r>
              <w:rPr>
                <w:rFonts w:ascii="Calibri" w:hAnsi="Calibri"/>
                <w:b w:val="0"/>
                <w:i w:val="0"/>
                <w:color w:val="5A5A5A"/>
                <w:sz w:val="18"/>
              </w:rPr>
              <w:t>#malepredominance  #sexdifference  #adults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Crowded low-income households with limited vaccine access</w:t>
            </w:r>
          </w:p>
        </w:tc>
        <w:tc>
          <w:tcPr>
            <w:tcW w:type="dxa" w:w="4276"/>
            <w:vAlign w:val="top"/>
          </w:tcPr>
          <w:p>
            <w:pPr>
              <w:spacing w:after="60" w:line="259" w:lineRule="auto"/>
            </w:pPr>
            <w:r>
              <w:rPr>
                <w:rFonts w:ascii="Calibri" w:hAnsi="Calibri"/>
                <w:b w:val="0"/>
                <w:i w:val="0"/>
                <w:color w:val="212121"/>
                <w:sz w:val="19"/>
              </w:rPr>
              <w:t>Overcrowding accelerates airborne and contact spread, while the varicella vaccine remains out-of-pocket and outside India's Universal Immunization Programme, leaving poorer families unprotected and more exposed to outbreaks.</w:t>
            </w:r>
          </w:p>
          <w:p>
            <w:pPr>
              <w:spacing w:after="40" w:before="60" w:line="259" w:lineRule="auto"/>
            </w:pPr>
            <w:r>
              <w:rPr>
                <w:rFonts w:ascii="Calibri" w:hAnsi="Calibri"/>
                <w:b w:val="0"/>
                <w:i w:val="0"/>
                <w:color w:val="212121"/>
                <w:sz w:val="19"/>
              </w:rPr>
              <w:t>The varicella vaccine is a recommended (not universal) immunisation in India, given as 2 doses (first at 15-18 months, second at 4-6 years) and is up to about 85% effective against any disease and highly effective against severe disease.</w:t>
            </w:r>
          </w:p>
          <w:p>
            <w:pPr>
              <w:spacing w:after="40" w:line="252" w:lineRule="auto"/>
            </w:pPr>
            <w:hyperlink r:id="rId11">
              <w:r>
                <w:rPr>
                  <w:rFonts w:ascii="Calibri" w:hAnsi="Calibri" w:cs="Calibri"/>
                  <w:sz w:val="18"/>
                  <w:color w:val="1155CC"/>
                  <w:u w:val="single"/>
                </w:rPr>
                <w:t xml:space="preserve">immunizeindia.org - varicella vaccine</w:t>
              </w:r>
            </w:hyperlink>
          </w:p>
          <w:p>
            <w:pPr>
              <w:spacing w:before="60" w:after="40"/>
            </w:pPr>
            <w:r>
              <w:rPr>
                <w:rFonts w:ascii="Calibri" w:hAnsi="Calibri"/>
                <w:b w:val="0"/>
                <w:i w:val="0"/>
                <w:color w:val="5A5A5A"/>
                <w:sz w:val="18"/>
              </w:rPr>
              <w:t>#overcrowding  #vaccineaccess  #outofpocket  #outbreaks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climate</w:t>
            </w:r>
          </w:p>
        </w:tc>
        <w:tc>
          <w:tcPr>
            <w:tcW w:type="dxa" w:w="2160"/>
            <w:vAlign w:val="top"/>
          </w:tcPr>
          <w:p>
            <w:pPr>
              <w:spacing w:after="40" w:before="0" w:line="259" w:lineRule="auto"/>
            </w:pPr>
            <w:r>
              <w:rPr>
                <w:rFonts w:ascii="Calibri" w:hAnsi="Calibri"/>
                <w:b w:val="0"/>
                <w:i w:val="0"/>
                <w:color w:val="212121"/>
                <w:sz w:val="19"/>
              </w:rPr>
              <w:t>Tropical India (delayed immunity, adult susceptibility)</w:t>
            </w:r>
          </w:p>
        </w:tc>
        <w:tc>
          <w:tcPr>
            <w:tcW w:type="dxa" w:w="4276"/>
            <w:vAlign w:val="top"/>
          </w:tcPr>
          <w:p>
            <w:pPr>
              <w:spacing w:after="60" w:line="259" w:lineRule="auto"/>
            </w:pPr>
            <w:r>
              <w:rPr>
                <w:rFonts w:ascii="Calibri" w:hAnsi="Calibri"/>
                <w:b w:val="0"/>
                <w:i w:val="0"/>
                <w:color w:val="212121"/>
                <w:sz w:val="19"/>
              </w:rPr>
              <w:t>In tropical climates VZV circulates less efficiently in early childhood than in temperate regions, so immunity is acquired later and a substantial pool of susceptible adolescents and adults persists, shifting severe disease to older ages.</w:t>
            </w:r>
          </w:p>
          <w:p>
            <w:pPr>
              <w:spacing w:after="40" w:before="60" w:line="259" w:lineRule="auto"/>
            </w:pPr>
            <w:r>
              <w:rPr>
                <w:rFonts w:ascii="Calibri" w:hAnsi="Calibri"/>
                <w:b w:val="0"/>
                <w:i w:val="0"/>
                <w:color w:val="212121"/>
                <w:sz w:val="19"/>
              </w:rPr>
              <w:t>Indian seroprevalence rises from about 29% at 1-5 years to 88-91% by 30-40 years, with an overall seroprevalence of about 68% - leaving roughly 1 in 10 adults still susceptible.</w:t>
            </w:r>
          </w:p>
          <w:p>
            <w:pPr>
              <w:spacing w:after="40" w:line="252" w:lineRule="auto"/>
            </w:pPr>
            <w:hyperlink r:id="rId12">
              <w:r>
                <w:rPr>
                  <w:rFonts w:ascii="Calibri" w:hAnsi="Calibri" w:cs="Calibri"/>
                  <w:sz w:val="18"/>
                  <w:color w:val="1155CC"/>
                  <w:u w:val="single"/>
                </w:rPr>
                <w:t xml:space="preserve">indianpediatrics.net - age-related VZV seroprevalence (India)</w:t>
              </w:r>
            </w:hyperlink>
          </w:p>
          <w:p>
            <w:pPr>
              <w:spacing w:before="60" w:after="40"/>
            </w:pPr>
            <w:r>
              <w:rPr>
                <w:rFonts w:ascii="Calibri" w:hAnsi="Calibri"/>
                <w:b w:val="0"/>
                <w:i w:val="0"/>
                <w:color w:val="5A5A5A"/>
                <w:sz w:val="18"/>
              </w:rPr>
              <w:t>#tropical  #adultsusceptibility  #seroprevalence  #ageshift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Season</w:t>
            </w:r>
          </w:p>
        </w:tc>
        <w:tc>
          <w:tcPr>
            <w:tcW w:type="dxa" w:w="2160"/>
            <w:vAlign w:val="top"/>
          </w:tcPr>
          <w:p>
            <w:pPr>
              <w:spacing w:after="40" w:before="0" w:line="259" w:lineRule="auto"/>
            </w:pPr>
            <w:r>
              <w:rPr>
                <w:rFonts w:ascii="Calibri" w:hAnsi="Calibri"/>
                <w:b w:val="0"/>
                <w:i w:val="0"/>
                <w:color w:val="212121"/>
                <w:sz w:val="19"/>
              </w:rPr>
              <w:t>Winter and spring (peak transmission)</w:t>
            </w:r>
          </w:p>
        </w:tc>
        <w:tc>
          <w:tcPr>
            <w:tcW w:type="dxa" w:w="4276"/>
            <w:vAlign w:val="top"/>
          </w:tcPr>
          <w:p>
            <w:pPr>
              <w:spacing w:after="60" w:line="259" w:lineRule="auto"/>
            </w:pPr>
            <w:r>
              <w:rPr>
                <w:rFonts w:ascii="Calibri" w:hAnsi="Calibri"/>
                <w:b w:val="0"/>
                <w:i w:val="0"/>
                <w:color w:val="212121"/>
                <w:sz w:val="19"/>
              </w:rPr>
              <w:t>Varicella transmission peaks in the cooler, drier winter-spring months in India when indoor crowding and school attendance favour airborne spread, producing seasonal case clusters and outbreaks.</w:t>
            </w:r>
          </w:p>
          <w:p>
            <w:pPr>
              <w:spacing w:after="40" w:before="60" w:line="259" w:lineRule="auto"/>
            </w:pPr>
            <w:r>
              <w:rPr>
                <w:rFonts w:ascii="Calibri" w:hAnsi="Calibri"/>
                <w:b w:val="0"/>
                <w:i w:val="0"/>
                <w:color w:val="212121"/>
                <w:sz w:val="19"/>
              </w:rPr>
              <w:t>In an Indian adult varicella series, admissions peaked in March and April, consistent with the recognised winter-spring seasonality of chickenpox.</w:t>
            </w:r>
          </w:p>
          <w:p>
            <w:pPr>
              <w:spacing w:after="40" w:line="252" w:lineRule="auto"/>
            </w:pPr>
            <w:hyperlink r:id="rId10">
              <w:r>
                <w:rPr>
                  <w:rFonts w:ascii="Calibri" w:hAnsi="Calibri" w:cs="Calibri"/>
                  <w:sz w:val="18"/>
                  <w:color w:val="1155CC"/>
                  <w:u w:val="single"/>
                </w:rPr>
                <w:t xml:space="preserve">pmc.ncbi.nlm.nih.gov - adult varicella outcomes (India)</w:t>
              </w:r>
            </w:hyperlink>
          </w:p>
          <w:p>
            <w:pPr>
              <w:spacing w:before="60" w:after="40"/>
            </w:pPr>
            <w:r>
              <w:rPr>
                <w:rFonts w:ascii="Calibri" w:hAnsi="Calibri"/>
                <w:b w:val="0"/>
                <w:i w:val="0"/>
                <w:color w:val="5A5A5A"/>
                <w:sz w:val="18"/>
              </w:rPr>
              <w:t>#seasonality  #winterspring  #transmission  #outbreaks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Setting / crowding</w:t>
            </w:r>
          </w:p>
        </w:tc>
        <w:tc>
          <w:tcPr>
            <w:tcW w:type="dxa" w:w="2160"/>
            <w:vAlign w:val="top"/>
          </w:tcPr>
          <w:p>
            <w:pPr>
              <w:spacing w:after="40" w:before="0" w:line="259" w:lineRule="auto"/>
            </w:pPr>
            <w:r>
              <w:rPr>
                <w:rFonts w:ascii="Calibri" w:hAnsi="Calibri"/>
                <w:b w:val="0"/>
                <w:i w:val="0"/>
                <w:color w:val="212121"/>
                <w:sz w:val="19"/>
              </w:rPr>
              <w:t>Crowded institutions (schools, hostels, camps, prisons, long-term care)</w:t>
            </w:r>
          </w:p>
        </w:tc>
        <w:tc>
          <w:tcPr>
            <w:tcW w:type="dxa" w:w="4276"/>
            <w:vAlign w:val="top"/>
          </w:tcPr>
          <w:p>
            <w:pPr>
              <w:spacing w:after="60" w:line="259" w:lineRule="auto"/>
            </w:pPr>
            <w:r>
              <w:rPr>
                <w:rFonts w:ascii="Calibri" w:hAnsi="Calibri"/>
                <w:b w:val="0"/>
                <w:i w:val="0"/>
                <w:color w:val="212121"/>
                <w:sz w:val="19"/>
              </w:rPr>
              <w:t>Enclosed, densely populated settings allow rapid airborne spread among susceptible people, so a single case can seed a large outbreak, particularly where non-immune adolescents and adults congregate.</w:t>
            </w:r>
          </w:p>
          <w:p>
            <w:pPr>
              <w:spacing w:after="40" w:before="60" w:line="259" w:lineRule="auto"/>
            </w:pPr>
            <w:r>
              <w:rPr>
                <w:rFonts w:ascii="Calibri" w:hAnsi="Calibri"/>
                <w:b w:val="0"/>
                <w:i w:val="0"/>
                <w:color w:val="212121"/>
                <w:sz w:val="19"/>
              </w:rPr>
              <w:t>Chickenpox is more contagious than mumps or rubella; about 90% of susceptible close contacts become infected after exposure to a case.</w:t>
            </w:r>
          </w:p>
          <w:p>
            <w:pPr>
              <w:spacing w:after="40" w:line="252" w:lineRule="auto"/>
            </w:pPr>
            <w:hyperlink r:id="rId9">
              <w:r>
                <w:rPr>
                  <w:rFonts w:ascii="Calibri" w:hAnsi="Calibri" w:cs="Calibri"/>
                  <w:sz w:val="18"/>
                  <w:color w:val="1155CC"/>
                  <w:u w:val="single"/>
                </w:rPr>
                <w:t xml:space="preserve">cdc.gov - chickenpox clinical overview</w:t>
              </w:r>
            </w:hyperlink>
          </w:p>
          <w:p>
            <w:pPr>
              <w:spacing w:before="60" w:after="40"/>
            </w:pPr>
            <w:r>
              <w:rPr>
                <w:rFonts w:ascii="Calibri" w:hAnsi="Calibri"/>
                <w:b w:val="0"/>
                <w:i w:val="0"/>
                <w:color w:val="5A5A5A"/>
                <w:sz w:val="18"/>
              </w:rPr>
              <w:t>#institutionaloutbreak  #crowding  #airborne  #secondaryattack</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Adult smokers</w:t>
            </w:r>
          </w:p>
        </w:tc>
        <w:tc>
          <w:tcPr>
            <w:tcW w:type="dxa" w:w="4276"/>
            <w:vAlign w:val="top"/>
          </w:tcPr>
          <w:p>
            <w:pPr>
              <w:spacing w:after="60" w:line="259" w:lineRule="auto"/>
            </w:pPr>
            <w:r>
              <w:rPr>
                <w:rFonts w:ascii="Calibri" w:hAnsi="Calibri"/>
                <w:b w:val="0"/>
                <w:i w:val="0"/>
                <w:color w:val="212121"/>
                <w:sz w:val="19"/>
              </w:rPr>
              <w:t>Cigarette smoking is a recognised risk factor for varicella pneumonia in adults, impairing pulmonary defences and cell-mediated immunity and predisposing to more severe respiratory involvement during chickenpox.</w:t>
            </w:r>
          </w:p>
          <w:p>
            <w:pPr>
              <w:spacing w:after="40" w:before="60" w:line="259" w:lineRule="auto"/>
            </w:pPr>
            <w:r>
              <w:rPr>
                <w:rFonts w:ascii="Calibri" w:hAnsi="Calibri"/>
                <w:b w:val="0"/>
                <w:i w:val="0"/>
                <w:color w:val="212121"/>
                <w:sz w:val="19"/>
              </w:rPr>
              <w:t>Pneumonia is the most serious and common complication of adult varicella; in an Indian adult series it occurred in 34% of patients and carried a case-fatality of about 41%.</w:t>
            </w:r>
          </w:p>
          <w:p>
            <w:pPr>
              <w:spacing w:after="40" w:line="252" w:lineRule="auto"/>
            </w:pPr>
            <w:hyperlink r:id="rId10">
              <w:r>
                <w:rPr>
                  <w:rFonts w:ascii="Calibri" w:hAnsi="Calibri" w:cs="Calibri"/>
                  <w:sz w:val="18"/>
                  <w:color w:val="1155CC"/>
                  <w:u w:val="single"/>
                </w:rPr>
                <w:t xml:space="preserve">pmc.ncbi.nlm.nih.gov - adult varicella outcomes (India)</w:t>
              </w:r>
            </w:hyperlink>
          </w:p>
          <w:p>
            <w:pPr>
              <w:spacing w:before="60" w:after="40"/>
            </w:pPr>
            <w:r>
              <w:rPr>
                <w:rFonts w:ascii="Calibri" w:hAnsi="Calibri"/>
                <w:b w:val="0"/>
                <w:i w:val="0"/>
                <w:color w:val="5A5A5A"/>
                <w:sz w:val="18"/>
              </w:rPr>
              <w:t>#smoking  #varicellapneumonia  #adults  #respiratory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 exposure</w:t>
            </w:r>
          </w:p>
        </w:tc>
        <w:tc>
          <w:tcPr>
            <w:tcW w:type="dxa" w:w="2160"/>
            <w:vAlign w:val="top"/>
          </w:tcPr>
          <w:p>
            <w:pPr>
              <w:spacing w:after="40" w:before="0" w:line="259" w:lineRule="auto"/>
            </w:pPr>
            <w:r>
              <w:rPr>
                <w:rFonts w:ascii="Calibri" w:hAnsi="Calibri"/>
                <w:b w:val="0"/>
                <w:i w:val="0"/>
                <w:color w:val="212121"/>
                <w:sz w:val="19"/>
              </w:rPr>
              <w:t>Non-immune healthcare workers, teachers and childcare staff</w:t>
            </w:r>
          </w:p>
        </w:tc>
        <w:tc>
          <w:tcPr>
            <w:tcW w:type="dxa" w:w="4276"/>
            <w:vAlign w:val="top"/>
          </w:tcPr>
          <w:p>
            <w:pPr>
              <w:spacing w:after="60" w:line="259" w:lineRule="auto"/>
            </w:pPr>
            <w:r>
              <w:rPr>
                <w:rFonts w:ascii="Calibri" w:hAnsi="Calibri"/>
                <w:b w:val="0"/>
                <w:i w:val="0"/>
                <w:color w:val="212121"/>
                <w:sz w:val="19"/>
              </w:rPr>
              <w:t>Adults whose work brings frequent contact with children or patients face repeated VZV exposure; those who are non-immune risk acquiring severe adult varicella and transmitting it to vulnerable contacts, making serostatus checks and vaccination important.</w:t>
            </w:r>
          </w:p>
          <w:p>
            <w:pPr>
              <w:spacing w:after="40" w:before="60" w:line="259" w:lineRule="auto"/>
            </w:pPr>
            <w:r>
              <w:rPr>
                <w:rFonts w:ascii="Calibri" w:hAnsi="Calibri"/>
                <w:b w:val="0"/>
                <w:i w:val="0"/>
                <w:color w:val="212121"/>
                <w:sz w:val="19"/>
              </w:rPr>
              <w:t>Self-reported chickenpox history is unreliable (positive predictive value about 82% in an Indian study), so serological screening is needed to identify susceptible workers and pregnant women.</w:t>
            </w:r>
          </w:p>
          <w:p>
            <w:pPr>
              <w:spacing w:after="40" w:line="252" w:lineRule="auto"/>
            </w:pPr>
            <w:hyperlink r:id="rId13">
              <w:r>
                <w:rPr>
                  <w:rFonts w:ascii="Calibri" w:hAnsi="Calibri" w:cs="Calibri"/>
                  <w:sz w:val="18"/>
                  <w:color w:val="1155CC"/>
                  <w:u w:val="single"/>
                </w:rPr>
                <w:t xml:space="preserve">cambridge.org - varicella susceptibility, South India</w:t>
              </w:r>
            </w:hyperlink>
          </w:p>
          <w:p>
            <w:pPr>
              <w:spacing w:before="60" w:after="40"/>
            </w:pPr>
            <w:r>
              <w:rPr>
                <w:rFonts w:ascii="Calibri" w:hAnsi="Calibri"/>
                <w:b w:val="0"/>
                <w:i w:val="0"/>
                <w:color w:val="5A5A5A"/>
                <w:sz w:val="18"/>
              </w:rPr>
              <w:t>#healthcareworkers  #occupationalexposure  #serostatus  #vaccinate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alcohol users</w:t>
            </w:r>
          </w:p>
        </w:tc>
        <w:tc>
          <w:tcPr>
            <w:tcW w:type="dxa" w:w="4276"/>
            <w:vAlign w:val="top"/>
          </w:tcPr>
          <w:p>
            <w:pPr>
              <w:spacing w:after="60" w:line="259" w:lineRule="auto"/>
            </w:pPr>
            <w:r>
              <w:rPr>
                <w:rFonts w:ascii="Calibri" w:hAnsi="Calibri"/>
                <w:b w:val="0"/>
                <w:i w:val="0"/>
                <w:color w:val="212121"/>
                <w:sz w:val="19"/>
              </w:rPr>
              <w:t>Chronic heavy alcohol intake impairs cell-mediated immunity, nutrition and liver function, predisposing to more severe or complicated varicella and slower recovery, and compounding the risk of varicella hepatitis.</w:t>
            </w:r>
          </w:p>
          <w:p>
            <w:pPr>
              <w:spacing w:after="40" w:before="60" w:line="259" w:lineRule="auto"/>
            </w:pPr>
            <w:r>
              <w:rPr>
                <w:rFonts w:ascii="Calibri" w:hAnsi="Calibri"/>
                <w:b w:val="0"/>
                <w:i w:val="0"/>
                <w:color w:val="212121"/>
                <w:sz w:val="19"/>
              </w:rPr>
              <w:t>Heavy alcohol use impairs host immune defence and is a recognised contributor to more severe infection, though varicella-specific quantification is limited.</w:t>
            </w:r>
          </w:p>
          <w:p>
            <w:pPr>
              <w:spacing w:before="60" w:after="40"/>
            </w:pPr>
            <w:r>
              <w:rPr>
                <w:rFonts w:ascii="Calibri" w:hAnsi="Calibri"/>
                <w:b w:val="0"/>
                <w:i w:val="0"/>
                <w:color w:val="5A5A5A"/>
                <w:sz w:val="18"/>
              </w:rPr>
              <w:t>#alcohol  #immunity  #hepatitis  #severeinfection</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Undernutrition / micronutrient deficiency</w:t>
            </w:r>
          </w:p>
        </w:tc>
        <w:tc>
          <w:tcPr>
            <w:tcW w:type="dxa" w:w="2160"/>
            <w:vAlign w:val="top"/>
          </w:tcPr>
          <w:p>
            <w:pPr>
              <w:spacing w:after="40" w:before="0" w:line="259" w:lineRule="auto"/>
            </w:pPr>
            <w:r>
              <w:rPr>
                <w:rFonts w:ascii="Calibri" w:hAnsi="Calibri"/>
                <w:b w:val="0"/>
                <w:i w:val="0"/>
                <w:color w:val="212121"/>
                <w:sz w:val="19"/>
              </w:rPr>
              <w:t>Malnourished, protein-energy or micronutrient-deficient individuals</w:t>
            </w:r>
          </w:p>
        </w:tc>
        <w:tc>
          <w:tcPr>
            <w:tcW w:type="dxa" w:w="4276"/>
            <w:vAlign w:val="top"/>
          </w:tcPr>
          <w:p>
            <w:pPr>
              <w:spacing w:after="60" w:line="259" w:lineRule="auto"/>
            </w:pPr>
            <w:r>
              <w:rPr>
                <w:rFonts w:ascii="Calibri" w:hAnsi="Calibri"/>
                <w:b w:val="0"/>
                <w:i w:val="0"/>
                <w:color w:val="212121"/>
                <w:sz w:val="19"/>
              </w:rPr>
              <w:t>Protein-energy malnutrition and deficiencies of vitamin A, zinc, vitamin C and vitamin D weaken the cell-mediated immunity that limits VZV, favouring more extensive disease, secondary bacterial infection and poorer healing.</w:t>
            </w:r>
          </w:p>
          <w:p>
            <w:pPr>
              <w:spacing w:after="40" w:before="60" w:line="259" w:lineRule="auto"/>
            </w:pPr>
            <w:r>
              <w:rPr>
                <w:rFonts w:ascii="Calibri" w:hAnsi="Calibri"/>
                <w:b w:val="0"/>
                <w:i w:val="0"/>
                <w:color w:val="212121"/>
                <w:sz w:val="19"/>
              </w:rPr>
              <w:t>Impaired cell-mediated immunity underlies severe varicella; undernutrition, still common in parts of India, is a recognised contributor to weakened antiviral immune control.</w:t>
            </w:r>
          </w:p>
          <w:p>
            <w:pPr>
              <w:spacing w:before="60" w:after="40"/>
            </w:pPr>
            <w:r>
              <w:rPr>
                <w:rFonts w:ascii="Calibri" w:hAnsi="Calibri"/>
                <w:b w:val="0"/>
                <w:i w:val="0"/>
                <w:color w:val="5A5A5A"/>
                <w:sz w:val="18"/>
              </w:rPr>
              <w:t>#malnutrition  #micronutrients  #zinc  #vitaminA  #immunity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Inherited immunodeficiency</w:t>
            </w:r>
          </w:p>
        </w:tc>
        <w:tc>
          <w:tcPr>
            <w:tcW w:type="dxa" w:w="2160"/>
            <w:vAlign w:val="top"/>
          </w:tcPr>
          <w:p>
            <w:pPr>
              <w:spacing w:after="40" w:before="0" w:line="259" w:lineRule="auto"/>
            </w:pPr>
            <w:r>
              <w:rPr>
                <w:rFonts w:ascii="Calibri" w:hAnsi="Calibri"/>
                <w:b w:val="0"/>
                <w:i w:val="0"/>
                <w:color w:val="212121"/>
                <w:sz w:val="19"/>
              </w:rPr>
              <w:t>Children with primary (inherited) immunodeficiency</w:t>
            </w:r>
          </w:p>
        </w:tc>
        <w:tc>
          <w:tcPr>
            <w:tcW w:type="dxa" w:w="4276"/>
            <w:vAlign w:val="top"/>
          </w:tcPr>
          <w:p>
            <w:pPr>
              <w:spacing w:after="60" w:line="259" w:lineRule="auto"/>
            </w:pPr>
            <w:r>
              <w:rPr>
                <w:rFonts w:ascii="Calibri" w:hAnsi="Calibri"/>
                <w:b w:val="0"/>
                <w:i w:val="0"/>
                <w:color w:val="212121"/>
                <w:sz w:val="19"/>
              </w:rPr>
              <w:t>Inherited defects of T-cell or combined immunity (for example SCID and other primary immunodeficiencies) remove the cellular control of VZV, so primary varicella can become progressive, disseminated and life-threatening.</w:t>
            </w:r>
          </w:p>
          <w:p>
            <w:pPr>
              <w:spacing w:after="40" w:before="60" w:line="259" w:lineRule="auto"/>
            </w:pPr>
            <w:r>
              <w:rPr>
                <w:rFonts w:ascii="Calibri" w:hAnsi="Calibri"/>
                <w:b w:val="0"/>
                <w:i w:val="0"/>
                <w:color w:val="212121"/>
                <w:sz w:val="19"/>
              </w:rPr>
              <w:t>Immunocompromised hosts lacking effective immunity are at risk of visceral dissemination (pneumonia, hepatitis, encephalitis, disseminated intravascular coagulation).</w:t>
            </w:r>
          </w:p>
          <w:p>
            <w:pPr>
              <w:spacing w:after="40" w:line="252" w:lineRule="auto"/>
            </w:pPr>
            <w:hyperlink r:id="rId14">
              <w:r>
                <w:rPr>
                  <w:rFonts w:ascii="Calibri" w:hAnsi="Calibri" w:cs="Calibri"/>
                  <w:sz w:val="18"/>
                  <w:color w:val="1155CC"/>
                  <w:u w:val="single"/>
                </w:rPr>
                <w:t xml:space="preserve">cdc.gov - clinical guidance for severe varicella</w:t>
              </w:r>
            </w:hyperlink>
          </w:p>
          <w:p>
            <w:pPr>
              <w:spacing w:before="60" w:after="40"/>
            </w:pPr>
            <w:r>
              <w:rPr>
                <w:rFonts w:ascii="Calibri" w:hAnsi="Calibri"/>
                <w:b w:val="0"/>
                <w:i w:val="0"/>
                <w:color w:val="5A5A5A"/>
                <w:sz w:val="18"/>
              </w:rPr>
              <w:t>#primaryimmunodeficiency  #SCID  #disseminated  #Tcell</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HIV / AIDS</w:t>
            </w:r>
          </w:p>
        </w:tc>
        <w:tc>
          <w:tcPr>
            <w:tcW w:type="dxa" w:w="2160"/>
            <w:vAlign w:val="top"/>
          </w:tcPr>
          <w:p>
            <w:pPr>
              <w:spacing w:after="40" w:before="0" w:line="259" w:lineRule="auto"/>
            </w:pPr>
            <w:r>
              <w:rPr>
                <w:rFonts w:ascii="Calibri" w:hAnsi="Calibri"/>
                <w:b w:val="0"/>
                <w:i w:val="0"/>
                <w:color w:val="212121"/>
                <w:sz w:val="19"/>
              </w:rPr>
              <w:t>People living with HIV, especially low CD4 counts</w:t>
            </w:r>
          </w:p>
        </w:tc>
        <w:tc>
          <w:tcPr>
            <w:tcW w:type="dxa" w:w="4276"/>
            <w:vAlign w:val="top"/>
          </w:tcPr>
          <w:p>
            <w:pPr>
              <w:spacing w:after="60" w:line="259" w:lineRule="auto"/>
            </w:pPr>
            <w:r>
              <w:rPr>
                <w:rFonts w:ascii="Calibri" w:hAnsi="Calibri"/>
                <w:b w:val="0"/>
                <w:i w:val="0"/>
                <w:color w:val="212121"/>
                <w:sz w:val="19"/>
              </w:rPr>
              <w:t>HIV depletes the CD4 T-cells central to VZV control, so varicella can be atypical, prolonged, recurrent or disseminated with a higher risk of visceral complications, and may signal undiagnosed immunodeficiency.</w:t>
            </w:r>
          </w:p>
          <w:p>
            <w:pPr>
              <w:spacing w:after="40" w:before="60" w:line="259" w:lineRule="auto"/>
            </w:pPr>
            <w:r>
              <w:rPr>
                <w:rFonts w:ascii="Calibri" w:hAnsi="Calibri"/>
                <w:b w:val="0"/>
                <w:i w:val="0"/>
                <w:color w:val="212121"/>
                <w:sz w:val="19"/>
              </w:rPr>
              <w:t>In an Indian adult varicella series, 46% of patients were immunocompromised; people with HIV/AIDS may develop atypical rashes with prolonged lesion formation.</w:t>
            </w:r>
          </w:p>
          <w:p>
            <w:pPr>
              <w:spacing w:after="40" w:line="252" w:lineRule="auto"/>
            </w:pPr>
            <w:hyperlink r:id="rId10">
              <w:r>
                <w:rPr>
                  <w:rFonts w:ascii="Calibri" w:hAnsi="Calibri" w:cs="Calibri"/>
                  <w:sz w:val="18"/>
                  <w:color w:val="1155CC"/>
                  <w:u w:val="single"/>
                </w:rPr>
                <w:t xml:space="preserve">pmc.ncbi.nlm.nih.gov - adult varicella outcomes (India)</w:t>
              </w:r>
            </w:hyperlink>
          </w:p>
          <w:p>
            <w:pPr>
              <w:spacing w:before="60" w:after="40"/>
            </w:pPr>
            <w:r>
              <w:rPr>
                <w:rFonts w:ascii="Calibri" w:hAnsi="Calibri"/>
                <w:b w:val="0"/>
                <w:i w:val="0"/>
                <w:color w:val="5A5A5A"/>
                <w:sz w:val="18"/>
              </w:rPr>
              <w:t>#HIV  #CD4  #disseminated  #immunocompromised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Malignancy / chemotherapy</w:t>
            </w:r>
          </w:p>
        </w:tc>
        <w:tc>
          <w:tcPr>
            <w:tcW w:type="dxa" w:w="2160"/>
            <w:vAlign w:val="top"/>
          </w:tcPr>
          <w:p>
            <w:pPr>
              <w:spacing w:after="40" w:before="0" w:line="259" w:lineRule="auto"/>
            </w:pPr>
            <w:r>
              <w:rPr>
                <w:rFonts w:ascii="Calibri" w:hAnsi="Calibri"/>
                <w:b w:val="0"/>
                <w:i w:val="0"/>
                <w:color w:val="212121"/>
                <w:sz w:val="19"/>
              </w:rPr>
              <w:t>Children and adults with cancer (especially leukaemia) on chemotherapy</w:t>
            </w:r>
          </w:p>
        </w:tc>
        <w:tc>
          <w:tcPr>
            <w:tcW w:type="dxa" w:w="4276"/>
            <w:vAlign w:val="top"/>
          </w:tcPr>
          <w:p>
            <w:pPr>
              <w:spacing w:after="60" w:line="259" w:lineRule="auto"/>
            </w:pPr>
            <w:r>
              <w:rPr>
                <w:rFonts w:ascii="Calibri" w:hAnsi="Calibri"/>
                <w:b w:val="0"/>
                <w:i w:val="0"/>
                <w:color w:val="212121"/>
                <w:sz w:val="19"/>
              </w:rPr>
              <w:t>Malignancy and cytotoxic chemotherapy profoundly suppress cell-mediated immunity; primary varicella in these hosts is classically severe, disseminated and, historically, a major cause of death in childhood leukaemia.</w:t>
            </w:r>
          </w:p>
          <w:p>
            <w:pPr>
              <w:spacing w:after="40" w:before="60" w:line="259" w:lineRule="auto"/>
            </w:pPr>
            <w:r>
              <w:rPr>
                <w:rFonts w:ascii="Calibri" w:hAnsi="Calibri"/>
                <w:b w:val="0"/>
                <w:i w:val="0"/>
                <w:color w:val="212121"/>
                <w:sz w:val="19"/>
              </w:rPr>
              <w:t>Immunocompromised patients face visceral dissemination (pneumonia, hepatitis, encephalitis, DIC); in an Indian adult series haematological malignancy and immunosuppressive therapy were leading predisposing conditions.</w:t>
            </w:r>
          </w:p>
          <w:p>
            <w:pPr>
              <w:spacing w:after="40" w:line="252" w:lineRule="auto"/>
            </w:pPr>
            <w:hyperlink r:id="rId14">
              <w:r>
                <w:rPr>
                  <w:rFonts w:ascii="Calibri" w:hAnsi="Calibri" w:cs="Calibri"/>
                  <w:sz w:val="18"/>
                  <w:color w:val="1155CC"/>
                  <w:u w:val="single"/>
                </w:rPr>
                <w:t xml:space="preserve">cdc.gov - clinical guidance for severe varicella</w:t>
              </w:r>
            </w:hyperlink>
          </w:p>
          <w:p>
            <w:pPr>
              <w:spacing w:before="60" w:after="40"/>
            </w:pPr>
            <w:r>
              <w:rPr>
                <w:rFonts w:ascii="Calibri" w:hAnsi="Calibri"/>
                <w:b w:val="0"/>
                <w:i w:val="0"/>
                <w:color w:val="5A5A5A"/>
                <w:sz w:val="18"/>
              </w:rPr>
              <w:t>#malignancy  #leukaemia  #chemotherapy  #disseminated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Immunosuppressive therapy / transplant</w:t>
            </w:r>
          </w:p>
        </w:tc>
        <w:tc>
          <w:tcPr>
            <w:tcW w:type="dxa" w:w="2160"/>
            <w:vAlign w:val="top"/>
          </w:tcPr>
          <w:p>
            <w:pPr>
              <w:spacing w:after="40" w:before="0" w:line="259" w:lineRule="auto"/>
            </w:pPr>
            <w:r>
              <w:rPr>
                <w:rFonts w:ascii="Calibri" w:hAnsi="Calibri"/>
                <w:b w:val="0"/>
                <w:i w:val="0"/>
                <w:color w:val="212121"/>
                <w:sz w:val="19"/>
              </w:rPr>
              <w:t>Transplant recipients and patients on steroids or biologics</w:t>
            </w:r>
          </w:p>
        </w:tc>
        <w:tc>
          <w:tcPr>
            <w:tcW w:type="dxa" w:w="4276"/>
            <w:vAlign w:val="top"/>
          </w:tcPr>
          <w:p>
            <w:pPr>
              <w:spacing w:after="60" w:line="259" w:lineRule="auto"/>
            </w:pPr>
            <w:r>
              <w:rPr>
                <w:rFonts w:ascii="Calibri" w:hAnsi="Calibri"/>
                <w:b w:val="0"/>
                <w:i w:val="0"/>
                <w:color w:val="212121"/>
                <w:sz w:val="19"/>
              </w:rPr>
              <w:t>Systemic corticosteroids, biologic and conventional immunosuppressants and organ/stem-cell transplantation suppress the T-cell immunity that contains VZV, converting a usually mild illness into progressive, disseminated disease and altering both vaccination (live vaccine caution) and treatment.</w:t>
            </w:r>
          </w:p>
          <w:p>
            <w:pPr>
              <w:spacing w:after="40" w:before="60" w:line="259" w:lineRule="auto"/>
            </w:pPr>
            <w:r>
              <w:rPr>
                <w:rFonts w:ascii="Calibri" w:hAnsi="Calibri"/>
                <w:b w:val="0"/>
                <w:i w:val="0"/>
                <w:color w:val="212121"/>
                <w:sz w:val="19"/>
              </w:rPr>
              <w:t>Immunosuppressive therapy was among the commonest predisposing conditions (9 of 50) in an Indian adult varicella series with 18% mortality.</w:t>
            </w:r>
          </w:p>
          <w:p>
            <w:pPr>
              <w:spacing w:after="40" w:line="252" w:lineRule="auto"/>
            </w:pPr>
            <w:hyperlink r:id="rId10">
              <w:r>
                <w:rPr>
                  <w:rFonts w:ascii="Calibri" w:hAnsi="Calibri" w:cs="Calibri"/>
                  <w:sz w:val="18"/>
                  <w:color w:val="1155CC"/>
                  <w:u w:val="single"/>
                </w:rPr>
                <w:t xml:space="preserve">pmc.ncbi.nlm.nih.gov - adult varicella outcomes (India)</w:t>
              </w:r>
            </w:hyperlink>
          </w:p>
          <w:p>
            <w:pPr>
              <w:spacing w:before="60" w:after="40"/>
            </w:pPr>
            <w:r>
              <w:rPr>
                <w:rFonts w:ascii="Calibri" w:hAnsi="Calibri"/>
                <w:b w:val="0"/>
                <w:i w:val="0"/>
                <w:color w:val="5A5A5A"/>
                <w:sz w:val="18"/>
              </w:rPr>
              <w:t>#transplant  #steroids  #biologics  #livevaccinecaution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Susceptible (seronegative) pregnant women</w:t>
            </w:r>
          </w:p>
        </w:tc>
        <w:tc>
          <w:tcPr>
            <w:tcW w:type="dxa" w:w="4276"/>
            <w:vAlign w:val="top"/>
          </w:tcPr>
          <w:p>
            <w:pPr>
              <w:spacing w:after="60" w:line="259" w:lineRule="auto"/>
            </w:pPr>
            <w:r>
              <w:rPr>
                <w:rFonts w:ascii="Calibri" w:hAnsi="Calibri"/>
                <w:b w:val="0"/>
                <w:i w:val="0"/>
                <w:color w:val="212121"/>
                <w:sz w:val="19"/>
              </w:rPr>
              <w:t>Pregnancy predisposes to severe maternal varicella pneumonia and, depending on gestation, to congenital varicella syndrome or neonatal varicella; a large share of Indian pregnant women are seronegative and therefore vulnerable.</w:t>
            </w:r>
          </w:p>
          <w:p>
            <w:pPr>
              <w:spacing w:after="40" w:before="60" w:line="259" w:lineRule="auto"/>
            </w:pPr>
            <w:r>
              <w:rPr>
                <w:rFonts w:ascii="Calibri" w:hAnsi="Calibri"/>
                <w:b w:val="0"/>
                <w:i w:val="0"/>
                <w:color w:val="212121"/>
                <w:sz w:val="19"/>
              </w:rPr>
              <w:t>About 23% of pregnant women screened in South India were varicella-seronegative; congenital varicella syndrome risk is highest (about 2%) with maternal infection at 13-20 weeks, and neonatal varicella (rash 5 days before to 2 days after delivery) carries up to about 30% mortality untreated.</w:t>
            </w:r>
          </w:p>
          <w:p>
            <w:pPr>
              <w:spacing w:after="40" w:line="252" w:lineRule="auto"/>
            </w:pPr>
            <w:hyperlink r:id="rId13">
              <w:r>
                <w:rPr>
                  <w:rFonts w:ascii="Calibri" w:hAnsi="Calibri" w:cs="Calibri"/>
                  <w:sz w:val="18"/>
                  <w:color w:val="1155CC"/>
                  <w:u w:val="single"/>
                </w:rPr>
                <w:t xml:space="preserve">cambridge.org - varicella susceptibility, South India</w:t>
              </w:r>
            </w:hyperlink>
          </w:p>
          <w:p>
            <w:pPr>
              <w:spacing w:before="60" w:after="40"/>
            </w:pPr>
            <w:r>
              <w:rPr>
                <w:rFonts w:ascii="Calibri" w:hAnsi="Calibri"/>
                <w:b w:val="0"/>
                <w:i w:val="0"/>
                <w:color w:val="5A5A5A"/>
                <w:sz w:val="18"/>
              </w:rPr>
              <w:t>#pregnancy  #congenitalvaricella  #neonatalvaricella  #seronegative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skin disease</w:t>
            </w:r>
          </w:p>
        </w:tc>
        <w:tc>
          <w:tcPr>
            <w:tcW w:type="dxa" w:w="2160"/>
            <w:vAlign w:val="top"/>
          </w:tcPr>
          <w:p>
            <w:pPr>
              <w:spacing w:after="40" w:before="0" w:line="259" w:lineRule="auto"/>
            </w:pPr>
            <w:r>
              <w:rPr>
                <w:rFonts w:ascii="Calibri" w:hAnsi="Calibri"/>
                <w:b w:val="0"/>
                <w:i w:val="0"/>
                <w:color w:val="212121"/>
                <w:sz w:val="19"/>
              </w:rPr>
              <w:t>Patients with eczema / atopic dermatitis</w:t>
            </w:r>
          </w:p>
        </w:tc>
        <w:tc>
          <w:tcPr>
            <w:tcW w:type="dxa" w:w="4276"/>
            <w:vAlign w:val="top"/>
          </w:tcPr>
          <w:p>
            <w:pPr>
              <w:spacing w:after="60" w:line="259" w:lineRule="auto"/>
            </w:pPr>
            <w:r>
              <w:rPr>
                <w:rFonts w:ascii="Calibri" w:hAnsi="Calibri"/>
                <w:b w:val="0"/>
                <w:i w:val="0"/>
                <w:color w:val="212121"/>
                <w:sz w:val="19"/>
              </w:rPr>
              <w:t>A disrupted skin barrier in eczema/atopic dermatitis allows more extensive cutaneous VZV involvement and greatly raises the risk of secondary bacterial superinfection of lesions.</w:t>
            </w:r>
          </w:p>
          <w:p>
            <w:pPr>
              <w:spacing w:after="40" w:before="60" w:line="259" w:lineRule="auto"/>
            </w:pPr>
            <w:r>
              <w:rPr>
                <w:rFonts w:ascii="Calibri" w:hAnsi="Calibri"/>
                <w:b w:val="0"/>
                <w:i w:val="0"/>
                <w:color w:val="212121"/>
                <w:sz w:val="19"/>
              </w:rPr>
              <w:t>Secondary bacterial infection of the skin and soft tissues is the commonest complication of varicella in children, presenting as impetigo, cellulitis or erysipelas.</w:t>
            </w:r>
          </w:p>
          <w:p>
            <w:pPr>
              <w:spacing w:after="40" w:line="252" w:lineRule="auto"/>
            </w:pPr>
            <w:hyperlink r:id="rId9">
              <w:r>
                <w:rPr>
                  <w:rFonts w:ascii="Calibri" w:hAnsi="Calibri" w:cs="Calibri"/>
                  <w:sz w:val="18"/>
                  <w:color w:val="1155CC"/>
                  <w:u w:val="single"/>
                </w:rPr>
                <w:t xml:space="preserve">cdc.gov - chickenpox clinical overview</w:t>
              </w:r>
            </w:hyperlink>
          </w:p>
          <w:p>
            <w:pPr>
              <w:spacing w:before="60" w:after="40"/>
            </w:pPr>
            <w:r>
              <w:rPr>
                <w:rFonts w:ascii="Calibri" w:hAnsi="Calibri"/>
                <w:b w:val="0"/>
                <w:i w:val="0"/>
                <w:color w:val="5A5A5A"/>
                <w:sz w:val="18"/>
              </w:rPr>
              <w:t>#eczema  #atopicdermatitis  #skinbarrier  #superinfection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There is no direct link between activity level and acquiring varicella; general fitness supports immune competence, while overexertion during the acute illness worsens fatigue and should be avoided until recovery.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Protein-energy malnutrition and deficiencies of vitamin A, zinc, vitamin C and vitamin D weaken the cell-mediated immunity that limits VZV, favouring more severe disease, secondary infection and poorer healing; adequate nutrition and hydration support recovery.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sleep deprivation impairs T-cell and NK-cell immunity and may worsen susceptibility to severe infection, while fever and intense itch during varicella markedly disrupt sleep (bidirectional).</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is a recognised risk factor for varicella pneumonia in adults, impairing pulmonary defence and cell-mediated immunity and predisposing to more severe respiratory disease during chickenpox.</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heavy alcohol use impairs immunity, nutrition and liver function and may predispose to more severe or complicated varicella (including hepatitis), though varicella-specific evidence is limited.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Psychological stress can transiently depress immune surveillance, and the illness itself (fever, itch, isolation, fear of scarring) commonly causes distress; direct evidence linking mental health to varicella acquisition is weak.</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skin integrity, fever control and recovery and prevents dehydration during febrile illness, but has no role in preventing the infection itself.</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relationship between caffeine intake and the occurrence, severity or complications of varicella.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 hygiene, respiratory etiquette, isolation until all lesions have crusted, keeping nails short and not scratching lesions substantially reduce VZV transmission and secondary bacterial superinfection, and are central to outbreak control.</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Exposure to a case of chickenpox or shingles in a non-immune host is the dominant determinant, amplified by crowding, absence of vaccination, immunosuppression, pregnancy and extremes of age (neonates, adults).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Isolation until lesions crust</w:t>
            </w:r>
          </w:p>
        </w:tc>
        <w:tc>
          <w:tcPr>
            <w:tcW w:type="dxa" w:w="1655"/>
            <w:vAlign w:val="top"/>
          </w:tcPr>
          <w:p>
            <w:pPr>
              <w:spacing w:after="40" w:before="0" w:line="259" w:lineRule="auto"/>
            </w:pPr>
            <w:r>
              <w:rPr>
                <w:rFonts w:ascii="Calibri" w:hAnsi="Calibri"/>
                <w:b w:val="0"/>
                <w:i w:val="0"/>
                <w:color w:val="212121"/>
                <w:sz w:val="19"/>
              </w:rPr>
              <w:t>All patients with active varicella</w:t>
            </w:r>
          </w:p>
        </w:tc>
        <w:tc>
          <w:tcPr>
            <w:tcW w:type="dxa" w:w="1512"/>
            <w:vAlign w:val="top"/>
          </w:tcPr>
          <w:p>
            <w:pPr>
              <w:spacing w:after="40" w:before="0" w:line="259" w:lineRule="auto"/>
            </w:pPr>
            <w:r>
              <w:rPr>
                <w:rFonts w:ascii="Calibri" w:hAnsi="Calibri"/>
                <w:b w:val="0"/>
                <w:i w:val="0"/>
                <w:color w:val="212121"/>
                <w:sz w:val="19"/>
              </w:rPr>
              <w:t>Isolate until every lesion has crusted (about 5-7 days)</w:t>
            </w:r>
          </w:p>
        </w:tc>
        <w:tc>
          <w:tcPr>
            <w:tcW w:type="dxa" w:w="1512"/>
            <w:vAlign w:val="top"/>
          </w:tcPr>
          <w:p>
            <w:pPr>
              <w:spacing w:after="40" w:before="0" w:line="259" w:lineRule="auto"/>
            </w:pPr>
            <w:r>
              <w:rPr>
                <w:rFonts w:ascii="Calibri" w:hAnsi="Calibri"/>
                <w:b w:val="0"/>
                <w:i w:val="0"/>
                <w:color w:val="212121"/>
                <w:sz w:val="19"/>
              </w:rPr>
              <w:t>Return to school/work/contact before full crusting</w:t>
            </w:r>
          </w:p>
        </w:tc>
        <w:tc>
          <w:tcPr>
            <w:tcW w:type="dxa" w:w="1468"/>
            <w:vAlign w:val="top"/>
          </w:tcPr>
          <w:p>
            <w:pPr>
              <w:spacing w:after="60" w:line="259" w:lineRule="auto"/>
            </w:pPr>
            <w:r>
              <w:rPr>
                <w:rFonts w:ascii="Calibri" w:hAnsi="Calibri"/>
                <w:b w:val="0"/>
                <w:i w:val="0"/>
                <w:color w:val="212121"/>
                <w:sz w:val="19"/>
              </w:rPr>
              <w:t>Contagious from 1-2 days before rash until all lesions crust; isolation limits spread</w:t>
            </w:r>
          </w:p>
          <w:p>
            <w:pPr>
              <w:spacing w:after="40" w:line="252" w:lineRule="auto"/>
            </w:pPr>
            <w:hyperlink r:id="rId9">
              <w:r>
                <w:rPr>
                  <w:rFonts w:ascii="Calibri" w:hAnsi="Calibri" w:cs="Calibri"/>
                  <w:sz w:val="18"/>
                  <w:color w:val="1155CC"/>
                  <w:u w:val="single"/>
                </w:rPr>
                <w:t xml:space="preserve">https://www.cdc.gov/chickenpox/hcp/clinical-overview/index.html</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VZV IgG serostatus</w:t>
            </w:r>
          </w:p>
        </w:tc>
        <w:tc>
          <w:tcPr>
            <w:tcW w:type="dxa" w:w="1655"/>
            <w:vAlign w:val="top"/>
          </w:tcPr>
          <w:p>
            <w:pPr>
              <w:spacing w:after="40" w:before="0" w:line="259" w:lineRule="auto"/>
            </w:pPr>
            <w:r>
              <w:rPr>
                <w:rFonts w:ascii="Calibri" w:hAnsi="Calibri"/>
                <w:b w:val="0"/>
                <w:i w:val="0"/>
                <w:color w:val="212121"/>
                <w:sz w:val="19"/>
              </w:rPr>
              <w:t>Exposed healthcare workers, women planning pregnancy</w:t>
            </w:r>
          </w:p>
        </w:tc>
        <w:tc>
          <w:tcPr>
            <w:tcW w:type="dxa" w:w="1512"/>
            <w:vAlign w:val="top"/>
          </w:tcPr>
          <w:p>
            <w:pPr>
              <w:spacing w:after="40" w:before="0" w:line="259" w:lineRule="auto"/>
            </w:pPr>
            <w:r>
              <w:rPr>
                <w:rFonts w:ascii="Calibri" w:hAnsi="Calibri"/>
                <w:b w:val="0"/>
                <w:i w:val="0"/>
                <w:color w:val="212121"/>
                <w:sz w:val="19"/>
              </w:rPr>
              <w:t>VZV IgG positive (immune)</w:t>
            </w:r>
          </w:p>
        </w:tc>
        <w:tc>
          <w:tcPr>
            <w:tcW w:type="dxa" w:w="1512"/>
            <w:vAlign w:val="top"/>
          </w:tcPr>
          <w:p>
            <w:pPr>
              <w:spacing w:after="40" w:before="0" w:line="259" w:lineRule="auto"/>
            </w:pPr>
            <w:r>
              <w:rPr>
                <w:rFonts w:ascii="Calibri" w:hAnsi="Calibri"/>
                <w:b w:val="0"/>
                <w:i w:val="0"/>
                <w:color w:val="212121"/>
                <w:sz w:val="19"/>
              </w:rPr>
              <w:t>Seronegative (susceptible)</w:t>
            </w:r>
          </w:p>
        </w:tc>
        <w:tc>
          <w:tcPr>
            <w:tcW w:type="dxa" w:w="1468"/>
            <w:vAlign w:val="top"/>
          </w:tcPr>
          <w:p>
            <w:pPr>
              <w:spacing w:after="60" w:line="259" w:lineRule="auto"/>
            </w:pPr>
            <w:r>
              <w:rPr>
                <w:rFonts w:ascii="Calibri" w:hAnsi="Calibri"/>
                <w:b w:val="0"/>
                <w:i w:val="0"/>
                <w:color w:val="212121"/>
                <w:sz w:val="19"/>
              </w:rPr>
              <w:t>History is unreliable (PPV ~82%); serology identifies susceptibles for vaccination/PEP</w:t>
            </w:r>
          </w:p>
          <w:p>
            <w:pPr>
              <w:spacing w:after="40" w:line="252" w:lineRule="auto"/>
            </w:pPr>
            <w:hyperlink r:id="rId13">
              <w:r>
                <w:rPr>
                  <w:rFonts w:ascii="Calibri" w:hAnsi="Calibri" w:cs="Calibri"/>
                  <w:sz w:val="18"/>
                  <w:color w:val="1155CC"/>
                  <w:u w:val="single"/>
                </w:rPr>
                <w:t xml:space="preserve">https://www.cambridge.org/core/journals/epidemiology-and-infection/article/high-susceptibility-to-varicella-among-urban-and-rural-pregnant-women-in-south-india-a-brief-report/19D9DF6C684C437DF272AE2DDB47351C</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Varicella vaccination status</w:t>
            </w:r>
          </w:p>
        </w:tc>
        <w:tc>
          <w:tcPr>
            <w:tcW w:type="dxa" w:w="1655"/>
            <w:vAlign w:val="top"/>
          </w:tcPr>
          <w:p>
            <w:pPr>
              <w:spacing w:after="40" w:before="0" w:line="259" w:lineRule="auto"/>
            </w:pPr>
            <w:r>
              <w:rPr>
                <w:rFonts w:ascii="Calibri" w:hAnsi="Calibri"/>
                <w:b w:val="0"/>
                <w:i w:val="0"/>
                <w:color w:val="212121"/>
                <w:sz w:val="19"/>
              </w:rPr>
              <w:t>Children and susceptible adults</w:t>
            </w:r>
          </w:p>
        </w:tc>
        <w:tc>
          <w:tcPr>
            <w:tcW w:type="dxa" w:w="1512"/>
            <w:vAlign w:val="top"/>
          </w:tcPr>
          <w:p>
            <w:pPr>
              <w:spacing w:after="40" w:before="0" w:line="259" w:lineRule="auto"/>
            </w:pPr>
            <w:r>
              <w:rPr>
                <w:rFonts w:ascii="Calibri" w:hAnsi="Calibri"/>
                <w:b w:val="0"/>
                <w:i w:val="0"/>
                <w:color w:val="212121"/>
                <w:sz w:val="19"/>
              </w:rPr>
              <w:t>2 doses of varicella vaccine completed</w:t>
            </w:r>
          </w:p>
        </w:tc>
        <w:tc>
          <w:tcPr>
            <w:tcW w:type="dxa" w:w="1512"/>
            <w:vAlign w:val="top"/>
          </w:tcPr>
          <w:p>
            <w:pPr>
              <w:spacing w:after="40" w:before="0" w:line="259" w:lineRule="auto"/>
            </w:pPr>
            <w:r>
              <w:rPr>
                <w:rFonts w:ascii="Calibri" w:hAnsi="Calibri"/>
                <w:b w:val="0"/>
                <w:i w:val="0"/>
                <w:color w:val="212121"/>
                <w:sz w:val="19"/>
              </w:rPr>
              <w:t>Unvaccinated and non-immune</w:t>
            </w:r>
          </w:p>
        </w:tc>
        <w:tc>
          <w:tcPr>
            <w:tcW w:type="dxa" w:w="1468"/>
            <w:vAlign w:val="top"/>
          </w:tcPr>
          <w:p>
            <w:pPr>
              <w:spacing w:after="60" w:line="259" w:lineRule="auto"/>
            </w:pPr>
            <w:r>
              <w:rPr>
                <w:rFonts w:ascii="Calibri" w:hAnsi="Calibri"/>
                <w:b w:val="0"/>
                <w:i w:val="0"/>
                <w:color w:val="212121"/>
                <w:sz w:val="19"/>
              </w:rPr>
              <w:t>IAP schedule: dose 1 at 15-18 months, dose 2 at 4-6 years; up to ~85% effective, prevents severe disease</w:t>
            </w:r>
          </w:p>
          <w:p>
            <w:pPr>
              <w:spacing w:after="40" w:line="252" w:lineRule="auto"/>
            </w:pPr>
            <w:hyperlink r:id="rId11">
              <w:r>
                <w:rPr>
                  <w:rFonts w:ascii="Calibri" w:hAnsi="Calibri" w:cs="Calibri"/>
                  <w:sz w:val="18"/>
                  <w:color w:val="1155CC"/>
                  <w:u w:val="single"/>
                </w:rPr>
                <w:t xml:space="preserve">https://immunizeindia.org/content/varicella-vaccine/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Time from exposure to post-exposure prophylaxis</w:t>
            </w:r>
          </w:p>
        </w:tc>
        <w:tc>
          <w:tcPr>
            <w:tcW w:type="dxa" w:w="1655"/>
            <w:vAlign w:val="top"/>
          </w:tcPr>
          <w:p>
            <w:pPr>
              <w:spacing w:after="40" w:before="0" w:line="259" w:lineRule="auto"/>
            </w:pPr>
            <w:r>
              <w:rPr>
                <w:rFonts w:ascii="Calibri" w:hAnsi="Calibri"/>
                <w:b w:val="0"/>
                <w:i w:val="0"/>
                <w:color w:val="212121"/>
                <w:sz w:val="19"/>
              </w:rPr>
              <w:t>Susceptible high-risk contacts (pregnant, neonate, immunocompromised)</w:t>
            </w:r>
          </w:p>
        </w:tc>
        <w:tc>
          <w:tcPr>
            <w:tcW w:type="dxa" w:w="1512"/>
            <w:vAlign w:val="top"/>
          </w:tcPr>
          <w:p>
            <w:pPr>
              <w:spacing w:after="40" w:before="0" w:line="259" w:lineRule="auto"/>
            </w:pPr>
            <w:r>
              <w:rPr>
                <w:rFonts w:ascii="Calibri" w:hAnsi="Calibri"/>
                <w:b w:val="0"/>
                <w:i w:val="0"/>
                <w:color w:val="212121"/>
                <w:sz w:val="19"/>
              </w:rPr>
              <w:t>VariZIG within 10 days (ideally 96 hours); vaccine within 3-5 days if eligible</w:t>
            </w:r>
          </w:p>
        </w:tc>
        <w:tc>
          <w:tcPr>
            <w:tcW w:type="dxa" w:w="1512"/>
            <w:vAlign w:val="top"/>
          </w:tcPr>
          <w:p>
            <w:pPr>
              <w:spacing w:after="40" w:before="0" w:line="259" w:lineRule="auto"/>
            </w:pPr>
            <w:r>
              <w:rPr>
                <w:rFonts w:ascii="Calibri" w:hAnsi="Calibri"/>
                <w:b w:val="0"/>
                <w:i w:val="0"/>
                <w:color w:val="212121"/>
                <w:sz w:val="19"/>
              </w:rPr>
              <w:t>&gt; 10 days after exposure</w:t>
            </w:r>
          </w:p>
        </w:tc>
        <w:tc>
          <w:tcPr>
            <w:tcW w:type="dxa" w:w="1468"/>
            <w:vAlign w:val="top"/>
          </w:tcPr>
          <w:p>
            <w:pPr>
              <w:spacing w:after="60" w:line="259" w:lineRule="auto"/>
            </w:pPr>
            <w:r>
              <w:rPr>
                <w:rFonts w:ascii="Calibri" w:hAnsi="Calibri"/>
                <w:b w:val="0"/>
                <w:i w:val="0"/>
                <w:color w:val="212121"/>
                <w:sz w:val="19"/>
              </w:rPr>
              <w:t>Timely VariZIG prevents or attenuates disease in vulnerable contacts</w:t>
            </w:r>
          </w:p>
          <w:p>
            <w:pPr>
              <w:spacing w:after="40" w:line="252" w:lineRule="auto"/>
            </w:pPr>
            <w:hyperlink r:id="rId14">
              <w:r>
                <w:rPr>
                  <w:rFonts w:ascii="Calibri" w:hAnsi="Calibri" w:cs="Calibri"/>
                  <w:sz w:val="18"/>
                  <w:color w:val="1155CC"/>
                  <w:u w:val="single"/>
                </w:rPr>
                <w:t xml:space="preserve">https://www.cdc.gov/chickenpox/hcp/clinical-guidance/index.html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Time from rash onset to antiviral start</w:t>
            </w:r>
          </w:p>
        </w:tc>
        <w:tc>
          <w:tcPr>
            <w:tcW w:type="dxa" w:w="1655"/>
            <w:vAlign w:val="top"/>
          </w:tcPr>
          <w:p>
            <w:pPr>
              <w:spacing w:after="40" w:before="0" w:line="259" w:lineRule="auto"/>
            </w:pPr>
            <w:r>
              <w:rPr>
                <w:rFonts w:ascii="Calibri" w:hAnsi="Calibri"/>
                <w:b w:val="0"/>
                <w:i w:val="0"/>
                <w:color w:val="212121"/>
                <w:sz w:val="19"/>
              </w:rPr>
              <w:t>Adults, adolescents and other high-risk patients</w:t>
            </w:r>
          </w:p>
        </w:tc>
        <w:tc>
          <w:tcPr>
            <w:tcW w:type="dxa" w:w="1512"/>
            <w:vAlign w:val="top"/>
          </w:tcPr>
          <w:p>
            <w:pPr>
              <w:spacing w:after="40" w:before="0" w:line="259" w:lineRule="auto"/>
            </w:pPr>
            <w:r>
              <w:rPr>
                <w:rFonts w:ascii="Calibri" w:hAnsi="Calibri"/>
                <w:b w:val="0"/>
                <w:i w:val="0"/>
                <w:color w:val="212121"/>
                <w:sz w:val="19"/>
              </w:rPr>
              <w:t>Aciclovir/valaciclovir within 24 hours of rash</w:t>
            </w:r>
          </w:p>
        </w:tc>
        <w:tc>
          <w:tcPr>
            <w:tcW w:type="dxa" w:w="1512"/>
            <w:vAlign w:val="top"/>
          </w:tcPr>
          <w:p>
            <w:pPr>
              <w:spacing w:after="40" w:before="0" w:line="259" w:lineRule="auto"/>
            </w:pPr>
            <w:r>
              <w:rPr>
                <w:rFonts w:ascii="Calibri" w:hAnsi="Calibri"/>
                <w:b w:val="0"/>
                <w:i w:val="0"/>
                <w:color w:val="212121"/>
                <w:sz w:val="19"/>
              </w:rPr>
              <w:t>&gt; 72 hours (reduced efficacy)</w:t>
            </w:r>
          </w:p>
        </w:tc>
        <w:tc>
          <w:tcPr>
            <w:tcW w:type="dxa" w:w="1468"/>
            <w:vAlign w:val="top"/>
          </w:tcPr>
          <w:p>
            <w:pPr>
              <w:spacing w:after="60" w:line="259" w:lineRule="auto"/>
            </w:pPr>
            <w:r>
              <w:rPr>
                <w:rFonts w:ascii="Calibri" w:hAnsi="Calibri"/>
                <w:b w:val="0"/>
                <w:i w:val="0"/>
                <w:color w:val="212121"/>
                <w:sz w:val="19"/>
              </w:rPr>
              <w:t>Early antivirals reduce duration and severity in those at risk of complications</w:t>
            </w:r>
          </w:p>
          <w:p>
            <w:pPr>
              <w:spacing w:after="40" w:line="252" w:lineRule="auto"/>
            </w:pPr>
            <w:hyperlink r:id="rId15">
              <w:r>
                <w:rPr>
                  <w:rFonts w:ascii="Calibri" w:hAnsi="Calibri" w:cs="Calibri"/>
                  <w:sz w:val="18"/>
                  <w:color w:val="1155CC"/>
                  <w:u w:val="single"/>
                </w:rPr>
                <w:t xml:space="preserve">https://www.ncbi.nlm.nih.gov/books/NBK448191/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Immune status / CD4 count (HIV)</w:t>
            </w:r>
          </w:p>
        </w:tc>
        <w:tc>
          <w:tcPr>
            <w:tcW w:type="dxa" w:w="1655"/>
            <w:vAlign w:val="top"/>
          </w:tcPr>
          <w:p>
            <w:pPr>
              <w:spacing w:after="40" w:before="0" w:line="259" w:lineRule="auto"/>
            </w:pPr>
            <w:r>
              <w:rPr>
                <w:rFonts w:ascii="Calibri" w:hAnsi="Calibri"/>
                <w:b w:val="0"/>
                <w:i w:val="0"/>
                <w:color w:val="212121"/>
                <w:sz w:val="19"/>
              </w:rPr>
              <w:t>People living with HIV</w:t>
            </w:r>
          </w:p>
        </w:tc>
        <w:tc>
          <w:tcPr>
            <w:tcW w:type="dxa" w:w="1512"/>
            <w:vAlign w:val="top"/>
          </w:tcPr>
          <w:p>
            <w:pPr>
              <w:spacing w:after="40" w:before="0" w:line="259" w:lineRule="auto"/>
            </w:pPr>
            <w:r>
              <w:rPr>
                <w:rFonts w:ascii="Calibri" w:hAnsi="Calibri"/>
                <w:b w:val="0"/>
                <w:i w:val="0"/>
                <w:color w:val="212121"/>
                <w:sz w:val="19"/>
              </w:rPr>
              <w:t>CD4 &gt; 500 cells/mm3; virally suppressed</w:t>
            </w:r>
          </w:p>
        </w:tc>
        <w:tc>
          <w:tcPr>
            <w:tcW w:type="dxa" w:w="1512"/>
            <w:vAlign w:val="top"/>
          </w:tcPr>
          <w:p>
            <w:pPr>
              <w:spacing w:after="40" w:before="0" w:line="259" w:lineRule="auto"/>
            </w:pPr>
            <w:r>
              <w:rPr>
                <w:rFonts w:ascii="Calibri" w:hAnsi="Calibri"/>
                <w:b w:val="0"/>
                <w:i w:val="0"/>
                <w:color w:val="212121"/>
                <w:sz w:val="19"/>
              </w:rPr>
              <w:t>CD4 &lt; 200 cells/mm3</w:t>
            </w:r>
          </w:p>
        </w:tc>
        <w:tc>
          <w:tcPr>
            <w:tcW w:type="dxa" w:w="1468"/>
            <w:vAlign w:val="top"/>
          </w:tcPr>
          <w:p>
            <w:pPr>
              <w:spacing w:after="60" w:line="259" w:lineRule="auto"/>
            </w:pPr>
            <w:r>
              <w:rPr>
                <w:rFonts w:ascii="Calibri" w:hAnsi="Calibri"/>
                <w:b w:val="0"/>
                <w:i w:val="0"/>
                <w:color w:val="212121"/>
                <w:sz w:val="19"/>
              </w:rPr>
              <w:t>Low CD4 predisposes to atypical, prolonged and disseminated varicella</w:t>
            </w:r>
          </w:p>
          <w:p>
            <w:pPr>
              <w:spacing w:after="40" w:line="252" w:lineRule="auto"/>
            </w:pPr>
            <w:hyperlink r:id="rId14">
              <w:r>
                <w:rPr>
                  <w:rFonts w:ascii="Calibri" w:hAnsi="Calibri" w:cs="Calibri"/>
                  <w:sz w:val="18"/>
                  <w:color w:val="1155CC"/>
                  <w:u w:val="single"/>
                </w:rPr>
                <w:t xml:space="preserve">https://www.cdc.gov/chickenpox/hcp/clinical-guidance/index.html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Gestational timing of maternal infection</w:t>
            </w:r>
          </w:p>
        </w:tc>
        <w:tc>
          <w:tcPr>
            <w:tcW w:type="dxa" w:w="1655"/>
            <w:vAlign w:val="top"/>
          </w:tcPr>
          <w:p>
            <w:pPr>
              <w:spacing w:after="40" w:before="0" w:line="259" w:lineRule="auto"/>
            </w:pPr>
            <w:r>
              <w:rPr>
                <w:rFonts w:ascii="Calibri" w:hAnsi="Calibri"/>
                <w:b w:val="0"/>
                <w:i w:val="0"/>
                <w:color w:val="212121"/>
                <w:sz w:val="19"/>
              </w:rPr>
              <w:t>Pregnant women with varicella</w:t>
            </w:r>
          </w:p>
        </w:tc>
        <w:tc>
          <w:tcPr>
            <w:tcW w:type="dxa" w:w="1512"/>
            <w:vAlign w:val="top"/>
          </w:tcPr>
          <w:p>
            <w:pPr>
              <w:spacing w:after="40" w:before="0" w:line="259" w:lineRule="auto"/>
            </w:pPr>
            <w:r>
              <w:rPr>
                <w:rFonts w:ascii="Calibri" w:hAnsi="Calibri"/>
                <w:b w:val="0"/>
                <w:i w:val="0"/>
                <w:color w:val="212121"/>
                <w:sz w:val="19"/>
              </w:rPr>
              <w:t>Avoid exposure; confirm immunity/vaccinate before pregnancy</w:t>
            </w:r>
          </w:p>
        </w:tc>
        <w:tc>
          <w:tcPr>
            <w:tcW w:type="dxa" w:w="1512"/>
            <w:vAlign w:val="top"/>
          </w:tcPr>
          <w:p>
            <w:pPr>
              <w:spacing w:after="40" w:before="0" w:line="259" w:lineRule="auto"/>
            </w:pPr>
            <w:r>
              <w:rPr>
                <w:rFonts w:ascii="Calibri" w:hAnsi="Calibri"/>
                <w:b w:val="0"/>
                <w:i w:val="0"/>
                <w:color w:val="212121"/>
                <w:sz w:val="19"/>
              </w:rPr>
              <w:t>Rash at 13-20 weeks (CVS ~2%) or 5 days before to 2 days after delivery (neonatal)</w:t>
            </w:r>
          </w:p>
        </w:tc>
        <w:tc>
          <w:tcPr>
            <w:tcW w:type="dxa" w:w="1468"/>
            <w:vAlign w:val="top"/>
          </w:tcPr>
          <w:p>
            <w:pPr>
              <w:spacing w:after="60" w:line="259" w:lineRule="auto"/>
            </w:pPr>
            <w:r>
              <w:rPr>
                <w:rFonts w:ascii="Calibri" w:hAnsi="Calibri"/>
                <w:b w:val="0"/>
                <w:i w:val="0"/>
                <w:color w:val="212121"/>
                <w:sz w:val="19"/>
              </w:rPr>
              <w:t>Timing determines congenital versus neonatal varicella risk and need for VariZIG</w:t>
            </w:r>
          </w:p>
          <w:p>
            <w:pPr>
              <w:spacing w:after="40" w:line="252" w:lineRule="auto"/>
            </w:pPr>
            <w:hyperlink r:id="rId16">
              <w:r>
                <w:rPr>
                  <w:rFonts w:ascii="Calibri" w:hAnsi="Calibri" w:cs="Calibri"/>
                  <w:sz w:val="18"/>
                  <w:color w:val="1155CC"/>
                  <w:u w:val="single"/>
                </w:rPr>
                <w:t xml:space="preserve">https://www.ncbi.nlm.nih.gov/books/NBK568794/</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Nutritional status (BMI / mid-upper-arm circumference)</w:t>
            </w:r>
          </w:p>
        </w:tc>
        <w:tc>
          <w:tcPr>
            <w:tcW w:type="dxa" w:w="1655"/>
            <w:vAlign w:val="top"/>
          </w:tcPr>
          <w:p>
            <w:pPr>
              <w:spacing w:after="40" w:before="0" w:line="259" w:lineRule="auto"/>
            </w:pPr>
            <w:r>
              <w:rPr>
                <w:rFonts w:ascii="Calibri" w:hAnsi="Calibri"/>
                <w:b w:val="0"/>
                <w:i w:val="0"/>
                <w:color w:val="212121"/>
                <w:sz w:val="19"/>
              </w:rPr>
              <w:t>Children and adults with varicella</w:t>
            </w:r>
          </w:p>
        </w:tc>
        <w:tc>
          <w:tcPr>
            <w:tcW w:type="dxa" w:w="1512"/>
            <w:vAlign w:val="top"/>
          </w:tcPr>
          <w:p>
            <w:pPr>
              <w:spacing w:after="40" w:before="0" w:line="259" w:lineRule="auto"/>
            </w:pPr>
            <w:r>
              <w:rPr>
                <w:rFonts w:ascii="Calibri" w:hAnsi="Calibri"/>
                <w:b w:val="0"/>
                <w:i w:val="0"/>
                <w:color w:val="212121"/>
                <w:sz w:val="19"/>
              </w:rPr>
              <w:t>Well-nourished, normal anthropometry</w:t>
            </w:r>
          </w:p>
        </w:tc>
        <w:tc>
          <w:tcPr>
            <w:tcW w:type="dxa" w:w="1512"/>
            <w:vAlign w:val="top"/>
          </w:tcPr>
          <w:p>
            <w:pPr>
              <w:spacing w:after="40" w:before="0" w:line="259" w:lineRule="auto"/>
            </w:pPr>
            <w:r>
              <w:rPr>
                <w:rFonts w:ascii="Calibri" w:hAnsi="Calibri"/>
                <w:b w:val="0"/>
                <w:i w:val="0"/>
                <w:color w:val="212121"/>
                <w:sz w:val="19"/>
              </w:rPr>
              <w:t>Undernutrition / micronutrient deficiency</w:t>
            </w:r>
          </w:p>
        </w:tc>
        <w:tc>
          <w:tcPr>
            <w:tcW w:type="dxa" w:w="1468"/>
            <w:vAlign w:val="top"/>
          </w:tcPr>
          <w:p>
            <w:pPr>
              <w:spacing w:after="40" w:before="0" w:line="259" w:lineRule="auto"/>
            </w:pPr>
            <w:r>
              <w:rPr>
                <w:rFonts w:ascii="Calibri" w:hAnsi="Calibri"/>
                <w:b w:val="0"/>
                <w:i w:val="0"/>
                <w:color w:val="212121"/>
                <w:sz w:val="19"/>
              </w:rPr>
              <w:t>Undernutrition weakens antiviral immunity and worsens severity and secondary infection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Adult smokers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 1 per day</w:t>
            </w:r>
          </w:p>
        </w:tc>
        <w:tc>
          <w:tcPr>
            <w:tcW w:type="dxa" w:w="1468"/>
            <w:vAlign w:val="top"/>
          </w:tcPr>
          <w:p>
            <w:pPr>
              <w:spacing w:after="40" w:before="0" w:line="259" w:lineRule="auto"/>
            </w:pPr>
            <w:r>
              <w:rPr>
                <w:rFonts w:ascii="Calibri" w:hAnsi="Calibri"/>
                <w:b w:val="0"/>
                <w:i w:val="0"/>
                <w:color w:val="212121"/>
                <w:sz w:val="19"/>
              </w:rPr>
              <w:t>Smoking is a recognised risk factor for varicella pneumonia in adults</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quality during illness</w:t>
            </w:r>
          </w:p>
        </w:tc>
        <w:tc>
          <w:tcPr>
            <w:tcW w:type="dxa" w:w="1655"/>
            <w:vAlign w:val="top"/>
          </w:tcPr>
          <w:p>
            <w:pPr>
              <w:spacing w:after="40" w:before="0" w:line="259" w:lineRule="auto"/>
            </w:pPr>
            <w:r>
              <w:rPr>
                <w:rFonts w:ascii="Calibri" w:hAnsi="Calibri"/>
                <w:b w:val="0"/>
                <w:i w:val="0"/>
                <w:color w:val="212121"/>
                <w:sz w:val="19"/>
              </w:rPr>
              <w:t>Patients with acute varicella</w:t>
            </w:r>
          </w:p>
        </w:tc>
        <w:tc>
          <w:tcPr>
            <w:tcW w:type="dxa" w:w="1512"/>
            <w:vAlign w:val="top"/>
          </w:tcPr>
          <w:p>
            <w:pPr>
              <w:spacing w:after="40" w:before="0" w:line="259" w:lineRule="auto"/>
            </w:pPr>
            <w:r>
              <w:rPr>
                <w:rFonts w:ascii="Calibri" w:hAnsi="Calibri"/>
                <w:b w:val="0"/>
                <w:i w:val="0"/>
                <w:color w:val="212121"/>
                <w:sz w:val="19"/>
              </w:rPr>
              <w:t>Adequate, itch-controlled rest</w:t>
            </w:r>
          </w:p>
        </w:tc>
        <w:tc>
          <w:tcPr>
            <w:tcW w:type="dxa" w:w="1512"/>
            <w:vAlign w:val="top"/>
          </w:tcPr>
          <w:p>
            <w:pPr>
              <w:spacing w:after="40" w:before="0" w:line="259" w:lineRule="auto"/>
            </w:pPr>
            <w:r>
              <w:rPr>
                <w:rFonts w:ascii="Calibri" w:hAnsi="Calibri"/>
                <w:b w:val="0"/>
                <w:i w:val="0"/>
                <w:color w:val="212121"/>
                <w:sz w:val="19"/>
              </w:rPr>
              <w:t>Fever/itch-fragmented sleep</w:t>
            </w:r>
          </w:p>
        </w:tc>
        <w:tc>
          <w:tcPr>
            <w:tcW w:type="dxa" w:w="1468"/>
            <w:vAlign w:val="top"/>
          </w:tcPr>
          <w:p>
            <w:pPr>
              <w:spacing w:after="40" w:before="0" w:line="259" w:lineRule="auto"/>
            </w:pPr>
            <w:r>
              <w:rPr>
                <w:rFonts w:ascii="Calibri" w:hAnsi="Calibri"/>
                <w:b w:val="0"/>
                <w:i w:val="0"/>
                <w:color w:val="212121"/>
                <w:sz w:val="19"/>
              </w:rPr>
              <w:t>Good sleep supports immunity; antipyretics and antipruritics aid rest</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Virology</w:t>
            </w:r>
          </w:p>
        </w:tc>
        <w:tc>
          <w:tcPr>
            <w:tcW w:type="dxa" w:w="1036"/>
            <w:vAlign w:val="top"/>
          </w:tcPr>
          <w:p>
            <w:pPr>
              <w:spacing w:after="40" w:before="0" w:line="259" w:lineRule="auto"/>
            </w:pPr>
            <w:r>
              <w:rPr>
                <w:rFonts w:ascii="Calibri" w:hAnsi="Calibri"/>
                <w:b w:val="0"/>
                <w:i w:val="0"/>
                <w:color w:val="212121"/>
                <w:sz w:val="16"/>
              </w:rPr>
              <w:t>VZV DNA PCR from vesicle fluid</w:t>
            </w:r>
          </w:p>
        </w:tc>
        <w:tc>
          <w:tcPr>
            <w:tcW w:type="dxa" w:w="892"/>
            <w:vAlign w:val="top"/>
          </w:tcPr>
          <w:p>
            <w:pPr>
              <w:spacing w:after="40" w:before="0" w:line="259" w:lineRule="auto"/>
            </w:pPr>
            <w:r>
              <w:rPr>
                <w:rFonts w:ascii="Calibri" w:hAnsi="Calibri"/>
                <w:b w:val="0"/>
                <w:i w:val="0"/>
                <w:color w:val="212121"/>
                <w:sz w:val="16"/>
              </w:rPr>
              <w:t>Real-time PCR (swab of vesicle base/fluid, CSF or BAL)</w:t>
            </w:r>
          </w:p>
        </w:tc>
        <w:tc>
          <w:tcPr>
            <w:tcW w:type="dxa" w:w="950"/>
            <w:vAlign w:val="top"/>
          </w:tcPr>
          <w:p>
            <w:pPr>
              <w:spacing w:after="40" w:before="0" w:line="259" w:lineRule="auto"/>
            </w:pPr>
            <w:r>
              <w:rPr>
                <w:rFonts w:ascii="Calibri" w:hAnsi="Calibri"/>
                <w:b w:val="0"/>
                <w:i w:val="0"/>
                <w:color w:val="212121"/>
                <w:sz w:val="16"/>
              </w:rPr>
              <w:t>VZV DNA not detected</w:t>
            </w:r>
          </w:p>
        </w:tc>
        <w:tc>
          <w:tcPr>
            <w:tcW w:type="dxa" w:w="950"/>
            <w:vAlign w:val="top"/>
          </w:tcPr>
          <w:p>
            <w:pPr>
              <w:spacing w:after="40" w:before="0" w:line="259" w:lineRule="auto"/>
            </w:pPr>
            <w:r>
              <w:rPr>
                <w:rFonts w:ascii="Calibri" w:hAnsi="Calibri"/>
                <w:b w:val="0"/>
                <w:i w:val="0"/>
                <w:color w:val="212121"/>
                <w:sz w:val="16"/>
              </w:rPr>
              <w:t>VZV DNA detected</w:t>
            </w:r>
          </w:p>
        </w:tc>
        <w:tc>
          <w:tcPr>
            <w:tcW w:type="dxa" w:w="1036"/>
            <w:vAlign w:val="top"/>
          </w:tcPr>
          <w:p>
            <w:pPr>
              <w:spacing w:after="40" w:before="0" w:line="259" w:lineRule="auto"/>
            </w:pPr>
            <w:r>
              <w:rPr>
                <w:rFonts w:ascii="Calibri" w:hAnsi="Calibri"/>
                <w:b w:val="0"/>
                <w:i w:val="0"/>
                <w:color w:val="212121"/>
                <w:sz w:val="16"/>
              </w:rPr>
              <w:t>Most sensitive and specific confirmation of VZV infection; highest yield</w:t>
            </w:r>
          </w:p>
        </w:tc>
        <w:tc>
          <w:tcPr>
            <w:tcW w:type="dxa" w:w="1036"/>
            <w:vAlign w:val="top"/>
          </w:tcPr>
          <w:p>
            <w:pPr>
              <w:spacing w:after="40" w:before="0" w:line="259" w:lineRule="auto"/>
            </w:pPr>
            <w:r>
              <w:rPr>
                <w:rFonts w:ascii="Calibri" w:hAnsi="Calibri"/>
                <w:b w:val="0"/>
                <w:i w:val="0"/>
                <w:color w:val="212121"/>
                <w:sz w:val="16"/>
              </w:rPr>
              <w:t>Atypical, severe, immunocompromised, pregnant, neonatal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Sample a fresh vesicle for best yield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Virology</w:t>
            </w:r>
          </w:p>
        </w:tc>
        <w:tc>
          <w:tcPr>
            <w:tcW w:type="dxa" w:w="1036"/>
            <w:vAlign w:val="top"/>
          </w:tcPr>
          <w:p>
            <w:pPr>
              <w:spacing w:after="40" w:before="0" w:line="259" w:lineRule="auto"/>
            </w:pPr>
            <w:r>
              <w:rPr>
                <w:rFonts w:ascii="Calibri" w:hAnsi="Calibri"/>
                <w:b w:val="0"/>
                <w:i w:val="0"/>
                <w:color w:val="212121"/>
                <w:sz w:val="16"/>
              </w:rPr>
              <w:t>Direct fluorescent antibody (DFA)</w:t>
            </w:r>
          </w:p>
        </w:tc>
        <w:tc>
          <w:tcPr>
            <w:tcW w:type="dxa" w:w="892"/>
            <w:vAlign w:val="top"/>
          </w:tcPr>
          <w:p>
            <w:pPr>
              <w:spacing w:after="40" w:before="0" w:line="259" w:lineRule="auto"/>
            </w:pPr>
            <w:r>
              <w:rPr>
                <w:rFonts w:ascii="Calibri" w:hAnsi="Calibri"/>
                <w:b w:val="0"/>
                <w:i w:val="0"/>
                <w:color w:val="212121"/>
                <w:sz w:val="16"/>
              </w:rPr>
              <w:t>VZV antigen detection from lesion scraping</w:t>
            </w:r>
          </w:p>
        </w:tc>
        <w:tc>
          <w:tcPr>
            <w:tcW w:type="dxa" w:w="950"/>
            <w:vAlign w:val="top"/>
          </w:tcPr>
          <w:p>
            <w:pPr>
              <w:spacing w:after="40" w:before="0" w:line="259" w:lineRule="auto"/>
            </w:pPr>
            <w:r>
              <w:rPr>
                <w:rFonts w:ascii="Calibri" w:hAnsi="Calibri"/>
                <w:b w:val="0"/>
                <w:i w:val="0"/>
                <w:color w:val="212121"/>
                <w:sz w:val="16"/>
              </w:rPr>
              <w:t>No VZV antigen</w:t>
            </w:r>
          </w:p>
        </w:tc>
        <w:tc>
          <w:tcPr>
            <w:tcW w:type="dxa" w:w="950"/>
            <w:vAlign w:val="top"/>
          </w:tcPr>
          <w:p>
            <w:pPr>
              <w:spacing w:after="40" w:before="0" w:line="259" w:lineRule="auto"/>
            </w:pPr>
            <w:r>
              <w:rPr>
                <w:rFonts w:ascii="Calibri" w:hAnsi="Calibri"/>
                <w:b w:val="0"/>
                <w:i w:val="0"/>
                <w:color w:val="212121"/>
                <w:sz w:val="16"/>
              </w:rPr>
              <w:t>VZV antigen positive</w:t>
            </w:r>
          </w:p>
        </w:tc>
        <w:tc>
          <w:tcPr>
            <w:tcW w:type="dxa" w:w="1036"/>
            <w:vAlign w:val="top"/>
          </w:tcPr>
          <w:p>
            <w:pPr>
              <w:spacing w:after="40" w:before="0" w:line="259" w:lineRule="auto"/>
            </w:pPr>
            <w:r>
              <w:rPr>
                <w:rFonts w:ascii="Calibri" w:hAnsi="Calibri"/>
                <w:b w:val="0"/>
                <w:i w:val="0"/>
                <w:color w:val="212121"/>
                <w:sz w:val="16"/>
              </w:rPr>
              <w:t>Rapid, VZV-specific confirmation; has largely replaced the Tzanck test</w:t>
            </w:r>
          </w:p>
        </w:tc>
        <w:tc>
          <w:tcPr>
            <w:tcW w:type="dxa" w:w="1036"/>
            <w:vAlign w:val="top"/>
          </w:tcPr>
          <w:p>
            <w:pPr>
              <w:spacing w:after="40" w:before="0" w:line="259" w:lineRule="auto"/>
            </w:pPr>
            <w:r>
              <w:rPr>
                <w:rFonts w:ascii="Calibri" w:hAnsi="Calibri"/>
                <w:b w:val="0"/>
                <w:i w:val="0"/>
                <w:color w:val="212121"/>
                <w:sz w:val="16"/>
              </w:rPr>
              <w:t>Rapid bedside confirmation, resource-limited settings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Faster but less sensitive than PCR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Cytology</w:t>
            </w:r>
          </w:p>
        </w:tc>
        <w:tc>
          <w:tcPr>
            <w:tcW w:type="dxa" w:w="1036"/>
            <w:vAlign w:val="top"/>
          </w:tcPr>
          <w:p>
            <w:pPr>
              <w:spacing w:after="40" w:before="0" w:line="259" w:lineRule="auto"/>
            </w:pPr>
            <w:r>
              <w:rPr>
                <w:rFonts w:ascii="Calibri" w:hAnsi="Calibri"/>
                <w:b w:val="0"/>
                <w:i w:val="0"/>
                <w:color w:val="212121"/>
                <w:sz w:val="16"/>
              </w:rPr>
              <w:t>Tzanck smear</w:t>
            </w:r>
          </w:p>
        </w:tc>
        <w:tc>
          <w:tcPr>
            <w:tcW w:type="dxa" w:w="892"/>
            <w:vAlign w:val="top"/>
          </w:tcPr>
          <w:p>
            <w:pPr>
              <w:spacing w:after="40" w:before="0" w:line="259" w:lineRule="auto"/>
            </w:pPr>
            <w:r>
              <w:rPr>
                <w:rFonts w:ascii="Calibri" w:hAnsi="Calibri"/>
                <w:b w:val="0"/>
                <w:i w:val="0"/>
                <w:color w:val="212121"/>
                <w:sz w:val="16"/>
              </w:rPr>
              <w:t>Giemsa-stained lesion scraping microscopy</w:t>
            </w:r>
          </w:p>
        </w:tc>
        <w:tc>
          <w:tcPr>
            <w:tcW w:type="dxa" w:w="950"/>
            <w:vAlign w:val="top"/>
          </w:tcPr>
          <w:p>
            <w:pPr>
              <w:spacing w:after="40" w:before="0" w:line="259" w:lineRule="auto"/>
            </w:pPr>
            <w:r>
              <w:rPr>
                <w:rFonts w:ascii="Calibri" w:hAnsi="Calibri"/>
                <w:b w:val="0"/>
                <w:i w:val="0"/>
                <w:color w:val="212121"/>
                <w:sz w:val="16"/>
              </w:rPr>
              <w:t>No multinucleated giant cells</w:t>
            </w:r>
          </w:p>
        </w:tc>
        <w:tc>
          <w:tcPr>
            <w:tcW w:type="dxa" w:w="950"/>
            <w:vAlign w:val="top"/>
          </w:tcPr>
          <w:p>
            <w:pPr>
              <w:spacing w:after="40" w:before="0" w:line="259" w:lineRule="auto"/>
            </w:pPr>
            <w:r>
              <w:rPr>
                <w:rFonts w:ascii="Calibri" w:hAnsi="Calibri"/>
                <w:b w:val="0"/>
                <w:i w:val="0"/>
                <w:color w:val="212121"/>
                <w:sz w:val="16"/>
              </w:rPr>
              <w:t>Multinucleated giant cells / acantholytic cells</w:t>
            </w:r>
          </w:p>
        </w:tc>
        <w:tc>
          <w:tcPr>
            <w:tcW w:type="dxa" w:w="1036"/>
            <w:vAlign w:val="top"/>
          </w:tcPr>
          <w:p>
            <w:pPr>
              <w:spacing w:after="40" w:before="0" w:line="259" w:lineRule="auto"/>
            </w:pPr>
            <w:r>
              <w:rPr>
                <w:rFonts w:ascii="Calibri" w:hAnsi="Calibri"/>
                <w:b w:val="0"/>
                <w:i w:val="0"/>
                <w:color w:val="212121"/>
                <w:sz w:val="16"/>
              </w:rPr>
              <w:t>Supports a herpesvirus infection but does not distinguish VZV from HSV</w:t>
            </w:r>
          </w:p>
        </w:tc>
        <w:tc>
          <w:tcPr>
            <w:tcW w:type="dxa" w:w="1036"/>
            <w:vAlign w:val="top"/>
          </w:tcPr>
          <w:p>
            <w:pPr>
              <w:spacing w:after="40" w:before="0" w:line="259" w:lineRule="auto"/>
            </w:pPr>
            <w:r>
              <w:rPr>
                <w:rFonts w:ascii="Calibri" w:hAnsi="Calibri"/>
                <w:b w:val="0"/>
                <w:i w:val="0"/>
                <w:color w:val="212121"/>
                <w:sz w:val="16"/>
              </w:rPr>
              <w:t>Low-resource settings, quick screen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Sensitive but not virus-specific; confirm with PCR/DFA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VZV IgM / IgG</w:t>
            </w:r>
          </w:p>
        </w:tc>
        <w:tc>
          <w:tcPr>
            <w:tcW w:type="dxa" w:w="892"/>
            <w:vAlign w:val="top"/>
          </w:tcPr>
          <w:p>
            <w:pPr>
              <w:spacing w:after="40" w:before="0" w:line="259" w:lineRule="auto"/>
            </w:pPr>
            <w:r>
              <w:rPr>
                <w:rFonts w:ascii="Calibri" w:hAnsi="Calibri"/>
                <w:b w:val="0"/>
                <w:i w:val="0"/>
                <w:color w:val="212121"/>
                <w:sz w:val="16"/>
              </w:rPr>
              <w:t>ELISA / chemiluminescence</w:t>
            </w:r>
          </w:p>
        </w:tc>
        <w:tc>
          <w:tcPr>
            <w:tcW w:type="dxa" w:w="950"/>
            <w:vAlign w:val="top"/>
          </w:tcPr>
          <w:p>
            <w:pPr>
              <w:spacing w:after="40" w:before="0" w:line="259" w:lineRule="auto"/>
            </w:pPr>
            <w:r>
              <w:rPr>
                <w:rFonts w:ascii="Calibri" w:hAnsi="Calibri"/>
                <w:b w:val="0"/>
                <w:i w:val="0"/>
                <w:color w:val="212121"/>
                <w:sz w:val="16"/>
              </w:rPr>
              <w:t>IgG positive = immune; IgM negative</w:t>
            </w:r>
          </w:p>
        </w:tc>
        <w:tc>
          <w:tcPr>
            <w:tcW w:type="dxa" w:w="950"/>
            <w:vAlign w:val="top"/>
          </w:tcPr>
          <w:p>
            <w:pPr>
              <w:spacing w:after="40" w:before="0" w:line="259" w:lineRule="auto"/>
            </w:pPr>
            <w:r>
              <w:rPr>
                <w:rFonts w:ascii="Calibri" w:hAnsi="Calibri"/>
                <w:b w:val="0"/>
                <w:i w:val="0"/>
                <w:color w:val="212121"/>
                <w:sz w:val="16"/>
              </w:rPr>
              <w:t>IgM positive (acute); IgG negative (susceptible)</w:t>
            </w:r>
          </w:p>
        </w:tc>
        <w:tc>
          <w:tcPr>
            <w:tcW w:type="dxa" w:w="1036"/>
            <w:vAlign w:val="top"/>
          </w:tcPr>
          <w:p>
            <w:pPr>
              <w:spacing w:after="40" w:before="0" w:line="259" w:lineRule="auto"/>
            </w:pPr>
            <w:r>
              <w:rPr>
                <w:rFonts w:ascii="Calibri" w:hAnsi="Calibri"/>
                <w:b w:val="0"/>
                <w:i w:val="0"/>
                <w:color w:val="212121"/>
                <w:sz w:val="16"/>
              </w:rPr>
              <w:t>Establishes acute infection or, more usefully, immune/susceptible status</w:t>
            </w:r>
          </w:p>
        </w:tc>
        <w:tc>
          <w:tcPr>
            <w:tcW w:type="dxa" w:w="1036"/>
            <w:vAlign w:val="top"/>
          </w:tcPr>
          <w:p>
            <w:pPr>
              <w:spacing w:after="40" w:before="0" w:line="259" w:lineRule="auto"/>
            </w:pPr>
            <w:r>
              <w:rPr>
                <w:rFonts w:ascii="Calibri" w:hAnsi="Calibri"/>
                <w:b w:val="0"/>
                <w:i w:val="0"/>
                <w:color w:val="212121"/>
                <w:sz w:val="16"/>
              </w:rPr>
              <w:t>Exposed pregnant women, healthcare workers, pre-vaccination screening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Clinical history of chickenpox is an unreliable proxy for immunity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CBC with platelet count</w:t>
            </w:r>
          </w:p>
        </w:tc>
        <w:tc>
          <w:tcPr>
            <w:tcW w:type="dxa" w:w="892"/>
            <w:vAlign w:val="top"/>
          </w:tcPr>
          <w:p>
            <w:pPr>
              <w:spacing w:after="40" w:before="0" w:line="259" w:lineRule="auto"/>
            </w:pPr>
            <w:r>
              <w:rPr>
                <w:rFonts w:ascii="Calibri" w:hAnsi="Calibri"/>
                <w:b w:val="0"/>
                <w:i w:val="0"/>
                <w:color w:val="212121"/>
                <w:sz w:val="16"/>
              </w:rPr>
              <w:t>Complete blood count and film</w:t>
            </w:r>
          </w:p>
        </w:tc>
        <w:tc>
          <w:tcPr>
            <w:tcW w:type="dxa" w:w="950"/>
            <w:vAlign w:val="top"/>
          </w:tcPr>
          <w:p>
            <w:pPr>
              <w:spacing w:after="40" w:before="0" w:line="259" w:lineRule="auto"/>
            </w:pPr>
            <w:r>
              <w:rPr>
                <w:rFonts w:ascii="Calibri" w:hAnsi="Calibri"/>
                <w:b w:val="0"/>
                <w:i w:val="0"/>
                <w:color w:val="212121"/>
                <w:sz w:val="16"/>
              </w:rPr>
              <w:t>Normal counts and platelets</w:t>
            </w:r>
          </w:p>
        </w:tc>
        <w:tc>
          <w:tcPr>
            <w:tcW w:type="dxa" w:w="950"/>
            <w:vAlign w:val="top"/>
          </w:tcPr>
          <w:p>
            <w:pPr>
              <w:spacing w:after="40" w:before="0" w:line="259" w:lineRule="auto"/>
            </w:pPr>
            <w:r>
              <w:rPr>
                <w:rFonts w:ascii="Calibri" w:hAnsi="Calibri"/>
                <w:b w:val="0"/>
                <w:i w:val="0"/>
                <w:color w:val="212121"/>
                <w:sz w:val="16"/>
              </w:rPr>
              <w:t>Leukopenia; thrombocytopenia; features of DIC</w:t>
            </w:r>
          </w:p>
        </w:tc>
        <w:tc>
          <w:tcPr>
            <w:tcW w:type="dxa" w:w="1036"/>
            <w:vAlign w:val="top"/>
          </w:tcPr>
          <w:p>
            <w:pPr>
              <w:spacing w:after="40" w:before="0" w:line="259" w:lineRule="auto"/>
            </w:pPr>
            <w:r>
              <w:rPr>
                <w:rFonts w:ascii="Calibri" w:hAnsi="Calibri"/>
                <w:b w:val="0"/>
                <w:i w:val="0"/>
                <w:color w:val="212121"/>
                <w:sz w:val="16"/>
              </w:rPr>
              <w:t>Detects haemorrhagic varicella, thrombocytopenia and DIC</w:t>
            </w:r>
          </w:p>
        </w:tc>
        <w:tc>
          <w:tcPr>
            <w:tcW w:type="dxa" w:w="1036"/>
            <w:vAlign w:val="top"/>
          </w:tcPr>
          <w:p>
            <w:pPr>
              <w:spacing w:after="40" w:before="0" w:line="259" w:lineRule="auto"/>
            </w:pPr>
            <w:r>
              <w:rPr>
                <w:rFonts w:ascii="Calibri" w:hAnsi="Calibri"/>
                <w:b w:val="0"/>
                <w:i w:val="0"/>
                <w:color w:val="212121"/>
                <w:sz w:val="16"/>
              </w:rPr>
              <w:t>Severe, haemorrhagic or immunocompromised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Haemorrhagic complications occurred in 24% of an Indian adult series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Biochemistry</w:t>
            </w:r>
          </w:p>
        </w:tc>
        <w:tc>
          <w:tcPr>
            <w:tcW w:type="dxa" w:w="1036"/>
            <w:vAlign w:val="top"/>
          </w:tcPr>
          <w:p>
            <w:pPr>
              <w:spacing w:after="40" w:before="0" w:line="259" w:lineRule="auto"/>
            </w:pPr>
            <w:r>
              <w:rPr>
                <w:rFonts w:ascii="Calibri" w:hAnsi="Calibri"/>
                <w:b w:val="0"/>
                <w:i w:val="0"/>
                <w:color w:val="212121"/>
                <w:sz w:val="16"/>
              </w:rPr>
              <w:t>Liver function tests (transaminases)</w:t>
            </w:r>
          </w:p>
        </w:tc>
        <w:tc>
          <w:tcPr>
            <w:tcW w:type="dxa" w:w="892"/>
            <w:vAlign w:val="top"/>
          </w:tcPr>
          <w:p>
            <w:pPr>
              <w:spacing w:after="40" w:before="0" w:line="259" w:lineRule="auto"/>
            </w:pPr>
            <w:r>
              <w:rPr>
                <w:rFonts w:ascii="Calibri" w:hAnsi="Calibri"/>
                <w:b w:val="0"/>
                <w:i w:val="0"/>
                <w:color w:val="212121"/>
                <w:sz w:val="16"/>
              </w:rPr>
              <w:t>Serum AST/ALT, bilirubin</w:t>
            </w:r>
          </w:p>
        </w:tc>
        <w:tc>
          <w:tcPr>
            <w:tcW w:type="dxa" w:w="950"/>
            <w:vAlign w:val="top"/>
          </w:tcPr>
          <w:p>
            <w:pPr>
              <w:spacing w:after="40" w:before="0" w:line="259" w:lineRule="auto"/>
            </w:pPr>
            <w:r>
              <w:rPr>
                <w:rFonts w:ascii="Calibri" w:hAnsi="Calibri"/>
                <w:b w:val="0"/>
                <w:i w:val="0"/>
                <w:color w:val="212121"/>
                <w:sz w:val="16"/>
              </w:rPr>
              <w:t>Normal transaminases</w:t>
            </w:r>
          </w:p>
        </w:tc>
        <w:tc>
          <w:tcPr>
            <w:tcW w:type="dxa" w:w="950"/>
            <w:vAlign w:val="top"/>
          </w:tcPr>
          <w:p>
            <w:pPr>
              <w:spacing w:after="40" w:before="0" w:line="259" w:lineRule="auto"/>
            </w:pPr>
            <w:r>
              <w:rPr>
                <w:rFonts w:ascii="Calibri" w:hAnsi="Calibri"/>
                <w:b w:val="0"/>
                <w:i w:val="0"/>
                <w:color w:val="212121"/>
                <w:sz w:val="16"/>
              </w:rPr>
              <w:t>Raised AST/ALT (transaminitis / hepatitis)</w:t>
            </w:r>
          </w:p>
        </w:tc>
        <w:tc>
          <w:tcPr>
            <w:tcW w:type="dxa" w:w="1036"/>
            <w:vAlign w:val="top"/>
          </w:tcPr>
          <w:p>
            <w:pPr>
              <w:spacing w:after="40" w:before="0" w:line="259" w:lineRule="auto"/>
            </w:pPr>
            <w:r>
              <w:rPr>
                <w:rFonts w:ascii="Calibri" w:hAnsi="Calibri"/>
                <w:b w:val="0"/>
                <w:i w:val="0"/>
                <w:color w:val="212121"/>
                <w:sz w:val="16"/>
              </w:rPr>
              <w:t>Identifies varicella hepatitis, a marker of visceral dissemination</w:t>
            </w:r>
          </w:p>
        </w:tc>
        <w:tc>
          <w:tcPr>
            <w:tcW w:type="dxa" w:w="1036"/>
            <w:vAlign w:val="top"/>
          </w:tcPr>
          <w:p>
            <w:pPr>
              <w:spacing w:after="40" w:before="0" w:line="259" w:lineRule="auto"/>
            </w:pPr>
            <w:r>
              <w:rPr>
                <w:rFonts w:ascii="Calibri" w:hAnsi="Calibri"/>
                <w:b w:val="0"/>
                <w:i w:val="0"/>
                <w:color w:val="212121"/>
                <w:sz w:val="16"/>
              </w:rPr>
              <w:t>Adults, immunocompromised, severe disease</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Hepatitis occurred in 24% of an Indian adult series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 / oximetry</w:t>
            </w:r>
          </w:p>
        </w:tc>
        <w:tc>
          <w:tcPr>
            <w:tcW w:type="dxa" w:w="1036"/>
            <w:vAlign w:val="top"/>
          </w:tcPr>
          <w:p>
            <w:pPr>
              <w:spacing w:after="40" w:before="0" w:line="259" w:lineRule="auto"/>
            </w:pPr>
            <w:r>
              <w:rPr>
                <w:rFonts w:ascii="Calibri" w:hAnsi="Calibri"/>
                <w:b w:val="0"/>
                <w:i w:val="0"/>
                <w:color w:val="212121"/>
                <w:sz w:val="16"/>
              </w:rPr>
              <w:t>Chest X-ray and SpO2</w:t>
            </w:r>
          </w:p>
        </w:tc>
        <w:tc>
          <w:tcPr>
            <w:tcW w:type="dxa" w:w="892"/>
            <w:vAlign w:val="top"/>
          </w:tcPr>
          <w:p>
            <w:pPr>
              <w:spacing w:after="40" w:before="0" w:line="259" w:lineRule="auto"/>
            </w:pPr>
            <w:r>
              <w:rPr>
                <w:rFonts w:ascii="Calibri" w:hAnsi="Calibri"/>
                <w:b w:val="0"/>
                <w:i w:val="0"/>
                <w:color w:val="212121"/>
                <w:sz w:val="16"/>
              </w:rPr>
              <w:t>Chest radiograph, pulse oximetry</w:t>
            </w:r>
          </w:p>
        </w:tc>
        <w:tc>
          <w:tcPr>
            <w:tcW w:type="dxa" w:w="950"/>
            <w:vAlign w:val="top"/>
          </w:tcPr>
          <w:p>
            <w:pPr>
              <w:spacing w:after="40" w:before="0" w:line="259" w:lineRule="auto"/>
            </w:pPr>
            <w:r>
              <w:rPr>
                <w:rFonts w:ascii="Calibri" w:hAnsi="Calibri"/>
                <w:b w:val="0"/>
                <w:i w:val="0"/>
                <w:color w:val="212121"/>
                <w:sz w:val="16"/>
              </w:rPr>
              <w:t>Clear lung fields; SpO2 &gt;= 94%</w:t>
            </w:r>
          </w:p>
        </w:tc>
        <w:tc>
          <w:tcPr>
            <w:tcW w:type="dxa" w:w="950"/>
            <w:vAlign w:val="top"/>
          </w:tcPr>
          <w:p>
            <w:pPr>
              <w:spacing w:after="40" w:before="0" w:line="259" w:lineRule="auto"/>
            </w:pPr>
            <w:r>
              <w:rPr>
                <w:rFonts w:ascii="Calibri" w:hAnsi="Calibri"/>
                <w:b w:val="0"/>
                <w:i w:val="0"/>
                <w:color w:val="212121"/>
                <w:sz w:val="16"/>
              </w:rPr>
              <w:t>Bilateral nodular/interstitial infiltrates; hypoxia</w:t>
            </w:r>
          </w:p>
        </w:tc>
        <w:tc>
          <w:tcPr>
            <w:tcW w:type="dxa" w:w="1036"/>
            <w:vAlign w:val="top"/>
          </w:tcPr>
          <w:p>
            <w:pPr>
              <w:spacing w:after="40" w:before="0" w:line="259" w:lineRule="auto"/>
            </w:pPr>
            <w:r>
              <w:rPr>
                <w:rFonts w:ascii="Calibri" w:hAnsi="Calibri"/>
                <w:b w:val="0"/>
                <w:i w:val="0"/>
                <w:color w:val="212121"/>
                <w:sz w:val="16"/>
              </w:rPr>
              <w:t>Diagnoses varicella pneumonia, the leading cause of adult varicella death</w:t>
            </w:r>
          </w:p>
        </w:tc>
        <w:tc>
          <w:tcPr>
            <w:tcW w:type="dxa" w:w="1036"/>
            <w:vAlign w:val="top"/>
          </w:tcPr>
          <w:p>
            <w:pPr>
              <w:spacing w:after="40" w:before="0" w:line="259" w:lineRule="auto"/>
            </w:pPr>
            <w:r>
              <w:rPr>
                <w:rFonts w:ascii="Calibri" w:hAnsi="Calibri"/>
                <w:b w:val="0"/>
                <w:i w:val="0"/>
                <w:color w:val="212121"/>
                <w:sz w:val="16"/>
              </w:rPr>
              <w:t>Adults, smokers, pregnant women, immunocompromised</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Pneumonia occurred in 34% with ~41% case-fatality in an Indian adult series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 / immune status</w:t>
            </w:r>
          </w:p>
        </w:tc>
        <w:tc>
          <w:tcPr>
            <w:tcW w:type="dxa" w:w="1036"/>
            <w:vAlign w:val="top"/>
          </w:tcPr>
          <w:p>
            <w:pPr>
              <w:spacing w:after="40" w:before="0" w:line="259" w:lineRule="auto"/>
            </w:pPr>
            <w:r>
              <w:rPr>
                <w:rFonts w:ascii="Calibri" w:hAnsi="Calibri"/>
                <w:b w:val="0"/>
                <w:i w:val="0"/>
                <w:color w:val="212121"/>
                <w:sz w:val="16"/>
              </w:rPr>
              <w:t>HIV serology; CD4 count</w:t>
            </w:r>
          </w:p>
        </w:tc>
        <w:tc>
          <w:tcPr>
            <w:tcW w:type="dxa" w:w="892"/>
            <w:vAlign w:val="top"/>
          </w:tcPr>
          <w:p>
            <w:pPr>
              <w:spacing w:after="40" w:before="0" w:line="259" w:lineRule="auto"/>
            </w:pPr>
            <w:r>
              <w:rPr>
                <w:rFonts w:ascii="Calibri" w:hAnsi="Calibri"/>
                <w:b w:val="0"/>
                <w:i w:val="0"/>
                <w:color w:val="212121"/>
                <w:sz w:val="16"/>
              </w:rPr>
              <w:t>HIV rapid test / ELISA; lymphocyte subsets</w:t>
            </w:r>
          </w:p>
        </w:tc>
        <w:tc>
          <w:tcPr>
            <w:tcW w:type="dxa" w:w="950"/>
            <w:vAlign w:val="top"/>
          </w:tcPr>
          <w:p>
            <w:pPr>
              <w:spacing w:after="40" w:before="0" w:line="259" w:lineRule="auto"/>
            </w:pPr>
            <w:r>
              <w:rPr>
                <w:rFonts w:ascii="Calibri" w:hAnsi="Calibri"/>
                <w:b w:val="0"/>
                <w:i w:val="0"/>
                <w:color w:val="212121"/>
                <w:sz w:val="16"/>
              </w:rPr>
              <w:t>Non-reactive; CD4 &gt; 500 cells/mm3</w:t>
            </w:r>
          </w:p>
        </w:tc>
        <w:tc>
          <w:tcPr>
            <w:tcW w:type="dxa" w:w="950"/>
            <w:vAlign w:val="top"/>
          </w:tcPr>
          <w:p>
            <w:pPr>
              <w:spacing w:after="40" w:before="0" w:line="259" w:lineRule="auto"/>
            </w:pPr>
            <w:r>
              <w:rPr>
                <w:rFonts w:ascii="Calibri" w:hAnsi="Calibri"/>
                <w:b w:val="0"/>
                <w:i w:val="0"/>
                <w:color w:val="212121"/>
                <w:sz w:val="16"/>
              </w:rPr>
              <w:t>Reactive; CD4 &lt; 200 cells/mm3</w:t>
            </w:r>
          </w:p>
        </w:tc>
        <w:tc>
          <w:tcPr>
            <w:tcW w:type="dxa" w:w="1036"/>
            <w:vAlign w:val="top"/>
          </w:tcPr>
          <w:p>
            <w:pPr>
              <w:spacing w:after="40" w:before="0" w:line="259" w:lineRule="auto"/>
            </w:pPr>
            <w:r>
              <w:rPr>
                <w:rFonts w:ascii="Calibri" w:hAnsi="Calibri"/>
                <w:b w:val="0"/>
                <w:i w:val="0"/>
                <w:color w:val="212121"/>
                <w:sz w:val="16"/>
              </w:rPr>
              <w:t>Uncovers underlying immunodeficiency driving severe/atypical varicella</w:t>
            </w:r>
          </w:p>
        </w:tc>
        <w:tc>
          <w:tcPr>
            <w:tcW w:type="dxa" w:w="1036"/>
            <w:vAlign w:val="top"/>
          </w:tcPr>
          <w:p>
            <w:pPr>
              <w:spacing w:after="40" w:before="0" w:line="259" w:lineRule="auto"/>
            </w:pPr>
            <w:r>
              <w:rPr>
                <w:rFonts w:ascii="Calibri" w:hAnsi="Calibri"/>
                <w:b w:val="0"/>
                <w:i w:val="0"/>
                <w:color w:val="212121"/>
                <w:sz w:val="16"/>
              </w:rPr>
              <w:t>Atypical, disseminated or recurrent varicella, young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Offer in severe or atypical presentations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Fever followed by a generalised itchy rash in crops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Fever with a spreading vesicular rash</w:t>
            </w:r>
          </w:p>
        </w:tc>
        <w:tc>
          <w:tcPr>
            <w:tcW w:type="dxa" w:w="1036"/>
            <w:vAlign w:val="top"/>
          </w:tcPr>
          <w:p>
            <w:pPr>
              <w:spacing w:after="40" w:before="0" w:line="259" w:lineRule="auto"/>
            </w:pPr>
            <w:r>
              <w:rPr>
                <w:rFonts w:ascii="Calibri" w:hAnsi="Calibri"/>
                <w:b w:val="0"/>
                <w:i w:val="0"/>
                <w:color w:val="212121"/>
                <w:sz w:val="16"/>
              </w:rPr>
              <w:t>Cardinal presentation of varicella</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Prodrome is more marked in adolescents and adults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and immunisation history</w:t>
            </w:r>
          </w:p>
        </w:tc>
        <w:tc>
          <w:tcPr>
            <w:tcW w:type="dxa" w:w="979"/>
            <w:vAlign w:val="top"/>
          </w:tcPr>
          <w:p>
            <w:pPr>
              <w:spacing w:after="40" w:before="0" w:line="259" w:lineRule="auto"/>
            </w:pPr>
            <w:r>
              <w:rPr>
                <w:rFonts w:ascii="Calibri" w:hAnsi="Calibri"/>
                <w:b w:val="0"/>
                <w:i w:val="0"/>
                <w:color w:val="212121"/>
                <w:sz w:val="16"/>
              </w:rPr>
              <w:t>Contact with chickenpox/zoster 10-21 days prior; prior varicella and vaccine status</w:t>
            </w:r>
          </w:p>
        </w:tc>
        <w:tc>
          <w:tcPr>
            <w:tcW w:type="dxa" w:w="950"/>
            <w:vAlign w:val="top"/>
          </w:tcPr>
          <w:p>
            <w:pPr>
              <w:spacing w:after="40" w:before="0" w:line="259" w:lineRule="auto"/>
            </w:pPr>
            <w:r>
              <w:rPr>
                <w:rFonts w:ascii="Calibri" w:hAnsi="Calibri"/>
                <w:b w:val="0"/>
                <w:i w:val="0"/>
                <w:color w:val="212121"/>
                <w:sz w:val="16"/>
              </w:rPr>
              <w:t>Immune / vaccinated, no contact</w:t>
            </w:r>
          </w:p>
        </w:tc>
        <w:tc>
          <w:tcPr>
            <w:tcW w:type="dxa" w:w="950"/>
            <w:vAlign w:val="top"/>
          </w:tcPr>
          <w:p>
            <w:pPr>
              <w:spacing w:after="40" w:before="0" w:line="259" w:lineRule="auto"/>
            </w:pPr>
            <w:r>
              <w:rPr>
                <w:rFonts w:ascii="Calibri" w:hAnsi="Calibri"/>
                <w:b w:val="0"/>
                <w:i w:val="0"/>
                <w:color w:val="212121"/>
                <w:sz w:val="16"/>
              </w:rPr>
              <w:t>Susceptible with recent exposure</w:t>
            </w:r>
          </w:p>
        </w:tc>
        <w:tc>
          <w:tcPr>
            <w:tcW w:type="dxa" w:w="1036"/>
            <w:vAlign w:val="top"/>
          </w:tcPr>
          <w:p>
            <w:pPr>
              <w:spacing w:after="40" w:before="0" w:line="259" w:lineRule="auto"/>
            </w:pPr>
            <w:r>
              <w:rPr>
                <w:rFonts w:ascii="Calibri" w:hAnsi="Calibri"/>
                <w:b w:val="0"/>
                <w:i w:val="0"/>
                <w:color w:val="212121"/>
                <w:sz w:val="16"/>
              </w:rPr>
              <w:t>Confirms epidemiological plausibility and susceptibility</w:t>
            </w:r>
          </w:p>
        </w:tc>
        <w:tc>
          <w:tcPr>
            <w:tcW w:type="dxa" w:w="1036"/>
            <w:vAlign w:val="top"/>
          </w:tcPr>
          <w:p>
            <w:pPr>
              <w:spacing w:after="40" w:before="0" w:line="259" w:lineRule="auto"/>
            </w:pPr>
            <w:r>
              <w:rPr>
                <w:rFonts w:ascii="Calibri" w:hAnsi="Calibri"/>
                <w:b w:val="0"/>
                <w:i w:val="0"/>
                <w:color w:val="212121"/>
                <w:sz w:val="16"/>
              </w:rPr>
              <w:t>Household/school contacts, non-immune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Incubation averages about 14-16 days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Local examination</w:t>
            </w:r>
          </w:p>
        </w:tc>
        <w:tc>
          <w:tcPr>
            <w:tcW w:type="dxa" w:w="950"/>
            <w:vAlign w:val="top"/>
          </w:tcPr>
          <w:p>
            <w:pPr>
              <w:spacing w:after="40" w:before="0" w:line="259" w:lineRule="auto"/>
            </w:pPr>
            <w:r>
              <w:rPr>
                <w:rFonts w:ascii="Calibri" w:hAnsi="Calibri"/>
                <w:b w:val="0"/>
                <w:i w:val="0"/>
                <w:color w:val="212121"/>
                <w:sz w:val="16"/>
              </w:rPr>
              <w:t>Rash morphology and distribution</w:t>
            </w:r>
          </w:p>
        </w:tc>
        <w:tc>
          <w:tcPr>
            <w:tcW w:type="dxa" w:w="979"/>
            <w:vAlign w:val="top"/>
          </w:tcPr>
          <w:p>
            <w:pPr>
              <w:spacing w:after="40" w:before="0" w:line="259" w:lineRule="auto"/>
            </w:pPr>
            <w:r>
              <w:rPr>
                <w:rFonts w:ascii="Calibri" w:hAnsi="Calibri"/>
                <w:b w:val="0"/>
                <w:i w:val="0"/>
                <w:color w:val="212121"/>
                <w:sz w:val="16"/>
              </w:rPr>
              <w:t>Centripetal crops with lesions at multiple stages; 'dew-drop' vesicles; mucosal lesions</w:t>
            </w:r>
          </w:p>
        </w:tc>
        <w:tc>
          <w:tcPr>
            <w:tcW w:type="dxa" w:w="950"/>
            <w:vAlign w:val="top"/>
          </w:tcPr>
          <w:p>
            <w:pPr>
              <w:spacing w:after="40" w:before="0" w:line="259" w:lineRule="auto"/>
            </w:pPr>
            <w:r>
              <w:rPr>
                <w:rFonts w:ascii="Calibri" w:hAnsi="Calibri"/>
                <w:b w:val="0"/>
                <w:i w:val="0"/>
                <w:color w:val="212121"/>
                <w:sz w:val="16"/>
              </w:rPr>
              <w:t>No rash</w:t>
            </w:r>
          </w:p>
        </w:tc>
        <w:tc>
          <w:tcPr>
            <w:tcW w:type="dxa" w:w="950"/>
            <w:vAlign w:val="top"/>
          </w:tcPr>
          <w:p>
            <w:pPr>
              <w:spacing w:after="40" w:before="0" w:line="259" w:lineRule="auto"/>
            </w:pPr>
            <w:r>
              <w:rPr>
                <w:rFonts w:ascii="Calibri" w:hAnsi="Calibri"/>
                <w:b w:val="0"/>
                <w:i w:val="0"/>
                <w:color w:val="212121"/>
                <w:sz w:val="16"/>
              </w:rPr>
              <w:t>Simultaneous macules, vesicles, pustules and crusts</w:t>
            </w:r>
          </w:p>
        </w:tc>
        <w:tc>
          <w:tcPr>
            <w:tcW w:type="dxa" w:w="1036"/>
            <w:vAlign w:val="top"/>
          </w:tcPr>
          <w:p>
            <w:pPr>
              <w:spacing w:after="40" w:before="0" w:line="259" w:lineRule="auto"/>
            </w:pPr>
            <w:r>
              <w:rPr>
                <w:rFonts w:ascii="Calibri" w:hAnsi="Calibri"/>
                <w:b w:val="0"/>
                <w:i w:val="0"/>
                <w:color w:val="212121"/>
                <w:sz w:val="16"/>
              </w:rPr>
              <w:t>Confirms clinical diagnosis of varicella</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Coexisting lesion stages distinguish varicella from smallpox-like eruptions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examination</w:t>
            </w:r>
          </w:p>
        </w:tc>
        <w:tc>
          <w:tcPr>
            <w:tcW w:type="dxa" w:w="950"/>
            <w:vAlign w:val="top"/>
          </w:tcPr>
          <w:p>
            <w:pPr>
              <w:spacing w:after="40" w:before="0" w:line="259" w:lineRule="auto"/>
            </w:pPr>
            <w:r>
              <w:rPr>
                <w:rFonts w:ascii="Calibri" w:hAnsi="Calibri"/>
                <w:b w:val="0"/>
                <w:i w:val="0"/>
                <w:color w:val="212121"/>
                <w:sz w:val="16"/>
              </w:rPr>
              <w:t>Severity and systemic assessment</w:t>
            </w:r>
          </w:p>
        </w:tc>
        <w:tc>
          <w:tcPr>
            <w:tcW w:type="dxa" w:w="979"/>
            <w:vAlign w:val="top"/>
          </w:tcPr>
          <w:p>
            <w:pPr>
              <w:spacing w:after="40" w:before="0" w:line="259" w:lineRule="auto"/>
            </w:pPr>
            <w:r>
              <w:rPr>
                <w:rFonts w:ascii="Calibri" w:hAnsi="Calibri"/>
                <w:b w:val="0"/>
                <w:i w:val="0"/>
                <w:color w:val="212121"/>
                <w:sz w:val="16"/>
              </w:rPr>
              <w:t>Fever, respiratory rate, oxygenation, sensorium, bleeding, lesion count</w:t>
            </w:r>
          </w:p>
        </w:tc>
        <w:tc>
          <w:tcPr>
            <w:tcW w:type="dxa" w:w="950"/>
            <w:vAlign w:val="top"/>
          </w:tcPr>
          <w:p>
            <w:pPr>
              <w:spacing w:after="40" w:before="0" w:line="259" w:lineRule="auto"/>
            </w:pPr>
            <w:r>
              <w:rPr>
                <w:rFonts w:ascii="Calibri" w:hAnsi="Calibri"/>
                <w:b w:val="0"/>
                <w:i w:val="0"/>
                <w:color w:val="212121"/>
                <w:sz w:val="16"/>
              </w:rPr>
              <w:t>Afebrile, no systemic signs</w:t>
            </w:r>
          </w:p>
        </w:tc>
        <w:tc>
          <w:tcPr>
            <w:tcW w:type="dxa" w:w="950"/>
            <w:vAlign w:val="top"/>
          </w:tcPr>
          <w:p>
            <w:pPr>
              <w:spacing w:after="40" w:before="0" w:line="259" w:lineRule="auto"/>
            </w:pPr>
            <w:r>
              <w:rPr>
                <w:rFonts w:ascii="Calibri" w:hAnsi="Calibri"/>
                <w:b w:val="0"/>
                <w:i w:val="0"/>
                <w:color w:val="212121"/>
                <w:sz w:val="16"/>
              </w:rPr>
              <w:t>High/persistent fever, tachypnoea, altered sensorium, bleeding</w:t>
            </w:r>
          </w:p>
        </w:tc>
        <w:tc>
          <w:tcPr>
            <w:tcW w:type="dxa" w:w="1036"/>
            <w:vAlign w:val="top"/>
          </w:tcPr>
          <w:p>
            <w:pPr>
              <w:spacing w:after="40" w:before="0" w:line="259" w:lineRule="auto"/>
            </w:pPr>
            <w:r>
              <w:rPr>
                <w:rFonts w:ascii="Calibri" w:hAnsi="Calibri"/>
                <w:b w:val="0"/>
                <w:i w:val="0"/>
                <w:color w:val="212121"/>
                <w:sz w:val="16"/>
              </w:rPr>
              <w:t>Flags severe/complicated varicella needing admission and antivirals</w:t>
            </w:r>
          </w:p>
        </w:tc>
        <w:tc>
          <w:tcPr>
            <w:tcW w:type="dxa" w:w="1036"/>
            <w:vAlign w:val="top"/>
          </w:tcPr>
          <w:p>
            <w:pPr>
              <w:spacing w:after="40" w:before="0" w:line="259" w:lineRule="auto"/>
            </w:pPr>
            <w:r>
              <w:rPr>
                <w:rFonts w:ascii="Calibri" w:hAnsi="Calibri"/>
                <w:b w:val="0"/>
                <w:i w:val="0"/>
                <w:color w:val="212121"/>
                <w:sz w:val="16"/>
              </w:rPr>
              <w:t>Adults, immunocompromised, pregnant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Organ dysfunction occurred in 68% of an Indian adult series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Respiratory examination</w:t>
            </w:r>
          </w:p>
        </w:tc>
        <w:tc>
          <w:tcPr>
            <w:tcW w:type="dxa" w:w="950"/>
            <w:vAlign w:val="top"/>
          </w:tcPr>
          <w:p>
            <w:pPr>
              <w:spacing w:after="40" w:before="0" w:line="259" w:lineRule="auto"/>
            </w:pPr>
            <w:r>
              <w:rPr>
                <w:rFonts w:ascii="Calibri" w:hAnsi="Calibri"/>
                <w:b w:val="0"/>
                <w:i w:val="0"/>
                <w:color w:val="212121"/>
                <w:sz w:val="16"/>
              </w:rPr>
              <w:t>Chest examination</w:t>
            </w:r>
          </w:p>
        </w:tc>
        <w:tc>
          <w:tcPr>
            <w:tcW w:type="dxa" w:w="979"/>
            <w:vAlign w:val="top"/>
          </w:tcPr>
          <w:p>
            <w:pPr>
              <w:spacing w:after="40" w:before="0" w:line="259" w:lineRule="auto"/>
            </w:pPr>
            <w:r>
              <w:rPr>
                <w:rFonts w:ascii="Calibri" w:hAnsi="Calibri"/>
                <w:b w:val="0"/>
                <w:i w:val="0"/>
                <w:color w:val="212121"/>
                <w:sz w:val="16"/>
              </w:rPr>
              <w:t>Tachypnoea, crackles, hypoxia</w:t>
            </w:r>
          </w:p>
        </w:tc>
        <w:tc>
          <w:tcPr>
            <w:tcW w:type="dxa" w:w="950"/>
            <w:vAlign w:val="top"/>
          </w:tcPr>
          <w:p>
            <w:pPr>
              <w:spacing w:after="40" w:before="0" w:line="259" w:lineRule="auto"/>
            </w:pPr>
            <w:r>
              <w:rPr>
                <w:rFonts w:ascii="Calibri" w:hAnsi="Calibri"/>
                <w:b w:val="0"/>
                <w:i w:val="0"/>
                <w:color w:val="212121"/>
                <w:sz w:val="16"/>
              </w:rPr>
              <w:t>Clear chest, normal SpO2</w:t>
            </w:r>
          </w:p>
        </w:tc>
        <w:tc>
          <w:tcPr>
            <w:tcW w:type="dxa" w:w="950"/>
            <w:vAlign w:val="top"/>
          </w:tcPr>
          <w:p>
            <w:pPr>
              <w:spacing w:after="40" w:before="0" w:line="259" w:lineRule="auto"/>
            </w:pPr>
            <w:r>
              <w:rPr>
                <w:rFonts w:ascii="Calibri" w:hAnsi="Calibri"/>
                <w:b w:val="0"/>
                <w:i w:val="0"/>
                <w:color w:val="212121"/>
                <w:sz w:val="16"/>
              </w:rPr>
              <w:t>Crackles, respiratory distress, desaturation</w:t>
            </w:r>
          </w:p>
        </w:tc>
        <w:tc>
          <w:tcPr>
            <w:tcW w:type="dxa" w:w="1036"/>
            <w:vAlign w:val="top"/>
          </w:tcPr>
          <w:p>
            <w:pPr>
              <w:spacing w:after="40" w:before="0" w:line="259" w:lineRule="auto"/>
            </w:pPr>
            <w:r>
              <w:rPr>
                <w:rFonts w:ascii="Calibri" w:hAnsi="Calibri"/>
                <w:b w:val="0"/>
                <w:i w:val="0"/>
                <w:color w:val="212121"/>
                <w:sz w:val="16"/>
              </w:rPr>
              <w:t>Detects varicella pneumonia, the leading cause of adult death</w:t>
            </w:r>
          </w:p>
        </w:tc>
        <w:tc>
          <w:tcPr>
            <w:tcW w:type="dxa" w:w="1036"/>
            <w:vAlign w:val="top"/>
          </w:tcPr>
          <w:p>
            <w:pPr>
              <w:spacing w:after="40" w:before="0" w:line="259" w:lineRule="auto"/>
            </w:pPr>
            <w:r>
              <w:rPr>
                <w:rFonts w:ascii="Calibri" w:hAnsi="Calibri"/>
                <w:b w:val="0"/>
                <w:i w:val="0"/>
                <w:color w:val="212121"/>
                <w:sz w:val="16"/>
              </w:rPr>
              <w:t>Adults, smokers, pregnant women, immunocompromised</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Cough/breathlessness a few days into the rash is a red flag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Immunosuppression and pregnancy screen</w:t>
            </w:r>
          </w:p>
        </w:tc>
        <w:tc>
          <w:tcPr>
            <w:tcW w:type="dxa" w:w="979"/>
            <w:vAlign w:val="top"/>
          </w:tcPr>
          <w:p>
            <w:pPr>
              <w:spacing w:after="40" w:before="0" w:line="259" w:lineRule="auto"/>
            </w:pPr>
            <w:r>
              <w:rPr>
                <w:rFonts w:ascii="Calibri" w:hAnsi="Calibri"/>
                <w:b w:val="0"/>
                <w:i w:val="0"/>
                <w:color w:val="212121"/>
                <w:sz w:val="16"/>
              </w:rPr>
              <w:t>HIV, malignancy, steroids/biologics, transplant; pregnancy and gestational age</w:t>
            </w:r>
          </w:p>
        </w:tc>
        <w:tc>
          <w:tcPr>
            <w:tcW w:type="dxa" w:w="950"/>
            <w:vAlign w:val="top"/>
          </w:tcPr>
          <w:p>
            <w:pPr>
              <w:spacing w:after="40" w:before="0" w:line="259" w:lineRule="auto"/>
            </w:pPr>
            <w:r>
              <w:rPr>
                <w:rFonts w:ascii="Calibri" w:hAnsi="Calibri"/>
                <w:b w:val="0"/>
                <w:i w:val="0"/>
                <w:color w:val="212121"/>
                <w:sz w:val="16"/>
              </w:rPr>
              <w:t>Immunocompetent, not pregnant</w:t>
            </w:r>
          </w:p>
        </w:tc>
        <w:tc>
          <w:tcPr>
            <w:tcW w:type="dxa" w:w="950"/>
            <w:vAlign w:val="top"/>
          </w:tcPr>
          <w:p>
            <w:pPr>
              <w:spacing w:after="40" w:before="0" w:line="259" w:lineRule="auto"/>
            </w:pPr>
            <w:r>
              <w:rPr>
                <w:rFonts w:ascii="Calibri" w:hAnsi="Calibri"/>
                <w:b w:val="0"/>
                <w:i w:val="0"/>
                <w:color w:val="212121"/>
                <w:sz w:val="16"/>
              </w:rPr>
              <w:t>Immunocompromising state/therapy; pregnancy</w:t>
            </w:r>
          </w:p>
        </w:tc>
        <w:tc>
          <w:tcPr>
            <w:tcW w:type="dxa" w:w="1036"/>
            <w:vAlign w:val="top"/>
          </w:tcPr>
          <w:p>
            <w:pPr>
              <w:spacing w:after="40" w:before="0" w:line="259" w:lineRule="auto"/>
            </w:pPr>
            <w:r>
              <w:rPr>
                <w:rFonts w:ascii="Calibri" w:hAnsi="Calibri"/>
                <w:b w:val="0"/>
                <w:i w:val="0"/>
                <w:color w:val="212121"/>
                <w:sz w:val="16"/>
              </w:rPr>
              <w:t>Identifies hosts at risk of severe, disseminated or congenital/neonatal disease</w:t>
            </w:r>
          </w:p>
        </w:tc>
        <w:tc>
          <w:tcPr>
            <w:tcW w:type="dxa" w:w="1036"/>
            <w:vAlign w:val="top"/>
          </w:tcPr>
          <w:p>
            <w:pPr>
              <w:spacing w:after="40" w:before="0" w:line="259" w:lineRule="auto"/>
            </w:pPr>
            <w:r>
              <w:rPr>
                <w:rFonts w:ascii="Calibri" w:hAnsi="Calibri"/>
                <w:b w:val="0"/>
                <w:i w:val="0"/>
                <w:color w:val="212121"/>
                <w:sz w:val="16"/>
              </w:rPr>
              <w:t>Immunocompromised, pregnant, neonates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Directs antiviral therapy and VariZIG decisions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 examination</w:t>
            </w:r>
          </w:p>
        </w:tc>
        <w:tc>
          <w:tcPr>
            <w:tcW w:type="dxa" w:w="950"/>
            <w:vAlign w:val="top"/>
          </w:tcPr>
          <w:p>
            <w:pPr>
              <w:spacing w:after="40" w:before="0" w:line="259" w:lineRule="auto"/>
            </w:pPr>
            <w:r>
              <w:rPr>
                <w:rFonts w:ascii="Calibri" w:hAnsi="Calibri"/>
                <w:b w:val="0"/>
                <w:i w:val="0"/>
                <w:color w:val="212121"/>
                <w:sz w:val="16"/>
              </w:rPr>
              <w:t>Assessment for CNS complications</w:t>
            </w:r>
          </w:p>
        </w:tc>
        <w:tc>
          <w:tcPr>
            <w:tcW w:type="dxa" w:w="979"/>
            <w:vAlign w:val="top"/>
          </w:tcPr>
          <w:p>
            <w:pPr>
              <w:spacing w:after="40" w:before="0" w:line="259" w:lineRule="auto"/>
            </w:pPr>
            <w:r>
              <w:rPr>
                <w:rFonts w:ascii="Calibri" w:hAnsi="Calibri"/>
                <w:b w:val="0"/>
                <w:i w:val="0"/>
                <w:color w:val="212121"/>
                <w:sz w:val="16"/>
              </w:rPr>
              <w:t>Gait/coordination (ataxia, nystagmus), sensorium, meningism</w:t>
            </w:r>
          </w:p>
        </w:tc>
        <w:tc>
          <w:tcPr>
            <w:tcW w:type="dxa" w:w="950"/>
            <w:vAlign w:val="top"/>
          </w:tcPr>
          <w:p>
            <w:pPr>
              <w:spacing w:after="40" w:before="0" w:line="259" w:lineRule="auto"/>
            </w:pPr>
            <w:r>
              <w:rPr>
                <w:rFonts w:ascii="Calibri" w:hAnsi="Calibri"/>
                <w:b w:val="0"/>
                <w:i w:val="0"/>
                <w:color w:val="212121"/>
                <w:sz w:val="16"/>
              </w:rPr>
              <w:t>Normal neurology</w:t>
            </w:r>
          </w:p>
        </w:tc>
        <w:tc>
          <w:tcPr>
            <w:tcW w:type="dxa" w:w="950"/>
            <w:vAlign w:val="top"/>
          </w:tcPr>
          <w:p>
            <w:pPr>
              <w:spacing w:after="40" w:before="0" w:line="259" w:lineRule="auto"/>
            </w:pPr>
            <w:r>
              <w:rPr>
                <w:rFonts w:ascii="Calibri" w:hAnsi="Calibri"/>
                <w:b w:val="0"/>
                <w:i w:val="0"/>
                <w:color w:val="212121"/>
                <w:sz w:val="16"/>
              </w:rPr>
              <w:t>Cerebellar ataxia, drowsiness, seizures, neck stiffness</w:t>
            </w:r>
          </w:p>
        </w:tc>
        <w:tc>
          <w:tcPr>
            <w:tcW w:type="dxa" w:w="1036"/>
            <w:vAlign w:val="top"/>
          </w:tcPr>
          <w:p>
            <w:pPr>
              <w:spacing w:after="40" w:before="0" w:line="259" w:lineRule="auto"/>
            </w:pPr>
            <w:r>
              <w:rPr>
                <w:rFonts w:ascii="Calibri" w:hAnsi="Calibri"/>
                <w:b w:val="0"/>
                <w:i w:val="0"/>
                <w:color w:val="212121"/>
                <w:sz w:val="16"/>
              </w:rPr>
              <w:t>Detects cerebellar ataxia (commonest childhood CNS complication) and encephalitis</w:t>
            </w:r>
          </w:p>
        </w:tc>
        <w:tc>
          <w:tcPr>
            <w:tcW w:type="dxa" w:w="1036"/>
            <w:vAlign w:val="top"/>
          </w:tcPr>
          <w:p>
            <w:pPr>
              <w:spacing w:after="40" w:before="0" w:line="259" w:lineRule="auto"/>
            </w:pPr>
            <w:r>
              <w:rPr>
                <w:rFonts w:ascii="Calibri" w:hAnsi="Calibri"/>
                <w:b w:val="0"/>
                <w:i w:val="0"/>
                <w:color w:val="212121"/>
                <w:sz w:val="16"/>
              </w:rPr>
              <w:t>Children with unsteadiness, severely ill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CNS involvement occurred in 20% of an Indian adult series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Low-to-moderate fever at or just before rash onset; tends to be higher and more prolonged in adolescents and adults.</w:t>
            </w:r>
          </w:p>
        </w:tc>
      </w:tr>
      <w:tr>
        <w:trPr>
          <w:cantSplit/>
        </w:trPr>
        <w:tc>
          <w:tcPr>
            <w:tcW w:type="dxa" w:w="2304"/>
            <w:vAlign w:val="top"/>
          </w:tcPr>
          <w:p>
            <w:pPr>
              <w:spacing w:after="40" w:before="0" w:line="259" w:lineRule="auto"/>
            </w:pPr>
            <w:r>
              <w:rPr>
                <w:rFonts w:ascii="Calibri" w:hAnsi="Calibri"/>
                <w:b/>
                <w:i w:val="0"/>
                <w:color w:val="212121"/>
                <w:sz w:val="19"/>
              </w:rPr>
              <w:t>Generalised itchy (pruritic) rash in crops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an intensely itchy rash spreading over the trunk, face, scalp and limbs in successive crops.</w:t>
            </w:r>
          </w:p>
        </w:tc>
      </w:tr>
      <w:tr>
        <w:trPr>
          <w:cantSplit/>
        </w:trPr>
        <w:tc>
          <w:tcPr>
            <w:tcW w:type="dxa" w:w="2304"/>
            <w:vAlign w:val="top"/>
          </w:tcPr>
          <w:p>
            <w:pPr>
              <w:spacing w:after="40" w:before="0" w:line="259" w:lineRule="auto"/>
            </w:pPr>
            <w:r>
              <w:rPr>
                <w:rFonts w:ascii="Calibri" w:hAnsi="Calibri"/>
                <w:b/>
                <w:i w:val="0"/>
                <w:color w:val="212121"/>
                <w:sz w:val="19"/>
              </w:rPr>
              <w:t>Fluid-filled vesicles ('dew drop on a rose petal')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Clear 1-3 mm vesicles on a red base that become cloudy/pustular and then crust over.</w:t>
            </w:r>
          </w:p>
        </w:tc>
      </w:tr>
      <w:tr>
        <w:trPr>
          <w:cantSplit/>
        </w:trPr>
        <w:tc>
          <w:tcPr>
            <w:tcW w:type="dxa" w:w="2304"/>
            <w:vAlign w:val="top"/>
          </w:tcPr>
          <w:p>
            <w:pPr>
              <w:spacing w:after="40" w:before="0" w:line="259" w:lineRule="auto"/>
            </w:pPr>
            <w:r>
              <w:rPr>
                <w:rFonts w:ascii="Calibri" w:hAnsi="Calibri"/>
                <w:b/>
                <w:i w:val="0"/>
                <w:color w:val="212121"/>
                <w:sz w:val="19"/>
              </w:rPr>
              <w:t>Prodromal malaise, headache, myalgia and anorexia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short prodrome, more pronounced in adolescents and adults and often minimal in young children.</w:t>
            </w:r>
          </w:p>
        </w:tc>
      </w:tr>
      <w:tr>
        <w:trPr>
          <w:cantSplit/>
        </w:trPr>
        <w:tc>
          <w:tcPr>
            <w:tcW w:type="dxa" w:w="2304"/>
            <w:vAlign w:val="top"/>
          </w:tcPr>
          <w:p>
            <w:pPr>
              <w:spacing w:after="40" w:before="0" w:line="259" w:lineRule="auto"/>
            </w:pPr>
            <w:r>
              <w:rPr>
                <w:rFonts w:ascii="Calibri" w:hAnsi="Calibri"/>
                <w:b/>
                <w:i w:val="0"/>
                <w:color w:val="212121"/>
                <w:sz w:val="19"/>
              </w:rPr>
              <w:t>Loss of appetite and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General constitutional upset accompanying the febrile illness.</w:t>
            </w:r>
          </w:p>
        </w:tc>
      </w:tr>
      <w:tr>
        <w:trPr>
          <w:cantSplit/>
        </w:trPr>
        <w:tc>
          <w:tcPr>
            <w:tcW w:type="dxa" w:w="2304"/>
            <w:vAlign w:val="top"/>
          </w:tcPr>
          <w:p>
            <w:pPr>
              <w:spacing w:after="40" w:before="0" w:line="259" w:lineRule="auto"/>
            </w:pPr>
            <w:r>
              <w:rPr>
                <w:rFonts w:ascii="Calibri" w:hAnsi="Calibri"/>
                <w:b/>
                <w:i w:val="0"/>
                <w:color w:val="212121"/>
                <w:sz w:val="19"/>
              </w:rPr>
              <w:t>Sore throat and painful mouth ulcers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Enanthem - vesicles/ulcers on oral and other mucous membranes that can impair eating and drinking.</w:t>
            </w:r>
          </w:p>
        </w:tc>
      </w:tr>
      <w:tr>
        <w:trPr>
          <w:cantSplit/>
        </w:trPr>
        <w:tc>
          <w:tcPr>
            <w:tcW w:type="dxa" w:w="2304"/>
            <w:vAlign w:val="top"/>
          </w:tcPr>
          <w:p>
            <w:pPr>
              <w:spacing w:after="40" w:before="0" w:line="259" w:lineRule="auto"/>
            </w:pPr>
            <w:r>
              <w:rPr>
                <w:rFonts w:ascii="Calibri" w:hAnsi="Calibri"/>
                <w:b/>
                <w:i w:val="0"/>
                <w:color w:val="212121"/>
                <w:sz w:val="19"/>
              </w:rPr>
              <w:t>Cough and breathlessness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Appearing a few days into the illness, suggests varicella pneumonia - especially in adults, smokers and pregnant women.</w:t>
            </w:r>
          </w:p>
        </w:tc>
      </w:tr>
      <w:tr>
        <w:trPr>
          <w:cantSplit/>
        </w:trPr>
        <w:tc>
          <w:tcPr>
            <w:tcW w:type="dxa" w:w="2304"/>
            <w:vAlign w:val="top"/>
          </w:tcPr>
          <w:p>
            <w:pPr>
              <w:spacing w:after="40" w:before="0" w:line="259" w:lineRule="auto"/>
            </w:pPr>
            <w:r>
              <w:rPr>
                <w:rFonts w:ascii="Calibri" w:hAnsi="Calibri"/>
                <w:b/>
                <w:i w:val="0"/>
                <w:color w:val="212121"/>
                <w:sz w:val="19"/>
              </w:rPr>
              <w:t>Severe headache, drowsiness or unsteady gait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Point to CNS complications such as encephalitis or post-varicella cerebellar ataxia (the commonest childhood neurological complication).</w:t>
            </w:r>
          </w:p>
        </w:tc>
      </w:tr>
      <w:tr>
        <w:trPr>
          <w:cantSplit/>
        </w:trPr>
        <w:tc>
          <w:tcPr>
            <w:tcW w:type="dxa" w:w="2304"/>
            <w:vAlign w:val="top"/>
          </w:tcPr>
          <w:p>
            <w:pPr>
              <w:spacing w:after="40" w:before="0" w:line="259" w:lineRule="auto"/>
            </w:pPr>
            <w:r>
              <w:rPr>
                <w:rFonts w:ascii="Calibri" w:hAnsi="Calibri"/>
                <w:b/>
                <w:i w:val="0"/>
                <w:color w:val="212121"/>
                <w:sz w:val="19"/>
              </w:rPr>
              <w:t>Bleeding into the skin or lesions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haemorrhagic varicella, thrombocytopenia or disseminated intravascular coagulation, largely in the immunocompromised.</w:t>
            </w:r>
          </w:p>
        </w:tc>
      </w:tr>
      <w:tr>
        <w:trPr>
          <w:cantSplit/>
        </w:trPr>
        <w:tc>
          <w:tcPr>
            <w:tcW w:type="dxa" w:w="2304"/>
            <w:vAlign w:val="top"/>
          </w:tcPr>
          <w:p>
            <w:pPr>
              <w:spacing w:after="40" w:before="0" w:line="259" w:lineRule="auto"/>
            </w:pPr>
            <w:r>
              <w:rPr>
                <w:rFonts w:ascii="Calibri" w:hAnsi="Calibri"/>
                <w:b/>
                <w:i w:val="0"/>
                <w:color w:val="212121"/>
                <w:sz w:val="19"/>
              </w:rPr>
              <w:t>Abdominal pain and jaundice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May indicate varicella hepatitis, a marker of visceral dissemination.</w:t>
            </w:r>
          </w:p>
        </w:tc>
      </w:tr>
      <w:tr>
        <w:trPr>
          <w:cantSplit/>
        </w:trPr>
        <w:tc>
          <w:tcPr>
            <w:tcW w:type="dxa" w:w="2304"/>
            <w:vAlign w:val="top"/>
          </w:tcPr>
          <w:p>
            <w:pPr>
              <w:spacing w:after="40" w:before="0" w:line="259" w:lineRule="auto"/>
            </w:pPr>
            <w:r>
              <w:rPr>
                <w:rFonts w:ascii="Calibri" w:hAnsi="Calibri"/>
                <w:b/>
                <w:i w:val="0"/>
                <w:color w:val="212121"/>
                <w:sz w:val="19"/>
              </w:rPr>
              <w:t>Poor feeding and lethargy in a newborn with rash</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Features of neonatal varicella when maternal rash occurs around delivery; a medical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Lesions at multiple stages simultaneously (macule, papule, vesicle, pustule, crust)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defining feature of varicella - successive crops mean all stages coexist in the same area.</w:t>
            </w:r>
          </w:p>
        </w:tc>
      </w:tr>
      <w:tr>
        <w:trPr>
          <w:cantSplit/>
        </w:trPr>
        <w:tc>
          <w:tcPr>
            <w:tcW w:type="dxa" w:w="3456"/>
            <w:vAlign w:val="top"/>
          </w:tcPr>
          <w:p>
            <w:pPr>
              <w:spacing w:after="40" w:before="0" w:line="259" w:lineRule="auto"/>
            </w:pPr>
            <w:r>
              <w:rPr>
                <w:rFonts w:ascii="Calibri" w:hAnsi="Calibri"/>
                <w:b/>
                <w:i w:val="0"/>
                <w:color w:val="212121"/>
                <w:sz w:val="19"/>
              </w:rPr>
              <w:t>Centripetal distribution (trunk/face/scalp more than limbs)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Rash is denser centrally and sparser peripherally, unlike smallpox.</w:t>
            </w:r>
          </w:p>
        </w:tc>
      </w:tr>
      <w:tr>
        <w:trPr>
          <w:cantSplit/>
        </w:trPr>
        <w:tc>
          <w:tcPr>
            <w:tcW w:type="dxa" w:w="3456"/>
            <w:vAlign w:val="top"/>
          </w:tcPr>
          <w:p>
            <w:pPr>
              <w:spacing w:after="40" w:before="0" w:line="259" w:lineRule="auto"/>
            </w:pPr>
            <w:r>
              <w:rPr>
                <w:rFonts w:ascii="Calibri" w:hAnsi="Calibri"/>
                <w:b/>
                <w:i w:val="0"/>
                <w:color w:val="212121"/>
                <w:sz w:val="19"/>
              </w:rPr>
              <w:t>Clear vesicles on an erythematous base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classic 'dew drop on a rose petal' vesicle, 1-3 mm on a red halo.</w:t>
            </w:r>
          </w:p>
        </w:tc>
      </w:tr>
      <w:tr>
        <w:trPr>
          <w:cantSplit/>
        </w:trPr>
        <w:tc>
          <w:tcPr>
            <w:tcW w:type="dxa" w:w="3456"/>
            <w:vAlign w:val="top"/>
          </w:tcPr>
          <w:p>
            <w:pPr>
              <w:spacing w:after="40" w:before="0" w:line="259" w:lineRule="auto"/>
            </w:pPr>
            <w:r>
              <w:rPr>
                <w:rFonts w:ascii="Calibri" w:hAnsi="Calibri"/>
                <w:b/>
                <w:i w:val="0"/>
                <w:color w:val="212121"/>
                <w:sz w:val="19"/>
              </w:rPr>
              <w:t>Mucosal (oral/conjunctival/genital) ulcers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Enanthem from ruptured mucosal vesicles.</w:t>
            </w:r>
          </w:p>
        </w:tc>
      </w:tr>
      <w:tr>
        <w:trPr>
          <w:cantSplit/>
        </w:trPr>
        <w:tc>
          <w:tcPr>
            <w:tcW w:type="dxa" w:w="3456"/>
            <w:vAlign w:val="top"/>
          </w:tcPr>
          <w:p>
            <w:pPr>
              <w:spacing w:after="40" w:before="0" w:line="259" w:lineRule="auto"/>
            </w:pPr>
            <w:r>
              <w:rPr>
                <w:rFonts w:ascii="Calibri" w:hAnsi="Calibri"/>
                <w:b/>
                <w:i w:val="0"/>
                <w:color w:val="212121"/>
                <w:sz w:val="19"/>
              </w:rPr>
              <w:t>Fever on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Usually mild in children, higher in adolescents and adults.</w:t>
            </w:r>
          </w:p>
        </w:tc>
      </w:tr>
      <w:tr>
        <w:trPr>
          <w:cantSplit/>
        </w:trPr>
        <w:tc>
          <w:tcPr>
            <w:tcW w:type="dxa" w:w="3456"/>
            <w:vAlign w:val="top"/>
          </w:tcPr>
          <w:p>
            <w:pPr>
              <w:spacing w:after="40" w:before="0" w:line="259" w:lineRule="auto"/>
            </w:pPr>
            <w:r>
              <w:rPr>
                <w:rFonts w:ascii="Calibri" w:hAnsi="Calibri"/>
                <w:b/>
                <w:i w:val="0"/>
                <w:color w:val="212121"/>
                <w:sz w:val="19"/>
              </w:rPr>
              <w:t>Excoriation and secondary impetiginisation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Scratch marks and honey-coloured crusting from bacterial superinfection of itchy lesions.</w:t>
            </w:r>
          </w:p>
        </w:tc>
      </w:tr>
      <w:tr>
        <w:trPr>
          <w:cantSplit/>
        </w:trPr>
        <w:tc>
          <w:tcPr>
            <w:tcW w:type="dxa" w:w="3456"/>
            <w:vAlign w:val="top"/>
          </w:tcPr>
          <w:p>
            <w:pPr>
              <w:spacing w:after="40" w:before="0" w:line="259" w:lineRule="auto"/>
            </w:pPr>
            <w:r>
              <w:rPr>
                <w:rFonts w:ascii="Calibri" w:hAnsi="Calibri"/>
                <w:b/>
                <w:i w:val="0"/>
                <w:color w:val="212121"/>
                <w:sz w:val="19"/>
              </w:rPr>
              <w:t>Cellulitis, erysipelas or abscess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Secondary bacterial skin and soft-tissue infection - the commonest complication in children.</w:t>
            </w:r>
          </w:p>
        </w:tc>
      </w:tr>
      <w:tr>
        <w:trPr>
          <w:cantSplit/>
        </w:trPr>
        <w:tc>
          <w:tcPr>
            <w:tcW w:type="dxa" w:w="3456"/>
            <w:vAlign w:val="top"/>
          </w:tcPr>
          <w:p>
            <w:pPr>
              <w:spacing w:after="40" w:before="0" w:line="259" w:lineRule="auto"/>
            </w:pPr>
            <w:r>
              <w:rPr>
                <w:rFonts w:ascii="Calibri" w:hAnsi="Calibri"/>
                <w:b/>
                <w:i w:val="0"/>
                <w:color w:val="212121"/>
                <w:sz w:val="19"/>
              </w:rPr>
              <w:t>Tachypnoea, crackles and hypoxia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Signs of varicella pneumonia, the leading cause of adult varicella death.</w:t>
            </w:r>
          </w:p>
        </w:tc>
      </w:tr>
      <w:tr>
        <w:trPr>
          <w:cantSplit/>
        </w:trPr>
        <w:tc>
          <w:tcPr>
            <w:tcW w:type="dxa" w:w="3456"/>
            <w:vAlign w:val="top"/>
          </w:tcPr>
          <w:p>
            <w:pPr>
              <w:spacing w:after="40" w:before="0" w:line="259" w:lineRule="auto"/>
            </w:pPr>
            <w:r>
              <w:rPr>
                <w:rFonts w:ascii="Calibri" w:hAnsi="Calibri"/>
                <w:b/>
                <w:i w:val="0"/>
                <w:color w:val="212121"/>
                <w:sz w:val="19"/>
              </w:rPr>
              <w:t>Cerebellar signs (ataxia, nystagmus)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Post-varicella cerebellar ataxia, the commonest CNS complication in children, usually self-limited.</w:t>
            </w:r>
          </w:p>
        </w:tc>
      </w:tr>
      <w:tr>
        <w:trPr>
          <w:cantSplit/>
        </w:trPr>
        <w:tc>
          <w:tcPr>
            <w:tcW w:type="dxa" w:w="3456"/>
            <w:vAlign w:val="top"/>
          </w:tcPr>
          <w:p>
            <w:pPr>
              <w:spacing w:after="40" w:before="0" w:line="259" w:lineRule="auto"/>
            </w:pPr>
            <w:r>
              <w:rPr>
                <w:rFonts w:ascii="Calibri" w:hAnsi="Calibri"/>
                <w:b/>
                <w:i w:val="0"/>
                <w:color w:val="212121"/>
                <w:sz w:val="19"/>
              </w:rPr>
              <w:t>Altered sensorium or meningism</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Indicates varicella encephalitis - a serious, potentially fatal complication.</w:t>
            </w:r>
          </w:p>
        </w:tc>
      </w:tr>
      <w:tr>
        <w:trPr>
          <w:cantSplit/>
        </w:trPr>
        <w:tc>
          <w:tcPr>
            <w:tcW w:type="dxa" w:w="3456"/>
            <w:vAlign w:val="top"/>
          </w:tcPr>
          <w:p>
            <w:pPr>
              <w:spacing w:after="40" w:before="0" w:line="259" w:lineRule="auto"/>
            </w:pPr>
            <w:r>
              <w:rPr>
                <w:rFonts w:ascii="Calibri" w:hAnsi="Calibri"/>
                <w:b/>
                <w:i w:val="0"/>
                <w:color w:val="212121"/>
                <w:sz w:val="19"/>
              </w:rPr>
              <w:t>Petechiae, purpura or bleeding lesions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Haemorrhagic varicella / DIC, seen chiefly in the immunocompromised.</w:t>
            </w:r>
          </w:p>
        </w:tc>
      </w:tr>
      <w:tr>
        <w:trPr>
          <w:cantSplit/>
        </w:trPr>
        <w:tc>
          <w:tcPr>
            <w:tcW w:type="dxa" w:w="3456"/>
            <w:vAlign w:val="top"/>
          </w:tcPr>
          <w:p>
            <w:pPr>
              <w:spacing w:after="40" w:before="0" w:line="259" w:lineRule="auto"/>
            </w:pPr>
            <w:r>
              <w:rPr>
                <w:rFonts w:ascii="Calibri" w:hAnsi="Calibri"/>
                <w:b/>
                <w:i w:val="0"/>
                <w:color w:val="212121"/>
                <w:sz w:val="19"/>
              </w:rPr>
              <w:t>Post-inflammatory pigmentary change and pitted scars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Residual hyper- or hypopigmentation and pockmark scars after healing, particularly troublesome in pigmented Indian skin and worsened by scratching or secondary infection.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skin and soft-tissue infection (impetigo, cellulitis, erysipelas,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Invasive group A streptococcal disease, including necrotising fasciitis and toxic shock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Intense pruritus with excoriation and scarring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Dehydration from fever and painful oral lesions</w:t>
            </w:r>
          </w:p>
        </w:tc>
        <w:tc>
          <w:tcPr>
            <w:tcW w:type="dxa" w:w="2980"/>
            <w:vAlign w:val="top"/>
          </w:tcPr>
          <w:p>
            <w:pPr>
              <w:spacing w:after="40" w:before="0" w:line="259" w:lineRule="auto"/>
            </w:pPr>
            <w:r>
              <w:rPr>
                <w:rFonts w:ascii="Calibri" w:hAnsi="Calibri"/>
                <w:b w:val="0"/>
                <w:i w:val="0"/>
                <w:color w:val="212121"/>
                <w:sz w:val="19"/>
              </w:rPr>
              <w:t>Direct cutaneous and local consequences of the eruption; bacterial superinfection is the commonest complication in children.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Varicella pneumonia (the leading cause of severe adult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Hepatitis (transaminitis)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Encephalitis and post-varicella cerebellar ataxia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Thrombocytopenia, haemorrhagic varicella and disseminated intravascular coagulation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Myocarditis, nephritis and other visceral involvement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Reye syndrome (precipitated by aspirin use during varicella)</w:t>
            </w:r>
          </w:p>
        </w:tc>
        <w:tc>
          <w:tcPr>
            <w:tcW w:type="dxa" w:w="2980"/>
            <w:vAlign w:val="top"/>
          </w:tcPr>
          <w:p>
            <w:pPr>
              <w:spacing w:after="40" w:before="0" w:line="259" w:lineRule="auto"/>
            </w:pPr>
            <w:r>
              <w:rPr>
                <w:rFonts w:ascii="Calibri" w:hAnsi="Calibri"/>
                <w:b w:val="0"/>
                <w:i w:val="0"/>
                <w:color w:val="212121"/>
                <w:sz w:val="19"/>
              </w:rPr>
              <w:t>Systemic/visceral complications from viral dissemination and immune response; an Indian adult series reported pneumonia 34%, hepatitis 24%, CNS involvement 20% and haemorrhagic complications 24%.</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scarring and pigmentary change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Neurological sequelae after encephalitis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Congenital varicella syndrome (limb, eye, skin and CNS defects)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(about 18% in a hospitalised Indian adult series; neonatal varicella up to ~30% untreated)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Later herpes zoster (shingles) from reactivation of latent VZV (about 20% lifetime risk)</w:t>
            </w:r>
          </w:p>
        </w:tc>
        <w:tc>
          <w:tcPr>
            <w:tcW w:type="dxa" w:w="2980"/>
            <w:vAlign w:val="top"/>
          </w:tcPr>
          <w:p>
            <w:pPr>
              <w:spacing w:after="40" w:before="0" w:line="259" w:lineRule="auto"/>
            </w:pPr>
            <w:r>
              <w:rPr>
                <w:rFonts w:ascii="Calibri" w:hAnsi="Calibri"/>
                <w:b w:val="0"/>
                <w:i w:val="0"/>
                <w:color w:val="212121"/>
                <w:sz w:val="19"/>
              </w:rPr>
              <w:t>Irreversible or long-term outcomes of severe disease, congenital infection and lifelong viral latency.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Herpes zoster (shingles)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The same virus, latent in sensory ganglia after chickenpox, reactivates years later as shingles; prior varicella is a prerequisite and the two are different manifestations of one infection.</w:t>
            </w:r>
          </w:p>
          <w:p>
            <w:pPr>
              <w:spacing w:after="40" w:before="0" w:line="259" w:lineRule="auto"/>
            </w:pPr>
            <w:r>
              <w:rPr>
                <w:rFonts w:ascii="Calibri" w:hAnsi="Calibri"/>
                <w:b/>
                <w:i w:val="0"/>
                <w:color w:val="212121"/>
                <w:sz w:val="19"/>
              </w:rPr>
              <w:t>About 20% lifetime risk after varicella</w:t>
            </w:r>
          </w:p>
        </w:tc>
      </w:tr>
      <w:tr>
        <w:trPr>
          <w:cantSplit/>
        </w:trPr>
        <w:tc>
          <w:tcPr>
            <w:tcW w:type="dxa" w:w="2232"/>
            <w:vAlign w:val="top"/>
          </w:tcPr>
          <w:p>
            <w:pPr>
              <w:spacing w:after="40" w:before="0" w:line="259" w:lineRule="auto"/>
            </w:pPr>
            <w:r>
              <w:rPr>
                <w:rFonts w:ascii="Calibri" w:hAnsi="Calibri"/>
                <w:b/>
                <w:i w:val="0"/>
                <w:color w:val="212121"/>
                <w:sz w:val="19"/>
              </w:rPr>
              <w:t>Secondary bacterial skin infection (Staphylococcus / Streptococcus)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Superinfection of excoriated lesions causes impetigo, cellulitis, erysipelas, abscess and, at worst, invasive group A streptococcal disease and toxic shock; the commonest complication in children.</w:t>
            </w:r>
          </w:p>
          <w:p>
            <w:pPr>
              <w:spacing w:after="40" w:before="0" w:line="259" w:lineRule="auto"/>
            </w:pPr>
            <w:r>
              <w:rPr>
                <w:rFonts w:ascii="Calibri" w:hAnsi="Calibri"/>
                <w:b/>
                <w:i w:val="0"/>
                <w:color w:val="212121"/>
                <w:sz w:val="19"/>
              </w:rPr>
              <w:t>Most common varicella complication in children</w:t>
            </w:r>
          </w:p>
        </w:tc>
      </w:tr>
      <w:tr>
        <w:trPr>
          <w:cantSplit/>
        </w:trPr>
        <w:tc>
          <w:tcPr>
            <w:tcW w:type="dxa" w:w="2232"/>
            <w:vAlign w:val="top"/>
          </w:tcPr>
          <w:p>
            <w:pPr>
              <w:spacing w:after="40" w:before="0" w:line="259" w:lineRule="auto"/>
            </w:pPr>
            <w:r>
              <w:rPr>
                <w:rFonts w:ascii="Calibri" w:hAnsi="Calibri"/>
                <w:b/>
                <w:i w:val="0"/>
                <w:color w:val="212121"/>
                <w:sz w:val="19"/>
              </w:rPr>
              <w:t>Varicella pneumonia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Visceral complication and the leading cause of severe adult varicella and death; risk is higher in adults, smokers, pregnant women and the immunocompromised, and warrants early antivirals.</w:t>
            </w:r>
          </w:p>
          <w:p>
            <w:pPr>
              <w:spacing w:after="40" w:before="0" w:line="259" w:lineRule="auto"/>
            </w:pPr>
            <w:r>
              <w:rPr>
                <w:rFonts w:ascii="Calibri" w:hAnsi="Calibri"/>
                <w:b/>
                <w:i w:val="0"/>
                <w:color w:val="212121"/>
                <w:sz w:val="19"/>
              </w:rPr>
              <w:t>34% (case-fatality ~41%) in an Indian adult series</w:t>
            </w:r>
          </w:p>
        </w:tc>
      </w:tr>
      <w:tr>
        <w:trPr>
          <w:cantSplit/>
        </w:trPr>
        <w:tc>
          <w:tcPr>
            <w:tcW w:type="dxa" w:w="2232"/>
            <w:vAlign w:val="top"/>
          </w:tcPr>
          <w:p>
            <w:pPr>
              <w:spacing w:after="40" w:before="0" w:line="259" w:lineRule="auto"/>
            </w:pPr>
            <w:r>
              <w:rPr>
                <w:rFonts w:ascii="Calibri" w:hAnsi="Calibri"/>
                <w:b/>
                <w:i w:val="0"/>
                <w:color w:val="212121"/>
                <w:sz w:val="19"/>
              </w:rPr>
              <w:t>Varicella hepatitis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Transaminitis/hepatitis reflects visceral dissemination and is more frequent in severe adult and immunocompromised disease.</w:t>
            </w:r>
          </w:p>
          <w:p>
            <w:pPr>
              <w:spacing w:after="40" w:before="0" w:line="259" w:lineRule="auto"/>
            </w:pPr>
            <w:r>
              <w:rPr>
                <w:rFonts w:ascii="Calibri" w:hAnsi="Calibri"/>
                <w:b/>
                <w:i w:val="0"/>
                <w:color w:val="212121"/>
                <w:sz w:val="19"/>
              </w:rPr>
              <w:t>24% in an Indian adult series</w:t>
            </w:r>
          </w:p>
        </w:tc>
      </w:tr>
      <w:tr>
        <w:trPr>
          <w:cantSplit/>
        </w:trPr>
        <w:tc>
          <w:tcPr>
            <w:tcW w:type="dxa" w:w="2232"/>
            <w:vAlign w:val="top"/>
          </w:tcPr>
          <w:p>
            <w:pPr>
              <w:spacing w:after="40" w:before="0" w:line="259" w:lineRule="auto"/>
            </w:pPr>
            <w:r>
              <w:rPr>
                <w:rFonts w:ascii="Calibri" w:hAnsi="Calibri"/>
                <w:b/>
                <w:i w:val="0"/>
                <w:color w:val="212121"/>
                <w:sz w:val="19"/>
              </w:rPr>
              <w:t>Encephalitis and cerebellar ataxia</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CNS complications range from usually self-limited post-varicella cerebellar ataxia (commonest in children) to serious, potentially fatal encephalitis.</w:t>
            </w:r>
          </w:p>
          <w:p>
            <w:pPr>
              <w:spacing w:after="40" w:before="0" w:line="259" w:lineRule="auto"/>
            </w:pPr>
            <w:r>
              <w:rPr>
                <w:rFonts w:ascii="Calibri" w:hAnsi="Calibri"/>
                <w:b/>
                <w:i w:val="0"/>
                <w:color w:val="212121"/>
                <w:sz w:val="19"/>
              </w:rPr>
              <w:t>CNS involvement 20% in an Indian adult series</w:t>
            </w:r>
          </w:p>
        </w:tc>
      </w:tr>
      <w:tr>
        <w:trPr>
          <w:cantSplit/>
        </w:trPr>
        <w:tc>
          <w:tcPr>
            <w:tcW w:type="dxa" w:w="2232"/>
            <w:vAlign w:val="top"/>
          </w:tcPr>
          <w:p>
            <w:pPr>
              <w:spacing w:after="40" w:before="0" w:line="259" w:lineRule="auto"/>
            </w:pPr>
            <w:r>
              <w:rPr>
                <w:rFonts w:ascii="Calibri" w:hAnsi="Calibri"/>
                <w:b/>
                <w:i w:val="0"/>
                <w:color w:val="212121"/>
                <w:sz w:val="19"/>
              </w:rPr>
              <w:t>Thrombocytopenia / haemorrhagic varicella / DIC</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Bleeding complications and disseminated intravascular coagulation mark severe disease, chiefly in the immunocompromised, and carry high mortality.</w:t>
            </w:r>
          </w:p>
          <w:p>
            <w:pPr>
              <w:spacing w:after="40" w:before="0" w:line="259" w:lineRule="auto"/>
            </w:pPr>
            <w:r>
              <w:rPr>
                <w:rFonts w:ascii="Calibri" w:hAnsi="Calibri"/>
                <w:b/>
                <w:i w:val="0"/>
                <w:color w:val="212121"/>
                <w:sz w:val="19"/>
              </w:rPr>
              <w:t>Haemorrhagic complications 24% in an Indian adult series</w:t>
            </w:r>
          </w:p>
        </w:tc>
      </w:tr>
      <w:tr>
        <w:trPr>
          <w:cantSplit/>
        </w:trPr>
        <w:tc>
          <w:tcPr>
            <w:tcW w:type="dxa" w:w="2232"/>
            <w:vAlign w:val="top"/>
          </w:tcPr>
          <w:p>
            <w:pPr>
              <w:spacing w:after="40" w:before="0" w:line="259" w:lineRule="auto"/>
            </w:pPr>
            <w:r>
              <w:rPr>
                <w:rFonts w:ascii="Calibri" w:hAnsi="Calibri"/>
                <w:b/>
                <w:i w:val="0"/>
                <w:color w:val="212121"/>
                <w:sz w:val="19"/>
              </w:rPr>
              <w:t>HIV / AIDS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CD4 depletion predisposes to atypical, prolonged, recurrent and disseminated varicella and may be revealed by severe disease; alters antiviral choice and duration.</w:t>
            </w:r>
          </w:p>
          <w:p>
            <w:pPr>
              <w:spacing w:after="40" w:before="0" w:line="259" w:lineRule="auto"/>
            </w:pPr>
            <w:r>
              <w:rPr>
                <w:rFonts w:ascii="Calibri" w:hAnsi="Calibri"/>
                <w:b/>
                <w:i w:val="0"/>
                <w:color w:val="212121"/>
                <w:sz w:val="19"/>
              </w:rPr>
              <w:t>46% of an Indian adult series were immunocompromised</w:t>
            </w:r>
          </w:p>
        </w:tc>
      </w:tr>
      <w:tr>
        <w:trPr>
          <w:cantSplit/>
        </w:trPr>
        <w:tc>
          <w:tcPr>
            <w:tcW w:type="dxa" w:w="2232"/>
            <w:vAlign w:val="top"/>
          </w:tcPr>
          <w:p>
            <w:pPr>
              <w:spacing w:after="40" w:before="0" w:line="259" w:lineRule="auto"/>
            </w:pPr>
            <w:r>
              <w:rPr>
                <w:rFonts w:ascii="Calibri" w:hAnsi="Calibri"/>
                <w:b/>
                <w:i w:val="0"/>
                <w:color w:val="212121"/>
                <w:sz w:val="19"/>
              </w:rPr>
              <w:t>Malignancy / chemotherapy (childhood leukaemia)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Cancer and cytotoxic chemotherapy suppress T-cell immunity, causing severe, disseminated and historically often fatal varicella; requires prompt IV aciclovir and VariZIG on exposure.</w:t>
            </w:r>
          </w:p>
        </w:tc>
      </w:tr>
      <w:tr>
        <w:trPr>
          <w:cantSplit/>
        </w:trPr>
        <w:tc>
          <w:tcPr>
            <w:tcW w:type="dxa" w:w="2232"/>
            <w:vAlign w:val="top"/>
          </w:tcPr>
          <w:p>
            <w:pPr>
              <w:spacing w:after="40" w:before="0" w:line="259" w:lineRule="auto"/>
            </w:pPr>
            <w:r>
              <w:rPr>
                <w:rFonts w:ascii="Calibri" w:hAnsi="Calibri"/>
                <w:b/>
                <w:i w:val="0"/>
                <w:color w:val="212121"/>
                <w:sz w:val="19"/>
              </w:rPr>
              <w:t>Immunosuppressive therapy / transplant (steroids, biologics)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Corticosteroids, biologic/conventional immunosuppressants and transplantation permit progressive varicella and contraindicate live vaccine during immunosuppression, altering prevention and treatment.</w:t>
            </w:r>
          </w:p>
        </w:tc>
      </w:tr>
      <w:tr>
        <w:trPr>
          <w:cantSplit/>
        </w:trPr>
        <w:tc>
          <w:tcPr>
            <w:tcW w:type="dxa" w:w="2232"/>
            <w:vAlign w:val="top"/>
          </w:tcPr>
          <w:p>
            <w:pPr>
              <w:spacing w:after="40" w:before="0" w:line="259" w:lineRule="auto"/>
            </w:pPr>
            <w:r>
              <w:rPr>
                <w:rFonts w:ascii="Calibri" w:hAnsi="Calibri"/>
                <w:b/>
                <w:i w:val="0"/>
                <w:color w:val="212121"/>
                <w:sz w:val="19"/>
              </w:rPr>
              <w:t>Pregnancy and congenital / neonatal varicella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Maternal varicella risks severe pneumonia and, by gestation, congenital varicella syndrome or neonatal varicella; susceptibility is common in Indian women and management hinges on serostatus and VariZIG timing.</w:t>
            </w:r>
          </w:p>
          <w:p>
            <w:pPr>
              <w:spacing w:after="40" w:before="0" w:line="259" w:lineRule="auto"/>
            </w:pPr>
            <w:r>
              <w:rPr>
                <w:rFonts w:ascii="Calibri" w:hAnsi="Calibri"/>
                <w:b/>
                <w:i w:val="0"/>
                <w:color w:val="212121"/>
                <w:sz w:val="19"/>
              </w:rPr>
              <w:t>~23% of South Indian pregnant women seronegative; CVS ~2% at 13-20 weeks</w:t>
            </w:r>
          </w:p>
        </w:tc>
      </w:tr>
      <w:tr>
        <w:trPr>
          <w:cantSplit/>
        </w:trPr>
        <w:tc>
          <w:tcPr>
            <w:tcW w:type="dxa" w:w="2232"/>
            <w:vAlign w:val="top"/>
          </w:tcPr>
          <w:p>
            <w:pPr>
              <w:spacing w:after="40" w:before="0" w:line="259" w:lineRule="auto"/>
            </w:pPr>
            <w:r>
              <w:rPr>
                <w:rFonts w:ascii="Calibri" w:hAnsi="Calibri"/>
                <w:b/>
                <w:i w:val="0"/>
                <w:color w:val="212121"/>
                <w:sz w:val="19"/>
              </w:rPr>
              <w:t>Atopic dermatitis / eczema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disrupted skin barrier allows more extensive cutaneous varicella and a higher risk of secondary bacterial superinfection.</w:t>
            </w:r>
          </w:p>
        </w:tc>
      </w:tr>
      <w:tr>
        <w:trPr>
          <w:cantSplit/>
        </w:trPr>
        <w:tc>
          <w:tcPr>
            <w:tcW w:type="dxa" w:w="2232"/>
            <w:vAlign w:val="top"/>
          </w:tcPr>
          <w:p>
            <w:pPr>
              <w:spacing w:after="40" w:before="0" w:line="259" w:lineRule="auto"/>
            </w:pPr>
            <w:r>
              <w:rPr>
                <w:rFonts w:ascii="Calibri" w:hAnsi="Calibri"/>
                <w:b/>
                <w:i w:val="0"/>
                <w:color w:val="212121"/>
                <w:sz w:val="19"/>
              </w:rPr>
              <w:t>Reye syndrome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Acute encephalopathy with fatty liver precipitated by aspirin/salicylate use during varicella; entirely preventable by avoiding aspirin in children with chickenpox.</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chickenpox is a highly contagious airborne virus spread by coughing, sneezing and contact with blister fluid, from 1-2 days before the rash until every blister has crusted.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affected person at home and away from school or work until all lesions have crusted over (about 5-7 days) to prevent spread.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the 2-dose varicella vaccine, especially for susceptible adolescents and adults, healthcare workers and women planning pregnancy, as it prevents most disease and almost all severe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high-risk contacts - newborns, pregnant women who have not had chickenpox, and immunocompromised people - by seeking VariZIG or vaccine promptly (ideally within days) after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give aspirin or aspirin-containing medicines to a child with chickenpox because of the risk of Reye syndrome; use paracetamol for fever instead.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red-flag features needing urgent care: difficulty breathing, severe headache or drowsiness, unsteadiness, bleeding into the skin, or a rapidly spreading, hot, painful skin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and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Susceptible adolescents and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Healthcare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 of high-risk people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fingernails short and discourage scratching to reduce secondary bacterial infection and scarring; use cool compresses, calamine and prescribed antihistamines for itch.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antiviral treatment early (within 24 hours of the rash) for adults, adolescents and other high-risk patients, and complete the prescribed course.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apply unproven traditional pastes or occlusive home remedies to lesions, which increase the risk of infection and scarring.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for and report complications - breathlessness, persistent high fever, confusion, unsteadiness or spreading skin infection - and attend follow-up as advised.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active varicella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and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of sick children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general fitness and a healthy lifestyle to support overall immune competence.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home and avoid contact when unwell or when a household member has chickenpox to limit transmission.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 during the acute febrile phase and avoid strenuous exertion until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normal activity gradually once lesions have crusted and fever has settled.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varicella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severe disease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protein-adequate diet rich in fruits and vegetables (vitamin A, vitamin C, zinc) to support cell-mediated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undernutrition and micronutrient deficiencies, which are common in parts of India and weaken antiviral immune control.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during the febrile illness to prevent dehydration.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soft, cool, bland foods and fluids if painful mouth ulcers limit eating and drinking.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and micronutrients to support skin healing and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oral lesions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Febrile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and undernourished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adequate, regular sleep to maintain healthy immune 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Healthcare workers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Control fever and itch (antipyretics, antihistamines, cool loose clothing) to improve sleep during the acute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environment cool and use light bedding over itchy skin to aid rest.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varicella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severe itch</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bidi/tobacco use, as smoking is a recognised risk factor for varicella pneumonia in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particularly for children and 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available cessation support (counselling, quitlines, nicotine replacement) as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chronic lung disease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during the illness to reduce respiratory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early respiratory review if cough or breathlessness develops, as this may signal varicella pneumonia.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smokers with varicella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breathlessness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safe limits, as heavy use impairs immunity, nutrition and liver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excess during the illness, especially if liver involvement (hepatitis) is suspected.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severe varicella</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restart"/>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stress through relaxation, adequate sleep and social support to help maintain immune competence.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reassurance about the usually self-limited course of uncomplicated chickenpox to reduce undue anxiety.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patients and parents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itch- and fever-related distress and sleep disturbance, which commonly affect mood during the acute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caregivers managing sick, itchy children and reassure about scarring, which usually fades with good lesion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for anxiety about cosmetic scarring, particularly after facial involvement.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distressed by itch or scarring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of sick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with facial lesions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dc.gov/chickenpox/hcp/clinical-overview/index.html" TargetMode="External"/><Relationship Id="rId10" Type="http://schemas.openxmlformats.org/officeDocument/2006/relationships/hyperlink" Target="https://pmc.ncbi.nlm.nih.gov/articles/PMC12349846/" TargetMode="External"/><Relationship Id="rId11" Type="http://schemas.openxmlformats.org/officeDocument/2006/relationships/hyperlink" Target="https://immunizeindia.org/content/varicella-vaccine/" TargetMode="External"/><Relationship Id="rId12" Type="http://schemas.openxmlformats.org/officeDocument/2006/relationships/hyperlink" Target="https://www.indianpediatrics.net/july2000/july-714-719.htm" TargetMode="External"/><Relationship Id="rId13" Type="http://schemas.openxmlformats.org/officeDocument/2006/relationships/hyperlink" Target="https://www.cambridge.org/core/journals/epidemiology-and-infection/article/high-susceptibility-to-varicella-among-urban-and-rural-pregnant-women-in-south-india-a-brief-report/19D9DF6C684C437DF272AE2DDB47351C" TargetMode="External"/><Relationship Id="rId14" Type="http://schemas.openxmlformats.org/officeDocument/2006/relationships/hyperlink" Target="https://www.cdc.gov/chickenpox/hcp/clinical-guidance/index.html" TargetMode="External"/><Relationship Id="rId15" Type="http://schemas.openxmlformats.org/officeDocument/2006/relationships/hyperlink" Target="https://www.ncbi.nlm.nih.gov/books/NBK448191/" TargetMode="External"/><Relationship Id="rId16" Type="http://schemas.openxmlformats.org/officeDocument/2006/relationships/hyperlink" Target="https://www.ncbi.nlm.nih.gov/books/NBK5687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