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Pediculosis Capitis (Head Lice)</w:t>
      </w:r>
    </w:p>
    <w:p>
      <w:pPr>
        <w:spacing w:before="0" w:after="160"/>
      </w:pPr>
      <w:r>
        <w:rPr>
          <w:rFonts w:ascii="Calibri" w:hAnsi="Calibri"/>
          <w:b/>
          <w:i w:val="0"/>
          <w:color w:val="212121"/>
          <w:sz w:val="22"/>
        </w:rPr>
        <w:t xml:space="preserve">AKA </w:t>
      </w:r>
      <w:r>
        <w:rPr>
          <w:rFonts w:ascii="Calibri" w:hAnsi="Calibri"/>
          <w:b w:val="0"/>
          <w:i w:val="0"/>
          <w:color w:val="212121"/>
          <w:sz w:val="22"/>
        </w:rPr>
        <w:t>i.e., Head lice infestation, Head louse infestation, “Sar ki jooen” (Hindi), Cooties; Nits (the eggs)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Pediculosis capitis is an infestation of the scalp and hair by Pediculus humanus var. capitis, a 1–3 mm obligate, blood-feeding ectoparasite that completes its entire life cycle on the human host. It is transmitted mainly by direct head-to-head contact and, less often, by sharing combs, hair accessories, headwear or bedding, and is one of the commonest scalp conditions of school-aged children. Scalp itching results from a delayed hypersensitivity reaction to louse saliva rather than from poor hygiene. Head lice do not transmit systemic disease, but heavy or neglected infestation can cause secondary bacterial infection, cervical lymphadenopathy and, rarely, iron-deficiency anaemia.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Head lice is among the most frequent parasitic scalp conditions in Indian schoolchildren, with community and school-based studies reporting a wide range (roughly 10% to over 60%) depending on region, sex, age and rural/urban setting. A 2024 study of adolescent schoolgirls in Silchar (Assam) found an overall prevalence of 62% — 74% in rural versus 50% in urban students — with the highest rate (68%) at ages 13–14 years. Girls are affected roughly 2–4 times more often than boys, largely because of longer hair and more frequent close head-to-head contact.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Pediculosis capitis is a clinical diagnosis. The presence of nits (eggs) alone is not sufficient for active infestation; diagnosis rests on demonstrating a living louse, supported by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(wet) combing — the gold-standard method — recovering at least one live louse or nymph on a fine-tooth louse comb drawn through conditioned wet hair;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visualisation of a live louse on the scalp using bright light and a magnifying lens, concentrating on the occiput and retro-auricular (behind-the-ear) regions;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viable nits firmly cemented to hair shafts within about 6 mm of the scalp (eggs farther out along the shaft usually represent old, hatched or non-viable eggs);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dermoscopy/trichoscopy to distinguish viable nymph-containing nits from empty operculated casts and from pseudo-nits such as hair casts, dandruff and debris;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Wood's-lamp examination as an adjunct, in which nits fluoresce (live eggs pale blue-white, dead eggs grey), useful for rapid screening during outbreaks.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Pediculosis capitis is described both by the developmental stage of the parasite and by the clinical activity and severity of infestation:</w:t>
      </w:r>
    </w:p>
    <w:p>
      <w:pPr>
        <w:spacing w:before="0" w:after="80"/>
      </w:pPr>
      <w:r>
        <w:rPr>
          <w:rFonts w:ascii="Calibri" w:hAnsi="Calibri"/>
          <w:b w:val="0"/>
          <w:i w:val="0"/>
          <w:color w:val="212121"/>
          <w:sz w:val="21"/>
        </w:rPr>
        <w:t>(1) Egg / nit stage — oval yellow-white eggs (~0.8 × 0.3 mm) cemented to the hair shaft; a female lays about 150–250 eggs over a ~30-day life span, and viable nits hatch in roughly 6–9 days;</w:t>
      </w:r>
    </w:p>
    <w:p>
      <w:pPr>
        <w:spacing w:before="0" w:after="80"/>
      </w:pPr>
      <w:r>
        <w:rPr>
          <w:rFonts w:ascii="Calibri" w:hAnsi="Calibri"/>
          <w:b w:val="0"/>
          <w:i w:val="0"/>
          <w:color w:val="212121"/>
          <w:sz w:val="21"/>
        </w:rPr>
        <w:t>(2) Nymph stage — immature lice that hatch and mature through three moults over about 7–10 days before becoming reproductive adults;</w:t>
      </w:r>
    </w:p>
    <w:p>
      <w:pPr>
        <w:spacing w:before="0" w:after="80"/>
      </w:pPr>
      <w:r>
        <w:rPr>
          <w:rFonts w:ascii="Calibri" w:hAnsi="Calibri"/>
          <w:b w:val="0"/>
          <w:i w:val="0"/>
          <w:color w:val="212121"/>
          <w:sz w:val="21"/>
        </w:rPr>
        <w:t>(3) Adult stage — mobile 2–4 mm lice that live up to ~30 days on the host, feed on blood several times a day and rarely survive beyond 24–36 hours away from the scalp;</w:t>
      </w:r>
    </w:p>
    <w:p>
      <w:pPr>
        <w:spacing w:before="0" w:after="80"/>
      </w:pPr>
      <w:r>
        <w:rPr>
          <w:rFonts w:ascii="Calibri" w:hAnsi="Calibri"/>
          <w:b w:val="0"/>
          <w:i w:val="0"/>
          <w:color w:val="212121"/>
          <w:sz w:val="21"/>
        </w:rPr>
        <w:t>(4) Clinical activity — active infestation (living lice/nymphs present) versus inactive/residual state (only old, hatched nits remaining) and the asymptomatic carrier, who harbours lice without itching, especially at first exposure;</w:t>
      </w:r>
    </w:p>
    <w:p>
      <w:pPr>
        <w:spacing w:before="0" w:after="80"/>
      </w:pPr>
      <w:r>
        <w:rPr>
          <w:rFonts w:ascii="Calibri" w:hAnsi="Calibri"/>
          <w:b w:val="0"/>
          <w:i w:val="0"/>
          <w:color w:val="212121"/>
          <w:sz w:val="21"/>
        </w:rPr>
        <w:t>(5) Severity — light (few lice), moderate, and heavy or “hyper-infestation” (hundreds of lice with matted hair), the last carrying the greatest risk of secondary pyoderma and iron-deficiency anaemia.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Pediculus humanus capitis, a wingless, host-specific blood-feeding louse; pruritus is an immune-mediated hypersensitivity to injected louse saliva, appearing 2–6 weeks after a first infestation but within 1–2 days on re-exposure.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Direct head-to-head contact: The dominant transmission route — during play, group study, sports, co-sleeping and, increasingly, group “selfies” — allowing lice to crawl (they cannot jump or fly) from one scalp to another.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Fomite sharing: Sharing of combs, hairbrushes, hair clips, ribbons, caps, helmets, scarves, towels and pillows provides a secondary, less efficient route of spread.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Overcrowding and close-contact settings: Crowded homes, classrooms, hostels, boarding schools, orphanages and Anganwadi/day-care centres sustain person-to-person transmission.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Host and grooming factors: Female sex, long, thick or loose uncut hair, and infrequent detection combing increase acquisition and persistence; personal cleanliness does not prevent infestation.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Untreated contacts: Failure to screen and treat siblings, household members and classmates simultaneously leads to repeated re-infestation (“ping-pong” spread).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(3–12 years, primary school)</w:t>
            </w:r>
          </w:p>
        </w:tc>
        <w:tc>
          <w:tcPr>
            <w:tcW w:type="dxa" w:w="4276"/>
            <w:vAlign w:val="top"/>
          </w:tcPr>
          <w:p>
            <w:pPr>
              <w:spacing w:after="60" w:line="259" w:lineRule="auto"/>
            </w:pPr>
            <w:r>
              <w:rPr>
                <w:rFonts w:ascii="Calibri" w:hAnsi="Calibri"/>
                <w:b w:val="0"/>
                <w:i w:val="0"/>
                <w:color w:val="212121"/>
                <w:sz w:val="19"/>
              </w:rPr>
              <w:t>The peak age group, because close physical play, shared classroom benches and crowded schools favour head-to-head crawling of lice; hypersensitivity to saliva makes them symptomatic and prone to scratching.</w:t>
            </w:r>
          </w:p>
          <w:p>
            <w:pPr>
              <w:spacing w:after="40" w:before="60" w:line="259" w:lineRule="auto"/>
            </w:pPr>
            <w:r>
              <w:rPr>
                <w:rFonts w:ascii="Calibri" w:hAnsi="Calibri"/>
                <w:b w:val="0"/>
                <w:i w:val="0"/>
                <w:color w:val="212121"/>
                <w:sz w:val="19"/>
              </w:rPr>
              <w:t>Head lice most commonly affects children aged 3–12 years; an estimated 6–12 million infestations occur annually in US children aged 3–11, and the pattern is similar or higher in Indian schoolchildren.</w:t>
            </w:r>
          </w:p>
          <w:p>
            <w:pPr>
              <w:spacing w:after="40" w:line="252" w:lineRule="auto"/>
            </w:pPr>
            <w:hyperlink r:id="rId9">
              <w:r>
                <w:rPr>
                  <w:rFonts w:ascii="Calibri" w:hAnsi="Calibri" w:cs="Calibri"/>
                  <w:sz w:val="18"/>
                  <w:color w:val="1155CC"/>
                  <w:u w:val="single"/>
                </w:rPr>
                <w:t xml:space="preserve">cdc.gov — about head lice</w:t>
              </w:r>
            </w:hyperlink>
          </w:p>
          <w:p>
            <w:pPr>
              <w:spacing w:before="60" w:after="40"/>
            </w:pPr>
            <w:r>
              <w:rPr>
                <w:rFonts w:ascii="Calibri" w:hAnsi="Calibri"/>
                <w:b w:val="0"/>
                <w:i w:val="0"/>
                <w:color w:val="5A5A5A"/>
                <w:sz w:val="18"/>
              </w:rPr>
              <w:t>#headlice  #schoolchildren  #pediculosis  #classroomspread  #pediatric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 schoolgirls (13–16 years)</w:t>
            </w:r>
          </w:p>
        </w:tc>
        <w:tc>
          <w:tcPr>
            <w:tcW w:type="dxa" w:w="4276"/>
            <w:vAlign w:val="top"/>
          </w:tcPr>
          <w:p>
            <w:pPr>
              <w:spacing w:after="60" w:line="259" w:lineRule="auto"/>
            </w:pPr>
            <w:r>
              <w:rPr>
                <w:rFonts w:ascii="Calibri" w:hAnsi="Calibri"/>
                <w:b w:val="0"/>
                <w:i w:val="0"/>
                <w:color w:val="212121"/>
                <w:sz w:val="19"/>
              </w:rPr>
              <w:t>Long hair, shared hostels/dormitories and frequent close contact keep prevalence high into early adolescence, when infestation also carries significant psychosocial distress.</w:t>
            </w:r>
          </w:p>
          <w:p>
            <w:pPr>
              <w:spacing w:after="40" w:before="60" w:line="259" w:lineRule="auto"/>
            </w:pPr>
            <w:r>
              <w:rPr>
                <w:rFonts w:ascii="Calibri" w:hAnsi="Calibri"/>
                <w:b w:val="0"/>
                <w:i w:val="0"/>
                <w:color w:val="212121"/>
                <w:sz w:val="19"/>
              </w:rPr>
              <w:t>In a 2024 Assam (Silchar) study of adolescent schoolgirls, prevalence peaked at 68% at ages 13–14 years.</w:t>
            </w:r>
          </w:p>
          <w:p>
            <w:pPr>
              <w:spacing w:after="40" w:line="252" w:lineRule="auto"/>
            </w:pPr>
            <w:hyperlink r:id="rId10">
              <w:r>
                <w:rPr>
                  <w:rFonts w:ascii="Calibri" w:hAnsi="Calibri" w:cs="Calibri"/>
                  <w:sz w:val="18"/>
                  <w:color w:val="1155CC"/>
                  <w:u w:val="single"/>
                </w:rPr>
                <w:t xml:space="preserve">seejph.com — pediculosis in Indian schoolgirls (2024)</w:t>
              </w:r>
            </w:hyperlink>
          </w:p>
          <w:p>
            <w:pPr>
              <w:spacing w:before="60" w:after="40"/>
            </w:pPr>
            <w:r>
              <w:rPr>
                <w:rFonts w:ascii="Calibri" w:hAnsi="Calibri"/>
                <w:b w:val="0"/>
                <w:i w:val="0"/>
                <w:color w:val="5A5A5A"/>
                <w:sz w:val="18"/>
              </w:rPr>
              <w:t>#adolescents  #girls  #longhair  #hostel  #psychosocial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Girls and women are affected far more than boys, mainly due to longer, denser hair and more frequent head-to-head contact during play and grooming, not because of any biological susceptibility.</w:t>
            </w:r>
          </w:p>
          <w:p>
            <w:pPr>
              <w:spacing w:after="40" w:before="60" w:line="259" w:lineRule="auto"/>
            </w:pPr>
            <w:r>
              <w:rPr>
                <w:rFonts w:ascii="Calibri" w:hAnsi="Calibri"/>
                <w:b w:val="0"/>
                <w:i w:val="0"/>
                <w:color w:val="212121"/>
                <w:sz w:val="19"/>
              </w:rPr>
              <w:t>Girls experience roughly 2–4 times higher infestation rates than boys, a female predominance seen consistently across worldwide studies.</w:t>
            </w:r>
          </w:p>
          <w:p>
            <w:pPr>
              <w:spacing w:after="40" w:line="252" w:lineRule="auto"/>
            </w:pPr>
            <w:hyperlink r:id="rId11">
              <w:r>
                <w:rPr>
                  <w:rFonts w:ascii="Calibri" w:hAnsi="Calibri" w:cs="Calibri"/>
                  <w:sz w:val="18"/>
                  <w:color w:val="1155CC"/>
                  <w:u w:val="single"/>
                </w:rPr>
                <w:t xml:space="preserve">ijdvl.com — pediculosis capitis: an update</w:t>
              </w:r>
            </w:hyperlink>
          </w:p>
          <w:p>
            <w:pPr>
              <w:spacing w:before="60" w:after="40"/>
            </w:pPr>
            <w:r>
              <w:rPr>
                <w:rFonts w:ascii="Calibri" w:hAnsi="Calibri"/>
                <w:b w:val="0"/>
                <w:i w:val="0"/>
                <w:color w:val="5A5A5A"/>
                <w:sz w:val="18"/>
              </w:rPr>
              <w:t>#female  #girls  #hairlength  #headtohead  #predominance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households</w:t>
            </w:r>
          </w:p>
        </w:tc>
        <w:tc>
          <w:tcPr>
            <w:tcW w:type="dxa" w:w="4276"/>
            <w:vAlign w:val="top"/>
          </w:tcPr>
          <w:p>
            <w:pPr>
              <w:spacing w:after="60" w:line="259" w:lineRule="auto"/>
            </w:pPr>
            <w:r>
              <w:rPr>
                <w:rFonts w:ascii="Calibri" w:hAnsi="Calibri"/>
                <w:b w:val="0"/>
                <w:i w:val="0"/>
                <w:color w:val="212121"/>
                <w:sz w:val="19"/>
              </w:rPr>
              <w:t>Crowding, more children per room and limited access to detection combs and effective pediculicides allow infestation to spread and persist; lower maternal education reduces awareness of prevention and correct treatment.</w:t>
            </w:r>
          </w:p>
          <w:p>
            <w:pPr>
              <w:spacing w:after="40" w:before="60" w:line="259" w:lineRule="auto"/>
            </w:pPr>
            <w:r>
              <w:rPr>
                <w:rFonts w:ascii="Calibri" w:hAnsi="Calibri"/>
                <w:b w:val="0"/>
                <w:i w:val="0"/>
                <w:color w:val="212121"/>
                <w:sz w:val="19"/>
              </w:rPr>
              <w:t>Maternal lack of formal education was strongly associated with infestation (odds ratio 4.5, 95% CI 2.21–8.19) in the Assam schoolgirl study.</w:t>
            </w:r>
          </w:p>
          <w:p>
            <w:pPr>
              <w:spacing w:after="40" w:line="252" w:lineRule="auto"/>
            </w:pPr>
            <w:hyperlink r:id="rId10">
              <w:r>
                <w:rPr>
                  <w:rFonts w:ascii="Calibri" w:hAnsi="Calibri" w:cs="Calibri"/>
                  <w:sz w:val="18"/>
                  <w:color w:val="1155CC"/>
                  <w:u w:val="single"/>
                </w:rPr>
                <w:t xml:space="preserve">seejph.com — risk factors, Assam (2024)</w:t>
              </w:r>
            </w:hyperlink>
          </w:p>
          <w:p>
            <w:pPr>
              <w:spacing w:before="60" w:after="40"/>
            </w:pPr>
            <w:r>
              <w:rPr>
                <w:rFonts w:ascii="Calibri" w:hAnsi="Calibri"/>
                <w:b w:val="0"/>
                <w:i w:val="0"/>
                <w:color w:val="5A5A5A"/>
                <w:sz w:val="18"/>
              </w:rPr>
              <w:t>#overcrowding  #lowincome  #maternaleducation  #awareness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Rural India</w:t>
            </w:r>
          </w:p>
        </w:tc>
        <w:tc>
          <w:tcPr>
            <w:tcW w:type="dxa" w:w="4276"/>
            <w:vAlign w:val="top"/>
          </w:tcPr>
          <w:p>
            <w:pPr>
              <w:spacing w:after="60" w:line="259" w:lineRule="auto"/>
            </w:pPr>
            <w:r>
              <w:rPr>
                <w:rFonts w:ascii="Calibri" w:hAnsi="Calibri"/>
                <w:b w:val="0"/>
                <w:i w:val="0"/>
                <w:color w:val="212121"/>
                <w:sz w:val="19"/>
              </w:rPr>
              <w:t>Rural children more often share combs and beds, have less access to pediculicides and school screening, and live in larger households — all of which sustain transmission.</w:t>
            </w:r>
          </w:p>
          <w:p>
            <w:pPr>
              <w:spacing w:after="40" w:before="60" w:line="259" w:lineRule="auto"/>
            </w:pPr>
            <w:r>
              <w:rPr>
                <w:rFonts w:ascii="Calibri" w:hAnsi="Calibri"/>
                <w:b w:val="0"/>
                <w:i w:val="0"/>
                <w:color w:val="212121"/>
                <w:sz w:val="19"/>
              </w:rPr>
              <w:t>Prevalence was markedly higher in rural (74%) than urban (50%) adolescent schoolgirls in Assam; Indian reviews cite rural prevalence of ~13.3–49% among children aged 3–13 years.</w:t>
            </w:r>
          </w:p>
          <w:p>
            <w:pPr>
              <w:spacing w:after="40" w:line="252" w:lineRule="auto"/>
            </w:pPr>
            <w:hyperlink r:id="rId10">
              <w:r>
                <w:rPr>
                  <w:rFonts w:ascii="Calibri" w:hAnsi="Calibri" w:cs="Calibri"/>
                  <w:sz w:val="18"/>
                  <w:color w:val="1155CC"/>
                  <w:u w:val="single"/>
                </w:rPr>
                <w:t xml:space="preserve">seejph.com — rural vs urban, Assam (2024)</w:t>
              </w:r>
            </w:hyperlink>
          </w:p>
          <w:p>
            <w:pPr>
              <w:spacing w:before="60" w:after="40"/>
            </w:pPr>
            <w:r>
              <w:rPr>
                <w:rFonts w:ascii="Calibri" w:hAnsi="Calibri"/>
                <w:b w:val="0"/>
                <w:i w:val="0"/>
                <w:color w:val="5A5A5A"/>
                <w:sz w:val="18"/>
              </w:rPr>
              <w:t>#ruralIndia  #combsharing  #screeninggaps  #largehouseholds  #pediculosis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Warm, humid tropical regions</w:t>
            </w:r>
          </w:p>
        </w:tc>
        <w:tc>
          <w:tcPr>
            <w:tcW w:type="dxa" w:w="4276"/>
            <w:vAlign w:val="top"/>
          </w:tcPr>
          <w:p>
            <w:pPr>
              <w:spacing w:after="60" w:line="259" w:lineRule="auto"/>
            </w:pPr>
            <w:r>
              <w:rPr>
                <w:rFonts w:ascii="Calibri" w:hAnsi="Calibri"/>
                <w:b w:val="0"/>
                <w:i w:val="0"/>
                <w:color w:val="212121"/>
                <w:sz w:val="19"/>
              </w:rPr>
              <w:t>Lice survive and reproduce best in warm, humid conditions; the tropical Indian climate favours year-round transmission with seasonal peaks.</w:t>
            </w:r>
          </w:p>
          <w:p>
            <w:pPr>
              <w:spacing w:after="40" w:before="60" w:line="259" w:lineRule="auto"/>
            </w:pPr>
            <w:r>
              <w:rPr>
                <w:rFonts w:ascii="Calibri" w:hAnsi="Calibri"/>
                <w:b w:val="0"/>
                <w:i w:val="0"/>
                <w:color w:val="212121"/>
                <w:sz w:val="19"/>
              </w:rPr>
              <w:t>Head lice infestation is more frequent in warmer months and in areas of higher humidity.</w:t>
            </w:r>
          </w:p>
          <w:p>
            <w:pPr>
              <w:spacing w:after="40" w:line="252" w:lineRule="auto"/>
            </w:pPr>
            <w:hyperlink r:id="rId12">
              <w:r>
                <w:rPr>
                  <w:rFonts w:ascii="Calibri" w:hAnsi="Calibri" w:cs="Calibri"/>
                  <w:sz w:val="18"/>
                  <w:color w:val="1155CC"/>
                  <w:u w:val="single"/>
                </w:rPr>
                <w:t xml:space="preserve">StatPearls — Pediculosis</w:t>
              </w:r>
            </w:hyperlink>
          </w:p>
          <w:p>
            <w:pPr>
              <w:spacing w:before="60" w:after="40"/>
            </w:pPr>
            <w:r>
              <w:rPr>
                <w:rFonts w:ascii="Calibri" w:hAnsi="Calibri"/>
                <w:b w:val="0"/>
                <w:i w:val="0"/>
                <w:color w:val="5A5A5A"/>
                <w:sz w:val="18"/>
              </w:rPr>
              <w:t>#tropical  #humidity  #warmmonths  #seasonal  #climate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Fomite sharing</w:t>
            </w:r>
          </w:p>
        </w:tc>
        <w:tc>
          <w:tcPr>
            <w:tcW w:type="dxa" w:w="2160"/>
            <w:vAlign w:val="top"/>
          </w:tcPr>
          <w:p>
            <w:pPr>
              <w:spacing w:after="40" w:before="0" w:line="259" w:lineRule="auto"/>
            </w:pPr>
            <w:r>
              <w:rPr>
                <w:rFonts w:ascii="Calibri" w:hAnsi="Calibri"/>
                <w:b w:val="0"/>
                <w:i w:val="0"/>
                <w:color w:val="212121"/>
                <w:sz w:val="19"/>
              </w:rPr>
              <w:t>Children who share combs, brushes, hair accessories, towels &amp; pillows</w:t>
            </w:r>
          </w:p>
        </w:tc>
        <w:tc>
          <w:tcPr>
            <w:tcW w:type="dxa" w:w="4276"/>
            <w:vAlign w:val="top"/>
          </w:tcPr>
          <w:p>
            <w:pPr>
              <w:spacing w:after="60" w:line="259" w:lineRule="auto"/>
            </w:pPr>
            <w:r>
              <w:rPr>
                <w:rFonts w:ascii="Calibri" w:hAnsi="Calibri"/>
                <w:b w:val="0"/>
                <w:i w:val="0"/>
                <w:color w:val="212121"/>
                <w:sz w:val="19"/>
              </w:rPr>
              <w:t>Sharing grooming items and headwear transfers crawling lice and viable nits between scalps, a common practice in schools, homes and hostels.</w:t>
            </w:r>
          </w:p>
          <w:p>
            <w:pPr>
              <w:spacing w:after="40" w:before="60" w:line="259" w:lineRule="auto"/>
            </w:pPr>
            <w:r>
              <w:rPr>
                <w:rFonts w:ascii="Calibri" w:hAnsi="Calibri"/>
                <w:b w:val="0"/>
                <w:i w:val="0"/>
                <w:color w:val="212121"/>
                <w:sz w:val="19"/>
              </w:rPr>
              <w:t>Sharing combs raised infestation odds ~3-fold (odds ratio 3.12, 95% CI 1.65–5.89); comb-sharing was reported by 78% of rural versus 34% of urban students.</w:t>
            </w:r>
          </w:p>
          <w:p>
            <w:pPr>
              <w:spacing w:after="40" w:line="252" w:lineRule="auto"/>
            </w:pPr>
            <w:hyperlink r:id="rId10">
              <w:r>
                <w:rPr>
                  <w:rFonts w:ascii="Calibri" w:hAnsi="Calibri" w:cs="Calibri"/>
                  <w:sz w:val="18"/>
                  <w:color w:val="1155CC"/>
                  <w:u w:val="single"/>
                </w:rPr>
                <w:t xml:space="preserve">seejph.com — comb sharing OR, Assam (2024)</w:t>
              </w:r>
            </w:hyperlink>
          </w:p>
          <w:p>
            <w:pPr>
              <w:spacing w:before="60" w:after="40"/>
            </w:pPr>
            <w:r>
              <w:rPr>
                <w:rFonts w:ascii="Calibri" w:hAnsi="Calibri"/>
                <w:b w:val="0"/>
                <w:i w:val="0"/>
                <w:color w:val="5A5A5A"/>
                <w:sz w:val="18"/>
              </w:rPr>
              <w:t>#combsharing  #fomites  #hairaccessories  #towels  #transmission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Close-contact / institutional living</w:t>
            </w:r>
          </w:p>
        </w:tc>
        <w:tc>
          <w:tcPr>
            <w:tcW w:type="dxa" w:w="2160"/>
            <w:vAlign w:val="top"/>
          </w:tcPr>
          <w:p>
            <w:pPr>
              <w:spacing w:after="40" w:before="0" w:line="259" w:lineRule="auto"/>
            </w:pPr>
            <w:r>
              <w:rPr>
                <w:rFonts w:ascii="Calibri" w:hAnsi="Calibri"/>
                <w:b w:val="0"/>
                <w:i w:val="0"/>
                <w:color w:val="212121"/>
                <w:sz w:val="19"/>
              </w:rPr>
              <w:t>Boarding-school, hostel, orphanage &amp; Anganwadi/day-care attendees</w:t>
            </w:r>
          </w:p>
        </w:tc>
        <w:tc>
          <w:tcPr>
            <w:tcW w:type="dxa" w:w="4276"/>
            <w:vAlign w:val="top"/>
          </w:tcPr>
          <w:p>
            <w:pPr>
              <w:spacing w:after="60" w:line="259" w:lineRule="auto"/>
            </w:pPr>
            <w:r>
              <w:rPr>
                <w:rFonts w:ascii="Calibri" w:hAnsi="Calibri"/>
                <w:b w:val="0"/>
                <w:i w:val="0"/>
                <w:color w:val="212121"/>
                <w:sz w:val="19"/>
              </w:rPr>
              <w:t>Institutional crowding with shared bedding and constant close contact enables rapid, sustained spread and recurrent outbreaks.</w:t>
            </w:r>
          </w:p>
          <w:p>
            <w:pPr>
              <w:spacing w:after="40" w:before="60" w:line="259" w:lineRule="auto"/>
            </w:pPr>
            <w:r>
              <w:rPr>
                <w:rFonts w:ascii="Calibri" w:hAnsi="Calibri"/>
                <w:b w:val="0"/>
                <w:i w:val="0"/>
                <w:color w:val="212121"/>
                <w:sz w:val="19"/>
              </w:rPr>
              <w:t>Head lice spread mainly by head-to-head contact and, secondarily, via shared hats, combs and bedding — conditions maximised in crowded residential settings.</w:t>
            </w:r>
          </w:p>
          <w:p>
            <w:pPr>
              <w:spacing w:after="40" w:line="252" w:lineRule="auto"/>
            </w:pPr>
            <w:hyperlink r:id="rId9">
              <w:r>
                <w:rPr>
                  <w:rFonts w:ascii="Calibri" w:hAnsi="Calibri" w:cs="Calibri"/>
                  <w:sz w:val="18"/>
                  <w:color w:val="1155CC"/>
                  <w:u w:val="single"/>
                </w:rPr>
                <w:t xml:space="preserve">cdc.gov — transmission of head lice</w:t>
              </w:r>
            </w:hyperlink>
          </w:p>
          <w:p>
            <w:pPr>
              <w:spacing w:before="60" w:after="40"/>
            </w:pPr>
            <w:r>
              <w:rPr>
                <w:rFonts w:ascii="Calibri" w:hAnsi="Calibri"/>
                <w:b w:val="0"/>
                <w:i w:val="0"/>
                <w:color w:val="5A5A5A"/>
                <w:sz w:val="18"/>
              </w:rPr>
              <w:t>#hostel  #boardingschool  #daycare  #outbreak  #crowding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Grooming / hair length</w:t>
            </w:r>
          </w:p>
        </w:tc>
        <w:tc>
          <w:tcPr>
            <w:tcW w:type="dxa" w:w="2160"/>
            <w:vAlign w:val="top"/>
          </w:tcPr>
          <w:p>
            <w:pPr>
              <w:spacing w:after="40" w:before="0" w:line="259" w:lineRule="auto"/>
            </w:pPr>
            <w:r>
              <w:rPr>
                <w:rFonts w:ascii="Calibri" w:hAnsi="Calibri"/>
                <w:b w:val="0"/>
                <w:i w:val="0"/>
                <w:color w:val="212121"/>
                <w:sz w:val="19"/>
              </w:rPr>
              <w:t>Children with long, thick, loose uncut hair</w:t>
            </w:r>
          </w:p>
        </w:tc>
        <w:tc>
          <w:tcPr>
            <w:tcW w:type="dxa" w:w="4276"/>
            <w:vAlign w:val="top"/>
          </w:tcPr>
          <w:p>
            <w:pPr>
              <w:spacing w:after="60" w:line="259" w:lineRule="auto"/>
            </w:pPr>
            <w:r>
              <w:rPr>
                <w:rFonts w:ascii="Calibri" w:hAnsi="Calibri"/>
                <w:b w:val="0"/>
                <w:i w:val="0"/>
                <w:color w:val="212121"/>
                <w:sz w:val="19"/>
              </w:rPr>
              <w:t>Long, dense hair offers more surface for lice to grip and more sites to cement eggs, and is harder to inspect and comb, favouring acquisition and persistence.</w:t>
            </w:r>
          </w:p>
          <w:p>
            <w:pPr>
              <w:spacing w:after="40" w:before="60" w:line="259" w:lineRule="auto"/>
            </w:pPr>
            <w:r>
              <w:rPr>
                <w:rFonts w:ascii="Calibri" w:hAnsi="Calibri"/>
                <w:b w:val="0"/>
                <w:i w:val="0"/>
                <w:color w:val="212121"/>
                <w:sz w:val="19"/>
              </w:rPr>
              <w:t>Long hair carried ~2.8-fold higher odds of infestation (odds ratio 2.84, 95% CI 1.31–5.67); 72% of long-haired versus 40% of short-haired students were infested.</w:t>
            </w:r>
          </w:p>
          <w:p>
            <w:pPr>
              <w:spacing w:after="40" w:line="252" w:lineRule="auto"/>
            </w:pPr>
            <w:hyperlink r:id="rId10">
              <w:r>
                <w:rPr>
                  <w:rFonts w:ascii="Calibri" w:hAnsi="Calibri" w:cs="Calibri"/>
                  <w:sz w:val="18"/>
                  <w:color w:val="1155CC"/>
                  <w:u w:val="single"/>
                </w:rPr>
                <w:t xml:space="preserve">seejph.com — hair length OR, Assam (2024)</w:t>
              </w:r>
            </w:hyperlink>
          </w:p>
          <w:p>
            <w:pPr>
              <w:spacing w:before="60" w:after="40"/>
            </w:pPr>
            <w:r>
              <w:rPr>
                <w:rFonts w:ascii="Calibri" w:hAnsi="Calibri"/>
                <w:b w:val="0"/>
                <w:i w:val="0"/>
                <w:color w:val="5A5A5A"/>
                <w:sz w:val="18"/>
              </w:rPr>
              <w:t>#longhair  #thickhair  #grooming  #tiedback  #persistence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Co-sleeping / shared bedding</w:t>
            </w:r>
          </w:p>
        </w:tc>
        <w:tc>
          <w:tcPr>
            <w:tcW w:type="dxa" w:w="2160"/>
            <w:vAlign w:val="top"/>
          </w:tcPr>
          <w:p>
            <w:pPr>
              <w:spacing w:after="40" w:before="0" w:line="259" w:lineRule="auto"/>
            </w:pPr>
            <w:r>
              <w:rPr>
                <w:rFonts w:ascii="Calibri" w:hAnsi="Calibri"/>
                <w:b w:val="0"/>
                <w:i w:val="0"/>
                <w:color w:val="212121"/>
                <w:sz w:val="19"/>
              </w:rPr>
              <w:t>Children sharing beds and pillows with an infested contact</w:t>
            </w:r>
          </w:p>
        </w:tc>
        <w:tc>
          <w:tcPr>
            <w:tcW w:type="dxa" w:w="4276"/>
            <w:vAlign w:val="top"/>
          </w:tcPr>
          <w:p>
            <w:pPr>
              <w:spacing w:after="60" w:line="259" w:lineRule="auto"/>
            </w:pPr>
            <w:r>
              <w:rPr>
                <w:rFonts w:ascii="Calibri" w:hAnsi="Calibri"/>
                <w:b w:val="0"/>
                <w:i w:val="0"/>
                <w:color w:val="212121"/>
                <w:sz w:val="19"/>
              </w:rPr>
              <w:t>Co-sleeping and shared pillows/linen provide prolonged close contact and a fomite route, allowing lice to move between household members overnight.</w:t>
            </w:r>
          </w:p>
          <w:p>
            <w:pPr>
              <w:spacing w:after="40" w:before="60" w:line="259" w:lineRule="auto"/>
            </w:pPr>
            <w:r>
              <w:rPr>
                <w:rFonts w:ascii="Calibri" w:hAnsi="Calibri"/>
                <w:b w:val="0"/>
                <w:i w:val="0"/>
                <w:color w:val="212121"/>
                <w:sz w:val="19"/>
              </w:rPr>
              <w:t>Recently contaminated bedding, pillows and headwear are recognised secondary vehicles of transmission.</w:t>
            </w:r>
          </w:p>
          <w:p>
            <w:pPr>
              <w:spacing w:after="40" w:line="252" w:lineRule="auto"/>
            </w:pPr>
            <w:hyperlink r:id="rId9">
              <w:r>
                <w:rPr>
                  <w:rFonts w:ascii="Calibri" w:hAnsi="Calibri" w:cs="Calibri"/>
                  <w:sz w:val="18"/>
                  <w:color w:val="1155CC"/>
                  <w:u w:val="single"/>
                </w:rPr>
                <w:t xml:space="preserve">cdc.gov — spread via bedding</w:t>
              </w:r>
            </w:hyperlink>
          </w:p>
          <w:p>
            <w:pPr>
              <w:spacing w:before="60" w:after="40"/>
            </w:pPr>
            <w:r>
              <w:rPr>
                <w:rFonts w:ascii="Calibri" w:hAnsi="Calibri"/>
                <w:b w:val="0"/>
                <w:i w:val="0"/>
                <w:color w:val="5A5A5A"/>
                <w:sz w:val="18"/>
              </w:rPr>
              <w:t>#cosleeping  #bedsharing  #pillows  #household  #fomites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Nutritional status</w:t>
            </w:r>
          </w:p>
        </w:tc>
        <w:tc>
          <w:tcPr>
            <w:tcW w:type="dxa" w:w="2160"/>
            <w:vAlign w:val="top"/>
          </w:tcPr>
          <w:p>
            <w:pPr>
              <w:spacing w:after="40" w:before="0" w:line="259" w:lineRule="auto"/>
            </w:pPr>
            <w:r>
              <w:rPr>
                <w:rFonts w:ascii="Calibri" w:hAnsi="Calibri"/>
                <w:b w:val="0"/>
                <w:i w:val="0"/>
                <w:color w:val="212121"/>
                <w:sz w:val="19"/>
              </w:rPr>
              <w:t>Undernourished / iron-deficient children</w:t>
            </w:r>
          </w:p>
        </w:tc>
        <w:tc>
          <w:tcPr>
            <w:tcW w:type="dxa" w:w="4276"/>
            <w:vAlign w:val="top"/>
          </w:tcPr>
          <w:p>
            <w:pPr>
              <w:spacing w:after="60" w:line="259" w:lineRule="auto"/>
            </w:pPr>
            <w:r>
              <w:rPr>
                <w:rFonts w:ascii="Calibri" w:hAnsi="Calibri"/>
                <w:b w:val="0"/>
                <w:i w:val="0"/>
                <w:color w:val="212121"/>
                <w:sz w:val="19"/>
              </w:rPr>
              <w:t>Head lice are obligate blood-feeders; heavy or chronic infestation causes ongoing scalp blood loss that can deplete iron stores, while pre-existing undernutrition may worsen the impact of hyper-infestation.</w:t>
            </w:r>
          </w:p>
          <w:p>
            <w:pPr>
              <w:spacing w:after="40" w:before="60" w:line="259" w:lineRule="auto"/>
            </w:pPr>
            <w:r>
              <w:rPr>
                <w:rFonts w:ascii="Calibri" w:hAnsi="Calibri"/>
                <w:b w:val="0"/>
                <w:i w:val="0"/>
                <w:color w:val="212121"/>
                <w:sz w:val="19"/>
              </w:rPr>
              <w:t>Case reports link heavy pediculosis to microcytic hypochromic (iron-deficiency) anaemia severe enough to require blood transfusion.</w:t>
            </w:r>
          </w:p>
          <w:p>
            <w:pPr>
              <w:spacing w:after="40" w:line="252" w:lineRule="auto"/>
            </w:pPr>
            <w:hyperlink r:id="rId13">
              <w:r>
                <w:rPr>
                  <w:rFonts w:ascii="Calibri" w:hAnsi="Calibri" w:cs="Calibri"/>
                  <w:sz w:val="18"/>
                  <w:color w:val="1155CC"/>
                  <w:u w:val="single"/>
                </w:rPr>
                <w:t xml:space="preserve">cureus.com — pediculosis &amp; iron-deficiency anaemia</w:t>
              </w:r>
            </w:hyperlink>
          </w:p>
          <w:p>
            <w:pPr>
              <w:spacing w:before="60" w:after="40"/>
            </w:pPr>
            <w:r>
              <w:rPr>
                <w:rFonts w:ascii="Calibri" w:hAnsi="Calibri"/>
                <w:b w:val="0"/>
                <w:i w:val="0"/>
                <w:color w:val="5A5A5A"/>
                <w:sz w:val="18"/>
              </w:rPr>
              <w:t>#undernutrition  #irondeficiency  #anaemia  #bloodfeeding  #hyperinfestation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Hair phenotype</w:t>
            </w:r>
          </w:p>
        </w:tc>
        <w:tc>
          <w:tcPr>
            <w:tcW w:type="dxa" w:w="2160"/>
            <w:vAlign w:val="top"/>
          </w:tcPr>
          <w:p>
            <w:pPr>
              <w:spacing w:after="40" w:before="0" w:line="259" w:lineRule="auto"/>
            </w:pPr>
            <w:r>
              <w:rPr>
                <w:rFonts w:ascii="Calibri" w:hAnsi="Calibri"/>
                <w:b w:val="0"/>
                <w:i w:val="0"/>
                <w:color w:val="212121"/>
                <w:sz w:val="19"/>
              </w:rPr>
              <w:t>Children with fine/straight familial hair type</w:t>
            </w:r>
          </w:p>
        </w:tc>
        <w:tc>
          <w:tcPr>
            <w:tcW w:type="dxa" w:w="4276"/>
            <w:vAlign w:val="top"/>
          </w:tcPr>
          <w:p>
            <w:pPr>
              <w:spacing w:after="60" w:line="259" w:lineRule="auto"/>
            </w:pPr>
            <w:r>
              <w:rPr>
                <w:rFonts w:ascii="Calibri" w:hAnsi="Calibri"/>
                <w:b w:val="0"/>
                <w:i w:val="0"/>
                <w:color w:val="212121"/>
                <w:sz w:val="19"/>
              </w:rPr>
              <w:t>Heritable hair characteristics (shaft thickness, straightness) influence how easily lice grip the hair and cement eggs; however, behaviour and contact — not genetics — remain the dominant drivers of infestation.</w:t>
            </w:r>
          </w:p>
          <w:p>
            <w:pPr>
              <w:spacing w:after="40" w:before="60" w:line="259" w:lineRule="auto"/>
            </w:pPr>
            <w:r>
              <w:rPr>
                <w:rFonts w:ascii="Calibri" w:hAnsi="Calibri"/>
                <w:b w:val="0"/>
                <w:i w:val="0"/>
                <w:color w:val="212121"/>
                <w:sz w:val="19"/>
              </w:rPr>
              <w:t>Hair thickness and length are recognised host-related risk factors for infestation, though environmental exposure predominates.</w:t>
            </w:r>
          </w:p>
          <w:p>
            <w:pPr>
              <w:spacing w:before="60" w:after="40"/>
            </w:pPr>
            <w:r>
              <w:rPr>
                <w:rFonts w:ascii="Calibri" w:hAnsi="Calibri"/>
                <w:b w:val="0"/>
                <w:i w:val="0"/>
                <w:color w:val="5A5A5A"/>
                <w:sz w:val="18"/>
              </w:rPr>
              <w:t>#hairtype  #hairshaft  #phenotype  #hostfactors  #straighthair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 household clustering</w:t>
            </w:r>
          </w:p>
        </w:tc>
        <w:tc>
          <w:tcPr>
            <w:tcW w:type="dxa" w:w="2160"/>
            <w:vAlign w:val="top"/>
          </w:tcPr>
          <w:p>
            <w:pPr>
              <w:spacing w:after="40" w:before="0" w:line="259" w:lineRule="auto"/>
            </w:pPr>
            <w:r>
              <w:rPr>
                <w:rFonts w:ascii="Calibri" w:hAnsi="Calibri"/>
                <w:b w:val="0"/>
                <w:i w:val="0"/>
                <w:color w:val="212121"/>
                <w:sz w:val="19"/>
              </w:rPr>
              <w:t>Siblings &amp; household members of an infested case</w:t>
            </w:r>
          </w:p>
        </w:tc>
        <w:tc>
          <w:tcPr>
            <w:tcW w:type="dxa" w:w="4276"/>
            <w:vAlign w:val="top"/>
          </w:tcPr>
          <w:p>
            <w:pPr>
              <w:spacing w:after="60" w:line="259" w:lineRule="auto"/>
            </w:pPr>
            <w:r>
              <w:rPr>
                <w:rFonts w:ascii="Calibri" w:hAnsi="Calibri"/>
                <w:b w:val="0"/>
                <w:i w:val="0"/>
                <w:color w:val="212121"/>
                <w:sz w:val="19"/>
              </w:rPr>
              <w:t>Shared households mean lice circulate among relatives; unless all contacts are screened and treated together, re-infestation is repeated. Clustering reflects shared environment rather than true heredity.</w:t>
            </w:r>
          </w:p>
          <w:p>
            <w:pPr>
              <w:spacing w:after="40" w:before="60" w:line="259" w:lineRule="auto"/>
            </w:pPr>
            <w:r>
              <w:rPr>
                <w:rFonts w:ascii="Calibri" w:hAnsi="Calibri"/>
                <w:b w:val="0"/>
                <w:i w:val="0"/>
                <w:color w:val="212121"/>
                <w:sz w:val="19"/>
              </w:rPr>
              <w:t>Household members of an infested child are frequently co-infested and should all be checked and treated on the same day.</w:t>
            </w:r>
          </w:p>
          <w:p>
            <w:pPr>
              <w:spacing w:after="40" w:line="252" w:lineRule="auto"/>
            </w:pPr>
            <w:hyperlink r:id="rId9">
              <w:r>
                <w:rPr>
                  <w:rFonts w:ascii="Calibri" w:hAnsi="Calibri" w:cs="Calibri"/>
                  <w:sz w:val="18"/>
                  <w:color w:val="1155CC"/>
                  <w:u w:val="single"/>
                </w:rPr>
                <w:t xml:space="preserve">cdc.gov — treat household contacts</w:t>
              </w:r>
            </w:hyperlink>
          </w:p>
          <w:p>
            <w:pPr>
              <w:spacing w:before="60" w:after="40"/>
            </w:pPr>
            <w:r>
              <w:rPr>
                <w:rFonts w:ascii="Calibri" w:hAnsi="Calibri"/>
                <w:b w:val="0"/>
                <w:i w:val="0"/>
                <w:color w:val="5A5A5A"/>
                <w:sz w:val="18"/>
              </w:rPr>
              <w:t>#siblings  #householdclustering  #contacttracing  #reinfestation  #screenall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Atopic dermatitis / eczematous scalp</w:t>
            </w:r>
          </w:p>
        </w:tc>
        <w:tc>
          <w:tcPr>
            <w:tcW w:type="dxa" w:w="2160"/>
            <w:vAlign w:val="top"/>
          </w:tcPr>
          <w:p>
            <w:pPr>
              <w:spacing w:after="40" w:before="0" w:line="259" w:lineRule="auto"/>
            </w:pPr>
            <w:r>
              <w:rPr>
                <w:rFonts w:ascii="Calibri" w:hAnsi="Calibri"/>
                <w:b w:val="0"/>
                <w:i w:val="0"/>
                <w:color w:val="212121"/>
                <w:sz w:val="19"/>
              </w:rPr>
              <w:t>Children with a pruritic, eczematous scalp</w:t>
            </w:r>
          </w:p>
        </w:tc>
        <w:tc>
          <w:tcPr>
            <w:tcW w:type="dxa" w:w="4276"/>
            <w:vAlign w:val="top"/>
          </w:tcPr>
          <w:p>
            <w:pPr>
              <w:spacing w:after="60" w:line="259" w:lineRule="auto"/>
            </w:pPr>
            <w:r>
              <w:rPr>
                <w:rFonts w:ascii="Calibri" w:hAnsi="Calibri"/>
                <w:b w:val="0"/>
                <w:i w:val="0"/>
                <w:color w:val="212121"/>
                <w:sz w:val="19"/>
              </w:rPr>
              <w:t>A pre-existing itchy, inflamed scalp promotes more scratching and skin breakdown when lice are added, worsening excoriation and secondary infection, while overlapping pruritus can delay recognition of lice.</w:t>
            </w:r>
          </w:p>
          <w:p>
            <w:pPr>
              <w:spacing w:after="40" w:before="60" w:line="259" w:lineRule="auto"/>
            </w:pPr>
            <w:r>
              <w:rPr>
                <w:rFonts w:ascii="Calibri" w:hAnsi="Calibri"/>
                <w:b w:val="0"/>
                <w:i w:val="0"/>
                <w:color w:val="212121"/>
                <w:sz w:val="19"/>
              </w:rPr>
              <w:t>Intense scratching from infestation predisposes to excoriation and eczematisation of the scalp and neck.</w:t>
            </w:r>
          </w:p>
          <w:p>
            <w:pPr>
              <w:spacing w:after="40" w:line="252" w:lineRule="auto"/>
            </w:pPr>
            <w:hyperlink r:id="rId11">
              <w:r>
                <w:rPr>
                  <w:rFonts w:ascii="Calibri" w:hAnsi="Calibri" w:cs="Calibri"/>
                  <w:sz w:val="18"/>
                  <w:color w:val="1155CC"/>
                  <w:u w:val="single"/>
                </w:rPr>
                <w:t xml:space="preserve">ijdvl.com — scalp excoriation &amp; complications</w:t>
              </w:r>
            </w:hyperlink>
          </w:p>
          <w:p>
            <w:pPr>
              <w:spacing w:before="60" w:after="40"/>
            </w:pPr>
            <w:r>
              <w:rPr>
                <w:rFonts w:ascii="Calibri" w:hAnsi="Calibri"/>
                <w:b w:val="0"/>
                <w:i w:val="0"/>
                <w:color w:val="5A5A5A"/>
                <w:sz w:val="18"/>
              </w:rPr>
              <w:t>#eczema  #atopic  #pruritus  #excoriation  #scalp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Secondary pyoderma / impetigo</w:t>
            </w:r>
          </w:p>
        </w:tc>
        <w:tc>
          <w:tcPr>
            <w:tcW w:type="dxa" w:w="2160"/>
            <w:vAlign w:val="top"/>
          </w:tcPr>
          <w:p>
            <w:pPr>
              <w:spacing w:after="40" w:before="0" w:line="259" w:lineRule="auto"/>
            </w:pPr>
            <w:r>
              <w:rPr>
                <w:rFonts w:ascii="Calibri" w:hAnsi="Calibri"/>
                <w:b w:val="0"/>
                <w:i w:val="0"/>
                <w:color w:val="212121"/>
                <w:sz w:val="19"/>
              </w:rPr>
              <w:t>Children with scratch-induced scalp/neck impetigo</w:t>
            </w:r>
          </w:p>
        </w:tc>
        <w:tc>
          <w:tcPr>
            <w:tcW w:type="dxa" w:w="4276"/>
            <w:vAlign w:val="top"/>
          </w:tcPr>
          <w:p>
            <w:pPr>
              <w:spacing w:after="60" w:line="259" w:lineRule="auto"/>
            </w:pPr>
            <w:r>
              <w:rPr>
                <w:rFonts w:ascii="Calibri" w:hAnsi="Calibri"/>
                <w:b w:val="0"/>
                <w:i w:val="0"/>
                <w:color w:val="212121"/>
                <w:sz w:val="19"/>
              </w:rPr>
              <w:t>Repeated scratching breaches the skin barrier, allowing Staphylococcus aureus and Streptococcus pyogenes to cause impetigo, pustules and honey-coloured crusts, sometimes with regional lymphadenopathy.</w:t>
            </w:r>
          </w:p>
          <w:p>
            <w:pPr>
              <w:spacing w:after="40" w:before="60" w:line="259" w:lineRule="auto"/>
            </w:pPr>
            <w:r>
              <w:rPr>
                <w:rFonts w:ascii="Calibri" w:hAnsi="Calibri"/>
                <w:b w:val="0"/>
                <w:i w:val="0"/>
                <w:color w:val="212121"/>
                <w:sz w:val="19"/>
              </w:rPr>
              <w:t>Secondary pyoderma with impetigo and cervical/occipital lymphadenopathy is a well-recognised complication of scratched infestation.</w:t>
            </w:r>
          </w:p>
          <w:p>
            <w:pPr>
              <w:spacing w:after="40" w:line="252" w:lineRule="auto"/>
            </w:pPr>
            <w:hyperlink r:id="rId11">
              <w:r>
                <w:rPr>
                  <w:rFonts w:ascii="Calibri" w:hAnsi="Calibri" w:cs="Calibri"/>
                  <w:sz w:val="18"/>
                  <w:color w:val="1155CC"/>
                  <w:u w:val="single"/>
                </w:rPr>
                <w:t xml:space="preserve">ijdvl.com — secondary pyoderma</w:t>
              </w:r>
            </w:hyperlink>
          </w:p>
          <w:p>
            <w:pPr>
              <w:spacing w:before="60" w:after="40"/>
            </w:pPr>
            <w:r>
              <w:rPr>
                <w:rFonts w:ascii="Calibri" w:hAnsi="Calibri"/>
                <w:b w:val="0"/>
                <w:i w:val="0"/>
                <w:color w:val="5A5A5A"/>
                <w:sz w:val="18"/>
              </w:rPr>
              <w:t>#impetigo  #pyoderma  #staphylococcus  #streptococcus  #superinfection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Iron-deficiency anaemia</w:t>
            </w:r>
          </w:p>
        </w:tc>
        <w:tc>
          <w:tcPr>
            <w:tcW w:type="dxa" w:w="2160"/>
            <w:vAlign w:val="top"/>
          </w:tcPr>
          <w:p>
            <w:pPr>
              <w:spacing w:after="40" w:before="0" w:line="259" w:lineRule="auto"/>
            </w:pPr>
            <w:r>
              <w:rPr>
                <w:rFonts w:ascii="Calibri" w:hAnsi="Calibri"/>
                <w:b w:val="0"/>
                <w:i w:val="0"/>
                <w:color w:val="212121"/>
                <w:sz w:val="19"/>
              </w:rPr>
              <w:t>Heavily infested / hyper-infested children</w:t>
            </w:r>
          </w:p>
        </w:tc>
        <w:tc>
          <w:tcPr>
            <w:tcW w:type="dxa" w:w="4276"/>
            <w:vAlign w:val="top"/>
          </w:tcPr>
          <w:p>
            <w:pPr>
              <w:spacing w:after="60" w:line="259" w:lineRule="auto"/>
            </w:pPr>
            <w:r>
              <w:rPr>
                <w:rFonts w:ascii="Calibri" w:hAnsi="Calibri"/>
                <w:b w:val="0"/>
                <w:i w:val="0"/>
                <w:color w:val="212121"/>
                <w:sz w:val="19"/>
              </w:rPr>
              <w:t>Hundreds of lice feeding several times daily can cause enough chronic scalp blood loss to produce microcytic hypochromic anaemia, occasionally severe enough to need transfusion.</w:t>
            </w:r>
          </w:p>
          <w:p>
            <w:pPr>
              <w:spacing w:after="40" w:before="60" w:line="259" w:lineRule="auto"/>
            </w:pPr>
            <w:r>
              <w:rPr>
                <w:rFonts w:ascii="Calibri" w:hAnsi="Calibri"/>
                <w:b w:val="0"/>
                <w:i w:val="0"/>
                <w:color w:val="212121"/>
                <w:sz w:val="19"/>
              </w:rPr>
              <w:t>Reported cases of hyper-infestation developed severe iron-deficiency anaemia (low haemoglobin, low serum iron) requiring blood transfusion.</w:t>
            </w:r>
          </w:p>
          <w:p>
            <w:pPr>
              <w:spacing w:after="40" w:line="252" w:lineRule="auto"/>
            </w:pPr>
            <w:hyperlink r:id="rId13">
              <w:r>
                <w:rPr>
                  <w:rFonts w:ascii="Calibri" w:hAnsi="Calibri" w:cs="Calibri"/>
                  <w:sz w:val="18"/>
                  <w:color w:val="1155CC"/>
                  <w:u w:val="single"/>
                </w:rPr>
                <w:t xml:space="preserve">cureus.com — pediculosis as IDA risk factor</w:t>
              </w:r>
            </w:hyperlink>
          </w:p>
          <w:p>
            <w:pPr>
              <w:spacing w:before="60" w:after="40"/>
            </w:pPr>
            <w:r>
              <w:rPr>
                <w:rFonts w:ascii="Calibri" w:hAnsi="Calibri"/>
                <w:b w:val="0"/>
                <w:i w:val="0"/>
                <w:color w:val="5A5A5A"/>
                <w:sz w:val="18"/>
              </w:rPr>
              <w:t>#irondeficiency  #anaemia  #hyperinfestation  #bloodloss  #transfusion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itself does not cause lice, but close-contact play, contact sports (wrestling, kabaddi) and group activities create the head-to-head contact that transmits them; piling caps/helmets together adds a fomite route.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has no role in acquisition, but heavy blood-feeding infestation can deplete iron; adequate iron-rich nutrition limits anaemia in chronic or hyper-infestation.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Bed-sharing and co-sleeping with an infested person promote transmission via prolonged close contact and shared pillows; lice feed more actively in the dark, so nocturnal itch disrupts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Smoking has no established role in the transmission or course of head-lice infestation.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Alcohol has no role in acquisition or prevention; caregivers should avoid flammable/toxic spirit- or kerosene-based home remedies applied to the scalp.</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Infestation carries real psychosocial burden — embarrassment, anxiety, stigma, teasing and social withdrawal, particularly in adolescent girls — and chronic itch with disturbed sleep can lower mood; distress is bidirectional with delayed help-seeking.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Water and hair washing neither prevent nor cure infestation (lice cling tightly and can survive brief submersion), but water is central to wet-comb detection and to hot-washing of linen and headwear.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Caffeine has no relevance to head-lice infestation.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Personal cleanliness does NOT prevent lice — infestation is unrelated to how clean a child is — but avoiding sharing of combs, towels, headwear and bedding, plus routine detection combing, reduces spread and reinfestation.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head-to-head contact, sharing of combs/hair accessories/headwear, overcrowding and the presence of an untreated infested contact are the principal provoking factors for acquisition and recurrence.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Head-to-head contact episodes</w:t>
            </w:r>
          </w:p>
        </w:tc>
        <w:tc>
          <w:tcPr>
            <w:tcW w:type="dxa" w:w="1655"/>
            <w:vAlign w:val="top"/>
          </w:tcPr>
          <w:p>
            <w:pPr>
              <w:spacing w:after="40" w:before="0" w:line="259" w:lineRule="auto"/>
            </w:pPr>
            <w:r>
              <w:rPr>
                <w:rFonts w:ascii="Calibri" w:hAnsi="Calibri"/>
                <w:b w:val="0"/>
                <w:i w:val="0"/>
                <w:color w:val="212121"/>
                <w:sz w:val="19"/>
              </w:rPr>
              <w:t>Schoolchildren, during outbreaks</w:t>
            </w:r>
          </w:p>
        </w:tc>
        <w:tc>
          <w:tcPr>
            <w:tcW w:type="dxa" w:w="1512"/>
            <w:vAlign w:val="top"/>
          </w:tcPr>
          <w:p>
            <w:pPr>
              <w:spacing w:after="40" w:before="0" w:line="259" w:lineRule="auto"/>
            </w:pPr>
            <w:r>
              <w:rPr>
                <w:rFonts w:ascii="Calibri" w:hAnsi="Calibri"/>
                <w:b w:val="0"/>
                <w:i w:val="0"/>
                <w:color w:val="212121"/>
                <w:sz w:val="19"/>
              </w:rPr>
              <w:t>Minimised during active outbreaks</w:t>
            </w:r>
          </w:p>
        </w:tc>
        <w:tc>
          <w:tcPr>
            <w:tcW w:type="dxa" w:w="1512"/>
            <w:vAlign w:val="top"/>
          </w:tcPr>
          <w:p>
            <w:pPr>
              <w:spacing w:after="40" w:before="0" w:line="259" w:lineRule="auto"/>
            </w:pPr>
            <w:r>
              <w:rPr>
                <w:rFonts w:ascii="Calibri" w:hAnsi="Calibri"/>
                <w:b w:val="0"/>
                <w:i w:val="0"/>
                <w:color w:val="212121"/>
                <w:sz w:val="19"/>
              </w:rPr>
              <w:t>Frequent close head contact (play, group selfies, co-sleeping)</w:t>
            </w:r>
          </w:p>
        </w:tc>
        <w:tc>
          <w:tcPr>
            <w:tcW w:type="dxa" w:w="1468"/>
            <w:vAlign w:val="top"/>
          </w:tcPr>
          <w:p>
            <w:pPr>
              <w:spacing w:after="60" w:line="259" w:lineRule="auto"/>
            </w:pPr>
            <w:r>
              <w:rPr>
                <w:rFonts w:ascii="Calibri" w:hAnsi="Calibri"/>
                <w:b w:val="0"/>
                <w:i w:val="0"/>
                <w:color w:val="212121"/>
                <w:sz w:val="19"/>
              </w:rPr>
              <w:t>Direct head contact is the dominant transmission route</w:t>
            </w:r>
          </w:p>
          <w:p>
            <w:pPr>
              <w:spacing w:after="40" w:line="252" w:lineRule="auto"/>
            </w:pPr>
            <w:hyperlink r:id="rId9">
              <w:r>
                <w:rPr>
                  <w:rFonts w:ascii="Calibri" w:hAnsi="Calibri" w:cs="Calibri"/>
                  <w:sz w:val="18"/>
                  <w:color w:val="1155CC"/>
                  <w:u w:val="single"/>
                </w:rPr>
                <w:t xml:space="preserve">https://www.cdc.gov/lice/about/head-lice.html</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Sharing of combs, brushes &amp; hair accessories</w:t>
            </w:r>
          </w:p>
        </w:tc>
        <w:tc>
          <w:tcPr>
            <w:tcW w:type="dxa" w:w="1655"/>
            <w:vAlign w:val="top"/>
          </w:tcPr>
          <w:p>
            <w:pPr>
              <w:spacing w:after="40" w:before="0" w:line="259" w:lineRule="auto"/>
            </w:pPr>
            <w:r>
              <w:rPr>
                <w:rFonts w:ascii="Calibri" w:hAnsi="Calibri"/>
                <w:b w:val="0"/>
                <w:i w:val="0"/>
                <w:color w:val="212121"/>
                <w:sz w:val="19"/>
              </w:rPr>
              <w:t>Children, hostel residents</w:t>
            </w:r>
          </w:p>
        </w:tc>
        <w:tc>
          <w:tcPr>
            <w:tcW w:type="dxa" w:w="1512"/>
            <w:vAlign w:val="top"/>
          </w:tcPr>
          <w:p>
            <w:pPr>
              <w:spacing w:after="40" w:before="0" w:line="259" w:lineRule="auto"/>
            </w:pPr>
            <w:r>
              <w:rPr>
                <w:rFonts w:ascii="Calibri" w:hAnsi="Calibri"/>
                <w:b w:val="0"/>
                <w:i w:val="0"/>
                <w:color w:val="212121"/>
                <w:sz w:val="19"/>
              </w:rPr>
              <w:t>Individual use — not shared</w:t>
            </w:r>
          </w:p>
        </w:tc>
        <w:tc>
          <w:tcPr>
            <w:tcW w:type="dxa" w:w="1512"/>
            <w:vAlign w:val="top"/>
          </w:tcPr>
          <w:p>
            <w:pPr>
              <w:spacing w:after="40" w:before="0" w:line="259" w:lineRule="auto"/>
            </w:pPr>
            <w:r>
              <w:rPr>
                <w:rFonts w:ascii="Calibri" w:hAnsi="Calibri"/>
                <w:b w:val="0"/>
                <w:i w:val="0"/>
                <w:color w:val="212121"/>
                <w:sz w:val="19"/>
              </w:rPr>
              <w:t>Regular sharing of combs/clips/towels</w:t>
            </w:r>
          </w:p>
        </w:tc>
        <w:tc>
          <w:tcPr>
            <w:tcW w:type="dxa" w:w="1468"/>
            <w:vAlign w:val="top"/>
          </w:tcPr>
          <w:p>
            <w:pPr>
              <w:spacing w:after="60" w:line="259" w:lineRule="auto"/>
            </w:pPr>
            <w:r>
              <w:rPr>
                <w:rFonts w:ascii="Calibri" w:hAnsi="Calibri"/>
                <w:b w:val="0"/>
                <w:i w:val="0"/>
                <w:color w:val="212121"/>
                <w:sz w:val="19"/>
              </w:rPr>
              <w:t>Comb-sharing roughly triples infestation odds (OR 3.12)</w:t>
            </w:r>
          </w:p>
          <w:p>
            <w:pPr>
              <w:spacing w:after="40" w:line="252" w:lineRule="auto"/>
            </w:pPr>
            <w:hyperlink r:id="rId10">
              <w:r>
                <w:rPr>
                  <w:rFonts w:ascii="Calibri" w:hAnsi="Calibri" w:cs="Calibri"/>
                  <w:sz w:val="18"/>
                  <w:color w:val="1155CC"/>
                  <w:u w:val="single"/>
                </w:rPr>
                <w:t xml:space="preserve">https://www.seejph.com/index.php/seejph/article/download/5071/3347/7724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Detection (wet) combing frequency</w:t>
            </w:r>
          </w:p>
        </w:tc>
        <w:tc>
          <w:tcPr>
            <w:tcW w:type="dxa" w:w="1655"/>
            <w:vAlign w:val="top"/>
          </w:tcPr>
          <w:p>
            <w:pPr>
              <w:spacing w:after="40" w:before="0" w:line="259" w:lineRule="auto"/>
            </w:pPr>
            <w:r>
              <w:rPr>
                <w:rFonts w:ascii="Calibri" w:hAnsi="Calibri"/>
                <w:b w:val="0"/>
                <w:i w:val="0"/>
                <w:color w:val="212121"/>
                <w:sz w:val="19"/>
              </w:rPr>
              <w:t>At-risk / exposed children</w:t>
            </w:r>
          </w:p>
        </w:tc>
        <w:tc>
          <w:tcPr>
            <w:tcW w:type="dxa" w:w="1512"/>
            <w:vAlign w:val="top"/>
          </w:tcPr>
          <w:p>
            <w:pPr>
              <w:spacing w:after="40" w:before="0" w:line="259" w:lineRule="auto"/>
            </w:pPr>
            <w:r>
              <w:rPr>
                <w:rFonts w:ascii="Calibri" w:hAnsi="Calibri"/>
                <w:b w:val="0"/>
                <w:i w:val="0"/>
                <w:color w:val="212121"/>
                <w:sz w:val="19"/>
              </w:rPr>
              <w:t>Every 3–4 days with a fine-tooth nit comb during outbreaks</w:t>
            </w:r>
          </w:p>
        </w:tc>
        <w:tc>
          <w:tcPr>
            <w:tcW w:type="dxa" w:w="1512"/>
            <w:vAlign w:val="top"/>
          </w:tcPr>
          <w:p>
            <w:pPr>
              <w:spacing w:after="40" w:before="0" w:line="259" w:lineRule="auto"/>
            </w:pPr>
            <w:r>
              <w:rPr>
                <w:rFonts w:ascii="Calibri" w:hAnsi="Calibri"/>
                <w:b w:val="0"/>
                <w:i w:val="0"/>
                <w:color w:val="212121"/>
                <w:sz w:val="19"/>
              </w:rPr>
              <w:t>No routine detection combing</w:t>
            </w:r>
          </w:p>
        </w:tc>
        <w:tc>
          <w:tcPr>
            <w:tcW w:type="dxa" w:w="1468"/>
            <w:vAlign w:val="top"/>
          </w:tcPr>
          <w:p>
            <w:pPr>
              <w:spacing w:after="60" w:line="259" w:lineRule="auto"/>
            </w:pPr>
            <w:r>
              <w:rPr>
                <w:rFonts w:ascii="Calibri" w:hAnsi="Calibri"/>
                <w:b w:val="0"/>
                <w:i w:val="0"/>
                <w:color w:val="212121"/>
                <w:sz w:val="19"/>
              </w:rPr>
              <w:t>Wet combing is the most reliable way to find live lice</w:t>
            </w:r>
          </w:p>
          <w:p>
            <w:pPr>
              <w:spacing w:after="40" w:line="252" w:lineRule="auto"/>
            </w:pPr>
            <w:hyperlink r:id="rId11">
              <w:r>
                <w:rPr>
                  <w:rFonts w:ascii="Calibri" w:hAnsi="Calibri" w:cs="Calibri"/>
                  <w:sz w:val="18"/>
                  <w:color w:val="1155CC"/>
                  <w:u w:val="single"/>
                </w:rPr>
                <w:t xml:space="preserve">https://ijdvl.com/pediculosis-capitis-an-update/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Hair length / style</w:t>
            </w:r>
          </w:p>
        </w:tc>
        <w:tc>
          <w:tcPr>
            <w:tcW w:type="dxa" w:w="1655"/>
            <w:vAlign w:val="top"/>
          </w:tcPr>
          <w:p>
            <w:pPr>
              <w:spacing w:after="40" w:before="0" w:line="259" w:lineRule="auto"/>
            </w:pPr>
            <w:r>
              <w:rPr>
                <w:rFonts w:ascii="Calibri" w:hAnsi="Calibri"/>
                <w:b w:val="0"/>
                <w:i w:val="0"/>
                <w:color w:val="212121"/>
                <w:sz w:val="19"/>
              </w:rPr>
              <w:t>Girls, long-haired children</w:t>
            </w:r>
          </w:p>
        </w:tc>
        <w:tc>
          <w:tcPr>
            <w:tcW w:type="dxa" w:w="1512"/>
            <w:vAlign w:val="top"/>
          </w:tcPr>
          <w:p>
            <w:pPr>
              <w:spacing w:after="40" w:before="0" w:line="259" w:lineRule="auto"/>
            </w:pPr>
            <w:r>
              <w:rPr>
                <w:rFonts w:ascii="Calibri" w:hAnsi="Calibri"/>
                <w:b w:val="0"/>
                <w:i w:val="0"/>
                <w:color w:val="212121"/>
                <w:sz w:val="19"/>
              </w:rPr>
              <w:t>Short or neatly tied-back/braided hair</w:t>
            </w:r>
          </w:p>
        </w:tc>
        <w:tc>
          <w:tcPr>
            <w:tcW w:type="dxa" w:w="1512"/>
            <w:vAlign w:val="top"/>
          </w:tcPr>
          <w:p>
            <w:pPr>
              <w:spacing w:after="40" w:before="0" w:line="259" w:lineRule="auto"/>
            </w:pPr>
            <w:r>
              <w:rPr>
                <w:rFonts w:ascii="Calibri" w:hAnsi="Calibri"/>
                <w:b w:val="0"/>
                <w:i w:val="0"/>
                <w:color w:val="212121"/>
                <w:sz w:val="19"/>
              </w:rPr>
              <w:t>Long, thick, loose hair</w:t>
            </w:r>
          </w:p>
        </w:tc>
        <w:tc>
          <w:tcPr>
            <w:tcW w:type="dxa" w:w="1468"/>
            <w:vAlign w:val="top"/>
          </w:tcPr>
          <w:p>
            <w:pPr>
              <w:spacing w:after="60" w:line="259" w:lineRule="auto"/>
            </w:pPr>
            <w:r>
              <w:rPr>
                <w:rFonts w:ascii="Calibri" w:hAnsi="Calibri"/>
                <w:b w:val="0"/>
                <w:i w:val="0"/>
                <w:color w:val="212121"/>
                <w:sz w:val="19"/>
              </w:rPr>
              <w:t>Long hair ~2.8× odds; 72% vs 40% infested</w:t>
            </w:r>
          </w:p>
          <w:p>
            <w:pPr>
              <w:spacing w:after="40" w:line="252" w:lineRule="auto"/>
            </w:pPr>
            <w:hyperlink r:id="rId10">
              <w:r>
                <w:rPr>
                  <w:rFonts w:ascii="Calibri" w:hAnsi="Calibri" w:cs="Calibri"/>
                  <w:sz w:val="18"/>
                  <w:color w:val="1155CC"/>
                  <w:u w:val="single"/>
                </w:rPr>
                <w:t xml:space="preserve">https://www.seejph.com/index.php/seejph/article/download/5071/3347/7724</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Persons sharing a bed / pillow</w:t>
            </w:r>
          </w:p>
        </w:tc>
        <w:tc>
          <w:tcPr>
            <w:tcW w:type="dxa" w:w="1655"/>
            <w:vAlign w:val="top"/>
          </w:tcPr>
          <w:p>
            <w:pPr>
              <w:spacing w:after="40" w:before="0" w:line="259" w:lineRule="auto"/>
            </w:pPr>
            <w:r>
              <w:rPr>
                <w:rFonts w:ascii="Calibri" w:hAnsi="Calibri"/>
                <w:b w:val="0"/>
                <w:i w:val="0"/>
                <w:color w:val="212121"/>
                <w:sz w:val="19"/>
              </w:rPr>
              <w:t>Household &amp; hostel contacts</w:t>
            </w:r>
          </w:p>
        </w:tc>
        <w:tc>
          <w:tcPr>
            <w:tcW w:type="dxa" w:w="1512"/>
            <w:vAlign w:val="top"/>
          </w:tcPr>
          <w:p>
            <w:pPr>
              <w:spacing w:after="40" w:before="0" w:line="259" w:lineRule="auto"/>
            </w:pPr>
            <w:r>
              <w:rPr>
                <w:rFonts w:ascii="Calibri" w:hAnsi="Calibri"/>
                <w:b w:val="0"/>
                <w:i w:val="0"/>
                <w:color w:val="212121"/>
                <w:sz w:val="19"/>
              </w:rPr>
              <w:t>Own bed and pillow, especially during treatment</w:t>
            </w:r>
          </w:p>
        </w:tc>
        <w:tc>
          <w:tcPr>
            <w:tcW w:type="dxa" w:w="1512"/>
            <w:vAlign w:val="top"/>
          </w:tcPr>
          <w:p>
            <w:pPr>
              <w:spacing w:after="40" w:before="0" w:line="259" w:lineRule="auto"/>
            </w:pPr>
            <w:r>
              <w:rPr>
                <w:rFonts w:ascii="Calibri" w:hAnsi="Calibri"/>
                <w:b w:val="0"/>
                <w:i w:val="0"/>
                <w:color w:val="212121"/>
                <w:sz w:val="19"/>
              </w:rPr>
              <w:t>Bed/pillow shared with an infested contact</w:t>
            </w:r>
          </w:p>
        </w:tc>
        <w:tc>
          <w:tcPr>
            <w:tcW w:type="dxa" w:w="1468"/>
            <w:vAlign w:val="top"/>
          </w:tcPr>
          <w:p>
            <w:pPr>
              <w:spacing w:after="60" w:line="259" w:lineRule="auto"/>
            </w:pPr>
            <w:r>
              <w:rPr>
                <w:rFonts w:ascii="Calibri" w:hAnsi="Calibri"/>
                <w:b w:val="0"/>
                <w:i w:val="0"/>
                <w:color w:val="212121"/>
                <w:sz w:val="19"/>
              </w:rPr>
              <w:t>Co-sleeping and shared linen aid overnight transfer</w:t>
            </w:r>
          </w:p>
          <w:p>
            <w:pPr>
              <w:spacing w:after="40" w:line="252" w:lineRule="auto"/>
            </w:pPr>
            <w:hyperlink r:id="rId9">
              <w:r>
                <w:rPr>
                  <w:rFonts w:ascii="Calibri" w:hAnsi="Calibri" w:cs="Calibri"/>
                  <w:sz w:val="18"/>
                  <w:color w:val="1155CC"/>
                  <w:u w:val="single"/>
                </w:rPr>
                <w:t xml:space="preserve">https://www.cdc.gov/lice/about/head-lice.html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Household crowding (persons per room)</w:t>
            </w:r>
          </w:p>
        </w:tc>
        <w:tc>
          <w:tcPr>
            <w:tcW w:type="dxa" w:w="1655"/>
            <w:vAlign w:val="top"/>
          </w:tcPr>
          <w:p>
            <w:pPr>
              <w:spacing w:after="40" w:before="0" w:line="259" w:lineRule="auto"/>
            </w:pPr>
            <w:r>
              <w:rPr>
                <w:rFonts w:ascii="Calibri" w:hAnsi="Calibri"/>
                <w:b w:val="0"/>
                <w:i w:val="0"/>
                <w:color w:val="212121"/>
                <w:sz w:val="19"/>
              </w:rPr>
              <w:t>Large / crowded households</w:t>
            </w:r>
          </w:p>
        </w:tc>
        <w:tc>
          <w:tcPr>
            <w:tcW w:type="dxa" w:w="1512"/>
            <w:vAlign w:val="top"/>
          </w:tcPr>
          <w:p>
            <w:pPr>
              <w:spacing w:after="40" w:before="0" w:line="259" w:lineRule="auto"/>
            </w:pPr>
            <w:r>
              <w:rPr>
                <w:rFonts w:ascii="Calibri" w:hAnsi="Calibri"/>
                <w:b w:val="0"/>
                <w:i w:val="0"/>
                <w:color w:val="212121"/>
                <w:sz w:val="19"/>
              </w:rPr>
              <w:t>Fewer than 2 persons per room</w:t>
            </w:r>
          </w:p>
        </w:tc>
        <w:tc>
          <w:tcPr>
            <w:tcW w:type="dxa" w:w="1512"/>
            <w:vAlign w:val="top"/>
          </w:tcPr>
          <w:p>
            <w:pPr>
              <w:spacing w:after="40" w:before="0" w:line="259" w:lineRule="auto"/>
            </w:pPr>
            <w:r>
              <w:rPr>
                <w:rFonts w:ascii="Calibri" w:hAnsi="Calibri"/>
                <w:b w:val="0"/>
                <w:i w:val="0"/>
                <w:color w:val="212121"/>
                <w:sz w:val="19"/>
              </w:rPr>
              <w:t>3 or more persons per room</w:t>
            </w:r>
          </w:p>
        </w:tc>
        <w:tc>
          <w:tcPr>
            <w:tcW w:type="dxa" w:w="1468"/>
            <w:vAlign w:val="top"/>
          </w:tcPr>
          <w:p>
            <w:pPr>
              <w:spacing w:after="40" w:before="0" w:line="259" w:lineRule="auto"/>
            </w:pPr>
            <w:r>
              <w:rPr>
                <w:rFonts w:ascii="Calibri" w:hAnsi="Calibri"/>
                <w:b w:val="0"/>
                <w:i w:val="0"/>
                <w:color w:val="212121"/>
                <w:sz w:val="19"/>
              </w:rPr>
              <w:t>Overcrowding sustains close-contact transmission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Infested contacts screened &amp; treated</w:t>
            </w:r>
          </w:p>
        </w:tc>
        <w:tc>
          <w:tcPr>
            <w:tcW w:type="dxa" w:w="1655"/>
            <w:vAlign w:val="top"/>
          </w:tcPr>
          <w:p>
            <w:pPr>
              <w:spacing w:after="40" w:before="0" w:line="259" w:lineRule="auto"/>
            </w:pPr>
            <w:r>
              <w:rPr>
                <w:rFonts w:ascii="Calibri" w:hAnsi="Calibri"/>
                <w:b w:val="0"/>
                <w:i w:val="0"/>
                <w:color w:val="212121"/>
                <w:sz w:val="19"/>
              </w:rPr>
              <w:t>Household &amp; classroom contacts</w:t>
            </w:r>
          </w:p>
        </w:tc>
        <w:tc>
          <w:tcPr>
            <w:tcW w:type="dxa" w:w="1512"/>
            <w:vAlign w:val="top"/>
          </w:tcPr>
          <w:p>
            <w:pPr>
              <w:spacing w:after="40" w:before="0" w:line="259" w:lineRule="auto"/>
            </w:pPr>
            <w:r>
              <w:rPr>
                <w:rFonts w:ascii="Calibri" w:hAnsi="Calibri"/>
                <w:b w:val="0"/>
                <w:i w:val="0"/>
                <w:color w:val="212121"/>
                <w:sz w:val="19"/>
              </w:rPr>
              <w:t>All close contacts checked and treated on the same day</w:t>
            </w:r>
          </w:p>
        </w:tc>
        <w:tc>
          <w:tcPr>
            <w:tcW w:type="dxa" w:w="1512"/>
            <w:vAlign w:val="top"/>
          </w:tcPr>
          <w:p>
            <w:pPr>
              <w:spacing w:after="40" w:before="0" w:line="259" w:lineRule="auto"/>
            </w:pPr>
            <w:r>
              <w:rPr>
                <w:rFonts w:ascii="Calibri" w:hAnsi="Calibri"/>
                <w:b w:val="0"/>
                <w:i w:val="0"/>
                <w:color w:val="212121"/>
                <w:sz w:val="19"/>
              </w:rPr>
              <w:t>One or more untreated infested contacts remain</w:t>
            </w:r>
          </w:p>
        </w:tc>
        <w:tc>
          <w:tcPr>
            <w:tcW w:type="dxa" w:w="1468"/>
            <w:vAlign w:val="top"/>
          </w:tcPr>
          <w:p>
            <w:pPr>
              <w:spacing w:after="60" w:line="259" w:lineRule="auto"/>
            </w:pPr>
            <w:r>
              <w:rPr>
                <w:rFonts w:ascii="Calibri" w:hAnsi="Calibri"/>
                <w:b w:val="0"/>
                <w:i w:val="0"/>
                <w:color w:val="212121"/>
                <w:sz w:val="19"/>
              </w:rPr>
              <w:t>Untreated contacts drive “ping-pong” re-infestation</w:t>
            </w:r>
          </w:p>
          <w:p>
            <w:pPr>
              <w:spacing w:after="40" w:line="252" w:lineRule="auto"/>
            </w:pPr>
            <w:hyperlink r:id="rId9">
              <w:r>
                <w:rPr>
                  <w:rFonts w:ascii="Calibri" w:hAnsi="Calibri" w:cs="Calibri"/>
                  <w:sz w:val="18"/>
                  <w:color w:val="1155CC"/>
                  <w:u w:val="single"/>
                </w:rPr>
                <w:t xml:space="preserve">https://www.cdc.gov/lice/about/head-lice.html</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Hot-washing of bedding, clothing &amp; headwear</w:t>
            </w:r>
          </w:p>
        </w:tc>
        <w:tc>
          <w:tcPr>
            <w:tcW w:type="dxa" w:w="1655"/>
            <w:vAlign w:val="top"/>
          </w:tcPr>
          <w:p>
            <w:pPr>
              <w:spacing w:after="40" w:before="0" w:line="259" w:lineRule="auto"/>
            </w:pPr>
            <w:r>
              <w:rPr>
                <w:rFonts w:ascii="Calibri" w:hAnsi="Calibri"/>
                <w:b w:val="0"/>
                <w:i w:val="0"/>
                <w:color w:val="212121"/>
                <w:sz w:val="19"/>
              </w:rPr>
              <w:t>Households during treatment</w:t>
            </w:r>
          </w:p>
        </w:tc>
        <w:tc>
          <w:tcPr>
            <w:tcW w:type="dxa" w:w="1512"/>
            <w:vAlign w:val="top"/>
          </w:tcPr>
          <w:p>
            <w:pPr>
              <w:spacing w:after="40" w:before="0" w:line="259" w:lineRule="auto"/>
            </w:pPr>
            <w:r>
              <w:rPr>
                <w:rFonts w:ascii="Calibri" w:hAnsi="Calibri"/>
                <w:b w:val="0"/>
                <w:i w:val="0"/>
                <w:color w:val="212121"/>
                <w:sz w:val="19"/>
              </w:rPr>
              <w:t>Wash at ≥ 50–60°C or hot-tumble-dry 30 min; soak combs in hot water</w:t>
            </w:r>
          </w:p>
        </w:tc>
        <w:tc>
          <w:tcPr>
            <w:tcW w:type="dxa" w:w="1512"/>
            <w:vAlign w:val="top"/>
          </w:tcPr>
          <w:p>
            <w:pPr>
              <w:spacing w:after="40" w:before="0" w:line="259" w:lineRule="auto"/>
            </w:pPr>
            <w:r>
              <w:rPr>
                <w:rFonts w:ascii="Calibri" w:hAnsi="Calibri"/>
                <w:b w:val="0"/>
                <w:i w:val="0"/>
                <w:color w:val="212121"/>
                <w:sz w:val="19"/>
              </w:rPr>
              <w:t>No laundering of linen/headwear used in prior 48 h</w:t>
            </w:r>
          </w:p>
        </w:tc>
        <w:tc>
          <w:tcPr>
            <w:tcW w:type="dxa" w:w="1468"/>
            <w:vAlign w:val="top"/>
          </w:tcPr>
          <w:p>
            <w:pPr>
              <w:spacing w:after="60" w:line="259" w:lineRule="auto"/>
            </w:pPr>
            <w:r>
              <w:rPr>
                <w:rFonts w:ascii="Calibri" w:hAnsi="Calibri"/>
                <w:b w:val="0"/>
                <w:i w:val="0"/>
                <w:color w:val="212121"/>
                <w:sz w:val="19"/>
              </w:rPr>
              <w:t>Heat kills lice and eggs on fomites</w:t>
            </w:r>
          </w:p>
          <w:p>
            <w:pPr>
              <w:spacing w:after="40" w:line="252" w:lineRule="auto"/>
            </w:pPr>
            <w:hyperlink r:id="rId11">
              <w:r>
                <w:rPr>
                  <w:rFonts w:ascii="Calibri" w:hAnsi="Calibri" w:cs="Calibri"/>
                  <w:sz w:val="18"/>
                  <w:color w:val="1155CC"/>
                  <w:u w:val="single"/>
                </w:rPr>
                <w:t xml:space="preserve">https://ijdvl.com/pediculosis-capitis-an-update/</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(screen in heavy infestation)</w:t>
            </w:r>
          </w:p>
        </w:tc>
        <w:tc>
          <w:tcPr>
            <w:tcW w:type="dxa" w:w="1655"/>
            <w:vAlign w:val="top"/>
          </w:tcPr>
          <w:p>
            <w:pPr>
              <w:spacing w:after="40" w:before="0" w:line="259" w:lineRule="auto"/>
            </w:pPr>
            <w:r>
              <w:rPr>
                <w:rFonts w:ascii="Calibri" w:hAnsi="Calibri"/>
                <w:b w:val="0"/>
                <w:i w:val="0"/>
                <w:color w:val="212121"/>
                <w:sz w:val="19"/>
              </w:rPr>
              <w:t>Hyper-infested / symptomatic children</w:t>
            </w:r>
          </w:p>
        </w:tc>
        <w:tc>
          <w:tcPr>
            <w:tcW w:type="dxa" w:w="1512"/>
            <w:vAlign w:val="top"/>
          </w:tcPr>
          <w:p>
            <w:pPr>
              <w:spacing w:after="40" w:before="0" w:line="259" w:lineRule="auto"/>
            </w:pPr>
            <w:r>
              <w:rPr>
                <w:rFonts w:ascii="Calibri" w:hAnsi="Calibri"/>
                <w:b w:val="0"/>
                <w:i w:val="0"/>
                <w:color w:val="212121"/>
                <w:sz w:val="19"/>
              </w:rPr>
              <w:t>≥ 11–12 g/dL (age-adjusted)</w:t>
            </w:r>
          </w:p>
        </w:tc>
        <w:tc>
          <w:tcPr>
            <w:tcW w:type="dxa" w:w="1512"/>
            <w:vAlign w:val="top"/>
          </w:tcPr>
          <w:p>
            <w:pPr>
              <w:spacing w:after="40" w:before="0" w:line="259" w:lineRule="auto"/>
            </w:pPr>
            <w:r>
              <w:rPr>
                <w:rFonts w:ascii="Calibri" w:hAnsi="Calibri"/>
                <w:b w:val="0"/>
                <w:i w:val="0"/>
                <w:color w:val="212121"/>
                <w:sz w:val="19"/>
              </w:rPr>
              <w:t>&lt; 11 g/dL (anaemia)</w:t>
            </w:r>
          </w:p>
        </w:tc>
        <w:tc>
          <w:tcPr>
            <w:tcW w:type="dxa" w:w="1468"/>
            <w:vAlign w:val="top"/>
          </w:tcPr>
          <w:p>
            <w:pPr>
              <w:spacing w:after="60" w:line="259" w:lineRule="auto"/>
            </w:pPr>
            <w:r>
              <w:rPr>
                <w:rFonts w:ascii="Calibri" w:hAnsi="Calibri"/>
                <w:b w:val="0"/>
                <w:i w:val="0"/>
                <w:color w:val="212121"/>
                <w:sz w:val="19"/>
              </w:rPr>
              <w:t>Screen for iron-deficiency anaemia in heavy infestation</w:t>
            </w:r>
          </w:p>
          <w:p>
            <w:pPr>
              <w:spacing w:after="40" w:line="252" w:lineRule="auto"/>
            </w:pPr>
            <w:hyperlink r:id="rId13">
              <w:r>
                <w:rPr>
                  <w:rFonts w:ascii="Calibri" w:hAnsi="Calibri" w:cs="Calibri"/>
                  <w:sz w:val="18"/>
                  <w:color w:val="1155CC"/>
                  <w:u w:val="single"/>
                </w:rPr>
                <w:t xml:space="preserve">https://www.cureus.com/articles/80806-pediculosis-is-a-risk-factor-for-iron-deficiency-anaemia</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Itch-related sleep-disturbance nights</w:t>
            </w:r>
          </w:p>
        </w:tc>
        <w:tc>
          <w:tcPr>
            <w:tcW w:type="dxa" w:w="1655"/>
            <w:vAlign w:val="top"/>
          </w:tcPr>
          <w:p>
            <w:pPr>
              <w:spacing w:after="40" w:before="0" w:line="259" w:lineRule="auto"/>
            </w:pPr>
            <w:r>
              <w:rPr>
                <w:rFonts w:ascii="Calibri" w:hAnsi="Calibri"/>
                <w:b w:val="0"/>
                <w:i w:val="0"/>
                <w:color w:val="212121"/>
                <w:sz w:val="19"/>
              </w:rPr>
              <w:t>Symptomatic children/adolescents</w:t>
            </w:r>
          </w:p>
        </w:tc>
        <w:tc>
          <w:tcPr>
            <w:tcW w:type="dxa" w:w="1512"/>
            <w:vAlign w:val="top"/>
          </w:tcPr>
          <w:p>
            <w:pPr>
              <w:spacing w:after="40" w:before="0" w:line="259" w:lineRule="auto"/>
            </w:pPr>
            <w:r>
              <w:rPr>
                <w:rFonts w:ascii="Calibri" w:hAnsi="Calibri"/>
                <w:b w:val="0"/>
                <w:i w:val="0"/>
                <w:color w:val="212121"/>
                <w:sz w:val="19"/>
              </w:rPr>
              <w:t>0 nights/week</w:t>
            </w:r>
          </w:p>
        </w:tc>
        <w:tc>
          <w:tcPr>
            <w:tcW w:type="dxa" w:w="1512"/>
            <w:vAlign w:val="top"/>
          </w:tcPr>
          <w:p>
            <w:pPr>
              <w:spacing w:after="40" w:before="0" w:line="259" w:lineRule="auto"/>
            </w:pPr>
            <w:r>
              <w:rPr>
                <w:rFonts w:ascii="Calibri" w:hAnsi="Calibri"/>
                <w:b w:val="0"/>
                <w:i w:val="0"/>
                <w:color w:val="212121"/>
                <w:sz w:val="19"/>
              </w:rPr>
              <w:t>≥ 3 nights/week of nocturnal scalp itch</w:t>
            </w:r>
          </w:p>
        </w:tc>
        <w:tc>
          <w:tcPr>
            <w:tcW w:type="dxa" w:w="1468"/>
            <w:vAlign w:val="top"/>
          </w:tcPr>
          <w:p>
            <w:pPr>
              <w:spacing w:after="40" w:before="0" w:line="259" w:lineRule="auto"/>
            </w:pPr>
            <w:r>
              <w:rPr>
                <w:rFonts w:ascii="Calibri" w:hAnsi="Calibri"/>
                <w:b w:val="0"/>
                <w:i w:val="0"/>
                <w:color w:val="212121"/>
                <w:sz w:val="19"/>
              </w:rPr>
              <w:t>Lice feed more in the dark; disrupted sleep affects mood and school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Live louse / nymph recovery</w:t>
            </w:r>
          </w:p>
        </w:tc>
        <w:tc>
          <w:tcPr>
            <w:tcW w:type="dxa" w:w="892"/>
            <w:vAlign w:val="top"/>
          </w:tcPr>
          <w:p>
            <w:pPr>
              <w:spacing w:after="40" w:before="0" w:line="259" w:lineRule="auto"/>
            </w:pPr>
            <w:r>
              <w:rPr>
                <w:rFonts w:ascii="Calibri" w:hAnsi="Calibri"/>
                <w:b w:val="0"/>
                <w:i w:val="0"/>
                <w:color w:val="212121"/>
                <w:sz w:val="16"/>
              </w:rPr>
              <w:t>Detection (wet) combing</w:t>
            </w:r>
          </w:p>
        </w:tc>
        <w:tc>
          <w:tcPr>
            <w:tcW w:type="dxa" w:w="950"/>
            <w:vAlign w:val="top"/>
          </w:tcPr>
          <w:p>
            <w:pPr>
              <w:spacing w:after="40" w:before="0" w:line="259" w:lineRule="auto"/>
            </w:pPr>
            <w:r>
              <w:rPr>
                <w:rFonts w:ascii="Calibri" w:hAnsi="Calibri"/>
                <w:b w:val="0"/>
                <w:i w:val="0"/>
                <w:color w:val="212121"/>
                <w:sz w:val="16"/>
              </w:rPr>
              <w:t>No live lice or nymphs recovered</w:t>
            </w:r>
          </w:p>
        </w:tc>
        <w:tc>
          <w:tcPr>
            <w:tcW w:type="dxa" w:w="950"/>
            <w:vAlign w:val="top"/>
          </w:tcPr>
          <w:p>
            <w:pPr>
              <w:spacing w:after="40" w:before="0" w:line="259" w:lineRule="auto"/>
            </w:pPr>
            <w:r>
              <w:rPr>
                <w:rFonts w:ascii="Calibri" w:hAnsi="Calibri"/>
                <w:b w:val="0"/>
                <w:i w:val="0"/>
                <w:color w:val="212121"/>
                <w:sz w:val="16"/>
              </w:rPr>
              <w:t>≥ 1 live louse or nymph on the comb</w:t>
            </w:r>
          </w:p>
        </w:tc>
        <w:tc>
          <w:tcPr>
            <w:tcW w:type="dxa" w:w="1036"/>
            <w:vAlign w:val="top"/>
          </w:tcPr>
          <w:p>
            <w:pPr>
              <w:spacing w:after="40" w:before="0" w:line="259" w:lineRule="auto"/>
            </w:pPr>
            <w:r>
              <w:rPr>
                <w:rFonts w:ascii="Calibri" w:hAnsi="Calibri"/>
                <w:b w:val="0"/>
                <w:i w:val="0"/>
                <w:color w:val="212121"/>
                <w:sz w:val="16"/>
              </w:rPr>
              <w:t>Gold standard; confirms ACTIVE infestation (nits alone do not)</w:t>
            </w:r>
          </w:p>
        </w:tc>
        <w:tc>
          <w:tcPr>
            <w:tcW w:type="dxa" w:w="1036"/>
            <w:vAlign w:val="top"/>
          </w:tcPr>
          <w:p>
            <w:pPr>
              <w:spacing w:after="40" w:before="0" w:line="259" w:lineRule="auto"/>
            </w:pPr>
            <w:r>
              <w:rPr>
                <w:rFonts w:ascii="Calibri" w:hAnsi="Calibri"/>
                <w:b w:val="0"/>
                <w:i w:val="0"/>
                <w:color w:val="212121"/>
                <w:sz w:val="16"/>
              </w:rPr>
              <w:t>Schoolchildren, outbreak contacts, symptomatic children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Conditioned wet hair combed section-by-section for ~10 min; more sensitive than dry visual inspection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Nit viability / louse identification</w:t>
            </w:r>
          </w:p>
        </w:tc>
        <w:tc>
          <w:tcPr>
            <w:tcW w:type="dxa" w:w="892"/>
            <w:vAlign w:val="top"/>
          </w:tcPr>
          <w:p>
            <w:pPr>
              <w:spacing w:after="40" w:before="0" w:line="259" w:lineRule="auto"/>
            </w:pPr>
            <w:r>
              <w:rPr>
                <w:rFonts w:ascii="Calibri" w:hAnsi="Calibri"/>
                <w:b w:val="0"/>
                <w:i w:val="0"/>
                <w:color w:val="212121"/>
                <w:sz w:val="16"/>
              </w:rPr>
              <w:t>Trichoscopy / dermoscopy</w:t>
            </w:r>
          </w:p>
        </w:tc>
        <w:tc>
          <w:tcPr>
            <w:tcW w:type="dxa" w:w="950"/>
            <w:vAlign w:val="top"/>
          </w:tcPr>
          <w:p>
            <w:pPr>
              <w:spacing w:after="40" w:before="0" w:line="259" w:lineRule="auto"/>
            </w:pPr>
            <w:r>
              <w:rPr>
                <w:rFonts w:ascii="Calibri" w:hAnsi="Calibri"/>
                <w:b w:val="0"/>
                <w:i w:val="0"/>
                <w:color w:val="212121"/>
                <w:sz w:val="16"/>
              </w:rPr>
              <w:t>No lice; only empty operculated (hatched) casts</w:t>
            </w:r>
          </w:p>
        </w:tc>
        <w:tc>
          <w:tcPr>
            <w:tcW w:type="dxa" w:w="950"/>
            <w:vAlign w:val="top"/>
          </w:tcPr>
          <w:p>
            <w:pPr>
              <w:spacing w:after="40" w:before="0" w:line="259" w:lineRule="auto"/>
            </w:pPr>
            <w:r>
              <w:rPr>
                <w:rFonts w:ascii="Calibri" w:hAnsi="Calibri"/>
                <w:b w:val="0"/>
                <w:i w:val="0"/>
                <w:color w:val="212121"/>
                <w:sz w:val="16"/>
              </w:rPr>
              <w:t>Viable brown nymph-containing nits &lt; 6 mm from scalp; live louse</w:t>
            </w:r>
          </w:p>
        </w:tc>
        <w:tc>
          <w:tcPr>
            <w:tcW w:type="dxa" w:w="1036"/>
            <w:vAlign w:val="top"/>
          </w:tcPr>
          <w:p>
            <w:pPr>
              <w:spacing w:after="40" w:before="0" w:line="259" w:lineRule="auto"/>
            </w:pPr>
            <w:r>
              <w:rPr>
                <w:rFonts w:ascii="Calibri" w:hAnsi="Calibri"/>
                <w:b w:val="0"/>
                <w:i w:val="0"/>
                <w:color w:val="212121"/>
                <w:sz w:val="16"/>
              </w:rPr>
              <w:t>Differentiates viable from hatched nits and from pseudo-nits (hair casts, dandruff)</w:t>
            </w:r>
          </w:p>
        </w:tc>
        <w:tc>
          <w:tcPr>
            <w:tcW w:type="dxa" w:w="1036"/>
            <w:vAlign w:val="top"/>
          </w:tcPr>
          <w:p>
            <w:pPr>
              <w:spacing w:after="40" w:before="0" w:line="259" w:lineRule="auto"/>
            </w:pPr>
            <w:r>
              <w:rPr>
                <w:rFonts w:ascii="Calibri" w:hAnsi="Calibri"/>
                <w:b w:val="0"/>
                <w:i w:val="0"/>
                <w:color w:val="212121"/>
                <w:sz w:val="16"/>
              </w:rPr>
              <w:t>Uncertain cases, treatment monitoring</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Avoids over-treatment of residual dead nits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Wood's lamp</w:t>
            </w:r>
          </w:p>
        </w:tc>
        <w:tc>
          <w:tcPr>
            <w:tcW w:type="dxa" w:w="1036"/>
            <w:vAlign w:val="top"/>
          </w:tcPr>
          <w:p>
            <w:pPr>
              <w:spacing w:after="40" w:before="0" w:line="259" w:lineRule="auto"/>
            </w:pPr>
            <w:r>
              <w:rPr>
                <w:rFonts w:ascii="Calibri" w:hAnsi="Calibri"/>
                <w:b w:val="0"/>
                <w:i w:val="0"/>
                <w:color w:val="212121"/>
                <w:sz w:val="16"/>
              </w:rPr>
              <w:t>Nit fluorescence</w:t>
            </w:r>
          </w:p>
        </w:tc>
        <w:tc>
          <w:tcPr>
            <w:tcW w:type="dxa" w:w="892"/>
            <w:vAlign w:val="top"/>
          </w:tcPr>
          <w:p>
            <w:pPr>
              <w:spacing w:after="40" w:before="0" w:line="259" w:lineRule="auto"/>
            </w:pPr>
            <w:r>
              <w:rPr>
                <w:rFonts w:ascii="Calibri" w:hAnsi="Calibri"/>
                <w:b w:val="0"/>
                <w:i w:val="0"/>
                <w:color w:val="212121"/>
                <w:sz w:val="16"/>
              </w:rPr>
              <w:t>UV (Wood's-lamp) examination</w:t>
            </w:r>
          </w:p>
        </w:tc>
        <w:tc>
          <w:tcPr>
            <w:tcW w:type="dxa" w:w="950"/>
            <w:vAlign w:val="top"/>
          </w:tcPr>
          <w:p>
            <w:pPr>
              <w:spacing w:after="40" w:before="0" w:line="259" w:lineRule="auto"/>
            </w:pPr>
            <w:r>
              <w:rPr>
                <w:rFonts w:ascii="Calibri" w:hAnsi="Calibri"/>
                <w:b w:val="0"/>
                <w:i w:val="0"/>
                <w:color w:val="212121"/>
                <w:sz w:val="16"/>
              </w:rPr>
              <w:t>No fluorescence</w:t>
            </w:r>
          </w:p>
        </w:tc>
        <w:tc>
          <w:tcPr>
            <w:tcW w:type="dxa" w:w="950"/>
            <w:vAlign w:val="top"/>
          </w:tcPr>
          <w:p>
            <w:pPr>
              <w:spacing w:after="40" w:before="0" w:line="259" w:lineRule="auto"/>
            </w:pPr>
            <w:r>
              <w:rPr>
                <w:rFonts w:ascii="Calibri" w:hAnsi="Calibri"/>
                <w:b w:val="0"/>
                <w:i w:val="0"/>
                <w:color w:val="212121"/>
                <w:sz w:val="16"/>
              </w:rPr>
              <w:t>Nits fluoresce — live eggs pale blue-white, dead eggs grey</w:t>
            </w:r>
          </w:p>
        </w:tc>
        <w:tc>
          <w:tcPr>
            <w:tcW w:type="dxa" w:w="1036"/>
            <w:vAlign w:val="top"/>
          </w:tcPr>
          <w:p>
            <w:pPr>
              <w:spacing w:after="40" w:before="0" w:line="259" w:lineRule="auto"/>
            </w:pPr>
            <w:r>
              <w:rPr>
                <w:rFonts w:ascii="Calibri" w:hAnsi="Calibri"/>
                <w:b w:val="0"/>
                <w:i w:val="0"/>
                <w:color w:val="212121"/>
                <w:sz w:val="16"/>
              </w:rPr>
              <w:t>Rapid adjunct for mass/outbreak screening</w:t>
            </w:r>
          </w:p>
        </w:tc>
        <w:tc>
          <w:tcPr>
            <w:tcW w:type="dxa" w:w="1036"/>
            <w:vAlign w:val="top"/>
          </w:tcPr>
          <w:p>
            <w:pPr>
              <w:spacing w:after="40" w:before="0" w:line="259" w:lineRule="auto"/>
            </w:pPr>
            <w:r>
              <w:rPr>
                <w:rFonts w:ascii="Calibri" w:hAnsi="Calibri"/>
                <w:b w:val="0"/>
                <w:i w:val="0"/>
                <w:color w:val="212121"/>
                <w:sz w:val="16"/>
              </w:rPr>
              <w:t>School screening camps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Screening aid, not a stand-alone confirmatory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&amp; red-cell indices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and MCV normal for age</w:t>
            </w:r>
          </w:p>
        </w:tc>
        <w:tc>
          <w:tcPr>
            <w:tcW w:type="dxa" w:w="950"/>
            <w:vAlign w:val="top"/>
          </w:tcPr>
          <w:p>
            <w:pPr>
              <w:spacing w:after="40" w:before="0" w:line="259" w:lineRule="auto"/>
            </w:pPr>
            <w:r>
              <w:rPr>
                <w:rFonts w:ascii="Calibri" w:hAnsi="Calibri"/>
                <w:b w:val="0"/>
                <w:i w:val="0"/>
                <w:color w:val="212121"/>
                <w:sz w:val="16"/>
              </w:rPr>
              <w:t>Microcytic hypochromic anaemia (low Hb, low MCV); ± eosinophilia</w:t>
            </w:r>
          </w:p>
        </w:tc>
        <w:tc>
          <w:tcPr>
            <w:tcW w:type="dxa" w:w="1036"/>
            <w:vAlign w:val="top"/>
          </w:tcPr>
          <w:p>
            <w:pPr>
              <w:spacing w:after="40" w:before="0" w:line="259" w:lineRule="auto"/>
            </w:pPr>
            <w:r>
              <w:rPr>
                <w:rFonts w:ascii="Calibri" w:hAnsi="Calibri"/>
                <w:b w:val="0"/>
                <w:i w:val="0"/>
                <w:color w:val="212121"/>
                <w:sz w:val="16"/>
              </w:rPr>
              <w:t>Screens for infestation-related iron-deficiency anaemia in heavy load</w:t>
            </w:r>
          </w:p>
        </w:tc>
        <w:tc>
          <w:tcPr>
            <w:tcW w:type="dxa" w:w="1036"/>
            <w:vAlign w:val="top"/>
          </w:tcPr>
          <w:p>
            <w:pPr>
              <w:spacing w:after="40" w:before="0" w:line="259" w:lineRule="auto"/>
            </w:pPr>
            <w:r>
              <w:rPr>
                <w:rFonts w:ascii="Calibri" w:hAnsi="Calibri"/>
                <w:b w:val="0"/>
                <w:i w:val="0"/>
                <w:color w:val="212121"/>
                <w:sz w:val="16"/>
              </w:rPr>
              <w:t>Heavily / hyper-infested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in matted-hair / hyper-infestation or unexplained pallor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iron / ferritin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Age-appropriate iron and ferritin</w:t>
            </w:r>
          </w:p>
        </w:tc>
        <w:tc>
          <w:tcPr>
            <w:tcW w:type="dxa" w:w="950"/>
            <w:vAlign w:val="top"/>
          </w:tcPr>
          <w:p>
            <w:pPr>
              <w:spacing w:after="40" w:before="0" w:line="259" w:lineRule="auto"/>
            </w:pPr>
            <w:r>
              <w:rPr>
                <w:rFonts w:ascii="Calibri" w:hAnsi="Calibri"/>
                <w:b w:val="0"/>
                <w:i w:val="0"/>
                <w:color w:val="212121"/>
                <w:sz w:val="16"/>
              </w:rPr>
              <w:t>Low serum iron and ferritin</w:t>
            </w:r>
          </w:p>
        </w:tc>
        <w:tc>
          <w:tcPr>
            <w:tcW w:type="dxa" w:w="1036"/>
            <w:vAlign w:val="top"/>
          </w:tcPr>
          <w:p>
            <w:pPr>
              <w:spacing w:after="40" w:before="0" w:line="259" w:lineRule="auto"/>
            </w:pPr>
            <w:r>
              <w:rPr>
                <w:rFonts w:ascii="Calibri" w:hAnsi="Calibri"/>
                <w:b w:val="0"/>
                <w:i w:val="0"/>
                <w:color w:val="212121"/>
                <w:sz w:val="16"/>
              </w:rPr>
              <w:t>Confirms iron-deficiency anaemia due to chronic blood-feeding</w:t>
            </w:r>
          </w:p>
        </w:tc>
        <w:tc>
          <w:tcPr>
            <w:tcW w:type="dxa" w:w="1036"/>
            <w:vAlign w:val="top"/>
          </w:tcPr>
          <w:p>
            <w:pPr>
              <w:spacing w:after="40" w:before="0" w:line="259" w:lineRule="auto"/>
            </w:pPr>
            <w:r>
              <w:rPr>
                <w:rFonts w:ascii="Calibri" w:hAnsi="Calibri"/>
                <w:b w:val="0"/>
                <w:i w:val="0"/>
                <w:color w:val="212121"/>
                <w:sz w:val="16"/>
              </w:rPr>
              <w:t>Anaemic, heavily infested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Guides iron supplementation alongside eradication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Wound swab &amp; culture</w:t>
            </w:r>
          </w:p>
        </w:tc>
        <w:tc>
          <w:tcPr>
            <w:tcW w:type="dxa" w:w="892"/>
            <w:vAlign w:val="top"/>
          </w:tcPr>
          <w:p>
            <w:pPr>
              <w:spacing w:after="40" w:before="0" w:line="259" w:lineRule="auto"/>
            </w:pPr>
            <w:r>
              <w:rPr>
                <w:rFonts w:ascii="Calibri" w:hAnsi="Calibri"/>
                <w:b w:val="0"/>
                <w:i w:val="0"/>
                <w:color w:val="212121"/>
                <w:sz w:val="16"/>
              </w:rPr>
              <w:t>Bacterial swab of weeping scalp lesions</w:t>
            </w:r>
          </w:p>
        </w:tc>
        <w:tc>
          <w:tcPr>
            <w:tcW w:type="dxa" w:w="950"/>
            <w:vAlign w:val="top"/>
          </w:tcPr>
          <w:p>
            <w:pPr>
              <w:spacing w:after="40" w:before="0" w:line="259" w:lineRule="auto"/>
            </w:pPr>
            <w:r>
              <w:rPr>
                <w:rFonts w:ascii="Calibri" w:hAnsi="Calibri"/>
                <w:b w:val="0"/>
                <w:i w:val="0"/>
                <w:color w:val="212121"/>
                <w:sz w:val="16"/>
              </w:rPr>
              <w:t>No pathogen / normal skin flora</w:t>
            </w:r>
          </w:p>
        </w:tc>
        <w:tc>
          <w:tcPr>
            <w:tcW w:type="dxa" w:w="950"/>
            <w:vAlign w:val="top"/>
          </w:tcPr>
          <w:p>
            <w:pPr>
              <w:spacing w:after="40" w:before="0" w:line="259" w:lineRule="auto"/>
            </w:pPr>
            <w:r>
              <w:rPr>
                <w:rFonts w:ascii="Calibri" w:hAnsi="Calibri"/>
                <w:b w:val="0"/>
                <w:i w:val="0"/>
                <w:color w:val="212121"/>
                <w:sz w:val="16"/>
              </w:rPr>
              <w:t>Staphylococcus aureus and/or Streptococcus pyogenes</w:t>
            </w:r>
          </w:p>
        </w:tc>
        <w:tc>
          <w:tcPr>
            <w:tcW w:type="dxa" w:w="1036"/>
            <w:vAlign w:val="top"/>
          </w:tcPr>
          <w:p>
            <w:pPr>
              <w:spacing w:after="40" w:before="0" w:line="259" w:lineRule="auto"/>
            </w:pPr>
            <w:r>
              <w:rPr>
                <w:rFonts w:ascii="Calibri" w:hAnsi="Calibri"/>
                <w:b w:val="0"/>
                <w:i w:val="0"/>
                <w:color w:val="212121"/>
                <w:sz w:val="16"/>
              </w:rPr>
              <w:t>Confirms secondary pyoderma/impetigo and guides antibiotic choice</w:t>
            </w:r>
          </w:p>
        </w:tc>
        <w:tc>
          <w:tcPr>
            <w:tcW w:type="dxa" w:w="1036"/>
            <w:vAlign w:val="top"/>
          </w:tcPr>
          <w:p>
            <w:pPr>
              <w:spacing w:after="40" w:before="0" w:line="259" w:lineRule="auto"/>
            </w:pPr>
            <w:r>
              <w:rPr>
                <w:rFonts w:ascii="Calibri" w:hAnsi="Calibri"/>
                <w:b w:val="0"/>
                <w:i w:val="0"/>
                <w:color w:val="212121"/>
                <w:sz w:val="16"/>
              </w:rPr>
              <w:t>Children with crusted, infected excoriations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When infected</w:t>
            </w:r>
          </w:p>
        </w:tc>
        <w:tc>
          <w:tcPr>
            <w:tcW w:type="dxa" w:w="720"/>
            <w:vAlign w:val="top"/>
          </w:tcPr>
          <w:p>
            <w:pPr>
              <w:spacing w:after="40" w:before="0" w:line="259" w:lineRule="auto"/>
            </w:pPr>
            <w:r>
              <w:rPr>
                <w:rFonts w:ascii="Calibri" w:hAnsi="Calibri"/>
                <w:b w:val="0"/>
                <w:i w:val="0"/>
                <w:color w:val="212121"/>
                <w:sz w:val="16"/>
              </w:rPr>
              <w:t>Take before starting systemic antibiotics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Scalp itching (nape and behind the ears)</w:t>
            </w:r>
          </w:p>
        </w:tc>
        <w:tc>
          <w:tcPr>
            <w:tcW w:type="dxa" w:w="950"/>
            <w:vAlign w:val="top"/>
          </w:tcPr>
          <w:p>
            <w:pPr>
              <w:spacing w:after="40" w:before="0" w:line="259" w:lineRule="auto"/>
            </w:pPr>
            <w:r>
              <w:rPr>
                <w:rFonts w:ascii="Calibri" w:hAnsi="Calibri"/>
                <w:b w:val="0"/>
                <w:i w:val="0"/>
                <w:color w:val="212121"/>
                <w:sz w:val="16"/>
              </w:rPr>
              <w:t>No pruritus</w:t>
            </w:r>
          </w:p>
        </w:tc>
        <w:tc>
          <w:tcPr>
            <w:tcW w:type="dxa" w:w="950"/>
            <w:vAlign w:val="top"/>
          </w:tcPr>
          <w:p>
            <w:pPr>
              <w:spacing w:after="40" w:before="0" w:line="259" w:lineRule="auto"/>
            </w:pPr>
            <w:r>
              <w:rPr>
                <w:rFonts w:ascii="Calibri" w:hAnsi="Calibri"/>
                <w:b w:val="0"/>
                <w:i w:val="0"/>
                <w:color w:val="212121"/>
                <w:sz w:val="16"/>
              </w:rPr>
              <w:t>Persistent occipital/retro-auricular itch, worse at night</w:t>
            </w:r>
          </w:p>
        </w:tc>
        <w:tc>
          <w:tcPr>
            <w:tcW w:type="dxa" w:w="1036"/>
            <w:vAlign w:val="top"/>
          </w:tcPr>
          <w:p>
            <w:pPr>
              <w:spacing w:after="40" w:before="0" w:line="259" w:lineRule="auto"/>
            </w:pPr>
            <w:r>
              <w:rPr>
                <w:rFonts w:ascii="Calibri" w:hAnsi="Calibri"/>
                <w:b w:val="0"/>
                <w:i w:val="0"/>
                <w:color w:val="212121"/>
                <w:sz w:val="16"/>
              </w:rPr>
              <w:t>Hallmark symptom; delayed hypersensitivity to louse saliva</w:t>
            </w:r>
          </w:p>
        </w:tc>
        <w:tc>
          <w:tcPr>
            <w:tcW w:type="dxa" w:w="1036"/>
            <w:vAlign w:val="top"/>
          </w:tcPr>
          <w:p>
            <w:pPr>
              <w:spacing w:after="40" w:before="0" w:line="259" w:lineRule="auto"/>
            </w:pPr>
            <w:r>
              <w:rPr>
                <w:rFonts w:ascii="Calibri" w:hAnsi="Calibri"/>
                <w:b w:val="0"/>
                <w:i w:val="0"/>
                <w:color w:val="212121"/>
                <w:sz w:val="16"/>
              </w:rPr>
              <w:t>Schoolchildren, adolescent girls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absent in first or early infestation (asymptomatic carrier)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&amp; sharing history</w:t>
            </w:r>
          </w:p>
        </w:tc>
        <w:tc>
          <w:tcPr>
            <w:tcW w:type="dxa" w:w="979"/>
            <w:vAlign w:val="top"/>
          </w:tcPr>
          <w:p>
            <w:pPr>
              <w:spacing w:after="40" w:before="0" w:line="259" w:lineRule="auto"/>
            </w:pPr>
            <w:r>
              <w:rPr>
                <w:rFonts w:ascii="Calibri" w:hAnsi="Calibri"/>
                <w:b w:val="0"/>
                <w:i w:val="0"/>
                <w:color w:val="212121"/>
                <w:sz w:val="16"/>
              </w:rPr>
              <w:t>Infested classmates/siblings; shared combs, headwear, beds</w:t>
            </w:r>
          </w:p>
        </w:tc>
        <w:tc>
          <w:tcPr>
            <w:tcW w:type="dxa" w:w="950"/>
            <w:vAlign w:val="top"/>
          </w:tcPr>
          <w:p>
            <w:pPr>
              <w:spacing w:after="40" w:before="0" w:line="259" w:lineRule="auto"/>
            </w:pPr>
            <w:r>
              <w:rPr>
                <w:rFonts w:ascii="Calibri" w:hAnsi="Calibri"/>
                <w:b w:val="0"/>
                <w:i w:val="0"/>
                <w:color w:val="212121"/>
                <w:sz w:val="16"/>
              </w:rPr>
              <w:t>No known contact or sharing</w:t>
            </w:r>
          </w:p>
        </w:tc>
        <w:tc>
          <w:tcPr>
            <w:tcW w:type="dxa" w:w="950"/>
            <w:vAlign w:val="top"/>
          </w:tcPr>
          <w:p>
            <w:pPr>
              <w:spacing w:after="40" w:before="0" w:line="259" w:lineRule="auto"/>
            </w:pPr>
            <w:r>
              <w:rPr>
                <w:rFonts w:ascii="Calibri" w:hAnsi="Calibri"/>
                <w:b w:val="0"/>
                <w:i w:val="0"/>
                <w:color w:val="212121"/>
                <w:sz w:val="16"/>
              </w:rPr>
              <w:t>Contact with a case or sharing of fomites</w:t>
            </w:r>
          </w:p>
        </w:tc>
        <w:tc>
          <w:tcPr>
            <w:tcW w:type="dxa" w:w="1036"/>
            <w:vAlign w:val="top"/>
          </w:tcPr>
          <w:p>
            <w:pPr>
              <w:spacing w:after="40" w:before="0" w:line="259" w:lineRule="auto"/>
            </w:pPr>
            <w:r>
              <w:rPr>
                <w:rFonts w:ascii="Calibri" w:hAnsi="Calibri"/>
                <w:b w:val="0"/>
                <w:i w:val="0"/>
                <w:color w:val="212121"/>
                <w:sz w:val="16"/>
              </w:rPr>
              <w:t>Establishes exposure and directs contact tracing/treatment</w:t>
            </w:r>
          </w:p>
        </w:tc>
        <w:tc>
          <w:tcPr>
            <w:tcW w:type="dxa" w:w="1036"/>
            <w:vAlign w:val="top"/>
          </w:tcPr>
          <w:p>
            <w:pPr>
              <w:spacing w:after="40" w:before="0" w:line="259" w:lineRule="auto"/>
            </w:pPr>
            <w:r>
              <w:rPr>
                <w:rFonts w:ascii="Calibri" w:hAnsi="Calibri"/>
                <w:b w:val="0"/>
                <w:i w:val="0"/>
                <w:color w:val="212121"/>
                <w:sz w:val="16"/>
              </w:rPr>
              <w:t>Household &amp; class contacts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siblings and bed-sharing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Scalp &amp; hair examination</w:t>
            </w:r>
          </w:p>
        </w:tc>
        <w:tc>
          <w:tcPr>
            <w:tcW w:type="dxa" w:w="979"/>
            <w:vAlign w:val="top"/>
          </w:tcPr>
          <w:p>
            <w:pPr>
              <w:spacing w:after="40" w:before="0" w:line="259" w:lineRule="auto"/>
            </w:pPr>
            <w:r>
              <w:rPr>
                <w:rFonts w:ascii="Calibri" w:hAnsi="Calibri"/>
                <w:b w:val="0"/>
                <w:i w:val="0"/>
                <w:color w:val="212121"/>
                <w:sz w:val="16"/>
              </w:rPr>
              <w:t>Live lice; nits within 6 mm of scalp (occiput, post-auricular)</w:t>
            </w:r>
          </w:p>
        </w:tc>
        <w:tc>
          <w:tcPr>
            <w:tcW w:type="dxa" w:w="950"/>
            <w:vAlign w:val="top"/>
          </w:tcPr>
          <w:p>
            <w:pPr>
              <w:spacing w:after="40" w:before="0" w:line="259" w:lineRule="auto"/>
            </w:pPr>
            <w:r>
              <w:rPr>
                <w:rFonts w:ascii="Calibri" w:hAnsi="Calibri"/>
                <w:b w:val="0"/>
                <w:i w:val="0"/>
                <w:color w:val="212121"/>
                <w:sz w:val="16"/>
              </w:rPr>
              <w:t>No lice or viable nits</w:t>
            </w:r>
          </w:p>
        </w:tc>
        <w:tc>
          <w:tcPr>
            <w:tcW w:type="dxa" w:w="950"/>
            <w:vAlign w:val="top"/>
          </w:tcPr>
          <w:p>
            <w:pPr>
              <w:spacing w:after="40" w:before="0" w:line="259" w:lineRule="auto"/>
            </w:pPr>
            <w:r>
              <w:rPr>
                <w:rFonts w:ascii="Calibri" w:hAnsi="Calibri"/>
                <w:b w:val="0"/>
                <w:i w:val="0"/>
                <w:color w:val="212121"/>
                <w:sz w:val="16"/>
              </w:rPr>
              <w:t>Live louse and/or firmly cemented viable nits</w:t>
            </w:r>
          </w:p>
        </w:tc>
        <w:tc>
          <w:tcPr>
            <w:tcW w:type="dxa" w:w="1036"/>
            <w:vAlign w:val="top"/>
          </w:tcPr>
          <w:p>
            <w:pPr>
              <w:spacing w:after="40" w:before="0" w:line="259" w:lineRule="auto"/>
            </w:pPr>
            <w:r>
              <w:rPr>
                <w:rFonts w:ascii="Calibri" w:hAnsi="Calibri"/>
                <w:b w:val="0"/>
                <w:i w:val="0"/>
                <w:color w:val="212121"/>
                <w:sz w:val="16"/>
              </w:rPr>
              <w:t>Directly confirms the diagnosis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Use bright light + magnification; part hair systematically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Secondary skin changes</w:t>
            </w:r>
          </w:p>
        </w:tc>
        <w:tc>
          <w:tcPr>
            <w:tcW w:type="dxa" w:w="979"/>
            <w:vAlign w:val="top"/>
          </w:tcPr>
          <w:p>
            <w:pPr>
              <w:spacing w:after="40" w:before="0" w:line="259" w:lineRule="auto"/>
            </w:pPr>
            <w:r>
              <w:rPr>
                <w:rFonts w:ascii="Calibri" w:hAnsi="Calibri"/>
                <w:b w:val="0"/>
                <w:i w:val="0"/>
                <w:color w:val="212121"/>
                <w:sz w:val="16"/>
              </w:rPr>
              <w:t>Excoriations, papules, pustules, honey-coloured crusts</w:t>
            </w:r>
          </w:p>
        </w:tc>
        <w:tc>
          <w:tcPr>
            <w:tcW w:type="dxa" w:w="950"/>
            <w:vAlign w:val="top"/>
          </w:tcPr>
          <w:p>
            <w:pPr>
              <w:spacing w:after="40" w:before="0" w:line="259" w:lineRule="auto"/>
            </w:pPr>
            <w:r>
              <w:rPr>
                <w:rFonts w:ascii="Calibri" w:hAnsi="Calibri"/>
                <w:b w:val="0"/>
                <w:i w:val="0"/>
                <w:color w:val="212121"/>
                <w:sz w:val="16"/>
              </w:rPr>
              <w:t>Intact, uninflamed scalp</w:t>
            </w:r>
          </w:p>
        </w:tc>
        <w:tc>
          <w:tcPr>
            <w:tcW w:type="dxa" w:w="950"/>
            <w:vAlign w:val="top"/>
          </w:tcPr>
          <w:p>
            <w:pPr>
              <w:spacing w:after="40" w:before="0" w:line="259" w:lineRule="auto"/>
            </w:pPr>
            <w:r>
              <w:rPr>
                <w:rFonts w:ascii="Calibri" w:hAnsi="Calibri"/>
                <w:b w:val="0"/>
                <w:i w:val="0"/>
                <w:color w:val="212121"/>
                <w:sz w:val="16"/>
              </w:rPr>
              <w:t>Scratch marks with impetiginised crusting</w:t>
            </w:r>
          </w:p>
        </w:tc>
        <w:tc>
          <w:tcPr>
            <w:tcW w:type="dxa" w:w="1036"/>
            <w:vAlign w:val="top"/>
          </w:tcPr>
          <w:p>
            <w:pPr>
              <w:spacing w:after="40" w:before="0" w:line="259" w:lineRule="auto"/>
            </w:pPr>
            <w:r>
              <w:rPr>
                <w:rFonts w:ascii="Calibri" w:hAnsi="Calibri"/>
                <w:b w:val="0"/>
                <w:i w:val="0"/>
                <w:color w:val="212121"/>
                <w:sz w:val="16"/>
              </w:rPr>
              <w:t>Indicates secondary bacterial infection (pyoderma/impetigo)</w:t>
            </w:r>
          </w:p>
        </w:tc>
        <w:tc>
          <w:tcPr>
            <w:tcW w:type="dxa" w:w="1036"/>
            <w:vAlign w:val="top"/>
          </w:tcPr>
          <w:p>
            <w:pPr>
              <w:spacing w:after="40" w:before="0" w:line="259" w:lineRule="auto"/>
            </w:pPr>
            <w:r>
              <w:rPr>
                <w:rFonts w:ascii="Calibri" w:hAnsi="Calibri"/>
                <w:b w:val="0"/>
                <w:i w:val="0"/>
                <w:color w:val="212121"/>
                <w:sz w:val="16"/>
              </w:rPr>
              <w:t>Chronically scratched / neglected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Severity</w:t>
            </w:r>
          </w:p>
        </w:tc>
        <w:tc>
          <w:tcPr>
            <w:tcW w:type="dxa" w:w="720"/>
            <w:vAlign w:val="top"/>
          </w:tcPr>
          <w:p>
            <w:pPr>
              <w:spacing w:after="40" w:before="0" w:line="259" w:lineRule="auto"/>
            </w:pPr>
            <w:r>
              <w:rPr>
                <w:rFonts w:ascii="Calibri" w:hAnsi="Calibri"/>
                <w:b w:val="0"/>
                <w:i w:val="0"/>
                <w:color w:val="212121"/>
                <w:sz w:val="16"/>
              </w:rPr>
              <w:t>Note matting (plica polonica) in hyper-infestation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Regional lymph nodes</w:t>
            </w:r>
          </w:p>
        </w:tc>
        <w:tc>
          <w:tcPr>
            <w:tcW w:type="dxa" w:w="979"/>
            <w:vAlign w:val="top"/>
          </w:tcPr>
          <w:p>
            <w:pPr>
              <w:spacing w:after="40" w:before="0" w:line="259" w:lineRule="auto"/>
            </w:pPr>
            <w:r>
              <w:rPr>
                <w:rFonts w:ascii="Calibri" w:hAnsi="Calibri"/>
                <w:b w:val="0"/>
                <w:i w:val="0"/>
                <w:color w:val="212121"/>
                <w:sz w:val="16"/>
              </w:rPr>
              <w:t>Occipital &amp; posterior-cervical nodes</w:t>
            </w:r>
          </w:p>
        </w:tc>
        <w:tc>
          <w:tcPr>
            <w:tcW w:type="dxa" w:w="950"/>
            <w:vAlign w:val="top"/>
          </w:tcPr>
          <w:p>
            <w:pPr>
              <w:spacing w:after="40" w:before="0" w:line="259" w:lineRule="auto"/>
            </w:pPr>
            <w:r>
              <w:rPr>
                <w:rFonts w:ascii="Calibri" w:hAnsi="Calibri"/>
                <w:b w:val="0"/>
                <w:i w:val="0"/>
                <w:color w:val="212121"/>
                <w:sz w:val="16"/>
              </w:rPr>
              <w:t>Not palpable / non-tender</w:t>
            </w:r>
          </w:p>
        </w:tc>
        <w:tc>
          <w:tcPr>
            <w:tcW w:type="dxa" w:w="950"/>
            <w:vAlign w:val="top"/>
          </w:tcPr>
          <w:p>
            <w:pPr>
              <w:spacing w:after="40" w:before="0" w:line="259" w:lineRule="auto"/>
            </w:pPr>
            <w:r>
              <w:rPr>
                <w:rFonts w:ascii="Calibri" w:hAnsi="Calibri"/>
                <w:b w:val="0"/>
                <w:i w:val="0"/>
                <w:color w:val="212121"/>
                <w:sz w:val="16"/>
              </w:rPr>
              <w:t>Tender, enlarged occipital/cervical nodes</w:t>
            </w:r>
          </w:p>
        </w:tc>
        <w:tc>
          <w:tcPr>
            <w:tcW w:type="dxa" w:w="1036"/>
            <w:vAlign w:val="top"/>
          </w:tcPr>
          <w:p>
            <w:pPr>
              <w:spacing w:after="40" w:before="0" w:line="259" w:lineRule="auto"/>
            </w:pPr>
            <w:r>
              <w:rPr>
                <w:rFonts w:ascii="Calibri" w:hAnsi="Calibri"/>
                <w:b w:val="0"/>
                <w:i w:val="0"/>
                <w:color w:val="212121"/>
                <w:sz w:val="16"/>
              </w:rPr>
              <w:t>Reactive lymphadenopathy to secondary scalp infection</w:t>
            </w:r>
          </w:p>
        </w:tc>
        <w:tc>
          <w:tcPr>
            <w:tcW w:type="dxa" w:w="1036"/>
            <w:vAlign w:val="top"/>
          </w:tcPr>
          <w:p>
            <w:pPr>
              <w:spacing w:after="40" w:before="0" w:line="259" w:lineRule="auto"/>
            </w:pPr>
            <w:r>
              <w:rPr>
                <w:rFonts w:ascii="Calibri" w:hAnsi="Calibri"/>
                <w:b w:val="0"/>
                <w:i w:val="0"/>
                <w:color w:val="212121"/>
                <w:sz w:val="16"/>
              </w:rPr>
              <w:t>Cases with pyoderma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Severity</w:t>
            </w:r>
          </w:p>
        </w:tc>
        <w:tc>
          <w:tcPr>
            <w:tcW w:type="dxa" w:w="720"/>
            <w:vAlign w:val="top"/>
          </w:tcPr>
          <w:p>
            <w:pPr>
              <w:spacing w:after="40" w:before="0" w:line="259" w:lineRule="auto"/>
            </w:pPr>
            <w:r>
              <w:rPr>
                <w:rFonts w:ascii="Calibri" w:hAnsi="Calibri"/>
                <w:b w:val="0"/>
                <w:i w:val="0"/>
                <w:color w:val="212121"/>
                <w:sz w:val="16"/>
              </w:rPr>
              <w:t>Common with impetiginised infestation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Differentiation</w:t>
            </w:r>
          </w:p>
        </w:tc>
        <w:tc>
          <w:tcPr>
            <w:tcW w:type="dxa" w:w="950"/>
            <w:vAlign w:val="top"/>
          </w:tcPr>
          <w:p>
            <w:pPr>
              <w:spacing w:after="40" w:before="0" w:line="259" w:lineRule="auto"/>
            </w:pPr>
            <w:r>
              <w:rPr>
                <w:rFonts w:ascii="Calibri" w:hAnsi="Calibri"/>
                <w:b w:val="0"/>
                <w:i w:val="0"/>
                <w:color w:val="212121"/>
                <w:sz w:val="16"/>
              </w:rPr>
              <w:t>Nit vs pseudo-nit test</w:t>
            </w:r>
          </w:p>
        </w:tc>
        <w:tc>
          <w:tcPr>
            <w:tcW w:type="dxa" w:w="979"/>
            <w:vAlign w:val="top"/>
          </w:tcPr>
          <w:p>
            <w:pPr>
              <w:spacing w:after="40" w:before="0" w:line="259" w:lineRule="auto"/>
            </w:pPr>
            <w:r>
              <w:rPr>
                <w:rFonts w:ascii="Calibri" w:hAnsi="Calibri"/>
                <w:b w:val="0"/>
                <w:i w:val="0"/>
                <w:color w:val="212121"/>
                <w:sz w:val="16"/>
              </w:rPr>
              <w:t>Adherence of white specks to the hair shaft</w:t>
            </w:r>
          </w:p>
        </w:tc>
        <w:tc>
          <w:tcPr>
            <w:tcW w:type="dxa" w:w="950"/>
            <w:vAlign w:val="top"/>
          </w:tcPr>
          <w:p>
            <w:pPr>
              <w:spacing w:after="40" w:before="0" w:line="259" w:lineRule="auto"/>
            </w:pPr>
            <w:r>
              <w:rPr>
                <w:rFonts w:ascii="Calibri" w:hAnsi="Calibri"/>
                <w:b w:val="0"/>
                <w:i w:val="0"/>
                <w:color w:val="212121"/>
                <w:sz w:val="16"/>
              </w:rPr>
              <w:t>Slides freely off shaft (dandruff / hair cast)</w:t>
            </w:r>
          </w:p>
        </w:tc>
        <w:tc>
          <w:tcPr>
            <w:tcW w:type="dxa" w:w="950"/>
            <w:vAlign w:val="top"/>
          </w:tcPr>
          <w:p>
            <w:pPr>
              <w:spacing w:after="40" w:before="0" w:line="259" w:lineRule="auto"/>
            </w:pPr>
            <w:r>
              <w:rPr>
                <w:rFonts w:ascii="Calibri" w:hAnsi="Calibri"/>
                <w:b w:val="0"/>
                <w:i w:val="0"/>
                <w:color w:val="212121"/>
                <w:sz w:val="16"/>
              </w:rPr>
              <w:t>Firmly cemented, cannot be flicked off (true nit)</w:t>
            </w:r>
          </w:p>
        </w:tc>
        <w:tc>
          <w:tcPr>
            <w:tcW w:type="dxa" w:w="1036"/>
            <w:vAlign w:val="top"/>
          </w:tcPr>
          <w:p>
            <w:pPr>
              <w:spacing w:after="40" w:before="0" w:line="259" w:lineRule="auto"/>
            </w:pPr>
            <w:r>
              <w:rPr>
                <w:rFonts w:ascii="Calibri" w:hAnsi="Calibri"/>
                <w:b w:val="0"/>
                <w:i w:val="0"/>
                <w:color w:val="212121"/>
                <w:sz w:val="16"/>
              </w:rPr>
              <w:t>Distinguishes true nits from dandruff, hair casts and debris</w:t>
            </w:r>
          </w:p>
        </w:tc>
        <w:tc>
          <w:tcPr>
            <w:tcW w:type="dxa" w:w="1036"/>
            <w:vAlign w:val="top"/>
          </w:tcPr>
          <w:p>
            <w:pPr>
              <w:spacing w:after="40" w:before="0" w:line="259" w:lineRule="auto"/>
            </w:pPr>
            <w:r>
              <w:rPr>
                <w:rFonts w:ascii="Calibri" w:hAnsi="Calibri"/>
                <w:b w:val="0"/>
                <w:i w:val="0"/>
                <w:color w:val="212121"/>
                <w:sz w:val="16"/>
              </w:rPr>
              <w:t>Uncertain / referred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Prevents unnecessary treatment of pseudo-nits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Scalp 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a delayed hypersensitivity reaction to louse saliva, often most intense at the nape and behind the ears.</w:t>
            </w:r>
          </w:p>
        </w:tc>
      </w:tr>
      <w:tr>
        <w:trPr>
          <w:cantSplit/>
        </w:trPr>
        <w:tc>
          <w:tcPr>
            <w:tcW w:type="dxa" w:w="2304"/>
            <w:vAlign w:val="top"/>
          </w:tcPr>
          <w:p>
            <w:pPr>
              <w:spacing w:after="40" w:before="0" w:line="259" w:lineRule="auto"/>
            </w:pPr>
            <w:r>
              <w:rPr>
                <w:rFonts w:ascii="Calibri" w:hAnsi="Calibri"/>
                <w:b/>
                <w:i w:val="0"/>
                <w:color w:val="212121"/>
                <w:sz w:val="19"/>
              </w:rPr>
              <w:t>Itch worse at night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Lice feed more actively in the dark, so itching and scratching typically worsen at night, disturbing sleep.</w:t>
            </w:r>
          </w:p>
        </w:tc>
      </w:tr>
      <w:tr>
        <w:trPr>
          <w:cantSplit/>
        </w:trPr>
        <w:tc>
          <w:tcPr>
            <w:tcW w:type="dxa" w:w="2304"/>
            <w:vAlign w:val="top"/>
          </w:tcPr>
          <w:p>
            <w:pPr>
              <w:spacing w:after="40" w:before="0" w:line="259" w:lineRule="auto"/>
            </w:pPr>
            <w:r>
              <w:rPr>
                <w:rFonts w:ascii="Calibri" w:hAnsi="Calibri"/>
                <w:b/>
                <w:i w:val="0"/>
                <w:color w:val="212121"/>
                <w:sz w:val="19"/>
              </w:rPr>
              <w:t>Tickling / crawling sensation on the scalp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feeling of something moving in the hair as lice crawl across the scalp.</w:t>
            </w:r>
          </w:p>
        </w:tc>
      </w:tr>
      <w:tr>
        <w:trPr>
          <w:cantSplit/>
        </w:trPr>
        <w:tc>
          <w:tcPr>
            <w:tcW w:type="dxa" w:w="2304"/>
            <w:vAlign w:val="top"/>
          </w:tcPr>
          <w:p>
            <w:pPr>
              <w:spacing w:after="40" w:before="0" w:line="259" w:lineRule="auto"/>
            </w:pPr>
            <w:r>
              <w:rPr>
                <w:rFonts w:ascii="Calibri" w:hAnsi="Calibri"/>
                <w:b/>
                <w:i w:val="0"/>
                <w:color w:val="212121"/>
                <w:sz w:val="19"/>
              </w:rPr>
              <w:t>Scratching-induced sores and scabs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scratching produces excoriations and scabs, chiefly on the occiput and nape.</w:t>
            </w:r>
          </w:p>
        </w:tc>
      </w:tr>
      <w:tr>
        <w:trPr>
          <w:cantSplit/>
        </w:trPr>
        <w:tc>
          <w:tcPr>
            <w:tcW w:type="dxa" w:w="2304"/>
            <w:vAlign w:val="top"/>
          </w:tcPr>
          <w:p>
            <w:pPr>
              <w:spacing w:after="40" w:before="0" w:line="259" w:lineRule="auto"/>
            </w:pPr>
            <w:r>
              <w:rPr>
                <w:rFonts w:ascii="Calibri" w:hAnsi="Calibri"/>
                <w:b/>
                <w:i w:val="0"/>
                <w:color w:val="212121"/>
                <w:sz w:val="19"/>
              </w:rPr>
              <w:t>Irritability and restlessness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young children, from persistent itch and disturbed sleep.</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Nocturnal itching fragments sleep and can impair daytime concentration and school performance.</w:t>
            </w:r>
          </w:p>
        </w:tc>
      </w:tr>
      <w:tr>
        <w:trPr>
          <w:cantSplit/>
        </w:trPr>
        <w:tc>
          <w:tcPr>
            <w:tcW w:type="dxa" w:w="2304"/>
            <w:vAlign w:val="top"/>
          </w:tcPr>
          <w:p>
            <w:pPr>
              <w:spacing w:after="40" w:before="0" w:line="259" w:lineRule="auto"/>
            </w:pPr>
            <w:r>
              <w:rPr>
                <w:rFonts w:ascii="Calibri" w:hAnsi="Calibri"/>
                <w:b/>
                <w:i w:val="0"/>
                <w:color w:val="212121"/>
                <w:sz w:val="19"/>
              </w:rPr>
              <w:t>No symptoms (asymptomatic)</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At a first infestation, itching may take 2–6 weeks to appear, so children can carry lice without symptoms.</w:t>
            </w:r>
          </w:p>
        </w:tc>
      </w:tr>
      <w:tr>
        <w:trPr>
          <w:cantSplit/>
        </w:trPr>
        <w:tc>
          <w:tcPr>
            <w:tcW w:type="dxa" w:w="2304"/>
            <w:vAlign w:val="top"/>
          </w:tcPr>
          <w:p>
            <w:pPr>
              <w:spacing w:after="40" w:before="0" w:line="259" w:lineRule="auto"/>
            </w:pPr>
            <w:r>
              <w:rPr>
                <w:rFonts w:ascii="Calibri" w:hAnsi="Calibri"/>
                <w:b/>
                <w:i w:val="0"/>
                <w:color w:val="212121"/>
                <w:sz w:val="19"/>
              </w:rPr>
              <w:t>Embarrassment and social distress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Stigma, teasing and anxiety about infestation, particularly in adolescent girls.</w:t>
            </w:r>
          </w:p>
        </w:tc>
      </w:tr>
      <w:tr>
        <w:trPr>
          <w:cantSplit/>
        </w:trPr>
        <w:tc>
          <w:tcPr>
            <w:tcW w:type="dxa" w:w="2304"/>
            <w:vAlign w:val="top"/>
          </w:tcPr>
          <w:p>
            <w:pPr>
              <w:spacing w:after="40" w:before="0" w:line="259" w:lineRule="auto"/>
            </w:pPr>
            <w:r>
              <w:rPr>
                <w:rFonts w:ascii="Calibri" w:hAnsi="Calibri"/>
                <w:b/>
                <w:i w:val="0"/>
                <w:color w:val="212121"/>
                <w:sz w:val="19"/>
              </w:rPr>
              <w:t>Weeping / crusting of the scalp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secondary bacterial infection (impetigo) of scratched skin.</w:t>
            </w:r>
          </w:p>
        </w:tc>
      </w:tr>
      <w:tr>
        <w:trPr>
          <w:cantSplit/>
        </w:trPr>
        <w:tc>
          <w:tcPr>
            <w:tcW w:type="dxa" w:w="2304"/>
            <w:vAlign w:val="top"/>
          </w:tcPr>
          <w:p>
            <w:pPr>
              <w:spacing w:after="40" w:before="0" w:line="259" w:lineRule="auto"/>
            </w:pPr>
            <w:r>
              <w:rPr>
                <w:rFonts w:ascii="Calibri" w:hAnsi="Calibri"/>
                <w:b/>
                <w:i w:val="0"/>
                <w:color w:val="212121"/>
                <w:sz w:val="19"/>
              </w:rPr>
              <w:t>Tender neck swellings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Enlarged, tender occipital/cervical lymph nodes accompanying secondary infection.</w:t>
            </w:r>
          </w:p>
        </w:tc>
      </w:tr>
      <w:tr>
        <w:trPr>
          <w:cantSplit/>
        </w:trPr>
        <w:tc>
          <w:tcPr>
            <w:tcW w:type="dxa" w:w="2304"/>
            <w:vAlign w:val="top"/>
          </w:tcPr>
          <w:p>
            <w:pPr>
              <w:spacing w:after="40" w:before="0" w:line="259" w:lineRule="auto"/>
            </w:pPr>
            <w:r>
              <w:rPr>
                <w:rFonts w:ascii="Calibri" w:hAnsi="Calibri"/>
                <w:b/>
                <w:i w:val="0"/>
                <w:color w:val="212121"/>
                <w:sz w:val="19"/>
              </w:rPr>
              <w:t>Fatigue and pallor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Only in heavy/hyper-infestation causing iron-deficiency anaemia from chronic blood loss.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Live lice on wet combing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Recovery of a moving louse or nymph on a fine-tooth comb is diagnostic of active infestation.</w:t>
            </w:r>
          </w:p>
        </w:tc>
      </w:tr>
      <w:tr>
        <w:trPr>
          <w:cantSplit/>
        </w:trPr>
        <w:tc>
          <w:tcPr>
            <w:tcW w:type="dxa" w:w="3456"/>
            <w:vAlign w:val="top"/>
          </w:tcPr>
          <w:p>
            <w:pPr>
              <w:spacing w:after="40" w:before="0" w:line="259" w:lineRule="auto"/>
            </w:pPr>
            <w:r>
              <w:rPr>
                <w:rFonts w:ascii="Calibri" w:hAnsi="Calibri"/>
                <w:b/>
                <w:i w:val="0"/>
                <w:color w:val="212121"/>
                <w:sz w:val="19"/>
              </w:rPr>
              <w:t>Nits cemented to hair shafts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Oval yellow-white eggs firmly glued within ~6 mm of the scalp, especially over the occiput and behind the ears.</w:t>
            </w:r>
          </w:p>
        </w:tc>
      </w:tr>
      <w:tr>
        <w:trPr>
          <w:cantSplit/>
        </w:trPr>
        <w:tc>
          <w:tcPr>
            <w:tcW w:type="dxa" w:w="3456"/>
            <w:vAlign w:val="top"/>
          </w:tcPr>
          <w:p>
            <w:pPr>
              <w:spacing w:after="40" w:before="0" w:line="259" w:lineRule="auto"/>
            </w:pPr>
            <w:r>
              <w:rPr>
                <w:rFonts w:ascii="Calibri" w:hAnsi="Calibri"/>
                <w:b/>
                <w:i w:val="0"/>
                <w:color w:val="212121"/>
                <w:sz w:val="19"/>
              </w:rPr>
              <w:t>Excoriation marks on scalp and nape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Linear scratch marks from persistent pruritus.</w:t>
            </w:r>
          </w:p>
        </w:tc>
      </w:tr>
      <w:tr>
        <w:trPr>
          <w:cantSplit/>
        </w:trPr>
        <w:tc>
          <w:tcPr>
            <w:tcW w:type="dxa" w:w="3456"/>
            <w:vAlign w:val="top"/>
          </w:tcPr>
          <w:p>
            <w:pPr>
              <w:spacing w:after="40" w:before="0" w:line="259" w:lineRule="auto"/>
            </w:pPr>
            <w:r>
              <w:rPr>
                <w:rFonts w:ascii="Calibri" w:hAnsi="Calibri"/>
                <w:b/>
                <w:i w:val="0"/>
                <w:color w:val="212121"/>
                <w:sz w:val="19"/>
              </w:rPr>
              <w:t>Erythematous papules on nape / behind ears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inflammatory papules at feeding and bite sites.</w:t>
            </w:r>
          </w:p>
        </w:tc>
      </w:tr>
      <w:tr>
        <w:trPr>
          <w:cantSplit/>
        </w:trPr>
        <w:tc>
          <w:tcPr>
            <w:tcW w:type="dxa" w:w="3456"/>
            <w:vAlign w:val="top"/>
          </w:tcPr>
          <w:p>
            <w:pPr>
              <w:spacing w:after="40" w:before="0" w:line="259" w:lineRule="auto"/>
            </w:pPr>
            <w:r>
              <w:rPr>
                <w:rFonts w:ascii="Calibri" w:hAnsi="Calibri"/>
                <w:b/>
                <w:i w:val="0"/>
                <w:color w:val="212121"/>
                <w:sz w:val="19"/>
              </w:rPr>
              <w:t>Secondary impetigo / pustules / honey crusts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Staphylococcus/Streptococcus superinfection of scratched skin.</w:t>
            </w:r>
          </w:p>
        </w:tc>
      </w:tr>
      <w:tr>
        <w:trPr>
          <w:cantSplit/>
        </w:trPr>
        <w:tc>
          <w:tcPr>
            <w:tcW w:type="dxa" w:w="3456"/>
            <w:vAlign w:val="top"/>
          </w:tcPr>
          <w:p>
            <w:pPr>
              <w:spacing w:after="40" w:before="0" w:line="259" w:lineRule="auto"/>
            </w:pPr>
            <w:r>
              <w:rPr>
                <w:rFonts w:ascii="Calibri" w:hAnsi="Calibri"/>
                <w:b/>
                <w:i w:val="0"/>
                <w:color w:val="212121"/>
                <w:sz w:val="19"/>
              </w:rPr>
              <w:t>Occipital &amp; posterior-cervical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enlarged regional nodes draining an infected scalp.</w:t>
            </w:r>
          </w:p>
        </w:tc>
      </w:tr>
      <w:tr>
        <w:trPr>
          <w:cantSplit/>
        </w:trPr>
        <w:tc>
          <w:tcPr>
            <w:tcW w:type="dxa" w:w="3456"/>
            <w:vAlign w:val="top"/>
          </w:tcPr>
          <w:p>
            <w:pPr>
              <w:spacing w:after="40" w:before="0" w:line="259" w:lineRule="auto"/>
            </w:pPr>
            <w:r>
              <w:rPr>
                <w:rFonts w:ascii="Calibri" w:hAnsi="Calibri"/>
                <w:b/>
                <w:i w:val="0"/>
                <w:color w:val="212121"/>
                <w:sz w:val="19"/>
              </w:rPr>
              <w:t>Matted hair (plica polonica)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Hair matted together with lice, nits, exudate and crust in severe neglected hyper-infestation.</w:t>
            </w:r>
          </w:p>
        </w:tc>
      </w:tr>
      <w:tr>
        <w:trPr>
          <w:cantSplit/>
        </w:trPr>
        <w:tc>
          <w:tcPr>
            <w:tcW w:type="dxa" w:w="3456"/>
            <w:vAlign w:val="top"/>
          </w:tcPr>
          <w:p>
            <w:pPr>
              <w:spacing w:after="40" w:before="0" w:line="259" w:lineRule="auto"/>
            </w:pPr>
            <w:r>
              <w:rPr>
                <w:rFonts w:ascii="Calibri" w:hAnsi="Calibri"/>
                <w:b/>
                <w:i w:val="0"/>
                <w:color w:val="212121"/>
                <w:sz w:val="19"/>
              </w:rPr>
              <w:t>Conjunctival / palmar pallor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sign of iron-deficiency anaemia in very heavy infestation.</w:t>
            </w:r>
          </w:p>
        </w:tc>
      </w:tr>
      <w:tr>
        <w:trPr>
          <w:cantSplit/>
        </w:trPr>
        <w:tc>
          <w:tcPr>
            <w:tcW w:type="dxa" w:w="3456"/>
            <w:vAlign w:val="top"/>
          </w:tcPr>
          <w:p>
            <w:pPr>
              <w:spacing w:after="40" w:before="0" w:line="259" w:lineRule="auto"/>
            </w:pPr>
            <w:r>
              <w:rPr>
                <w:rFonts w:ascii="Calibri" w:hAnsi="Calibri"/>
                <w:b/>
                <w:i w:val="0"/>
                <w:color w:val="212121"/>
                <w:sz w:val="19"/>
              </w:rPr>
              <w:t>Cicatricial (scarring) alopecia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Localised scarring hair loss following severe secondary pyoderma.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Intense scalp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Excoriation of the scalp and nape from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nocturnal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Localised scalp irritation and inflammation</w:t>
            </w:r>
          </w:p>
        </w:tc>
        <w:tc>
          <w:tcPr>
            <w:tcW w:type="dxa" w:w="2980"/>
            <w:vAlign w:val="top"/>
          </w:tcPr>
          <w:p>
            <w:pPr>
              <w:spacing w:after="40" w:before="0" w:line="259" w:lineRule="auto"/>
            </w:pPr>
            <w:r>
              <w:rPr>
                <w:rFonts w:ascii="Calibri" w:hAnsi="Calibri"/>
                <w:b w:val="0"/>
                <w:i w:val="0"/>
                <w:color w:val="212121"/>
                <w:sz w:val="19"/>
              </w:rPr>
              <w:t>Direct effects of infestation and the hypersensitivity response to louse saliva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 impetigo and pyoderma (Staphylococcus aureus, Streptococcus pyogenes)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Folliculitis of the scalp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Occipital and posterior-cervical lymphadenopathy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Eczematisation / autosensitisation (pediculid “id”)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in heavy or chronic infestation</w:t>
            </w:r>
          </w:p>
        </w:tc>
        <w:tc>
          <w:tcPr>
            <w:tcW w:type="dxa" w:w="2980"/>
            <w:vAlign w:val="top"/>
          </w:tcPr>
          <w:p>
            <w:pPr>
              <w:spacing w:after="40" w:before="0" w:line="259" w:lineRule="auto"/>
            </w:pPr>
            <w:r>
              <w:rPr>
                <w:rFonts w:ascii="Calibri" w:hAnsi="Calibri"/>
                <w:b w:val="0"/>
                <w:i w:val="0"/>
                <w:color w:val="212121"/>
                <w:sz w:val="19"/>
              </w:rPr>
              <w:t>Consequences of scratching, skin-barrier breach and chronic blood-feeding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and recurrent (“ping-pong”) infestation from untreated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Matted hair (plica polonica)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iron-deficiency anaemia occasionally requiring transfusion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Cicatricial alopecia from severe pyoderma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post-streptococcal sequelae of impetigo (e.g., acute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morbidity — stigma, bullying, anxiety and school absenteeism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 and institutional (school/hostel) outbreaks</w:t>
            </w:r>
          </w:p>
        </w:tc>
        <w:tc>
          <w:tcPr>
            <w:tcW w:type="dxa" w:w="2980"/>
            <w:vAlign w:val="top"/>
          </w:tcPr>
          <w:p>
            <w:pPr>
              <w:spacing w:after="40" w:before="0" w:line="259" w:lineRule="auto"/>
            </w:pPr>
            <w:r>
              <w:rPr>
                <w:rFonts w:ascii="Calibri" w:hAnsi="Calibri"/>
                <w:b w:val="0"/>
                <w:i w:val="0"/>
                <w:color w:val="212121"/>
                <w:sz w:val="19"/>
              </w:rPr>
              <w:t>Long-term, disabling or community-level outcomes of neglected or repeated infestation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Impetigo / secondary bacterial pyoderma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Scratching breaches the skin barrier, allowing Staphylococcus aureus and Streptococcus pyogenes to cause impetigo, pustules and honey-crusted lesions, often with regional lymphadenopathy.</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blood-feeding in heavy/hyper-infestation can cause microcytic hypochromic anaemia, occasionally severe enough to require transfusion; coexisting anaemia alters work-up and management.</w:t>
            </w:r>
          </w:p>
        </w:tc>
      </w:tr>
      <w:tr>
        <w:trPr>
          <w:cantSplit/>
        </w:trPr>
        <w:tc>
          <w:tcPr>
            <w:tcW w:type="dxa" w:w="2232"/>
            <w:vAlign w:val="top"/>
          </w:tcPr>
          <w:p>
            <w:pPr>
              <w:spacing w:after="40" w:before="0" w:line="259" w:lineRule="auto"/>
            </w:pPr>
            <w:r>
              <w:rPr>
                <w:rFonts w:ascii="Calibri" w:hAnsi="Calibri"/>
                <w:b/>
                <w:i w:val="0"/>
                <w:color w:val="212121"/>
                <w:sz w:val="19"/>
              </w:rPr>
              <w:t>Atopic dermatitis / eczematous scalp</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pre-existing itchy, inflamed scalp aggravates scratching and secondary infection, while overlapping pruritus can mask or mimic infestation and complicate diagnosis.</w:t>
            </w:r>
          </w:p>
        </w:tc>
      </w:tr>
      <w:tr>
        <w:trPr>
          <w:cantSplit/>
        </w:trPr>
        <w:tc>
          <w:tcPr>
            <w:tcW w:type="dxa" w:w="2232"/>
            <w:vAlign w:val="top"/>
          </w:tcPr>
          <w:p>
            <w:pPr>
              <w:spacing w:after="40" w:before="0" w:line="259" w:lineRule="auto"/>
            </w:pPr>
            <w:r>
              <w:rPr>
                <w:rFonts w:ascii="Calibri" w:hAnsi="Calibri"/>
                <w:b/>
                <w:i w:val="0"/>
                <w:color w:val="212121"/>
                <w:sz w:val="19"/>
              </w:rPr>
              <w:t>Seborrhoeic dermatitis / dandruff</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principal differential diagnosis; hair casts and dandruff (pseudo-nits) are mistaken for nits, and coexistence can delay recognition or prompt over-treatment.</w:t>
            </w:r>
          </w:p>
        </w:tc>
      </w:tr>
      <w:tr>
        <w:trPr>
          <w:cantSplit/>
        </w:trPr>
        <w:tc>
          <w:tcPr>
            <w:tcW w:type="dxa" w:w="2232"/>
            <w:vAlign w:val="top"/>
          </w:tcPr>
          <w:p>
            <w:pPr>
              <w:spacing w:after="40" w:before="0" w:line="259" w:lineRule="auto"/>
            </w:pPr>
            <w:r>
              <w:rPr>
                <w:rFonts w:ascii="Calibri" w:hAnsi="Calibri"/>
                <w:b/>
                <w:i w:val="0"/>
                <w:color w:val="212121"/>
                <w:sz w:val="19"/>
              </w:rPr>
              <w:t>Pediculid (autosensitisation) dermatitis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An id-type hypersensitivity eruption on the neck and trunk arising secondary to scalp infestation, which resolves once the lice are eradicated.</w:t>
            </w:r>
          </w:p>
        </w:tc>
      </w:tr>
      <w:tr>
        <w:trPr>
          <w:cantSplit/>
        </w:trPr>
        <w:tc>
          <w:tcPr>
            <w:tcW w:type="dxa" w:w="2232"/>
            <w:vAlign w:val="top"/>
          </w:tcPr>
          <w:p>
            <w:pPr>
              <w:spacing w:after="40" w:before="0" w:line="259" w:lineRule="auto"/>
            </w:pPr>
            <w:r>
              <w:rPr>
                <w:rFonts w:ascii="Calibri" w:hAnsi="Calibri"/>
                <w:b/>
                <w:i w:val="0"/>
                <w:color w:val="212121"/>
                <w:sz w:val="19"/>
              </w:rPr>
              <w:t>Scabies and other ectoparasitoses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the crowding and close-contact risk profile; co-infestation is common in crowded homes, hostels and institutions and warrants combined screening.</w:t>
            </w:r>
          </w:p>
        </w:tc>
      </w:tr>
      <w:tr>
        <w:trPr>
          <w:cantSplit/>
        </w:trPr>
        <w:tc>
          <w:tcPr>
            <w:tcW w:type="dxa" w:w="2232"/>
            <w:vAlign w:val="top"/>
          </w:tcPr>
          <w:p>
            <w:pPr>
              <w:spacing w:after="40" w:before="0" w:line="259" w:lineRule="auto"/>
            </w:pPr>
            <w:r>
              <w:rPr>
                <w:rFonts w:ascii="Calibri" w:hAnsi="Calibri"/>
                <w:b/>
                <w:i w:val="0"/>
                <w:color w:val="212121"/>
                <w:sz w:val="19"/>
              </w:rPr>
              <w:t>Acute post-streptococcal glomerulonephritis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Rarely, nephritogenic streptococcal strains from scratch-related impetigo can trigger post-streptococcal glomerulonephritis, altering monitoring and follow-up.</w:t>
            </w:r>
          </w:p>
        </w:tc>
      </w:tr>
      <w:tr>
        <w:trPr>
          <w:cantSplit/>
        </w:trPr>
        <w:tc>
          <w:tcPr>
            <w:tcW w:type="dxa" w:w="2232"/>
            <w:vAlign w:val="top"/>
          </w:tcPr>
          <w:p>
            <w:pPr>
              <w:spacing w:after="40" w:before="0" w:line="259" w:lineRule="auto"/>
            </w:pPr>
            <w:r>
              <w:rPr>
                <w:rFonts w:ascii="Calibri" w:hAnsi="Calibri"/>
                <w:b/>
                <w:i w:val="0"/>
                <w:color w:val="212121"/>
                <w:sz w:val="19"/>
              </w:rPr>
              <w:t>Anxiety / psychosocial distress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Embarrassment, stigma, teasing and disturbed sleep can cause anxiety and social withdrawal (especially in adolescent girls), while distress and stigma delay help-seeking and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families that head lice spread by direct head-to-head contact and are NOT a sign of dirtiness — avoid blame and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sharing of combs, hairbrushes, hair clips, ribbons, caps, helmets, scarves, towels and pillows.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parental scalp checks and detection (wet) combing, especially over the occiput and behind the ears, during school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treat all affected household members and close contacts on the SAME day to prevent re-infestation.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long hair tied back or braided at school and during play to reduce head-to-head transfer.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Teachers &amp; school nurses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Hostel wardens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Anganwadi/day-care staff</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a recommended pediculicide (permethrin 1%, or dimeticone/malathion) correctly with full scalp and hair coverage per label instructions.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 treatment after 7–10 days to kill lice newly hatched from surviving eggs.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chemical treatment with wet combing every 3–4 days until no lice are seen for two consecutive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resistant or very heavy infestation, seek medical care for oral ivermectin (avoid in children &lt; 5 years / &lt; 15 kg).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bedding, headwear and clothing used in the previous 48 hours at ≥ 50–60°C or hot-tumble-dry; soak combs and brushes in hot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unproven, flammable or toxic home remedies (kerosene, petrol, undiluted spirit) on the scalp.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index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Hostel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active outbreaks, limit head-to-head contact in group play, contact sports and group selfies.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Store caps, helmets, scarves and towels separately (own peg or locker) rather than piling them together.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Tie back or cover long hair for sports and crowded activities.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Sports/PE participants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Hostel &amp; camp residents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an iron-rich diet (green leafy vegetables, jaggery, pulses, eggs, meat, fortified cereals) to buffer against anaemia in recurrent or heavy infestation.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overall nutrition in children with chronic or repeated infestation.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Heavily/recurrently infested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hyper-infestation with documented iron-deficiency anaemia, give iron supplementation alongside lice eradication.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Re-check haemoglobin after treatment to confirm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heavily infested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bed-sharing and shared pillows with an infested person, particularly during the treatment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Hot-wash bed linen and pillowcases weekly while any household member is being treated.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Hostels &amp; boarding schools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infestation promptly to relieve nocturnal itch, which is often the main cause of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short course of an emollient or clinician-advised antihistamine for symptomatic itch to restore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sleep disturbance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Smoking does not cause or prevent head lice; however, keeping the home smoke-free reduces scalp/skin irritation and supports overall child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has no role in transmission or prevention of head lice.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apply spirit-, kerosene- or petrol-based home remedies to a child's scalp — they are flammable and toxic and do not reliably kill lice; use an approved pediculicide instead.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home remedies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the child and family that infestation is common and unrelated to cleanliness, to reduce shame and blame.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teasing, bullying and unnecessary exclusion of affected children from school.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Normalise routine screening so that finding lice is treated matter-of-factly.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Teachers &amp; peers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embarrassment, anxiety and social withdrawal supportively, especially in adolescent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discreet school/hostel notification and simultaneous treatment of contacts to stop repeated re-infestation and the distress it causes.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Affected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Girls with psychosocial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Recurrently infested children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lice/about/head-lice.html" TargetMode="External"/><Relationship Id="rId10" Type="http://schemas.openxmlformats.org/officeDocument/2006/relationships/hyperlink" Target="https://www.seejph.com/index.php/seejph/article/download/5071/3347/7724" TargetMode="External"/><Relationship Id="rId11" Type="http://schemas.openxmlformats.org/officeDocument/2006/relationships/hyperlink" Target="https://ijdvl.com/pediculosis-capitis-an-update/" TargetMode="External"/><Relationship Id="rId12" Type="http://schemas.openxmlformats.org/officeDocument/2006/relationships/hyperlink" Target="https://www.ncbi.nlm.nih.gov/books/NBK470343/" TargetMode="External"/><Relationship Id="rId13" Type="http://schemas.openxmlformats.org/officeDocument/2006/relationships/hyperlink" Target="https://www.cureus.com/articles/80806-pediculosis-is-a-risk-factor-for-iron-deficiency-anaem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