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Pemphigus Vulgaris</w:t>
      </w:r>
    </w:p>
    <w:p>
      <w:pPr>
        <w:spacing w:before="0" w:after="160"/>
      </w:pPr>
      <w:r>
        <w:rPr>
          <w:rFonts w:ascii="Calibri" w:hAnsi="Calibri"/>
          <w:b/>
          <w:i w:val="0"/>
          <w:color w:val="212121"/>
          <w:sz w:val="22"/>
        </w:rPr>
        <w:t xml:space="preserve">AKA </w:t>
      </w:r>
      <w:r>
        <w:rPr>
          <w:rFonts w:ascii="Calibri" w:hAnsi="Calibri"/>
          <w:b w:val="0"/>
          <w:i w:val="0"/>
          <w:color w:val="212121"/>
          <w:sz w:val="22"/>
        </w:rPr>
        <w:t>i.e., PV; Autoimmune intraepidermal blistering (bullous) disease; a subtype of the pemphigus group</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Pemphigus vulgaris (PV) is a chronic, potentially life-threatening autoimmune blistering disease in which IgG autoantibodies target desmoglein 3 (and, in more extensive disease, desmoglein 1) — the desmosomal proteins that bind keratinocytes together. Loss of this adhesion (acantholysis) produces flaccid intraepidermal blisters and painful, slow-healing erosions of the mucous membranes and skin, characteristically starting in the mouth. PV is the most common form of pemphigus and, if untreated, carries high mortality from fluid and protein loss, secondary sepsis and malnutrition.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Pemphigus vulgaris is disproportionately common in India compared with the West. It accounts for roughly 75–92% of all pemphigus seen in Indian dermatology clinics and forms about 0.09–1.8% of dermatology outpatient attendances, with a community incidence of about 4.4 per million population per year documented in Kerala. Indian patients also present about a decade earlier than Western patients, with roughly half of cases occurring between 21 and 40 years of age. PV makes up about 70% of all pemphigus worldwide.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PV is diagnosed by combining a compatible clinical picture with histopathology and immunofluorescence, supported by serology. The following are used together: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features: flaccid, easily ruptured bullae and chronic painful erosions, with a positive Nikolsky sign (lateral shear extends the blister) and Asboe-Hansen sign (pressure spreads an intact bulla); the oral mucosa is affected first in most patients;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Tzanck smear from a fresh blister base showing rounded acantholytic (Tzanck) cells — a rapid bedside pointer, not confirmatory;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Lesional skin/mucosa biopsy (histopathology): suprabasal intraepidermal acantholysis with a retained basal layer resembling a “row of tombstones”;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immunofluorescence (DIF) of perilesional skin: intercellular (“fishnet” / chicken-wire) deposition of IgG and C3 throughout the epidermis — the diagnostic gold standard;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Indirect immunofluorescence (IIF) on monkey oesophagus: circulating intercellular IgG, with titres broadly tracking disease activity;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ELISA for anti-desmoglein 3 (± anti-desmoglein 1) autoantibodies: confirms the diagnosis, separates mucosal from mucocutaneous disease, and is used to monitor activity and predict relapse.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PV is classified by the mucocutaneous distribution of disease — which mirrors the desmoglein-antibody profile (“desmoglein compensation” theory) — and is distinguished from the other pemphigus variants:</w:t>
      </w:r>
    </w:p>
    <w:p>
      <w:pPr>
        <w:spacing w:before="0" w:after="80"/>
      </w:pPr>
      <w:r>
        <w:rPr>
          <w:rFonts w:ascii="Calibri" w:hAnsi="Calibri"/>
          <w:b w:val="0"/>
          <w:i w:val="0"/>
          <w:color w:val="212121"/>
          <w:sz w:val="21"/>
        </w:rPr>
        <w:t>(1) Mucosal-dominant PV — anti-Dsg3 antibodies alone; painful oral/mucosal erosions with little or no skin involvement, because desmoglein 1 still supports the skin;</w:t>
      </w:r>
    </w:p>
    <w:p>
      <w:pPr>
        <w:spacing w:before="0" w:after="80"/>
      </w:pPr>
      <w:r>
        <w:rPr>
          <w:rFonts w:ascii="Calibri" w:hAnsi="Calibri"/>
          <w:b w:val="0"/>
          <w:i w:val="0"/>
          <w:color w:val="212121"/>
          <w:sz w:val="21"/>
        </w:rPr>
        <w:t>(2) Mucocutaneous PV — both anti-Dsg3 and anti-Dsg1 antibodies; widespread flaccid cutaneous blisters and erosions in addition to mucosal disease;</w:t>
      </w:r>
    </w:p>
    <w:p>
      <w:pPr>
        <w:spacing w:before="0" w:after="80"/>
      </w:pPr>
      <w:r>
        <w:rPr>
          <w:rFonts w:ascii="Calibri" w:hAnsi="Calibri"/>
          <w:b w:val="0"/>
          <w:i w:val="0"/>
          <w:color w:val="212121"/>
          <w:sz w:val="21"/>
        </w:rPr>
        <w:t>(3) Pemphigus vegetans — a hyperplastic, vegetating variant of PV favouring flexures (axillae, groin, perineum);</w:t>
      </w:r>
    </w:p>
    <w:p>
      <w:pPr>
        <w:spacing w:before="0" w:after="80"/>
      </w:pPr>
      <w:r>
        <w:rPr>
          <w:rFonts w:ascii="Calibri" w:hAnsi="Calibri"/>
          <w:b w:val="0"/>
          <w:i w:val="0"/>
          <w:color w:val="212121"/>
          <w:sz w:val="21"/>
        </w:rPr>
        <w:t>(4) Related variants separated from PV: pemphigus foliaceus (superficial, anti-Dsg1 only, spares mucosa), paraneoplastic pemphigus (with an underlying neoplasm such as Castleman disease or lymphoma), and drug-induced and IgA pemphigus.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Anti-desmoglein autoantibodies: IgG against desmoglein 3 (± desmoglein 1) disrupts desmosomal adhesion, causing suprabasal acantholysis — the central mechanism of PV.</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susceptibility (HLA): strong association with HLA class II alleles, especially HLA-DRB1*14 and HLA-DQB1*05 in Indian patients, with familial clustering in a minority.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Ethnicity: markedly higher risk in Ashkenazi Jewish, Mediterranean, Indian (especially North Indian) and Persian populations.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 triggers: thiol drugs (penicillamine, captopril) and non-thiol drugs (ACE inhibitors, cephalosporins, gliptins) can induce or unmask pemphigus.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Dietary/environmental triggers: thiol-, phenol- and allium-rich foods (garlic, onion, leek) and tannins may promote acantholysis in predisposed individuals.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Physical and other triggers: burns, ultraviolet exposure, viral infection (herpesviruses), emotional stress and pregnancy can precipitate or flare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&amp; middle-aged)</w:t>
            </w:r>
          </w:p>
        </w:tc>
        <w:tc>
          <w:tcPr>
            <w:tcW w:type="dxa" w:w="4276"/>
            <w:vAlign w:val="top"/>
          </w:tcPr>
          <w:p>
            <w:pPr>
              <w:spacing w:after="60" w:line="259" w:lineRule="auto"/>
            </w:pPr>
            <w:r>
              <w:rPr>
                <w:rFonts w:ascii="Calibri" w:hAnsi="Calibri"/>
                <w:b w:val="0"/>
                <w:i w:val="0"/>
                <w:color w:val="212121"/>
                <w:sz w:val="19"/>
              </w:rPr>
              <w:t>PV classically begins in the fourth-to-sixth decades as autoantibodies against desmoglein 3 accumulate; in India onset is a decade earlier than in the West, so economically productive young adults are heavily affected.</w:t>
            </w:r>
          </w:p>
          <w:p>
            <w:pPr>
              <w:spacing w:after="40" w:before="60" w:line="259" w:lineRule="auto"/>
            </w:pPr>
            <w:r>
              <w:rPr>
                <w:rFonts w:ascii="Calibri" w:hAnsi="Calibri"/>
                <w:b w:val="0"/>
                <w:i w:val="0"/>
                <w:color w:val="212121"/>
                <w:sz w:val="19"/>
              </w:rPr>
              <w:t>Worldwide onset is usually 30–60 years; in India about 50% of cases occur between 21 and 40 years of age, and roughly 51–56% of patients are under 40.</w:t>
            </w:r>
          </w:p>
          <w:p>
            <w:pPr>
              <w:spacing w:after="40" w:line="252" w:lineRule="auto"/>
            </w:pPr>
            <w:hyperlink r:id="rId9">
              <w:r>
                <w:rPr>
                  <w:rFonts w:ascii="Calibri" w:hAnsi="Calibri" w:cs="Calibri"/>
                  <w:sz w:val="18"/>
                  <w:color w:val="1155CC"/>
                  <w:u w:val="single"/>
                </w:rPr>
                <w:t xml:space="preserve">ijdvl.com — Pemphigus in India</w:t>
              </w:r>
            </w:hyperlink>
          </w:p>
          <w:p>
            <w:pPr>
              <w:spacing w:before="60" w:after="40"/>
            </w:pPr>
            <w:r>
              <w:rPr>
                <w:rFonts w:ascii="Calibri" w:hAnsi="Calibri"/>
                <w:b w:val="0"/>
                <w:i w:val="0"/>
                <w:color w:val="5A5A5A"/>
                <w:sz w:val="18"/>
              </w:rPr>
              <w:t>#pemphigus  #desmoglein3  #youngonset  #acantholysis  #indiafirst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tolerate the disease and its immunosuppressive treatment poorly; comorbidities plus long-term corticosteroids raise the risk of infection, diabetes, osteoporosis and death.</w:t>
            </w:r>
          </w:p>
          <w:p>
            <w:pPr>
              <w:spacing w:after="40" w:before="60" w:line="259" w:lineRule="auto"/>
            </w:pPr>
            <w:r>
              <w:rPr>
                <w:rFonts w:ascii="Calibri" w:hAnsi="Calibri"/>
                <w:b w:val="0"/>
                <w:i w:val="0"/>
                <w:color w:val="212121"/>
                <w:sz w:val="19"/>
              </w:rPr>
              <w:t>Late-onset PV carries higher mortality; despite modern therapy overall pemphigus mortality remains around 5–15%, driven largely by infection in older, treated patients.</w:t>
            </w:r>
          </w:p>
          <w:p>
            <w:pPr>
              <w:spacing w:after="40" w:line="252" w:lineRule="auto"/>
            </w:pPr>
            <w:hyperlink r:id="rId10">
              <w:r>
                <w:rPr>
                  <w:rFonts w:ascii="Calibri" w:hAnsi="Calibri" w:cs="Calibri"/>
                  <w:sz w:val="18"/>
                  <w:color w:val="1155CC"/>
                  <w:u w:val="single"/>
                </w:rPr>
                <w:t xml:space="preserve">dermnetnz.org — pemphigus vulgaris</w:t>
              </w:r>
            </w:hyperlink>
          </w:p>
          <w:p>
            <w:pPr>
              <w:spacing w:before="60" w:after="40"/>
            </w:pPr>
            <w:r>
              <w:rPr>
                <w:rFonts w:ascii="Calibri" w:hAnsi="Calibri"/>
                <w:b w:val="0"/>
                <w:i w:val="0"/>
                <w:color w:val="5A5A5A"/>
                <w:sz w:val="18"/>
              </w:rPr>
              <w:t>#elderly  #comorbidity  #steroidrisk  #sepsis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(slight predominance in Indian series)</w:t>
            </w:r>
          </w:p>
        </w:tc>
        <w:tc>
          <w:tcPr>
            <w:tcW w:type="dxa" w:w="4276"/>
            <w:vAlign w:val="top"/>
          </w:tcPr>
          <w:p>
            <w:pPr>
              <w:spacing w:after="60" w:line="259" w:lineRule="auto"/>
            </w:pPr>
            <w:r>
              <w:rPr>
                <w:rFonts w:ascii="Calibri" w:hAnsi="Calibri"/>
                <w:b w:val="0"/>
                <w:i w:val="0"/>
                <w:color w:val="212121"/>
                <w:sz w:val="19"/>
              </w:rPr>
              <w:t>PV affects both sexes; several Indian cohorts show a slight female preponderance, possibly reflecting hormonal and HLA influences on autoimmunity, though globally the sexes are roughly equally affected.</w:t>
            </w:r>
          </w:p>
          <w:p>
            <w:pPr>
              <w:spacing w:after="40" w:before="60" w:line="259" w:lineRule="auto"/>
            </w:pPr>
            <w:r>
              <w:rPr>
                <w:rFonts w:ascii="Calibri" w:hAnsi="Calibri"/>
                <w:b w:val="0"/>
                <w:i w:val="0"/>
                <w:color w:val="212121"/>
                <w:sz w:val="19"/>
              </w:rPr>
              <w:t>In an Indian HLA case-control study PV patients were 29 women to 21 men (mean age 41.3 years); international sources describe males and females as equally affected.</w:t>
            </w:r>
          </w:p>
          <w:p>
            <w:pPr>
              <w:spacing w:after="40" w:line="252" w:lineRule="auto"/>
            </w:pPr>
            <w:hyperlink r:id="rId11">
              <w:r>
                <w:rPr>
                  <w:rFonts w:ascii="Calibri" w:hAnsi="Calibri" w:cs="Calibri"/>
                  <w:sz w:val="18"/>
                  <w:color w:val="1155CC"/>
                  <w:u w:val="single"/>
                </w:rPr>
                <w:t xml:space="preserve">pubmed.ncbi.nlm.nih.gov/29582787</w:t>
              </w:r>
            </w:hyperlink>
          </w:p>
          <w:p>
            <w:pPr>
              <w:spacing w:before="60" w:after="40"/>
            </w:pPr>
            <w:r>
              <w:rPr>
                <w:rFonts w:ascii="Calibri" w:hAnsi="Calibri"/>
                <w:b w:val="0"/>
                <w:i w:val="0"/>
                <w:color w:val="5A5A5A"/>
                <w:sz w:val="18"/>
              </w:rPr>
              <w:t>#female  #autoimmunity  #hormonal  #sexratio</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(especially North Indian) descent</w:t>
            </w:r>
          </w:p>
        </w:tc>
        <w:tc>
          <w:tcPr>
            <w:tcW w:type="dxa" w:w="4276"/>
            <w:vAlign w:val="top"/>
          </w:tcPr>
          <w:p>
            <w:pPr>
              <w:spacing w:after="60" w:line="259" w:lineRule="auto"/>
            </w:pPr>
            <w:r>
              <w:rPr>
                <w:rFonts w:ascii="Calibri" w:hAnsi="Calibri"/>
                <w:b w:val="0"/>
                <w:i w:val="0"/>
                <w:color w:val="212121"/>
                <w:sz w:val="19"/>
              </w:rPr>
              <w:t>People of Indian origin carry PV-predisposing HLA class II haplotypes, so pemphigus — and PV in particular — is far more common and more often the dominant subtype than in Western populations.</w:t>
            </w:r>
          </w:p>
          <w:p>
            <w:pPr>
              <w:spacing w:after="40" w:before="60" w:line="259" w:lineRule="auto"/>
            </w:pPr>
            <w:r>
              <w:rPr>
                <w:rFonts w:ascii="Calibri" w:hAnsi="Calibri"/>
                <w:b w:val="0"/>
                <w:i w:val="0"/>
                <w:color w:val="212121"/>
                <w:sz w:val="19"/>
              </w:rPr>
              <w:t>PV forms about 75–92% of all pemphigus in Indian series; higher incidence is reported in North Indian, Ashkenazi Jewish, Mediterranean and Persian descent.</w:t>
            </w:r>
          </w:p>
          <w:p>
            <w:pPr>
              <w:spacing w:after="40" w:line="252" w:lineRule="auto"/>
            </w:pPr>
            <w:hyperlink r:id="rId12">
              <w:r>
                <w:rPr>
                  <w:rFonts w:ascii="Calibri" w:hAnsi="Calibri" w:cs="Calibri"/>
                  <w:sz w:val="18"/>
                  <w:color w:val="1155CC"/>
                  <w:u w:val="single"/>
                </w:rPr>
                <w:t xml:space="preserve">rarediseases.org — pemphigus</w:t>
              </w:r>
            </w:hyperlink>
          </w:p>
          <w:p>
            <w:pPr>
              <w:spacing w:before="60" w:after="40"/>
            </w:pPr>
            <w:r>
              <w:rPr>
                <w:rFonts w:ascii="Calibri" w:hAnsi="Calibri"/>
                <w:b w:val="0"/>
                <w:i w:val="0"/>
                <w:color w:val="5A5A5A"/>
                <w:sz w:val="18"/>
              </w:rPr>
              <w:t>#northindian  #HLA  #ethnicity  #pemphigusvulgaris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South India / Kerala community cohorts</w:t>
            </w:r>
          </w:p>
        </w:tc>
        <w:tc>
          <w:tcPr>
            <w:tcW w:type="dxa" w:w="4276"/>
            <w:vAlign w:val="top"/>
          </w:tcPr>
          <w:p>
            <w:pPr>
              <w:spacing w:after="60" w:line="259" w:lineRule="auto"/>
            </w:pPr>
            <w:r>
              <w:rPr>
                <w:rFonts w:ascii="Calibri" w:hAnsi="Calibri"/>
                <w:b w:val="0"/>
                <w:i w:val="0"/>
                <w:color w:val="212121"/>
                <w:sz w:val="19"/>
              </w:rPr>
              <w:t>Population-based data from India show a community incidence well above the roughly one-per-million reported in low-incidence Western countries, underscoring the regional burden.</w:t>
            </w:r>
          </w:p>
          <w:p>
            <w:pPr>
              <w:spacing w:after="40" w:before="60" w:line="259" w:lineRule="auto"/>
            </w:pPr>
            <w:r>
              <w:rPr>
                <w:rFonts w:ascii="Calibri" w:hAnsi="Calibri"/>
                <w:b w:val="0"/>
                <w:i w:val="0"/>
                <w:color w:val="212121"/>
                <w:sz w:val="19"/>
              </w:rPr>
              <w:t>A community study from Thrissur, Kerala documented a pemphigus incidence of about 4.4 per million population per year.</w:t>
            </w:r>
          </w:p>
          <w:p>
            <w:pPr>
              <w:spacing w:after="40" w:line="252" w:lineRule="auto"/>
            </w:pPr>
            <w:hyperlink r:id="rId9">
              <w:r>
                <w:rPr>
                  <w:rFonts w:ascii="Calibri" w:hAnsi="Calibri" w:cs="Calibri"/>
                  <w:sz w:val="18"/>
                  <w:color w:val="1155CC"/>
                  <w:u w:val="single"/>
                </w:rPr>
                <w:t xml:space="preserve">ijdvl.com — Pemphigus in India</w:t>
              </w:r>
            </w:hyperlink>
          </w:p>
          <w:p>
            <w:pPr>
              <w:spacing w:before="60" w:after="40"/>
            </w:pPr>
            <w:r>
              <w:rPr>
                <w:rFonts w:ascii="Calibri" w:hAnsi="Calibri"/>
                <w:b w:val="0"/>
                <w:i w:val="0"/>
                <w:color w:val="5A5A5A"/>
                <w:sz w:val="18"/>
              </w:rPr>
              <w:t>#kerala  #incidence  #communityburden  #southindia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Ashkenazi Jewish &amp; Mediterranean descent</w:t>
            </w:r>
          </w:p>
        </w:tc>
        <w:tc>
          <w:tcPr>
            <w:tcW w:type="dxa" w:w="4276"/>
            <w:vAlign w:val="top"/>
          </w:tcPr>
          <w:p>
            <w:pPr>
              <w:spacing w:after="60" w:line="259" w:lineRule="auto"/>
            </w:pPr>
            <w:r>
              <w:rPr>
                <w:rFonts w:ascii="Calibri" w:hAnsi="Calibri"/>
                <w:b w:val="0"/>
                <w:i w:val="0"/>
                <w:color w:val="212121"/>
                <w:sz w:val="19"/>
              </w:rPr>
              <w:t>These groups have the strongest HLA-DR4/DR14 associations with PV and among the highest recorded incidences worldwide, a useful contrast for risk stratification of migrant and mixed populations.</w:t>
            </w:r>
          </w:p>
          <w:p>
            <w:pPr>
              <w:spacing w:after="40" w:before="60" w:line="259" w:lineRule="auto"/>
            </w:pPr>
            <w:r>
              <w:rPr>
                <w:rFonts w:ascii="Calibri" w:hAnsi="Calibri"/>
                <w:b w:val="0"/>
                <w:i w:val="0"/>
                <w:color w:val="212121"/>
                <w:sz w:val="19"/>
              </w:rPr>
              <w:t>Pemphigus is described as extremely rare (about one case per million per year) in low-incidence countries but markedly commoner in Jewish, Mediterranean and Indian populations.</w:t>
            </w:r>
          </w:p>
          <w:p>
            <w:pPr>
              <w:spacing w:after="40" w:line="252" w:lineRule="auto"/>
            </w:pPr>
            <w:hyperlink r:id="rId10">
              <w:r>
                <w:rPr>
                  <w:rFonts w:ascii="Calibri" w:hAnsi="Calibri" w:cs="Calibri"/>
                  <w:sz w:val="18"/>
                  <w:color w:val="1155CC"/>
                  <w:u w:val="single"/>
                </w:rPr>
                <w:t xml:space="preserve">dermnetnz.org — pemphigus vulgaris</w:t>
              </w:r>
            </w:hyperlink>
          </w:p>
          <w:p>
            <w:pPr>
              <w:spacing w:before="60" w:after="40"/>
            </w:pPr>
            <w:r>
              <w:rPr>
                <w:rFonts w:ascii="Calibri" w:hAnsi="Calibri"/>
                <w:b w:val="0"/>
                <w:i w:val="0"/>
                <w:color w:val="5A5A5A"/>
                <w:sz w:val="18"/>
              </w:rPr>
              <w:t>#ashkenazi  #mediterranean  #HLADR4  #highrisk</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Individuals under major emotional/physical stress</w:t>
            </w:r>
          </w:p>
        </w:tc>
        <w:tc>
          <w:tcPr>
            <w:tcW w:type="dxa" w:w="4276"/>
            <w:vAlign w:val="top"/>
          </w:tcPr>
          <w:p>
            <w:pPr>
              <w:spacing w:after="60" w:line="259" w:lineRule="auto"/>
            </w:pPr>
            <w:r>
              <w:rPr>
                <w:rFonts w:ascii="Calibri" w:hAnsi="Calibri"/>
                <w:b w:val="0"/>
                <w:i w:val="0"/>
                <w:color w:val="212121"/>
                <w:sz w:val="19"/>
              </w:rPr>
              <w:t>Acute stress can precipitate onset or flares of PV through neuro-immune modulation, and the disease in turn generates high psychological morbidity, creating a vicious cycle.</w:t>
            </w:r>
          </w:p>
          <w:p>
            <w:pPr>
              <w:spacing w:after="40" w:before="60" w:line="259" w:lineRule="auto"/>
            </w:pPr>
            <w:r>
              <w:rPr>
                <w:rFonts w:ascii="Calibri" w:hAnsi="Calibri"/>
                <w:b w:val="0"/>
                <w:i w:val="0"/>
                <w:color w:val="212121"/>
                <w:sz w:val="19"/>
              </w:rPr>
              <w:t>Even in clinical remission, 38.3% of pemphigus patients had depression or anxiety, correlating with prior disease activity and hospitalisation.</w:t>
            </w:r>
          </w:p>
          <w:p>
            <w:pPr>
              <w:spacing w:after="40" w:line="252" w:lineRule="auto"/>
            </w:pPr>
            <w:hyperlink r:id="rId13">
              <w:r>
                <w:rPr>
                  <w:rFonts w:ascii="Calibri" w:hAnsi="Calibri" w:cs="Calibri"/>
                  <w:sz w:val="18"/>
                  <w:color w:val="1155CC"/>
                  <w:u w:val="single"/>
                </w:rPr>
                <w:t xml:space="preserve">pubmed.ncbi.nlm.nih.gov/34821016</w:t>
              </w:r>
            </w:hyperlink>
          </w:p>
          <w:p>
            <w:pPr>
              <w:spacing w:before="60" w:after="40"/>
            </w:pPr>
            <w:r>
              <w:rPr>
                <w:rFonts w:ascii="Calibri" w:hAnsi="Calibri"/>
                <w:b w:val="0"/>
                <w:i w:val="0"/>
                <w:color w:val="5A5A5A"/>
                <w:sz w:val="18"/>
              </w:rPr>
              <w:t>#stress  #neuroimmune  #flaretrigger  #psychodermatology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vs non-smokers (inverse epidemiology)</w:t>
            </w:r>
          </w:p>
        </w:tc>
        <w:tc>
          <w:tcPr>
            <w:tcW w:type="dxa" w:w="4276"/>
            <w:vAlign w:val="top"/>
          </w:tcPr>
          <w:p>
            <w:pPr>
              <w:spacing w:after="60" w:line="259" w:lineRule="auto"/>
            </w:pPr>
            <w:r>
              <w:rPr>
                <w:rFonts w:ascii="Calibri" w:hAnsi="Calibri"/>
                <w:b w:val="0"/>
                <w:i w:val="0"/>
                <w:color w:val="212121"/>
                <w:sz w:val="19"/>
              </w:rPr>
              <w:t>Epidemiologically PV is paradoxically less frequent in smokers — attributed to nicotinic/cholinergic effects on keratinocyte adhesion — but tobacco impairs mucosal healing and worsens overall risk, so it is never protective in practice.</w:t>
            </w:r>
          </w:p>
          <w:p>
            <w:pPr>
              <w:spacing w:after="40" w:before="60" w:line="259" w:lineRule="auto"/>
            </w:pPr>
            <w:r>
              <w:rPr>
                <w:rFonts w:ascii="Calibri" w:hAnsi="Calibri"/>
                <w:b w:val="0"/>
                <w:i w:val="0"/>
                <w:color w:val="212121"/>
                <w:sz w:val="19"/>
              </w:rPr>
              <w:t>An inverse association between smoking and pemphigus is reported; nonetheless smoking cessation is advised because it aids healing of oral and skin erosions.</w:t>
            </w:r>
          </w:p>
          <w:p>
            <w:pPr>
              <w:spacing w:before="60" w:after="40"/>
            </w:pPr>
            <w:r>
              <w:rPr>
                <w:rFonts w:ascii="Calibri" w:hAnsi="Calibri"/>
                <w:b w:val="0"/>
                <w:i w:val="0"/>
                <w:color w:val="5A5A5A"/>
                <w:sz w:val="18"/>
              </w:rPr>
              <w:t>#smoking  #nicotine  #cholinergic  #inverseassociation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Diets very high in garlic, onion &amp; leek (thiol/allium foods)</w:t>
            </w:r>
          </w:p>
        </w:tc>
        <w:tc>
          <w:tcPr>
            <w:tcW w:type="dxa" w:w="4276"/>
            <w:vAlign w:val="top"/>
          </w:tcPr>
          <w:p>
            <w:pPr>
              <w:spacing w:after="60" w:line="259" w:lineRule="auto"/>
            </w:pPr>
            <w:r>
              <w:rPr>
                <w:rFonts w:ascii="Calibri" w:hAnsi="Calibri"/>
                <w:b w:val="0"/>
                <w:i w:val="0"/>
                <w:color w:val="212121"/>
                <w:sz w:val="19"/>
              </w:rPr>
              <w:t>Allyl and thiol compounds in the allium family, and phenols/tannins in some foods, can chemically induce acantholysis and are reported to trigger or aggravate pemphigus in susceptible people.</w:t>
            </w:r>
          </w:p>
          <w:p>
            <w:pPr>
              <w:spacing w:after="40" w:before="60" w:line="259" w:lineRule="auto"/>
            </w:pPr>
            <w:r>
              <w:rPr>
                <w:rFonts w:ascii="Calibri" w:hAnsi="Calibri"/>
                <w:b w:val="0"/>
                <w:i w:val="0"/>
                <w:color w:val="212121"/>
                <w:sz w:val="19"/>
              </w:rPr>
              <w:t>Thiol-, phenol- and allium-rich foods (garlic, onion, leek) and tannins are recognised dietary acantholysis-promoting triggers in pemphigus.</w:t>
            </w:r>
          </w:p>
          <w:p>
            <w:pPr>
              <w:spacing w:before="60" w:after="40"/>
            </w:pPr>
            <w:r>
              <w:rPr>
                <w:rFonts w:ascii="Calibri" w:hAnsi="Calibri"/>
                <w:b w:val="0"/>
                <w:i w:val="0"/>
                <w:color w:val="5A5A5A"/>
                <w:sz w:val="18"/>
              </w:rPr>
              <w:t>#garlic  #onion  #thiol  #dietarytrigger  #allium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Tannin- and phenol-rich food consumers</w:t>
            </w:r>
          </w:p>
        </w:tc>
        <w:tc>
          <w:tcPr>
            <w:tcW w:type="dxa" w:w="4276"/>
            <w:vAlign w:val="top"/>
          </w:tcPr>
          <w:p>
            <w:pPr>
              <w:spacing w:after="60" w:line="259" w:lineRule="auto"/>
            </w:pPr>
            <w:r>
              <w:rPr>
                <w:rFonts w:ascii="Calibri" w:hAnsi="Calibri"/>
                <w:b w:val="0"/>
                <w:i w:val="0"/>
                <w:color w:val="212121"/>
                <w:sz w:val="19"/>
              </w:rPr>
              <w:t>Tannins (in tea, some fruits and spices) and phenolic compounds can potentiate autoantibody-driven blistering, so heavy habitual intake may lower the threshold for flares during active disease.</w:t>
            </w:r>
          </w:p>
          <w:p>
            <w:pPr>
              <w:spacing w:after="40" w:before="60" w:line="259" w:lineRule="auto"/>
            </w:pPr>
            <w:r>
              <w:rPr>
                <w:rFonts w:ascii="Calibri" w:hAnsi="Calibri"/>
                <w:b w:val="0"/>
                <w:i w:val="0"/>
                <w:color w:val="212121"/>
                <w:sz w:val="19"/>
              </w:rPr>
              <w:t>Phenol- and tannin-containing foods are listed among the environmental dietary factors implicated in pemphigus activity.</w:t>
            </w:r>
          </w:p>
          <w:p>
            <w:pPr>
              <w:spacing w:before="60" w:after="40"/>
            </w:pPr>
            <w:r>
              <w:rPr>
                <w:rFonts w:ascii="Calibri" w:hAnsi="Calibri"/>
                <w:b w:val="0"/>
                <w:i w:val="0"/>
                <w:color w:val="5A5A5A"/>
                <w:sz w:val="18"/>
              </w:rPr>
              <w:t>#tannins  #phenols  #spices  #flarefood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HLA genotype</w:t>
            </w:r>
          </w:p>
        </w:tc>
        <w:tc>
          <w:tcPr>
            <w:tcW w:type="dxa" w:w="2160"/>
            <w:vAlign w:val="top"/>
          </w:tcPr>
          <w:p>
            <w:pPr>
              <w:spacing w:after="40" w:before="0" w:line="259" w:lineRule="auto"/>
            </w:pPr>
            <w:r>
              <w:rPr>
                <w:rFonts w:ascii="Calibri" w:hAnsi="Calibri"/>
                <w:b w:val="0"/>
                <w:i w:val="0"/>
                <w:color w:val="212121"/>
                <w:sz w:val="19"/>
              </w:rPr>
              <w:t>Carriers of HLA-DRB1*14 / HLA-DQB1*05</w:t>
            </w:r>
          </w:p>
        </w:tc>
        <w:tc>
          <w:tcPr>
            <w:tcW w:type="dxa" w:w="4276"/>
            <w:vAlign w:val="top"/>
          </w:tcPr>
          <w:p>
            <w:pPr>
              <w:spacing w:after="60" w:line="259" w:lineRule="auto"/>
            </w:pPr>
            <w:r>
              <w:rPr>
                <w:rFonts w:ascii="Calibri" w:hAnsi="Calibri"/>
                <w:b w:val="0"/>
                <w:i w:val="0"/>
                <w:color w:val="212121"/>
                <w:sz w:val="19"/>
              </w:rPr>
              <w:t>These class II alleles present desmoglein peptides that drive the autoreactive T- and B-cell response, conferring a very large increase in PV susceptibility in Indian patients.</w:t>
            </w:r>
          </w:p>
          <w:p>
            <w:pPr>
              <w:spacing w:after="40" w:before="60" w:line="259" w:lineRule="auto"/>
            </w:pPr>
            <w:r>
              <w:rPr>
                <w:rFonts w:ascii="Calibri" w:hAnsi="Calibri"/>
                <w:b w:val="0"/>
                <w:i w:val="0"/>
                <w:color w:val="212121"/>
                <w:sz w:val="19"/>
              </w:rPr>
              <w:t>In Indian PV patients HLA-DRB1*14 carried an odds ratio of 27.85 (95% CI 7.57–102.42) and HLA-DQB1*05 an OR of 16.97 (95% CI 4.66–61.80); DRB1*15 and DQB1*06 were protective.</w:t>
            </w:r>
          </w:p>
          <w:p>
            <w:pPr>
              <w:spacing w:after="40" w:line="252" w:lineRule="auto"/>
            </w:pPr>
            <w:hyperlink r:id="rId11">
              <w:r>
                <w:rPr>
                  <w:rFonts w:ascii="Calibri" w:hAnsi="Calibri" w:cs="Calibri"/>
                  <w:sz w:val="18"/>
                  <w:color w:val="1155CC"/>
                  <w:u w:val="single"/>
                </w:rPr>
                <w:t xml:space="preserve">pubmed.ncbi.nlm.nih.gov/29582787</w:t>
              </w:r>
            </w:hyperlink>
          </w:p>
          <w:p>
            <w:pPr>
              <w:spacing w:before="60" w:after="40"/>
            </w:pPr>
            <w:r>
              <w:rPr>
                <w:rFonts w:ascii="Calibri" w:hAnsi="Calibri"/>
                <w:b w:val="0"/>
                <w:i w:val="0"/>
                <w:color w:val="5A5A5A"/>
                <w:sz w:val="18"/>
              </w:rPr>
              <w:t>#HLADRB1  #DQB1  #susceptibility  #autoreactiveT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PV patients</w:t>
            </w:r>
          </w:p>
        </w:tc>
        <w:tc>
          <w:tcPr>
            <w:tcW w:type="dxa" w:w="4276"/>
            <w:vAlign w:val="top"/>
          </w:tcPr>
          <w:p>
            <w:pPr>
              <w:spacing w:after="60" w:line="259" w:lineRule="auto"/>
            </w:pPr>
            <w:r>
              <w:rPr>
                <w:rFonts w:ascii="Calibri" w:hAnsi="Calibri"/>
                <w:b w:val="0"/>
                <w:i w:val="0"/>
                <w:color w:val="212121"/>
                <w:sz w:val="19"/>
              </w:rPr>
              <w:t>Shared HLA haplotypes mean relatives of affected individuals have a higher, though still low absolute, risk of PV or other autoimmune disease.</w:t>
            </w:r>
          </w:p>
          <w:p>
            <w:pPr>
              <w:spacing w:after="40" w:before="60" w:line="259" w:lineRule="auto"/>
            </w:pPr>
            <w:r>
              <w:rPr>
                <w:rFonts w:ascii="Calibri" w:hAnsi="Calibri"/>
                <w:b w:val="0"/>
                <w:i w:val="0"/>
                <w:color w:val="212121"/>
                <w:sz w:val="19"/>
              </w:rPr>
              <w:t>Familial clustering of pemphigus is documented in Indian series, consistent with the strong HLA class II associations.</w:t>
            </w:r>
          </w:p>
          <w:p>
            <w:pPr>
              <w:spacing w:after="40" w:line="252" w:lineRule="auto"/>
            </w:pPr>
            <w:hyperlink r:id="rId9">
              <w:r>
                <w:rPr>
                  <w:rFonts w:ascii="Calibri" w:hAnsi="Calibri" w:cs="Calibri"/>
                  <w:sz w:val="18"/>
                  <w:color w:val="1155CC"/>
                  <w:u w:val="single"/>
                </w:rPr>
                <w:t xml:space="preserve">ijdvl.com — Pemphigus in India</w:t>
              </w:r>
            </w:hyperlink>
          </w:p>
          <w:p>
            <w:pPr>
              <w:spacing w:before="60" w:after="40"/>
            </w:pPr>
            <w:r>
              <w:rPr>
                <w:rFonts w:ascii="Calibri" w:hAnsi="Calibri"/>
                <w:b w:val="0"/>
                <w:i w:val="0"/>
                <w:color w:val="5A5A5A"/>
                <w:sz w:val="18"/>
              </w:rPr>
              <w:t>#familyhistory  #inherited  #haplotype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Blood group</w:t>
            </w:r>
          </w:p>
        </w:tc>
        <w:tc>
          <w:tcPr>
            <w:tcW w:type="dxa" w:w="2160"/>
            <w:vAlign w:val="top"/>
          </w:tcPr>
          <w:p>
            <w:pPr>
              <w:spacing w:after="40" w:before="0" w:line="259" w:lineRule="auto"/>
            </w:pPr>
            <w:r>
              <w:rPr>
                <w:rFonts w:ascii="Calibri" w:hAnsi="Calibri"/>
                <w:b w:val="0"/>
                <w:i w:val="0"/>
                <w:color w:val="212121"/>
                <w:sz w:val="19"/>
              </w:rPr>
              <w:t>ABO blood group B individuals</w:t>
            </w:r>
          </w:p>
        </w:tc>
        <w:tc>
          <w:tcPr>
            <w:tcW w:type="dxa" w:w="4276"/>
            <w:vAlign w:val="top"/>
          </w:tcPr>
          <w:p>
            <w:pPr>
              <w:spacing w:after="60" w:line="259" w:lineRule="auto"/>
            </w:pPr>
            <w:r>
              <w:rPr>
                <w:rFonts w:ascii="Calibri" w:hAnsi="Calibri"/>
                <w:b w:val="0"/>
                <w:i w:val="0"/>
                <w:color w:val="212121"/>
                <w:sz w:val="19"/>
              </w:rPr>
              <w:t>An association between blood group B and pemphigus has been reported in Indian patients, suggesting an additional, modest genetic contribution beyond HLA.</w:t>
            </w:r>
          </w:p>
          <w:p>
            <w:pPr>
              <w:spacing w:after="40" w:before="60" w:line="259" w:lineRule="auto"/>
            </w:pPr>
            <w:r>
              <w:rPr>
                <w:rFonts w:ascii="Calibri" w:hAnsi="Calibri"/>
                <w:b w:val="0"/>
                <w:i w:val="0"/>
                <w:color w:val="212121"/>
                <w:sz w:val="19"/>
              </w:rPr>
              <w:t>ABO blood group B showed the strongest association with pemphigus among Indian patients in the reviewed data.</w:t>
            </w:r>
          </w:p>
          <w:p>
            <w:pPr>
              <w:spacing w:after="40" w:line="252" w:lineRule="auto"/>
            </w:pPr>
            <w:hyperlink r:id="rId9">
              <w:r>
                <w:rPr>
                  <w:rFonts w:ascii="Calibri" w:hAnsi="Calibri" w:cs="Calibri"/>
                  <w:sz w:val="18"/>
                  <w:color w:val="1155CC"/>
                  <w:u w:val="single"/>
                </w:rPr>
                <w:t xml:space="preserve">ijdvl.com — Pemphigus in India</w:t>
              </w:r>
            </w:hyperlink>
          </w:p>
          <w:p>
            <w:pPr>
              <w:spacing w:before="60" w:after="40"/>
            </w:pPr>
            <w:r>
              <w:rPr>
                <w:rFonts w:ascii="Calibri" w:hAnsi="Calibri"/>
                <w:b w:val="0"/>
                <w:i w:val="0"/>
                <w:color w:val="5A5A5A"/>
                <w:sz w:val="18"/>
              </w:rPr>
              <w:t>#bloodgroupB  #ABO  #geneticmarker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Patients with Hashimoto thyroiditis / hypothyroidism</w:t>
            </w:r>
          </w:p>
        </w:tc>
        <w:tc>
          <w:tcPr>
            <w:tcW w:type="dxa" w:w="4276"/>
            <w:vAlign w:val="top"/>
          </w:tcPr>
          <w:p>
            <w:pPr>
              <w:spacing w:after="60" w:line="259" w:lineRule="auto"/>
            </w:pPr>
            <w:r>
              <w:rPr>
                <w:rFonts w:ascii="Calibri" w:hAnsi="Calibri"/>
                <w:b w:val="0"/>
                <w:i w:val="0"/>
                <w:color w:val="212121"/>
                <w:sz w:val="19"/>
              </w:rPr>
              <w:t>PV shares T-cell-mediated autoimmunity and HLA background with autoimmune thyroid disease, so the two co-occur more often than expected; thyroid screening is advisable.</w:t>
            </w:r>
          </w:p>
          <w:p>
            <w:pPr>
              <w:spacing w:after="40" w:before="60" w:line="259" w:lineRule="auto"/>
            </w:pPr>
            <w:r>
              <w:rPr>
                <w:rFonts w:ascii="Calibri" w:hAnsi="Calibri"/>
                <w:b w:val="0"/>
                <w:i w:val="0"/>
                <w:color w:val="212121"/>
                <w:sz w:val="19"/>
              </w:rPr>
              <w:t>Pemphigus patients had a standardised prevalence ratio of 1.53 (95% CI 1.08–2.10) for hypothyroidism in a cross-sectional study.</w:t>
            </w:r>
          </w:p>
          <w:p>
            <w:pPr>
              <w:spacing w:after="40" w:line="252" w:lineRule="auto"/>
            </w:pPr>
            <w:hyperlink r:id="rId14">
              <w:r>
                <w:rPr>
                  <w:rFonts w:ascii="Calibri" w:hAnsi="Calibri" w:cs="Calibri"/>
                  <w:sz w:val="18"/>
                  <w:color w:val="1155CC"/>
                  <w:u w:val="single"/>
                </w:rPr>
                <w:t xml:space="preserve">pubmed.ncbi.nlm.nih.gov/25786337</w:t>
              </w:r>
            </w:hyperlink>
          </w:p>
          <w:p>
            <w:pPr>
              <w:spacing w:before="60" w:after="40"/>
            </w:pPr>
            <w:r>
              <w:rPr>
                <w:rFonts w:ascii="Calibri" w:hAnsi="Calibri"/>
                <w:b w:val="0"/>
                <w:i w:val="0"/>
                <w:color w:val="5A5A5A"/>
                <w:sz w:val="18"/>
              </w:rPr>
              <w:t>#thyroid  #hashimoto  #autoimmunity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(or predisposed to) diabetes</w:t>
            </w:r>
          </w:p>
        </w:tc>
        <w:tc>
          <w:tcPr>
            <w:tcW w:type="dxa" w:w="4276"/>
            <w:vAlign w:val="top"/>
          </w:tcPr>
          <w:p>
            <w:pPr>
              <w:spacing w:after="60" w:line="259" w:lineRule="auto"/>
            </w:pPr>
            <w:r>
              <w:rPr>
                <w:rFonts w:ascii="Calibri" w:hAnsi="Calibri"/>
                <w:b w:val="0"/>
                <w:i w:val="0"/>
                <w:color w:val="212121"/>
                <w:sz w:val="19"/>
              </w:rPr>
              <w:t>Diabetes is both an associated autoimmune-linked comorbidity and, importantly, a frequent consequence of the high-dose corticosteroids used to treat PV, complicating management.</w:t>
            </w:r>
          </w:p>
          <w:p>
            <w:pPr>
              <w:spacing w:after="40" w:before="60" w:line="259" w:lineRule="auto"/>
            </w:pPr>
            <w:r>
              <w:rPr>
                <w:rFonts w:ascii="Calibri" w:hAnsi="Calibri"/>
                <w:b w:val="0"/>
                <w:i w:val="0"/>
                <w:color w:val="212121"/>
                <w:sz w:val="19"/>
              </w:rPr>
              <w:t>Pemphigus was associated with a standardised prevalence ratio of 2.20 (95% CI 1.64–2.87) for diabetes.</w:t>
            </w:r>
          </w:p>
          <w:p>
            <w:pPr>
              <w:spacing w:after="40" w:line="252" w:lineRule="auto"/>
            </w:pPr>
            <w:hyperlink r:id="rId14">
              <w:r>
                <w:rPr>
                  <w:rFonts w:ascii="Calibri" w:hAnsi="Calibri" w:cs="Calibri"/>
                  <w:sz w:val="18"/>
                  <w:color w:val="1155CC"/>
                  <w:u w:val="single"/>
                </w:rPr>
                <w:t xml:space="preserve">pubmed.ncbi.nlm.nih.gov/25786337</w:t>
              </w:r>
            </w:hyperlink>
          </w:p>
          <w:p>
            <w:pPr>
              <w:spacing w:before="60" w:after="40"/>
            </w:pPr>
            <w:r>
              <w:rPr>
                <w:rFonts w:ascii="Calibri" w:hAnsi="Calibri"/>
                <w:b w:val="0"/>
                <w:i w:val="0"/>
                <w:color w:val="5A5A5A"/>
                <w:sz w:val="18"/>
              </w:rPr>
              <w:t>#diabetes  #steroidinduced  #comorbidity  #glucose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autoimmune disease</w:t>
            </w:r>
          </w:p>
        </w:tc>
        <w:tc>
          <w:tcPr>
            <w:tcW w:type="dxa" w:w="2160"/>
            <w:vAlign w:val="top"/>
          </w:tcPr>
          <w:p>
            <w:pPr>
              <w:spacing w:after="40" w:before="0" w:line="259" w:lineRule="auto"/>
            </w:pPr>
            <w:r>
              <w:rPr>
                <w:rFonts w:ascii="Calibri" w:hAnsi="Calibri"/>
                <w:b w:val="0"/>
                <w:i w:val="0"/>
                <w:color w:val="212121"/>
                <w:sz w:val="19"/>
              </w:rPr>
              <w:t>Patients with RA, pernicious anaemia or myasthenia gravis/thymoma</w:t>
            </w:r>
          </w:p>
        </w:tc>
        <w:tc>
          <w:tcPr>
            <w:tcW w:type="dxa" w:w="4276"/>
            <w:vAlign w:val="top"/>
          </w:tcPr>
          <w:p>
            <w:pPr>
              <w:spacing w:after="60" w:line="259" w:lineRule="auto"/>
            </w:pPr>
            <w:r>
              <w:rPr>
                <w:rFonts w:ascii="Calibri" w:hAnsi="Calibri"/>
                <w:b w:val="0"/>
                <w:i w:val="0"/>
                <w:color w:val="212121"/>
                <w:sz w:val="19"/>
              </w:rPr>
              <w:t>PV clusters with other organ-specific and systemic autoimmune diseases through shared immunogenetic mechanisms; myasthenia gravis and thymoma have a recognised link.</w:t>
            </w:r>
          </w:p>
          <w:p>
            <w:pPr>
              <w:spacing w:after="40" w:before="60" w:line="259" w:lineRule="auto"/>
            </w:pPr>
            <w:r>
              <w:rPr>
                <w:rFonts w:ascii="Calibri" w:hAnsi="Calibri"/>
                <w:b w:val="0"/>
                <w:i w:val="0"/>
                <w:color w:val="212121"/>
                <w:sz w:val="19"/>
              </w:rPr>
              <w:t>Case-control data identify cardiovascular disease, hyperlipidaemia and autoimmune thyroid disorders as prominent comorbidities of pemphigus.</w:t>
            </w:r>
          </w:p>
          <w:p>
            <w:pPr>
              <w:spacing w:after="40" w:line="252" w:lineRule="auto"/>
            </w:pPr>
            <w:hyperlink r:id="rId15">
              <w:r>
                <w:rPr>
                  <w:rFonts w:ascii="Calibri" w:hAnsi="Calibri" w:cs="Calibri"/>
                  <w:sz w:val="18"/>
                  <w:color w:val="1155CC"/>
                  <w:u w:val="single"/>
                </w:rPr>
                <w:t xml:space="preserve">pubmed.ncbi.nlm.nih.gov/34729897</w:t>
              </w:r>
            </w:hyperlink>
          </w:p>
          <w:p>
            <w:pPr>
              <w:spacing w:before="60" w:after="40"/>
            </w:pPr>
            <w:r>
              <w:rPr>
                <w:rFonts w:ascii="Calibri" w:hAnsi="Calibri"/>
                <w:b w:val="0"/>
                <w:i w:val="0"/>
                <w:color w:val="5A5A5A"/>
                <w:sz w:val="18"/>
              </w:rPr>
              <w:t>#autoimmuneoverlap  #myastheniagravis  #thymoma  #RA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painful, disfiguring chronic disease</w:t>
            </w:r>
          </w:p>
        </w:tc>
        <w:tc>
          <w:tcPr>
            <w:tcW w:type="dxa" w:w="4276"/>
            <w:vAlign w:val="top"/>
          </w:tcPr>
          <w:p>
            <w:pPr>
              <w:spacing w:after="60" w:line="259" w:lineRule="auto"/>
            </w:pPr>
            <w:r>
              <w:rPr>
                <w:rFonts w:ascii="Calibri" w:hAnsi="Calibri"/>
                <w:b w:val="0"/>
                <w:i w:val="0"/>
                <w:color w:val="212121"/>
                <w:sz w:val="19"/>
              </w:rPr>
              <w:t>Chronic pain, oral erosions interfering with eating and speaking, visible skin disease and prolonged treatment drive a heavy mental-health burden that persists even after skin remission.</w:t>
            </w:r>
          </w:p>
          <w:p>
            <w:pPr>
              <w:spacing w:after="40" w:before="60" w:line="259" w:lineRule="auto"/>
            </w:pPr>
            <w:r>
              <w:rPr>
                <w:rFonts w:ascii="Calibri" w:hAnsi="Calibri"/>
                <w:b w:val="0"/>
                <w:i w:val="0"/>
                <w:color w:val="212121"/>
                <w:sz w:val="19"/>
              </w:rPr>
              <w:t>38.3% of pemphigus patients in clinical remission had depression or anxiety (depression 30.8%, anxiety 35.5%).</w:t>
            </w:r>
          </w:p>
          <w:p>
            <w:pPr>
              <w:spacing w:after="40" w:line="252" w:lineRule="auto"/>
            </w:pPr>
            <w:hyperlink r:id="rId13">
              <w:r>
                <w:rPr>
                  <w:rFonts w:ascii="Calibri" w:hAnsi="Calibri" w:cs="Calibri"/>
                  <w:sz w:val="18"/>
                  <w:color w:val="1155CC"/>
                  <w:u w:val="single"/>
                </w:rPr>
                <w:t xml:space="preserve">pubmed.ncbi.nlm.nih.gov/34821016</w:t>
              </w:r>
            </w:hyperlink>
          </w:p>
          <w:p>
            <w:pPr>
              <w:spacing w:before="60" w:after="40"/>
            </w:pPr>
            <w:r>
              <w:rPr>
                <w:rFonts w:ascii="Calibri" w:hAnsi="Calibri"/>
                <w:b w:val="0"/>
                <w:i w:val="0"/>
                <w:color w:val="5A5A5A"/>
                <w:sz w:val="18"/>
              </w:rPr>
              <w:t>#depression  #anxiety  #qualityoflife  #psychodermatology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Latent tuberculosis</w:t>
            </w:r>
          </w:p>
        </w:tc>
        <w:tc>
          <w:tcPr>
            <w:tcW w:type="dxa" w:w="2160"/>
            <w:vAlign w:val="top"/>
          </w:tcPr>
          <w:p>
            <w:pPr>
              <w:spacing w:after="40" w:before="0" w:line="259" w:lineRule="auto"/>
            </w:pPr>
            <w:r>
              <w:rPr>
                <w:rFonts w:ascii="Calibri" w:hAnsi="Calibri"/>
                <w:b w:val="0"/>
                <w:i w:val="0"/>
                <w:color w:val="212121"/>
                <w:sz w:val="19"/>
              </w:rPr>
              <w:t>Patients starting steroids/immunosuppressants in TB-endemic India</w:t>
            </w:r>
          </w:p>
        </w:tc>
        <w:tc>
          <w:tcPr>
            <w:tcW w:type="dxa" w:w="4276"/>
            <w:vAlign w:val="top"/>
          </w:tcPr>
          <w:p>
            <w:pPr>
              <w:spacing w:after="60" w:line="259" w:lineRule="auto"/>
            </w:pPr>
            <w:r>
              <w:rPr>
                <w:rFonts w:ascii="Calibri" w:hAnsi="Calibri"/>
                <w:b w:val="0"/>
                <w:i w:val="0"/>
                <w:color w:val="212121"/>
                <w:sz w:val="19"/>
              </w:rPr>
              <w:t>High background TB prevalence in India means immunosuppression for PV can reactivate latent tuberculosis, so pre-treatment screening is a key management step.</w:t>
            </w:r>
          </w:p>
          <w:p>
            <w:pPr>
              <w:spacing w:after="40" w:before="60" w:line="259" w:lineRule="auto"/>
            </w:pPr>
            <w:r>
              <w:rPr>
                <w:rFonts w:ascii="Calibri" w:hAnsi="Calibri"/>
                <w:b w:val="0"/>
                <w:i w:val="0"/>
                <w:color w:val="212121"/>
                <w:sz w:val="19"/>
              </w:rPr>
              <w:t>Indian management guidelines emphasise infection screening (including tuberculosis) before and during immunosuppressive therapy for pemphigus.</w:t>
            </w:r>
          </w:p>
          <w:p>
            <w:pPr>
              <w:spacing w:after="40" w:line="252" w:lineRule="auto"/>
            </w:pPr>
            <w:hyperlink r:id="rId16">
              <w:r>
                <w:rPr>
                  <w:rFonts w:ascii="Calibri" w:hAnsi="Calibri" w:cs="Calibri"/>
                  <w:sz w:val="18"/>
                  <w:color w:val="1155CC"/>
                  <w:u w:val="single"/>
                </w:rPr>
                <w:t xml:space="preserve">pmc.ncbi.nlm.nih.gov — Indian PV/PF guidelines</w:t>
              </w:r>
            </w:hyperlink>
          </w:p>
          <w:p>
            <w:pPr>
              <w:spacing w:before="60" w:after="40"/>
            </w:pPr>
            <w:r>
              <w:rPr>
                <w:rFonts w:ascii="Calibri" w:hAnsi="Calibri"/>
                <w:b w:val="0"/>
                <w:i w:val="0"/>
                <w:color w:val="5A5A5A"/>
                <w:sz w:val="18"/>
              </w:rPr>
              <w:t>#tuberculosis  #immunosuppression  #screening  #indiafirst</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Activity does not cause PV, but weight-bearing exercise and muscle conditioning are important to offset corticosteroid-induced osteoporosis, myopathy and weight gain during prolonged treatment; friction/trauma to eroded skin should be avoided.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Thiol-, phenol- and allium-rich foods (garlic, onion, leek) and tannins can promote acantholysis and are reported dietary triggers; a soft, bland, high-protein diet is also needed to counter losses from erosions.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aggravates immune dysregulation and quality of life; corticosteroids commonly cause insomnia, so morning dosing and sleep hygiene help during active treatment.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Epidemiological studies show an inverse (paradoxically protective) association between smoking/nicotine and pemphigus, but tobacco impairs mucosal healing and is never recommended; cessation is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causal link to PV, but alcohol irritates oral erosions and interacts hepatotoxically with azathioprine, methotrexate and mycophenolate, so it should be limited during treatment.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Emotional stress can trigger onset and relapse, and the disease causes substantial depression/anxiety (38.3% even in remission); mental-health care is integral to management.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matters most in extensive disease, where denuded skin causes significant fluid, protein and electrolyte loss; it is supportive rather than preventive.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role in causation; hot or acidic caffeinated drinks can aggravate painful oral erosions and are best taken lukewarm and diluted during flares.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Meticulous skin wound care and gentle oral hygiene are critical to prevent secondary bacterial infection and sepsis — the leading cause of death — across eroded surfaces.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Drugs (thiols, ACE inhibitors, gliptins, penicillamine), ultraviolet light, burns, infections, emotional stress and pregnancy can precipitate or flare PV; avoidance and drug review are essential.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Anti-desmoglein 3 ELISA (index/U per mL)</w:t>
            </w:r>
          </w:p>
        </w:tc>
        <w:tc>
          <w:tcPr>
            <w:tcW w:type="dxa" w:w="1655"/>
            <w:vAlign w:val="top"/>
          </w:tcPr>
          <w:p>
            <w:pPr>
              <w:spacing w:after="40" w:before="0" w:line="259" w:lineRule="auto"/>
            </w:pPr>
            <w:r>
              <w:rPr>
                <w:rFonts w:ascii="Calibri" w:hAnsi="Calibri"/>
                <w:b w:val="0"/>
                <w:i w:val="0"/>
                <w:color w:val="212121"/>
                <w:sz w:val="19"/>
              </w:rPr>
              <w:t>PV patients (mucosal &amp; mucocutaneous)</w:t>
            </w:r>
          </w:p>
        </w:tc>
        <w:tc>
          <w:tcPr>
            <w:tcW w:type="dxa" w:w="1512"/>
            <w:vAlign w:val="top"/>
          </w:tcPr>
          <w:p>
            <w:pPr>
              <w:spacing w:after="40" w:before="0" w:line="259" w:lineRule="auto"/>
            </w:pPr>
            <w:r>
              <w:rPr>
                <w:rFonts w:ascii="Calibri" w:hAnsi="Calibri"/>
                <w:b w:val="0"/>
                <w:i w:val="0"/>
                <w:color w:val="212121"/>
                <w:sz w:val="19"/>
              </w:rPr>
              <w:t>&lt; 20 (negative)</w:t>
            </w:r>
          </w:p>
        </w:tc>
        <w:tc>
          <w:tcPr>
            <w:tcW w:type="dxa" w:w="1512"/>
            <w:vAlign w:val="top"/>
          </w:tcPr>
          <w:p>
            <w:pPr>
              <w:spacing w:after="40" w:before="0" w:line="259" w:lineRule="auto"/>
            </w:pPr>
            <w:r>
              <w:rPr>
                <w:rFonts w:ascii="Calibri" w:hAnsi="Calibri"/>
                <w:b w:val="0"/>
                <w:i w:val="0"/>
                <w:color w:val="212121"/>
                <w:sz w:val="19"/>
              </w:rPr>
              <w:t>≥ 20 or a rising titre</w:t>
            </w:r>
          </w:p>
        </w:tc>
        <w:tc>
          <w:tcPr>
            <w:tcW w:type="dxa" w:w="1468"/>
            <w:vAlign w:val="top"/>
          </w:tcPr>
          <w:p>
            <w:pPr>
              <w:spacing w:after="60" w:line="259" w:lineRule="auto"/>
            </w:pPr>
            <w:r>
              <w:rPr>
                <w:rFonts w:ascii="Calibri" w:hAnsi="Calibri"/>
                <w:b w:val="0"/>
                <w:i w:val="0"/>
                <w:color w:val="212121"/>
                <w:sz w:val="19"/>
              </w:rPr>
              <w:t>Confirms diagnosis and tracks activity; rising levels can precede clinical relapse</w:t>
            </w:r>
          </w:p>
          <w:p>
            <w:pPr>
              <w:spacing w:after="40" w:line="252" w:lineRule="auto"/>
            </w:pPr>
            <w:hyperlink r:id="rId16">
              <w:r>
                <w:rPr>
                  <w:rFonts w:ascii="Calibri" w:hAnsi="Calibri" w:cs="Calibri"/>
                  <w:sz w:val="18"/>
                  <w:color w:val="1155CC"/>
                  <w:u w:val="single"/>
                </w:rPr>
                <w:t xml:space="preserve">https://pmc.ncbi.nlm.nih.gov/articles/PMC11753534/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Anti-desmoglein 1 ELISA (index/U per mL)</w:t>
            </w:r>
          </w:p>
        </w:tc>
        <w:tc>
          <w:tcPr>
            <w:tcW w:type="dxa" w:w="1655"/>
            <w:vAlign w:val="top"/>
          </w:tcPr>
          <w:p>
            <w:pPr>
              <w:spacing w:after="40" w:before="0" w:line="259" w:lineRule="auto"/>
            </w:pPr>
            <w:r>
              <w:rPr>
                <w:rFonts w:ascii="Calibri" w:hAnsi="Calibri"/>
                <w:b w:val="0"/>
                <w:i w:val="0"/>
                <w:color w:val="212121"/>
                <w:sz w:val="19"/>
              </w:rPr>
              <w:t>Patients with skin involvement</w:t>
            </w:r>
          </w:p>
        </w:tc>
        <w:tc>
          <w:tcPr>
            <w:tcW w:type="dxa" w:w="1512"/>
            <w:vAlign w:val="top"/>
          </w:tcPr>
          <w:p>
            <w:pPr>
              <w:spacing w:after="40" w:before="0" w:line="259" w:lineRule="auto"/>
            </w:pPr>
            <w:r>
              <w:rPr>
                <w:rFonts w:ascii="Calibri" w:hAnsi="Calibri"/>
                <w:b w:val="0"/>
                <w:i w:val="0"/>
                <w:color w:val="212121"/>
                <w:sz w:val="19"/>
              </w:rPr>
              <w:t>&lt; 20 (negative)</w:t>
            </w:r>
          </w:p>
        </w:tc>
        <w:tc>
          <w:tcPr>
            <w:tcW w:type="dxa" w:w="1512"/>
            <w:vAlign w:val="top"/>
          </w:tcPr>
          <w:p>
            <w:pPr>
              <w:spacing w:after="40" w:before="0" w:line="259" w:lineRule="auto"/>
            </w:pPr>
            <w:r>
              <w:rPr>
                <w:rFonts w:ascii="Calibri" w:hAnsi="Calibri"/>
                <w:b w:val="0"/>
                <w:i w:val="0"/>
                <w:color w:val="212121"/>
                <w:sz w:val="19"/>
              </w:rPr>
              <w:t>≥ 20</w:t>
            </w:r>
          </w:p>
        </w:tc>
        <w:tc>
          <w:tcPr>
            <w:tcW w:type="dxa" w:w="1468"/>
            <w:vAlign w:val="top"/>
          </w:tcPr>
          <w:p>
            <w:pPr>
              <w:spacing w:after="60" w:line="259" w:lineRule="auto"/>
            </w:pPr>
            <w:r>
              <w:rPr>
                <w:rFonts w:ascii="Calibri" w:hAnsi="Calibri"/>
                <w:b w:val="0"/>
                <w:i w:val="0"/>
                <w:color w:val="212121"/>
                <w:sz w:val="19"/>
              </w:rPr>
              <w:t>Presence indicates cutaneous (mucocutaneous) disease per the compensation theory</w:t>
            </w:r>
          </w:p>
          <w:p>
            <w:pPr>
              <w:spacing w:after="40" w:line="252" w:lineRule="auto"/>
            </w:pPr>
            <w:hyperlink r:id="rId10">
              <w:r>
                <w:rPr>
                  <w:rFonts w:ascii="Calibri" w:hAnsi="Calibri" w:cs="Calibri"/>
                  <w:sz w:val="18"/>
                  <w:color w:val="1155CC"/>
                  <w:u w:val="single"/>
                </w:rPr>
                <w:t xml:space="preserve">https://dermnetnz.org/topics/pemphigus-vulgaris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Body surface area eroded / PDAI score</w:t>
            </w:r>
          </w:p>
        </w:tc>
        <w:tc>
          <w:tcPr>
            <w:tcW w:type="dxa" w:w="1655"/>
            <w:vAlign w:val="top"/>
          </w:tcPr>
          <w:p>
            <w:pPr>
              <w:spacing w:after="40" w:before="0" w:line="259" w:lineRule="auto"/>
            </w:pPr>
            <w:r>
              <w:rPr>
                <w:rFonts w:ascii="Calibri" w:hAnsi="Calibri"/>
                <w:b w:val="0"/>
                <w:i w:val="0"/>
                <w:color w:val="212121"/>
                <w:sz w:val="19"/>
              </w:rPr>
              <w:t>Active PV</w:t>
            </w:r>
          </w:p>
        </w:tc>
        <w:tc>
          <w:tcPr>
            <w:tcW w:type="dxa" w:w="1512"/>
            <w:vAlign w:val="top"/>
          </w:tcPr>
          <w:p>
            <w:pPr>
              <w:spacing w:after="40" w:before="0" w:line="259" w:lineRule="auto"/>
            </w:pPr>
            <w:r>
              <w:rPr>
                <w:rFonts w:ascii="Calibri" w:hAnsi="Calibri"/>
                <w:b w:val="0"/>
                <w:i w:val="0"/>
                <w:color w:val="212121"/>
                <w:sz w:val="19"/>
              </w:rPr>
              <w:t>0 (clinical remission)</w:t>
            </w:r>
          </w:p>
        </w:tc>
        <w:tc>
          <w:tcPr>
            <w:tcW w:type="dxa" w:w="1512"/>
            <w:vAlign w:val="top"/>
          </w:tcPr>
          <w:p>
            <w:pPr>
              <w:spacing w:after="40" w:before="0" w:line="259" w:lineRule="auto"/>
            </w:pPr>
            <w:r>
              <w:rPr>
                <w:rFonts w:ascii="Calibri" w:hAnsi="Calibri"/>
                <w:b w:val="0"/>
                <w:i w:val="0"/>
                <w:color w:val="212121"/>
                <w:sz w:val="19"/>
              </w:rPr>
              <w:t>Any new or extending erosions</w:t>
            </w:r>
          </w:p>
        </w:tc>
        <w:tc>
          <w:tcPr>
            <w:tcW w:type="dxa" w:w="1468"/>
            <w:vAlign w:val="top"/>
          </w:tcPr>
          <w:p>
            <w:pPr>
              <w:spacing w:after="60" w:line="259" w:lineRule="auto"/>
            </w:pPr>
            <w:r>
              <w:rPr>
                <w:rFonts w:ascii="Calibri" w:hAnsi="Calibri"/>
                <w:b w:val="0"/>
                <w:i w:val="0"/>
                <w:color w:val="212121"/>
                <w:sz w:val="19"/>
              </w:rPr>
              <w:t>Pemphigus Disease Area Index guides therapy intensity and monitors response</w:t>
            </w:r>
          </w:p>
          <w:p>
            <w:pPr>
              <w:spacing w:after="40" w:line="252" w:lineRule="auto"/>
            </w:pPr>
            <w:hyperlink r:id="rId16">
              <w:r>
                <w:rPr>
                  <w:rFonts w:ascii="Calibri" w:hAnsi="Calibri" w:cs="Calibri"/>
                  <w:sz w:val="18"/>
                  <w:color w:val="1155CC"/>
                  <w:u w:val="single"/>
                </w:rPr>
                <w:t xml:space="preserve">https://pmc.ncbi.nlm.nih.gov/articles/PMC11753534/</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or DLQI screen</w:t>
            </w:r>
          </w:p>
        </w:tc>
        <w:tc>
          <w:tcPr>
            <w:tcW w:type="dxa" w:w="1655"/>
            <w:vAlign w:val="top"/>
          </w:tcPr>
          <w:p>
            <w:pPr>
              <w:spacing w:after="40" w:before="0" w:line="259" w:lineRule="auto"/>
            </w:pPr>
            <w:r>
              <w:rPr>
                <w:rFonts w:ascii="Calibri" w:hAnsi="Calibri"/>
                <w:b w:val="0"/>
                <w:i w:val="0"/>
                <w:color w:val="212121"/>
                <w:sz w:val="19"/>
              </w:rPr>
              <w:t>All PV patients</w:t>
            </w:r>
          </w:p>
        </w:tc>
        <w:tc>
          <w:tcPr>
            <w:tcW w:type="dxa" w:w="1512"/>
            <w:vAlign w:val="top"/>
          </w:tcPr>
          <w:p>
            <w:pPr>
              <w:spacing w:after="40" w:before="0" w:line="259" w:lineRule="auto"/>
            </w:pPr>
            <w:r>
              <w:rPr>
                <w:rFonts w:ascii="Calibri" w:hAnsi="Calibri"/>
                <w:b w:val="0"/>
                <w:i w:val="0"/>
                <w:color w:val="212121"/>
                <w:sz w:val="19"/>
              </w:rPr>
              <w:t>Minimal symptoms / low DLQI</w:t>
            </w:r>
          </w:p>
        </w:tc>
        <w:tc>
          <w:tcPr>
            <w:tcW w:type="dxa" w:w="1512"/>
            <w:vAlign w:val="top"/>
          </w:tcPr>
          <w:p>
            <w:pPr>
              <w:spacing w:after="40" w:before="0" w:line="259" w:lineRule="auto"/>
            </w:pPr>
            <w:r>
              <w:rPr>
                <w:rFonts w:ascii="Calibri" w:hAnsi="Calibri"/>
                <w:b w:val="0"/>
                <w:i w:val="0"/>
                <w:color w:val="212121"/>
                <w:sz w:val="19"/>
              </w:rPr>
              <w:t>Positive PHQ-9 / GAD-7 screen</w:t>
            </w:r>
          </w:p>
        </w:tc>
        <w:tc>
          <w:tcPr>
            <w:tcW w:type="dxa" w:w="1468"/>
            <w:vAlign w:val="top"/>
          </w:tcPr>
          <w:p>
            <w:pPr>
              <w:spacing w:after="60" w:line="259" w:lineRule="auto"/>
            </w:pPr>
            <w:r>
              <w:rPr>
                <w:rFonts w:ascii="Calibri" w:hAnsi="Calibri"/>
                <w:b w:val="0"/>
                <w:i w:val="0"/>
                <w:color w:val="212121"/>
                <w:sz w:val="19"/>
              </w:rPr>
              <w:t>38.3% have depression or anxiety even in remission; screen routinely</w:t>
            </w:r>
          </w:p>
          <w:p>
            <w:pPr>
              <w:spacing w:after="40" w:line="252" w:lineRule="auto"/>
            </w:pPr>
            <w:hyperlink r:id="rId13">
              <w:r>
                <w:rPr>
                  <w:rFonts w:ascii="Calibri" w:hAnsi="Calibri" w:cs="Calibri"/>
                  <w:sz w:val="18"/>
                  <w:color w:val="1155CC"/>
                  <w:u w:val="single"/>
                </w:rPr>
                <w:t xml:space="preserve">https://pubmed.ncbi.nlm.nih.gov/34821016/</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Trigger-food (garlic/onion/leek, tannin) exposure</w:t>
            </w:r>
          </w:p>
        </w:tc>
        <w:tc>
          <w:tcPr>
            <w:tcW w:type="dxa" w:w="1655"/>
            <w:vAlign w:val="top"/>
          </w:tcPr>
          <w:p>
            <w:pPr>
              <w:spacing w:after="40" w:before="0" w:line="259" w:lineRule="auto"/>
            </w:pPr>
            <w:r>
              <w:rPr>
                <w:rFonts w:ascii="Calibri" w:hAnsi="Calibri"/>
                <w:b w:val="0"/>
                <w:i w:val="0"/>
                <w:color w:val="212121"/>
                <w:sz w:val="19"/>
              </w:rPr>
              <w:t>Active or relapsing PV</w:t>
            </w:r>
          </w:p>
        </w:tc>
        <w:tc>
          <w:tcPr>
            <w:tcW w:type="dxa" w:w="1512"/>
            <w:vAlign w:val="top"/>
          </w:tcPr>
          <w:p>
            <w:pPr>
              <w:spacing w:after="40" w:before="0" w:line="259" w:lineRule="auto"/>
            </w:pPr>
            <w:r>
              <w:rPr>
                <w:rFonts w:ascii="Calibri" w:hAnsi="Calibri"/>
                <w:b w:val="0"/>
                <w:i w:val="0"/>
                <w:color w:val="212121"/>
                <w:sz w:val="19"/>
              </w:rPr>
              <w:t>Minimised during active disease</w:t>
            </w:r>
          </w:p>
        </w:tc>
        <w:tc>
          <w:tcPr>
            <w:tcW w:type="dxa" w:w="1512"/>
            <w:vAlign w:val="top"/>
          </w:tcPr>
          <w:p>
            <w:pPr>
              <w:spacing w:after="40" w:before="0" w:line="259" w:lineRule="auto"/>
            </w:pPr>
            <w:r>
              <w:rPr>
                <w:rFonts w:ascii="Calibri" w:hAnsi="Calibri"/>
                <w:b w:val="0"/>
                <w:i w:val="0"/>
                <w:color w:val="212121"/>
                <w:sz w:val="19"/>
              </w:rPr>
              <w:t>Frequent high-thiol/allium intake</w:t>
            </w:r>
          </w:p>
        </w:tc>
        <w:tc>
          <w:tcPr>
            <w:tcW w:type="dxa" w:w="1468"/>
            <w:vAlign w:val="top"/>
          </w:tcPr>
          <w:p>
            <w:pPr>
              <w:spacing w:after="40" w:before="0" w:line="259" w:lineRule="auto"/>
            </w:pPr>
            <w:r>
              <w:rPr>
                <w:rFonts w:ascii="Calibri" w:hAnsi="Calibri"/>
                <w:b w:val="0"/>
                <w:i w:val="0"/>
                <w:color w:val="212121"/>
                <w:sz w:val="19"/>
              </w:rPr>
              <w:t>Reduce recognised dietary acantholysis triggers while maintaining nutrition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Bone mineral density (DEXA T-score)</w:t>
            </w:r>
          </w:p>
        </w:tc>
        <w:tc>
          <w:tcPr>
            <w:tcW w:type="dxa" w:w="1655"/>
            <w:vAlign w:val="top"/>
          </w:tcPr>
          <w:p>
            <w:pPr>
              <w:spacing w:after="40" w:before="0" w:line="259" w:lineRule="auto"/>
            </w:pPr>
            <w:r>
              <w:rPr>
                <w:rFonts w:ascii="Calibri" w:hAnsi="Calibri"/>
                <w:b w:val="0"/>
                <w:i w:val="0"/>
                <w:color w:val="212121"/>
                <w:sz w:val="19"/>
              </w:rPr>
              <w:t>Patients on long-term corticosteroids</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 −2.5 (osteoporosis)</w:t>
            </w:r>
          </w:p>
        </w:tc>
        <w:tc>
          <w:tcPr>
            <w:tcW w:type="dxa" w:w="1468"/>
            <w:vAlign w:val="top"/>
          </w:tcPr>
          <w:p>
            <w:pPr>
              <w:spacing w:after="40" w:before="0" w:line="259" w:lineRule="auto"/>
            </w:pPr>
            <w:r>
              <w:rPr>
                <w:rFonts w:ascii="Calibri" w:hAnsi="Calibri"/>
                <w:b w:val="0"/>
                <w:i w:val="0"/>
                <w:color w:val="212121"/>
                <w:sz w:val="19"/>
              </w:rPr>
              <w:t>Steroid-induced bone loss warrants calcium, vitamin D and bone-protective activity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Fasting glucose / HbA1c on steroids</w:t>
            </w:r>
          </w:p>
        </w:tc>
        <w:tc>
          <w:tcPr>
            <w:tcW w:type="dxa" w:w="1655"/>
            <w:vAlign w:val="top"/>
          </w:tcPr>
          <w:p>
            <w:pPr>
              <w:spacing w:after="40" w:before="0" w:line="259" w:lineRule="auto"/>
            </w:pPr>
            <w:r>
              <w:rPr>
                <w:rFonts w:ascii="Calibri" w:hAnsi="Calibri"/>
                <w:b w:val="0"/>
                <w:i w:val="0"/>
                <w:color w:val="212121"/>
                <w:sz w:val="19"/>
              </w:rPr>
              <w:t>PV patients on corticosteroids</w:t>
            </w:r>
          </w:p>
        </w:tc>
        <w:tc>
          <w:tcPr>
            <w:tcW w:type="dxa" w:w="1512"/>
            <w:vAlign w:val="top"/>
          </w:tcPr>
          <w:p>
            <w:pPr>
              <w:spacing w:after="40" w:before="0" w:line="259" w:lineRule="auto"/>
            </w:pPr>
            <w:r>
              <w:rPr>
                <w:rFonts w:ascii="Calibri" w:hAnsi="Calibri"/>
                <w:b w:val="0"/>
                <w:i w:val="0"/>
                <w:color w:val="212121"/>
                <w:sz w:val="19"/>
              </w:rPr>
              <w:t>FBS 70–99 mg/dL; HbA1c &lt; 5.7%</w:t>
            </w:r>
          </w:p>
        </w:tc>
        <w:tc>
          <w:tcPr>
            <w:tcW w:type="dxa" w:w="1512"/>
            <w:vAlign w:val="top"/>
          </w:tcPr>
          <w:p>
            <w:pPr>
              <w:spacing w:after="40" w:before="0" w:line="259" w:lineRule="auto"/>
            </w:pPr>
            <w:r>
              <w:rPr>
                <w:rFonts w:ascii="Calibri" w:hAnsi="Calibri"/>
                <w:b w:val="0"/>
                <w:i w:val="0"/>
                <w:color w:val="212121"/>
                <w:sz w:val="19"/>
              </w:rPr>
              <w:t>FBS ≥ 126 mg/dL; HbA1c ≥ 6.5%</w:t>
            </w:r>
          </w:p>
        </w:tc>
        <w:tc>
          <w:tcPr>
            <w:tcW w:type="dxa" w:w="1468"/>
            <w:vAlign w:val="top"/>
          </w:tcPr>
          <w:p>
            <w:pPr>
              <w:spacing w:after="60" w:line="259" w:lineRule="auto"/>
            </w:pPr>
            <w:r>
              <w:rPr>
                <w:rFonts w:ascii="Calibri" w:hAnsi="Calibri"/>
                <w:b w:val="0"/>
                <w:i w:val="0"/>
                <w:color w:val="212121"/>
                <w:sz w:val="19"/>
              </w:rPr>
              <w:t>Monitor for steroid-induced diabetes throughout treatment</w:t>
            </w:r>
          </w:p>
          <w:p>
            <w:pPr>
              <w:spacing w:after="40" w:line="252" w:lineRule="auto"/>
            </w:pPr>
            <w:hyperlink r:id="rId14">
              <w:r>
                <w:rPr>
                  <w:rFonts w:ascii="Calibri" w:hAnsi="Calibri" w:cs="Calibri"/>
                  <w:sz w:val="18"/>
                  <w:color w:val="1155CC"/>
                  <w:u w:val="single"/>
                </w:rPr>
                <w:t xml:space="preserve">https://pubmed.ncbi.nlm.nih.gov/25786337/</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PV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Despite the epidemiological inverse association, tobacco delays mucosal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 (on immunosuppressants)</w:t>
            </w:r>
          </w:p>
        </w:tc>
        <w:tc>
          <w:tcPr>
            <w:tcW w:type="dxa" w:w="1655"/>
            <w:vAlign w:val="top"/>
          </w:tcPr>
          <w:p>
            <w:pPr>
              <w:spacing w:after="40" w:before="0" w:line="259" w:lineRule="auto"/>
            </w:pPr>
            <w:r>
              <w:rPr>
                <w:rFonts w:ascii="Calibri" w:hAnsi="Calibri"/>
                <w:b w:val="0"/>
                <w:i w:val="0"/>
                <w:color w:val="212121"/>
                <w:sz w:val="19"/>
              </w:rPr>
              <w:t>Patients on azathioprine/MTX/MMF</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Regular intake</w:t>
            </w:r>
          </w:p>
        </w:tc>
        <w:tc>
          <w:tcPr>
            <w:tcW w:type="dxa" w:w="1468"/>
            <w:vAlign w:val="top"/>
          </w:tcPr>
          <w:p>
            <w:pPr>
              <w:spacing w:after="40" w:before="0" w:line="259" w:lineRule="auto"/>
            </w:pPr>
            <w:r>
              <w:rPr>
                <w:rFonts w:ascii="Calibri" w:hAnsi="Calibri"/>
                <w:b w:val="0"/>
                <w:i w:val="0"/>
                <w:color w:val="212121"/>
                <w:sz w:val="19"/>
              </w:rPr>
              <w:t>Alcohol compounds hepatotoxicity and irritates oral erosions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Suprabasal acantholysis (“row of tombstones”)</w:t>
            </w:r>
          </w:p>
        </w:tc>
        <w:tc>
          <w:tcPr>
            <w:tcW w:type="dxa" w:w="892"/>
            <w:vAlign w:val="top"/>
          </w:tcPr>
          <w:p>
            <w:pPr>
              <w:spacing w:after="40" w:before="0" w:line="259" w:lineRule="auto"/>
            </w:pPr>
            <w:r>
              <w:rPr>
                <w:rFonts w:ascii="Calibri" w:hAnsi="Calibri"/>
                <w:b w:val="0"/>
                <w:i w:val="0"/>
                <w:color w:val="212121"/>
                <w:sz w:val="16"/>
              </w:rPr>
              <w:t>Lesional skin/mucosa biopsy</w:t>
            </w:r>
          </w:p>
        </w:tc>
        <w:tc>
          <w:tcPr>
            <w:tcW w:type="dxa" w:w="950"/>
            <w:vAlign w:val="top"/>
          </w:tcPr>
          <w:p>
            <w:pPr>
              <w:spacing w:after="40" w:before="0" w:line="259" w:lineRule="auto"/>
            </w:pPr>
            <w:r>
              <w:rPr>
                <w:rFonts w:ascii="Calibri" w:hAnsi="Calibri"/>
                <w:b w:val="0"/>
                <w:i w:val="0"/>
                <w:color w:val="212121"/>
                <w:sz w:val="16"/>
              </w:rPr>
              <w:t>Intact, cohesive epidermis</w:t>
            </w:r>
          </w:p>
        </w:tc>
        <w:tc>
          <w:tcPr>
            <w:tcW w:type="dxa" w:w="950"/>
            <w:vAlign w:val="top"/>
          </w:tcPr>
          <w:p>
            <w:pPr>
              <w:spacing w:after="40" w:before="0" w:line="259" w:lineRule="auto"/>
            </w:pPr>
            <w:r>
              <w:rPr>
                <w:rFonts w:ascii="Calibri" w:hAnsi="Calibri"/>
                <w:b w:val="0"/>
                <w:i w:val="0"/>
                <w:color w:val="212121"/>
                <w:sz w:val="16"/>
              </w:rPr>
              <w:t>Suprabasal intraepidermal cleft with acantholytic cells</w:t>
            </w:r>
          </w:p>
        </w:tc>
        <w:tc>
          <w:tcPr>
            <w:tcW w:type="dxa" w:w="1036"/>
            <w:vAlign w:val="top"/>
          </w:tcPr>
          <w:p>
            <w:pPr>
              <w:spacing w:after="40" w:before="0" w:line="259" w:lineRule="auto"/>
            </w:pPr>
            <w:r>
              <w:rPr>
                <w:rFonts w:ascii="Calibri" w:hAnsi="Calibri"/>
                <w:b w:val="0"/>
                <w:i w:val="0"/>
                <w:color w:val="212121"/>
                <w:sz w:val="16"/>
              </w:rPr>
              <w:t>Confirms intraepidermal (not subepidermal) blistering typical of PV</w:t>
            </w:r>
          </w:p>
        </w:tc>
        <w:tc>
          <w:tcPr>
            <w:tcW w:type="dxa" w:w="1036"/>
            <w:vAlign w:val="top"/>
          </w:tcPr>
          <w:p>
            <w:pPr>
              <w:spacing w:after="40" w:before="0" w:line="259" w:lineRule="auto"/>
            </w:pPr>
            <w:r>
              <w:rPr>
                <w:rFonts w:ascii="Calibri" w:hAnsi="Calibri"/>
                <w:b w:val="0"/>
                <w:i w:val="0"/>
                <w:color w:val="212121"/>
                <w:sz w:val="16"/>
              </w:rPr>
              <w:t>All suspected PV, new blistering eruptions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Biopsy an early, intact vesicle edge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Immunopathology</w:t>
            </w:r>
          </w:p>
        </w:tc>
        <w:tc>
          <w:tcPr>
            <w:tcW w:type="dxa" w:w="1036"/>
            <w:vAlign w:val="top"/>
          </w:tcPr>
          <w:p>
            <w:pPr>
              <w:spacing w:after="40" w:before="0" w:line="259" w:lineRule="auto"/>
            </w:pPr>
            <w:r>
              <w:rPr>
                <w:rFonts w:ascii="Calibri" w:hAnsi="Calibri"/>
                <w:b w:val="0"/>
                <w:i w:val="0"/>
                <w:color w:val="212121"/>
                <w:sz w:val="16"/>
              </w:rPr>
              <w:t>Intercellular IgG &amp; C3 (fishnet pattern)</w:t>
            </w:r>
          </w:p>
        </w:tc>
        <w:tc>
          <w:tcPr>
            <w:tcW w:type="dxa" w:w="892"/>
            <w:vAlign w:val="top"/>
          </w:tcPr>
          <w:p>
            <w:pPr>
              <w:spacing w:after="40" w:before="0" w:line="259" w:lineRule="auto"/>
            </w:pPr>
            <w:r>
              <w:rPr>
                <w:rFonts w:ascii="Calibri" w:hAnsi="Calibri"/>
                <w:b w:val="0"/>
                <w:i w:val="0"/>
                <w:color w:val="212121"/>
                <w:sz w:val="16"/>
              </w:rPr>
              <w:t>Direct immunofluorescence (DIF)</w:t>
            </w:r>
          </w:p>
        </w:tc>
        <w:tc>
          <w:tcPr>
            <w:tcW w:type="dxa" w:w="950"/>
            <w:vAlign w:val="top"/>
          </w:tcPr>
          <w:p>
            <w:pPr>
              <w:spacing w:after="40" w:before="0" w:line="259" w:lineRule="auto"/>
            </w:pPr>
            <w:r>
              <w:rPr>
                <w:rFonts w:ascii="Calibri" w:hAnsi="Calibri"/>
                <w:b w:val="0"/>
                <w:i w:val="0"/>
                <w:color w:val="212121"/>
                <w:sz w:val="16"/>
              </w:rPr>
              <w:t>No intercellular deposits</w:t>
            </w:r>
          </w:p>
        </w:tc>
        <w:tc>
          <w:tcPr>
            <w:tcW w:type="dxa" w:w="950"/>
            <w:vAlign w:val="top"/>
          </w:tcPr>
          <w:p>
            <w:pPr>
              <w:spacing w:after="40" w:before="0" w:line="259" w:lineRule="auto"/>
            </w:pPr>
            <w:r>
              <w:rPr>
                <w:rFonts w:ascii="Calibri" w:hAnsi="Calibri"/>
                <w:b w:val="0"/>
                <w:i w:val="0"/>
                <w:color w:val="212121"/>
                <w:sz w:val="16"/>
              </w:rPr>
              <w:t>Intercellular IgG ± C3 across epidermis</w:t>
            </w:r>
          </w:p>
        </w:tc>
        <w:tc>
          <w:tcPr>
            <w:tcW w:type="dxa" w:w="1036"/>
            <w:vAlign w:val="top"/>
          </w:tcPr>
          <w:p>
            <w:pPr>
              <w:spacing w:after="40" w:before="0" w:line="259" w:lineRule="auto"/>
            </w:pPr>
            <w:r>
              <w:rPr>
                <w:rFonts w:ascii="Calibri" w:hAnsi="Calibri"/>
                <w:b w:val="0"/>
                <w:i w:val="0"/>
                <w:color w:val="212121"/>
                <w:sz w:val="16"/>
              </w:rPr>
              <w:t>Gold-standard confirmation of pemphigus</w:t>
            </w:r>
          </w:p>
        </w:tc>
        <w:tc>
          <w:tcPr>
            <w:tcW w:type="dxa" w:w="1036"/>
            <w:vAlign w:val="top"/>
          </w:tcPr>
          <w:p>
            <w:pPr>
              <w:spacing w:after="40" w:before="0" w:line="259" w:lineRule="auto"/>
            </w:pPr>
            <w:r>
              <w:rPr>
                <w:rFonts w:ascii="Calibri" w:hAnsi="Calibri"/>
                <w:b w:val="0"/>
                <w:i w:val="0"/>
                <w:color w:val="212121"/>
                <w:sz w:val="16"/>
              </w:rPr>
              <w:t>All suspected PV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Take perilesional (not lesional) skin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Circulating intercellular IgG titre</w:t>
            </w:r>
          </w:p>
        </w:tc>
        <w:tc>
          <w:tcPr>
            <w:tcW w:type="dxa" w:w="892"/>
            <w:vAlign w:val="top"/>
          </w:tcPr>
          <w:p>
            <w:pPr>
              <w:spacing w:after="40" w:before="0" w:line="259" w:lineRule="auto"/>
            </w:pPr>
            <w:r>
              <w:rPr>
                <w:rFonts w:ascii="Calibri" w:hAnsi="Calibri"/>
                <w:b w:val="0"/>
                <w:i w:val="0"/>
                <w:color w:val="212121"/>
                <w:sz w:val="16"/>
              </w:rPr>
              <w:t>Indirect immunofluorescence (IIF), monkey oesophagus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intercellular IgG</w:t>
            </w:r>
          </w:p>
        </w:tc>
        <w:tc>
          <w:tcPr>
            <w:tcW w:type="dxa" w:w="1036"/>
            <w:vAlign w:val="top"/>
          </w:tcPr>
          <w:p>
            <w:pPr>
              <w:spacing w:after="40" w:before="0" w:line="259" w:lineRule="auto"/>
            </w:pPr>
            <w:r>
              <w:rPr>
                <w:rFonts w:ascii="Calibri" w:hAnsi="Calibri"/>
                <w:b w:val="0"/>
                <w:i w:val="0"/>
                <w:color w:val="212121"/>
                <w:sz w:val="16"/>
              </w:rPr>
              <w:t>Detects and semi-quantifies circulating autoantibody; titre tracks activity</w:t>
            </w:r>
          </w:p>
        </w:tc>
        <w:tc>
          <w:tcPr>
            <w:tcW w:type="dxa" w:w="1036"/>
            <w:vAlign w:val="top"/>
          </w:tcPr>
          <w:p>
            <w:pPr>
              <w:spacing w:after="40" w:before="0" w:line="259" w:lineRule="auto"/>
            </w:pPr>
            <w:r>
              <w:rPr>
                <w:rFonts w:ascii="Calibri" w:hAnsi="Calibri"/>
                <w:b w:val="0"/>
                <w:i w:val="0"/>
                <w:color w:val="212121"/>
                <w:sz w:val="16"/>
              </w:rPr>
              <w:t>PV at diagnosis and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Substrate choice affects sensitivity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Anti-desmoglein 3 (± Dsg1) ELISA</w:t>
            </w:r>
          </w:p>
        </w:tc>
        <w:tc>
          <w:tcPr>
            <w:tcW w:type="dxa" w:w="892"/>
            <w:vAlign w:val="top"/>
          </w:tcPr>
          <w:p>
            <w:pPr>
              <w:spacing w:after="40" w:before="0" w:line="259" w:lineRule="auto"/>
            </w:pPr>
            <w:r>
              <w:rPr>
                <w:rFonts w:ascii="Calibri" w:hAnsi="Calibri"/>
                <w:b w:val="0"/>
                <w:i w:val="0"/>
                <w:color w:val="212121"/>
                <w:sz w:val="16"/>
              </w:rPr>
              <w:t>Desmoglein ELISA</w:t>
            </w:r>
          </w:p>
        </w:tc>
        <w:tc>
          <w:tcPr>
            <w:tcW w:type="dxa" w:w="950"/>
            <w:vAlign w:val="top"/>
          </w:tcPr>
          <w:p>
            <w:pPr>
              <w:spacing w:after="40" w:before="0" w:line="259" w:lineRule="auto"/>
            </w:pPr>
            <w:r>
              <w:rPr>
                <w:rFonts w:ascii="Calibri" w:hAnsi="Calibri"/>
                <w:b w:val="0"/>
                <w:i w:val="0"/>
                <w:color w:val="212121"/>
                <w:sz w:val="16"/>
              </w:rPr>
              <w:t>&lt; 20 (kit-dependent)</w:t>
            </w:r>
          </w:p>
        </w:tc>
        <w:tc>
          <w:tcPr>
            <w:tcW w:type="dxa" w:w="950"/>
            <w:vAlign w:val="top"/>
          </w:tcPr>
          <w:p>
            <w:pPr>
              <w:spacing w:after="40" w:before="0" w:line="259" w:lineRule="auto"/>
            </w:pPr>
            <w:r>
              <w:rPr>
                <w:rFonts w:ascii="Calibri" w:hAnsi="Calibri"/>
                <w:b w:val="0"/>
                <w:i w:val="0"/>
                <w:color w:val="212121"/>
                <w:sz w:val="16"/>
              </w:rPr>
              <w:t>≥ 20</w:t>
            </w:r>
          </w:p>
        </w:tc>
        <w:tc>
          <w:tcPr>
            <w:tcW w:type="dxa" w:w="1036"/>
            <w:vAlign w:val="top"/>
          </w:tcPr>
          <w:p>
            <w:pPr>
              <w:spacing w:after="40" w:before="0" w:line="259" w:lineRule="auto"/>
            </w:pPr>
            <w:r>
              <w:rPr>
                <w:rFonts w:ascii="Calibri" w:hAnsi="Calibri"/>
                <w:b w:val="0"/>
                <w:i w:val="0"/>
                <w:color w:val="212121"/>
                <w:sz w:val="16"/>
              </w:rPr>
              <w:t>Confirms PV, separates mucosal vs mucocutaneous, monitors activity/relapse</w:t>
            </w:r>
          </w:p>
        </w:tc>
        <w:tc>
          <w:tcPr>
            <w:tcW w:type="dxa" w:w="1036"/>
            <w:vAlign w:val="top"/>
          </w:tcPr>
          <w:p>
            <w:pPr>
              <w:spacing w:after="40" w:before="0" w:line="259" w:lineRule="auto"/>
            </w:pPr>
            <w:r>
              <w:rPr>
                <w:rFonts w:ascii="Calibri" w:hAnsi="Calibri"/>
                <w:b w:val="0"/>
                <w:i w:val="0"/>
                <w:color w:val="212121"/>
                <w:sz w:val="16"/>
              </w:rPr>
              <w:t>All PV; relapse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&amp; monitoring</w:t>
            </w:r>
          </w:p>
        </w:tc>
        <w:tc>
          <w:tcPr>
            <w:tcW w:type="dxa" w:w="720"/>
            <w:vAlign w:val="top"/>
          </w:tcPr>
          <w:p>
            <w:pPr>
              <w:spacing w:after="40" w:before="0" w:line="259" w:lineRule="auto"/>
            </w:pPr>
            <w:r>
              <w:rPr>
                <w:rFonts w:ascii="Calibri" w:hAnsi="Calibri"/>
                <w:b w:val="0"/>
                <w:i w:val="0"/>
                <w:color w:val="212121"/>
                <w:sz w:val="16"/>
              </w:rPr>
              <w:t>Values are assay-specific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Acantholytic (Tzanck) cells</w:t>
            </w:r>
          </w:p>
        </w:tc>
        <w:tc>
          <w:tcPr>
            <w:tcW w:type="dxa" w:w="892"/>
            <w:vAlign w:val="top"/>
          </w:tcPr>
          <w:p>
            <w:pPr>
              <w:spacing w:after="40" w:before="0" w:line="259" w:lineRule="auto"/>
            </w:pPr>
            <w:r>
              <w:rPr>
                <w:rFonts w:ascii="Calibri" w:hAnsi="Calibri"/>
                <w:b w:val="0"/>
                <w:i w:val="0"/>
                <w:color w:val="212121"/>
                <w:sz w:val="16"/>
              </w:rPr>
              <w:t>Tzanck smear</w:t>
            </w:r>
          </w:p>
        </w:tc>
        <w:tc>
          <w:tcPr>
            <w:tcW w:type="dxa" w:w="950"/>
            <w:vAlign w:val="top"/>
          </w:tcPr>
          <w:p>
            <w:pPr>
              <w:spacing w:after="40" w:before="0" w:line="259" w:lineRule="auto"/>
            </w:pPr>
            <w:r>
              <w:rPr>
                <w:rFonts w:ascii="Calibri" w:hAnsi="Calibri"/>
                <w:b w:val="0"/>
                <w:i w:val="0"/>
                <w:color w:val="212121"/>
                <w:sz w:val="16"/>
              </w:rPr>
              <w:t>No acantholytic cells</w:t>
            </w:r>
          </w:p>
        </w:tc>
        <w:tc>
          <w:tcPr>
            <w:tcW w:type="dxa" w:w="950"/>
            <w:vAlign w:val="top"/>
          </w:tcPr>
          <w:p>
            <w:pPr>
              <w:spacing w:after="40" w:before="0" w:line="259" w:lineRule="auto"/>
            </w:pPr>
            <w:r>
              <w:rPr>
                <w:rFonts w:ascii="Calibri" w:hAnsi="Calibri"/>
                <w:b w:val="0"/>
                <w:i w:val="0"/>
                <w:color w:val="212121"/>
                <w:sz w:val="16"/>
              </w:rPr>
              <w:t>Rounded acantholytic cells present</w:t>
            </w:r>
          </w:p>
        </w:tc>
        <w:tc>
          <w:tcPr>
            <w:tcW w:type="dxa" w:w="1036"/>
            <w:vAlign w:val="top"/>
          </w:tcPr>
          <w:p>
            <w:pPr>
              <w:spacing w:after="40" w:before="0" w:line="259" w:lineRule="auto"/>
            </w:pPr>
            <w:r>
              <w:rPr>
                <w:rFonts w:ascii="Calibri" w:hAnsi="Calibri"/>
                <w:b w:val="0"/>
                <w:i w:val="0"/>
                <w:color w:val="212121"/>
                <w:sz w:val="16"/>
              </w:rPr>
              <w:t>Rapid bedside pointer to acantholysis; not confirmatory</w:t>
            </w:r>
          </w:p>
        </w:tc>
        <w:tc>
          <w:tcPr>
            <w:tcW w:type="dxa" w:w="1036"/>
            <w:vAlign w:val="top"/>
          </w:tcPr>
          <w:p>
            <w:pPr>
              <w:spacing w:after="40" w:before="0" w:line="259" w:lineRule="auto"/>
            </w:pPr>
            <w:r>
              <w:rPr>
                <w:rFonts w:ascii="Calibri" w:hAnsi="Calibri"/>
                <w:b w:val="0"/>
                <w:i w:val="0"/>
                <w:color w:val="212121"/>
                <w:sz w:val="16"/>
              </w:rPr>
              <w:t>Bedside triage of blistering/erosions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Cannot distinguish pemphigus subtypes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Pre-treatment safety labs</w:t>
            </w:r>
          </w:p>
        </w:tc>
        <w:tc>
          <w:tcPr>
            <w:tcW w:type="dxa" w:w="1036"/>
            <w:vAlign w:val="top"/>
          </w:tcPr>
          <w:p>
            <w:pPr>
              <w:spacing w:after="40" w:before="0" w:line="259" w:lineRule="auto"/>
            </w:pPr>
            <w:r>
              <w:rPr>
                <w:rFonts w:ascii="Calibri" w:hAnsi="Calibri"/>
                <w:b w:val="0"/>
                <w:i w:val="0"/>
                <w:color w:val="212121"/>
                <w:sz w:val="16"/>
              </w:rPr>
              <w:t>CBC, LFT, RFT, glucose, HBV/HCV/HIV, TB screen, TPMT</w:t>
            </w:r>
          </w:p>
        </w:tc>
        <w:tc>
          <w:tcPr>
            <w:tcW w:type="dxa" w:w="892"/>
            <w:vAlign w:val="top"/>
          </w:tcPr>
          <w:p>
            <w:pPr>
              <w:spacing w:after="40" w:before="0" w:line="259" w:lineRule="auto"/>
            </w:pPr>
            <w:r>
              <w:rPr>
                <w:rFonts w:ascii="Calibri" w:hAnsi="Calibri"/>
                <w:b w:val="0"/>
                <w:i w:val="0"/>
                <w:color w:val="212121"/>
                <w:sz w:val="16"/>
              </w:rPr>
              <w:t>Baseline work-up before immunosuppression</w:t>
            </w:r>
          </w:p>
        </w:tc>
        <w:tc>
          <w:tcPr>
            <w:tcW w:type="dxa" w:w="950"/>
            <w:vAlign w:val="top"/>
          </w:tcPr>
          <w:p>
            <w:pPr>
              <w:spacing w:after="40" w:before="0" w:line="259" w:lineRule="auto"/>
            </w:pPr>
            <w:r>
              <w:rPr>
                <w:rFonts w:ascii="Calibri" w:hAnsi="Calibri"/>
                <w:b w:val="0"/>
                <w:i w:val="0"/>
                <w:color w:val="212121"/>
                <w:sz w:val="16"/>
              </w:rPr>
              <w:t>Within reference ranges; TB screen negative</w:t>
            </w:r>
          </w:p>
        </w:tc>
        <w:tc>
          <w:tcPr>
            <w:tcW w:type="dxa" w:w="950"/>
            <w:vAlign w:val="top"/>
          </w:tcPr>
          <w:p>
            <w:pPr>
              <w:spacing w:after="40" w:before="0" w:line="259" w:lineRule="auto"/>
            </w:pPr>
            <w:r>
              <w:rPr>
                <w:rFonts w:ascii="Calibri" w:hAnsi="Calibri"/>
                <w:b w:val="0"/>
                <w:i w:val="0"/>
                <w:color w:val="212121"/>
                <w:sz w:val="16"/>
              </w:rPr>
              <w:t>Cytopenia, deranged LFT/RFT, hyperglycaemia, positive viral/TB screen, low TPMT</w:t>
            </w:r>
          </w:p>
        </w:tc>
        <w:tc>
          <w:tcPr>
            <w:tcW w:type="dxa" w:w="1036"/>
            <w:vAlign w:val="top"/>
          </w:tcPr>
          <w:p>
            <w:pPr>
              <w:spacing w:after="40" w:before="0" w:line="259" w:lineRule="auto"/>
            </w:pPr>
            <w:r>
              <w:rPr>
                <w:rFonts w:ascii="Calibri" w:hAnsi="Calibri"/>
                <w:b w:val="0"/>
                <w:i w:val="0"/>
                <w:color w:val="212121"/>
                <w:sz w:val="16"/>
              </w:rPr>
              <w:t>Establishes safety for steroids, rituximab, azathioprine (TPMT), etc.</w:t>
            </w:r>
          </w:p>
        </w:tc>
        <w:tc>
          <w:tcPr>
            <w:tcW w:type="dxa" w:w="1036"/>
            <w:vAlign w:val="top"/>
          </w:tcPr>
          <w:p>
            <w:pPr>
              <w:spacing w:after="40" w:before="0" w:line="259" w:lineRule="auto"/>
            </w:pPr>
            <w:r>
              <w:rPr>
                <w:rFonts w:ascii="Calibri" w:hAnsi="Calibri"/>
                <w:b w:val="0"/>
                <w:i w:val="0"/>
                <w:color w:val="212121"/>
                <w:sz w:val="16"/>
              </w:rPr>
              <w:t>All PV before therapy in TB-endemic India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Screen and treat latent TB before immunosuppression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Bone health</w:t>
            </w:r>
          </w:p>
        </w:tc>
        <w:tc>
          <w:tcPr>
            <w:tcW w:type="dxa" w:w="1036"/>
            <w:vAlign w:val="top"/>
          </w:tcPr>
          <w:p>
            <w:pPr>
              <w:spacing w:after="40" w:before="0" w:line="259" w:lineRule="auto"/>
            </w:pPr>
            <w:r>
              <w:rPr>
                <w:rFonts w:ascii="Calibri" w:hAnsi="Calibri"/>
                <w:b w:val="0"/>
                <w:i w:val="0"/>
                <w:color w:val="212121"/>
                <w:sz w:val="16"/>
              </w:rPr>
              <w:t>Bone mineral density (DEXA)</w:t>
            </w:r>
          </w:p>
        </w:tc>
        <w:tc>
          <w:tcPr>
            <w:tcW w:type="dxa" w:w="892"/>
            <w:vAlign w:val="top"/>
          </w:tcPr>
          <w:p>
            <w:pPr>
              <w:spacing w:after="40" w:before="0" w:line="259" w:lineRule="auto"/>
            </w:pPr>
            <w:r>
              <w:rPr>
                <w:rFonts w:ascii="Calibri" w:hAnsi="Calibri"/>
                <w:b w:val="0"/>
                <w:i w:val="0"/>
                <w:color w:val="212121"/>
                <w:sz w:val="16"/>
              </w:rPr>
              <w:t>DEXA scan</w:t>
            </w:r>
          </w:p>
        </w:tc>
        <w:tc>
          <w:tcPr>
            <w:tcW w:type="dxa" w:w="950"/>
            <w:vAlign w:val="top"/>
          </w:tcPr>
          <w:p>
            <w:pPr>
              <w:spacing w:after="40" w:before="0" w:line="259" w:lineRule="auto"/>
            </w:pPr>
            <w:r>
              <w:rPr>
                <w:rFonts w:ascii="Calibri" w:hAnsi="Calibri"/>
                <w:b w:val="0"/>
                <w:i w:val="0"/>
                <w:color w:val="212121"/>
                <w:sz w:val="16"/>
              </w:rPr>
              <w:t>T-score &gt; −1.0</w:t>
            </w:r>
          </w:p>
        </w:tc>
        <w:tc>
          <w:tcPr>
            <w:tcW w:type="dxa" w:w="950"/>
            <w:vAlign w:val="top"/>
          </w:tcPr>
          <w:p>
            <w:pPr>
              <w:spacing w:after="40" w:before="0" w:line="259" w:lineRule="auto"/>
            </w:pPr>
            <w:r>
              <w:rPr>
                <w:rFonts w:ascii="Calibri" w:hAnsi="Calibri"/>
                <w:b w:val="0"/>
                <w:i w:val="0"/>
                <w:color w:val="212121"/>
                <w:sz w:val="16"/>
              </w:rPr>
              <w:t>T-score ≤ −2.5 (osteoporosis)</w:t>
            </w:r>
          </w:p>
        </w:tc>
        <w:tc>
          <w:tcPr>
            <w:tcW w:type="dxa" w:w="1036"/>
            <w:vAlign w:val="top"/>
          </w:tcPr>
          <w:p>
            <w:pPr>
              <w:spacing w:after="40" w:before="0" w:line="259" w:lineRule="auto"/>
            </w:pPr>
            <w:r>
              <w:rPr>
                <w:rFonts w:ascii="Calibri" w:hAnsi="Calibri"/>
                <w:b w:val="0"/>
                <w:i w:val="0"/>
                <w:color w:val="212121"/>
                <w:sz w:val="16"/>
              </w:rPr>
              <w:t>Detects and monitors corticosteroid-induced bone loss</w:t>
            </w:r>
          </w:p>
        </w:tc>
        <w:tc>
          <w:tcPr>
            <w:tcW w:type="dxa" w:w="1036"/>
            <w:vAlign w:val="top"/>
          </w:tcPr>
          <w:p>
            <w:pPr>
              <w:spacing w:after="40" w:before="0" w:line="259" w:lineRule="auto"/>
            </w:pPr>
            <w:r>
              <w:rPr>
                <w:rFonts w:ascii="Calibri" w:hAnsi="Calibri"/>
                <w:b w:val="0"/>
                <w:i w:val="0"/>
                <w:color w:val="212121"/>
                <w:sz w:val="16"/>
              </w:rPr>
              <w:t>Patients on prolonged corticosteroids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Pair with calcium/vitamin D ± bisphosphonate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Painful oral erosions, flaccid skin blisters, difficulty eating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Persistent painful mouth/skin erosions</w:t>
            </w:r>
          </w:p>
        </w:tc>
        <w:tc>
          <w:tcPr>
            <w:tcW w:type="dxa" w:w="1036"/>
            <w:vAlign w:val="top"/>
          </w:tcPr>
          <w:p>
            <w:pPr>
              <w:spacing w:after="40" w:before="0" w:line="259" w:lineRule="auto"/>
            </w:pPr>
            <w:r>
              <w:rPr>
                <w:rFonts w:ascii="Calibri" w:hAnsi="Calibri"/>
                <w:b w:val="0"/>
                <w:i w:val="0"/>
                <w:color w:val="212121"/>
                <w:sz w:val="16"/>
              </w:rPr>
              <w:t>Oral erosions are the presenting feature in most PV patients</w:t>
            </w:r>
          </w:p>
        </w:tc>
        <w:tc>
          <w:tcPr>
            <w:tcW w:type="dxa" w:w="1036"/>
            <w:vAlign w:val="top"/>
          </w:tcPr>
          <w:p>
            <w:pPr>
              <w:spacing w:after="40" w:before="0" w:line="259" w:lineRule="auto"/>
            </w:pPr>
            <w:r>
              <w:rPr>
                <w:rFonts w:ascii="Calibri" w:hAnsi="Calibri"/>
                <w:b w:val="0"/>
                <w:i w:val="0"/>
                <w:color w:val="212121"/>
                <w:sz w:val="16"/>
              </w:rPr>
              <w:t>Adults with non-healing oral ulcers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PV is a common cause of chronic oral erosions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sign</w:t>
            </w:r>
          </w:p>
        </w:tc>
        <w:tc>
          <w:tcPr>
            <w:tcW w:type="dxa" w:w="950"/>
            <w:vAlign w:val="top"/>
          </w:tcPr>
          <w:p>
            <w:pPr>
              <w:spacing w:after="40" w:before="0" w:line="259" w:lineRule="auto"/>
            </w:pPr>
            <w:r>
              <w:rPr>
                <w:rFonts w:ascii="Calibri" w:hAnsi="Calibri"/>
                <w:b w:val="0"/>
                <w:i w:val="0"/>
                <w:color w:val="212121"/>
                <w:sz w:val="16"/>
              </w:rPr>
              <w:t>Nikolsky &amp; Asboe-Hansen signs</w:t>
            </w:r>
          </w:p>
        </w:tc>
        <w:tc>
          <w:tcPr>
            <w:tcW w:type="dxa" w:w="979"/>
            <w:vAlign w:val="top"/>
          </w:tcPr>
          <w:p>
            <w:pPr>
              <w:spacing w:after="40" w:before="0" w:line="259" w:lineRule="auto"/>
            </w:pPr>
            <w:r>
              <w:rPr>
                <w:rFonts w:ascii="Calibri" w:hAnsi="Calibri"/>
                <w:b w:val="0"/>
                <w:i w:val="0"/>
                <w:color w:val="212121"/>
                <w:sz w:val="16"/>
              </w:rPr>
              <w:t>Blister extension on shear/pressure</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(skin shears/bulla spreads)</w:t>
            </w:r>
          </w:p>
        </w:tc>
        <w:tc>
          <w:tcPr>
            <w:tcW w:type="dxa" w:w="1036"/>
            <w:vAlign w:val="top"/>
          </w:tcPr>
          <w:p>
            <w:pPr>
              <w:spacing w:after="40" w:before="0" w:line="259" w:lineRule="auto"/>
            </w:pPr>
            <w:r>
              <w:rPr>
                <w:rFonts w:ascii="Calibri" w:hAnsi="Calibri"/>
                <w:b w:val="0"/>
                <w:i w:val="0"/>
                <w:color w:val="212121"/>
                <w:sz w:val="16"/>
              </w:rPr>
              <w:t>Bedside marker of active acantholysis and disease activity</w:t>
            </w:r>
          </w:p>
        </w:tc>
        <w:tc>
          <w:tcPr>
            <w:tcW w:type="dxa" w:w="1036"/>
            <w:vAlign w:val="top"/>
          </w:tcPr>
          <w:p>
            <w:pPr>
              <w:spacing w:after="40" w:before="0" w:line="259" w:lineRule="auto"/>
            </w:pPr>
            <w:r>
              <w:rPr>
                <w:rFonts w:ascii="Calibri" w:hAnsi="Calibri"/>
                <w:b w:val="0"/>
                <w:i w:val="0"/>
                <w:color w:val="212121"/>
                <w:sz w:val="16"/>
              </w:rPr>
              <w:t>Any flaccid blistering eruption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Test at the edge of a fresh lesion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Mucosal survey</w:t>
            </w:r>
          </w:p>
        </w:tc>
        <w:tc>
          <w:tcPr>
            <w:tcW w:type="dxa" w:w="979"/>
            <w:vAlign w:val="top"/>
          </w:tcPr>
          <w:p>
            <w:pPr>
              <w:spacing w:after="40" w:before="0" w:line="259" w:lineRule="auto"/>
            </w:pPr>
            <w:r>
              <w:rPr>
                <w:rFonts w:ascii="Calibri" w:hAnsi="Calibri"/>
                <w:b w:val="0"/>
                <w:i w:val="0"/>
                <w:color w:val="212121"/>
                <w:sz w:val="16"/>
              </w:rPr>
              <w:t>Oral, ocular, nasal, genital, laryngeal mucosae</w:t>
            </w:r>
          </w:p>
        </w:tc>
        <w:tc>
          <w:tcPr>
            <w:tcW w:type="dxa" w:w="950"/>
            <w:vAlign w:val="top"/>
          </w:tcPr>
          <w:p>
            <w:pPr>
              <w:spacing w:after="40" w:before="0" w:line="259" w:lineRule="auto"/>
            </w:pPr>
            <w:r>
              <w:rPr>
                <w:rFonts w:ascii="Calibri" w:hAnsi="Calibri"/>
                <w:b w:val="0"/>
                <w:i w:val="0"/>
                <w:color w:val="212121"/>
                <w:sz w:val="16"/>
              </w:rPr>
              <w:t>No erosions</w:t>
            </w:r>
          </w:p>
        </w:tc>
        <w:tc>
          <w:tcPr>
            <w:tcW w:type="dxa" w:w="950"/>
            <w:vAlign w:val="top"/>
          </w:tcPr>
          <w:p>
            <w:pPr>
              <w:spacing w:after="40" w:before="0" w:line="259" w:lineRule="auto"/>
            </w:pPr>
            <w:r>
              <w:rPr>
                <w:rFonts w:ascii="Calibri" w:hAnsi="Calibri"/>
                <w:b w:val="0"/>
                <w:i w:val="0"/>
                <w:color w:val="212121"/>
                <w:sz w:val="16"/>
              </w:rPr>
              <w:t>Multi-site mucosal erosions</w:t>
            </w:r>
          </w:p>
        </w:tc>
        <w:tc>
          <w:tcPr>
            <w:tcW w:type="dxa" w:w="1036"/>
            <w:vAlign w:val="top"/>
          </w:tcPr>
          <w:p>
            <w:pPr>
              <w:spacing w:after="40" w:before="0" w:line="259" w:lineRule="auto"/>
            </w:pPr>
            <w:r>
              <w:rPr>
                <w:rFonts w:ascii="Calibri" w:hAnsi="Calibri"/>
                <w:b w:val="0"/>
                <w:i w:val="0"/>
                <w:color w:val="212121"/>
                <w:sz w:val="16"/>
              </w:rPr>
              <w:t>Defines extent and hidden involvement (e.g. laryngeal, oesophageal)</w:t>
            </w:r>
          </w:p>
        </w:tc>
        <w:tc>
          <w:tcPr>
            <w:tcW w:type="dxa" w:w="1036"/>
            <w:vAlign w:val="top"/>
          </w:tcPr>
          <w:p>
            <w:pPr>
              <w:spacing w:after="40" w:before="0" w:line="259" w:lineRule="auto"/>
            </w:pPr>
            <w:r>
              <w:rPr>
                <w:rFonts w:ascii="Calibri" w:hAnsi="Calibri"/>
                <w:b w:val="0"/>
                <w:i w:val="0"/>
                <w:color w:val="212121"/>
                <w:sz w:val="16"/>
              </w:rPr>
              <w:t>All PV; hoarseness/odynophagia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Laryngeal disease may cause hoarseness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trigger history</w:t>
            </w:r>
          </w:p>
        </w:tc>
        <w:tc>
          <w:tcPr>
            <w:tcW w:type="dxa" w:w="979"/>
            <w:vAlign w:val="top"/>
          </w:tcPr>
          <w:p>
            <w:pPr>
              <w:spacing w:after="40" w:before="0" w:line="259" w:lineRule="auto"/>
            </w:pPr>
            <w:r>
              <w:rPr>
                <w:rFonts w:ascii="Calibri" w:hAnsi="Calibri"/>
                <w:b w:val="0"/>
                <w:i w:val="0"/>
                <w:color w:val="212121"/>
                <w:sz w:val="16"/>
              </w:rPr>
              <w:t>Thiol drugs, ACE inhibitors, gliptins, penicillamine, diet, UV</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Recent trigger drug/food or UV exposure</w:t>
            </w:r>
          </w:p>
        </w:tc>
        <w:tc>
          <w:tcPr>
            <w:tcW w:type="dxa" w:w="1036"/>
            <w:vAlign w:val="top"/>
          </w:tcPr>
          <w:p>
            <w:pPr>
              <w:spacing w:after="40" w:before="0" w:line="259" w:lineRule="auto"/>
            </w:pPr>
            <w:r>
              <w:rPr>
                <w:rFonts w:ascii="Calibri" w:hAnsi="Calibri"/>
                <w:b w:val="0"/>
                <w:i w:val="0"/>
                <w:color w:val="212121"/>
                <w:sz w:val="16"/>
              </w:rPr>
              <w:t>Identifies drug-induced/aggravated pemphigus that may remit on withdrawal</w:t>
            </w:r>
          </w:p>
        </w:tc>
        <w:tc>
          <w:tcPr>
            <w:tcW w:type="dxa" w:w="1036"/>
            <w:vAlign w:val="top"/>
          </w:tcPr>
          <w:p>
            <w:pPr>
              <w:spacing w:after="40" w:before="0" w:line="259" w:lineRule="auto"/>
            </w:pPr>
            <w:r>
              <w:rPr>
                <w:rFonts w:ascii="Calibri" w:hAnsi="Calibri"/>
                <w:b w:val="0"/>
                <w:i w:val="0"/>
                <w:color w:val="212121"/>
                <w:sz w:val="16"/>
              </w:rPr>
              <w:t>New or flaring PV</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Review every new medication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Autoimmune &amp; family history</w:t>
            </w:r>
          </w:p>
        </w:tc>
        <w:tc>
          <w:tcPr>
            <w:tcW w:type="dxa" w:w="979"/>
            <w:vAlign w:val="top"/>
          </w:tcPr>
          <w:p>
            <w:pPr>
              <w:spacing w:after="40" w:before="0" w:line="259" w:lineRule="auto"/>
            </w:pPr>
            <w:r>
              <w:rPr>
                <w:rFonts w:ascii="Calibri" w:hAnsi="Calibri"/>
                <w:b w:val="0"/>
                <w:i w:val="0"/>
                <w:color w:val="212121"/>
                <w:sz w:val="16"/>
              </w:rPr>
              <w:t>Thyroid disease, other autoimmunity, affected relatives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Personal/family autoimmune disease</w:t>
            </w:r>
          </w:p>
        </w:tc>
        <w:tc>
          <w:tcPr>
            <w:tcW w:type="dxa" w:w="1036"/>
            <w:vAlign w:val="top"/>
          </w:tcPr>
          <w:p>
            <w:pPr>
              <w:spacing w:after="40" w:before="0" w:line="259" w:lineRule="auto"/>
            </w:pPr>
            <w:r>
              <w:rPr>
                <w:rFonts w:ascii="Calibri" w:hAnsi="Calibri"/>
                <w:b w:val="0"/>
                <w:i w:val="0"/>
                <w:color w:val="212121"/>
                <w:sz w:val="16"/>
              </w:rPr>
              <w:t>Supports autoimmune predisposition and prompts comorbidity screening</w:t>
            </w:r>
          </w:p>
        </w:tc>
        <w:tc>
          <w:tcPr>
            <w:tcW w:type="dxa" w:w="1036"/>
            <w:vAlign w:val="top"/>
          </w:tcPr>
          <w:p>
            <w:pPr>
              <w:spacing w:after="40" w:before="0" w:line="259" w:lineRule="auto"/>
            </w:pPr>
            <w:r>
              <w:rPr>
                <w:rFonts w:ascii="Calibri" w:hAnsi="Calibri"/>
                <w:b w:val="0"/>
                <w:i w:val="0"/>
                <w:color w:val="212121"/>
                <w:sz w:val="16"/>
              </w:rPr>
              <w:t>PV with autoimmune background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thyroid function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Assessment</w:t>
            </w:r>
          </w:p>
        </w:tc>
        <w:tc>
          <w:tcPr>
            <w:tcW w:type="dxa" w:w="950"/>
            <w:vAlign w:val="top"/>
          </w:tcPr>
          <w:p>
            <w:pPr>
              <w:spacing w:after="40" w:before="0" w:line="259" w:lineRule="auto"/>
            </w:pPr>
            <w:r>
              <w:rPr>
                <w:rFonts w:ascii="Calibri" w:hAnsi="Calibri"/>
                <w:b w:val="0"/>
                <w:i w:val="0"/>
                <w:color w:val="212121"/>
                <w:sz w:val="16"/>
              </w:rPr>
              <w:t>Nutrition, infection &amp; mental-health status</w:t>
            </w:r>
          </w:p>
        </w:tc>
        <w:tc>
          <w:tcPr>
            <w:tcW w:type="dxa" w:w="979"/>
            <w:vAlign w:val="top"/>
          </w:tcPr>
          <w:p>
            <w:pPr>
              <w:spacing w:after="40" w:before="0" w:line="259" w:lineRule="auto"/>
            </w:pPr>
            <w:r>
              <w:rPr>
                <w:rFonts w:ascii="Calibri" w:hAnsi="Calibri"/>
                <w:b w:val="0"/>
                <w:i w:val="0"/>
                <w:color w:val="212121"/>
                <w:sz w:val="16"/>
              </w:rPr>
              <w:t>Weight, sepsis signs, mood/anxiety</w:t>
            </w:r>
          </w:p>
        </w:tc>
        <w:tc>
          <w:tcPr>
            <w:tcW w:type="dxa" w:w="950"/>
            <w:vAlign w:val="top"/>
          </w:tcPr>
          <w:p>
            <w:pPr>
              <w:spacing w:after="40" w:before="0" w:line="259" w:lineRule="auto"/>
            </w:pPr>
            <w:r>
              <w:rPr>
                <w:rFonts w:ascii="Calibri" w:hAnsi="Calibri"/>
                <w:b w:val="0"/>
                <w:i w:val="0"/>
                <w:color w:val="212121"/>
                <w:sz w:val="16"/>
              </w:rPr>
              <w:t>Stable weight, no infection, good mood</w:t>
            </w:r>
          </w:p>
        </w:tc>
        <w:tc>
          <w:tcPr>
            <w:tcW w:type="dxa" w:w="950"/>
            <w:vAlign w:val="top"/>
          </w:tcPr>
          <w:p>
            <w:pPr>
              <w:spacing w:after="40" w:before="0" w:line="259" w:lineRule="auto"/>
            </w:pPr>
            <w:r>
              <w:rPr>
                <w:rFonts w:ascii="Calibri" w:hAnsi="Calibri"/>
                <w:b w:val="0"/>
                <w:i w:val="0"/>
                <w:color w:val="212121"/>
                <w:sz w:val="16"/>
              </w:rPr>
              <w:t>Weight loss, secondary infection, depression/anxiety</w:t>
            </w:r>
          </w:p>
        </w:tc>
        <w:tc>
          <w:tcPr>
            <w:tcW w:type="dxa" w:w="1036"/>
            <w:vAlign w:val="top"/>
          </w:tcPr>
          <w:p>
            <w:pPr>
              <w:spacing w:after="40" w:before="0" w:line="259" w:lineRule="auto"/>
            </w:pPr>
            <w:r>
              <w:rPr>
                <w:rFonts w:ascii="Calibri" w:hAnsi="Calibri"/>
                <w:b w:val="0"/>
                <w:i w:val="0"/>
                <w:color w:val="212121"/>
                <w:sz w:val="16"/>
              </w:rPr>
              <w:t>Extensive erosions cause malnutrition and infection; psychological burden is high</w:t>
            </w:r>
          </w:p>
        </w:tc>
        <w:tc>
          <w:tcPr>
            <w:tcW w:type="dxa" w:w="1036"/>
            <w:vAlign w:val="top"/>
          </w:tcPr>
          <w:p>
            <w:pPr>
              <w:spacing w:after="40" w:before="0" w:line="259" w:lineRule="auto"/>
            </w:pPr>
            <w:r>
              <w:rPr>
                <w:rFonts w:ascii="Calibri" w:hAnsi="Calibri"/>
                <w:b w:val="0"/>
                <w:i w:val="0"/>
                <w:color w:val="212121"/>
                <w:sz w:val="16"/>
              </w:rPr>
              <w:t>Extensive or chronic PV</w:t>
            </w:r>
          </w:p>
        </w:tc>
        <w:tc>
          <w:tcPr>
            <w:tcW w:type="dxa" w:w="720"/>
            <w:vAlign w:val="top"/>
          </w:tcPr>
          <w:p>
            <w:pPr>
              <w:spacing w:after="40" w:before="0" w:line="259" w:lineRule="auto"/>
            </w:pPr>
            <w:r>
              <w:rPr>
                <w:rFonts w:ascii="Calibri" w:hAnsi="Calibri"/>
                <w:b w:val="0"/>
                <w:i w:val="0"/>
                <w:color w:val="212121"/>
                <w:sz w:val="16"/>
              </w:rPr>
              <w:t>Mental health; Hygiene</w:t>
            </w:r>
          </w:p>
        </w:tc>
        <w:tc>
          <w:tcPr>
            <w:tcW w:type="dxa" w:w="720"/>
            <w:vAlign w:val="top"/>
          </w:tcPr>
          <w:p>
            <w:pPr>
              <w:spacing w:after="40" w:before="0" w:line="259" w:lineRule="auto"/>
            </w:pPr>
            <w:r>
              <w:rPr>
                <w:rFonts w:ascii="Calibri" w:hAnsi="Calibri"/>
                <w:b w:val="0"/>
                <w:i w:val="0"/>
                <w:color w:val="212121"/>
                <w:sz w:val="16"/>
              </w:rPr>
              <w:t>Holistic care</w:t>
            </w:r>
          </w:p>
        </w:tc>
        <w:tc>
          <w:tcPr>
            <w:tcW w:type="dxa" w:w="720"/>
            <w:vAlign w:val="top"/>
          </w:tcPr>
          <w:p>
            <w:pPr>
              <w:spacing w:after="40" w:before="0" w:line="259" w:lineRule="auto"/>
            </w:pPr>
            <w:r>
              <w:rPr>
                <w:rFonts w:ascii="Calibri" w:hAnsi="Calibri"/>
                <w:b w:val="0"/>
                <w:i w:val="0"/>
                <w:color w:val="212121"/>
                <w:sz w:val="16"/>
              </w:rPr>
              <w:t>Infection is the leading cause of death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Painful oral (mucosal) erosions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the first symptom; raw, slow-healing erosions make eating and speaking painful.</w:t>
            </w:r>
          </w:p>
        </w:tc>
      </w:tr>
      <w:tr>
        <w:trPr>
          <w:cantSplit/>
        </w:trPr>
        <w:tc>
          <w:tcPr>
            <w:tcW w:type="dxa" w:w="2304"/>
            <w:vAlign w:val="top"/>
          </w:tcPr>
          <w:p>
            <w:pPr>
              <w:spacing w:after="40" w:before="0" w:line="259" w:lineRule="auto"/>
            </w:pPr>
            <w:r>
              <w:rPr>
                <w:rFonts w:ascii="Calibri" w:hAnsi="Calibri"/>
                <w:b/>
                <w:i w:val="0"/>
                <w:color w:val="212121"/>
                <w:sz w:val="19"/>
              </w:rPr>
              <w:t>Flaccid skin blisters that rupture easily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Thin-walled bullae on normal or red skin that quickly break to leave erosions.</w:t>
            </w:r>
          </w:p>
        </w:tc>
      </w:tr>
      <w:tr>
        <w:trPr>
          <w:cantSplit/>
        </w:trPr>
        <w:tc>
          <w:tcPr>
            <w:tcW w:type="dxa" w:w="2304"/>
            <w:vAlign w:val="top"/>
          </w:tcPr>
          <w:p>
            <w:pPr>
              <w:spacing w:after="40" w:before="0" w:line="259" w:lineRule="auto"/>
            </w:pPr>
            <w:r>
              <w:rPr>
                <w:rFonts w:ascii="Calibri" w:hAnsi="Calibri"/>
                <w:b/>
                <w:i w:val="0"/>
                <w:color w:val="212121"/>
                <w:sz w:val="19"/>
              </w:rPr>
              <w:t>Painful, weeping skin erosions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Denuded areas on chest, back, scalp and face that are slow to heal and easily infected.</w:t>
            </w:r>
          </w:p>
        </w:tc>
      </w:tr>
      <w:tr>
        <w:trPr>
          <w:cantSplit/>
        </w:trPr>
        <w:tc>
          <w:tcPr>
            <w:tcW w:type="dxa" w:w="2304"/>
            <w:vAlign w:val="top"/>
          </w:tcPr>
          <w:p>
            <w:pPr>
              <w:spacing w:after="40" w:before="0" w:line="259" w:lineRule="auto"/>
            </w:pPr>
            <w:r>
              <w:rPr>
                <w:rFonts w:ascii="Calibri" w:hAnsi="Calibri"/>
                <w:b/>
                <w:i w:val="0"/>
                <w:color w:val="212121"/>
                <w:sz w:val="19"/>
              </w:rPr>
              <w:t>Odynophagia / dysphagia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and difficulty swallowing from oral, pharyngeal or oesophageal erosions.</w:t>
            </w:r>
          </w:p>
        </w:tc>
      </w:tr>
      <w:tr>
        <w:trPr>
          <w:cantSplit/>
        </w:trPr>
        <w:tc>
          <w:tcPr>
            <w:tcW w:type="dxa" w:w="2304"/>
            <w:vAlign w:val="top"/>
          </w:tcPr>
          <w:p>
            <w:pPr>
              <w:spacing w:after="40" w:before="0" w:line="259" w:lineRule="auto"/>
            </w:pPr>
            <w:r>
              <w:rPr>
                <w:rFonts w:ascii="Calibri" w:hAnsi="Calibri"/>
                <w:b/>
                <w:i w:val="0"/>
                <w:color w:val="212121"/>
                <w:sz w:val="19"/>
              </w:rPr>
              <w:t>Soreness / burning of mucous membranes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mucosal rawness affecting the mouth, throat and sometimes genitals.</w:t>
            </w:r>
          </w:p>
        </w:tc>
      </w:tr>
      <w:tr>
        <w:trPr>
          <w:cantSplit/>
        </w:trPr>
        <w:tc>
          <w:tcPr>
            <w:tcW w:type="dxa" w:w="2304"/>
            <w:vAlign w:val="top"/>
          </w:tcPr>
          <w:p>
            <w:pPr>
              <w:spacing w:after="40" w:before="0" w:line="259" w:lineRule="auto"/>
            </w:pPr>
            <w:r>
              <w:rPr>
                <w:rFonts w:ascii="Calibri" w:hAnsi="Calibri"/>
                <w:b/>
                <w:i w:val="0"/>
                <w:color w:val="212121"/>
                <w:sz w:val="19"/>
              </w:rPr>
              <w:t>Weight loss and poor oral intake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mouth erosions reduce eating, causing malnutrition, especially in extensive disease.</w:t>
            </w:r>
          </w:p>
        </w:tc>
      </w:tr>
      <w:tr>
        <w:trPr>
          <w:cantSplit/>
        </w:trPr>
        <w:tc>
          <w:tcPr>
            <w:tcW w:type="dxa" w:w="2304"/>
            <w:vAlign w:val="top"/>
          </w:tcPr>
          <w:p>
            <w:pPr>
              <w:spacing w:after="40" w:before="0" w:line="259" w:lineRule="auto"/>
            </w:pPr>
            <w:r>
              <w:rPr>
                <w:rFonts w:ascii="Calibri" w:hAnsi="Calibri"/>
                <w:b/>
                <w:i w:val="0"/>
                <w:color w:val="212121"/>
                <w:sz w:val="19"/>
              </w:rPr>
              <w:t>Poorly healing, spreading sores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Lesions enlarge peripherally and heal slowly rather than resolving spontaneously.</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laryngeal mucosal involvement.</w:t>
            </w:r>
          </w:p>
        </w:tc>
      </w:tr>
      <w:tr>
        <w:trPr>
          <w:cantSplit/>
        </w:trPr>
        <w:tc>
          <w:tcPr>
            <w:tcW w:type="dxa" w:w="2304"/>
            <w:vAlign w:val="top"/>
          </w:tcPr>
          <w:p>
            <w:pPr>
              <w:spacing w:after="40" w:before="0" w:line="259" w:lineRule="auto"/>
            </w:pPr>
            <w:r>
              <w:rPr>
                <w:rFonts w:ascii="Calibri" w:hAnsi="Calibri"/>
                <w:b/>
                <w:i w:val="0"/>
                <w:color w:val="212121"/>
                <w:sz w:val="19"/>
              </w:rPr>
              <w:t>Nasal, ocular or genital soreness/bleeding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mucosal disease beyond the mouth.</w:t>
            </w:r>
          </w:p>
        </w:tc>
      </w:tr>
      <w:tr>
        <w:trPr>
          <w:cantSplit/>
        </w:trPr>
        <w:tc>
          <w:tcPr>
            <w:tcW w:type="dxa" w:w="2304"/>
            <w:vAlign w:val="top"/>
          </w:tcPr>
          <w:p>
            <w:pPr>
              <w:spacing w:after="40" w:before="0" w:line="259" w:lineRule="auto"/>
            </w:pPr>
            <w:r>
              <w:rPr>
                <w:rFonts w:ascii="Calibri" w:hAnsi="Calibri"/>
                <w:b/>
                <w:i w:val="0"/>
                <w:color w:val="212121"/>
                <w:sz w:val="19"/>
              </w:rPr>
              <w:t>Fever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secondary bacterial infection or sepsis of eroded skin.</w:t>
            </w:r>
          </w:p>
        </w:tc>
      </w:tr>
      <w:tr>
        <w:trPr>
          <w:cantSplit/>
        </w:trPr>
        <w:tc>
          <w:tcPr>
            <w:tcW w:type="dxa" w:w="2304"/>
            <w:vAlign w:val="top"/>
          </w:tcPr>
          <w:p>
            <w:pPr>
              <w:spacing w:after="40" w:before="0" w:line="259" w:lineRule="auto"/>
            </w:pPr>
            <w:r>
              <w:rPr>
                <w:rFonts w:ascii="Calibri" w:hAnsi="Calibri"/>
                <w:b/>
                <w:i w:val="0"/>
                <w:color w:val="212121"/>
                <w:sz w:val="19"/>
              </w:rPr>
              <w:t>Eye redness, grittiness or discharge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Conjunctival involvement; needs ophthalmology review.</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Nikolsky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Lateral shear on perilesional skin extends the blister/erosion — marker of active acantholysis.</w:t>
            </w:r>
          </w:p>
        </w:tc>
      </w:tr>
      <w:tr>
        <w:trPr>
          <w:cantSplit/>
        </w:trPr>
        <w:tc>
          <w:tcPr>
            <w:tcW w:type="dxa" w:w="3456"/>
            <w:vAlign w:val="top"/>
          </w:tcPr>
          <w:p>
            <w:pPr>
              <w:spacing w:after="40" w:before="0" w:line="259" w:lineRule="auto"/>
            </w:pPr>
            <w:r>
              <w:rPr>
                <w:rFonts w:ascii="Calibri" w:hAnsi="Calibri"/>
                <w:b/>
                <w:i w:val="0"/>
                <w:color w:val="212121"/>
                <w:sz w:val="19"/>
              </w:rPr>
              <w:t>Positive Asboe-Hansen (bulla-spread)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Pressure on an intact bulla makes it spread laterally into adjacent skin.</w:t>
            </w:r>
          </w:p>
        </w:tc>
      </w:tr>
      <w:tr>
        <w:trPr>
          <w:cantSplit/>
        </w:trPr>
        <w:tc>
          <w:tcPr>
            <w:tcW w:type="dxa" w:w="3456"/>
            <w:vAlign w:val="top"/>
          </w:tcPr>
          <w:p>
            <w:pPr>
              <w:spacing w:after="40" w:before="0" w:line="259" w:lineRule="auto"/>
            </w:pPr>
            <w:r>
              <w:rPr>
                <w:rFonts w:ascii="Calibri" w:hAnsi="Calibri"/>
                <w:b/>
                <w:i w:val="0"/>
                <w:color w:val="212121"/>
                <w:sz w:val="19"/>
              </w:rPr>
              <w:t>Flaccid bullae and crusted erosions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Easily ruptured blisters leaving raw, crusted, tender erosions.</w:t>
            </w:r>
          </w:p>
        </w:tc>
      </w:tr>
      <w:tr>
        <w:trPr>
          <w:cantSplit/>
        </w:trPr>
        <w:tc>
          <w:tcPr>
            <w:tcW w:type="dxa" w:w="3456"/>
            <w:vAlign w:val="top"/>
          </w:tcPr>
          <w:p>
            <w:pPr>
              <w:spacing w:after="40" w:before="0" w:line="259" w:lineRule="auto"/>
            </w:pPr>
            <w:r>
              <w:rPr>
                <w:rFonts w:ascii="Calibri" w:hAnsi="Calibri"/>
                <w:b/>
                <w:i w:val="0"/>
                <w:color w:val="212121"/>
                <w:sz w:val="19"/>
              </w:rPr>
              <w:t>Oral / mucosal erosions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Ragged erosions of buccal mucosa, palate, gingiva and pharynx; the diagnostic clue in most cases.</w:t>
            </w:r>
          </w:p>
        </w:tc>
      </w:tr>
      <w:tr>
        <w:trPr>
          <w:cantSplit/>
        </w:trPr>
        <w:tc>
          <w:tcPr>
            <w:tcW w:type="dxa" w:w="3456"/>
            <w:vAlign w:val="top"/>
          </w:tcPr>
          <w:p>
            <w:pPr>
              <w:spacing w:after="40" w:before="0" w:line="259" w:lineRule="auto"/>
            </w:pPr>
            <w:r>
              <w:rPr>
                <w:rFonts w:ascii="Calibri" w:hAnsi="Calibri"/>
                <w:b/>
                <w:i w:val="0"/>
                <w:color w:val="212121"/>
                <w:sz w:val="19"/>
              </w:rPr>
              <w:t>Denuded skin patches with peripheral extension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Erosions that enlarge at the edge rather than re-epithelialising.</w:t>
            </w:r>
          </w:p>
        </w:tc>
      </w:tr>
      <w:tr>
        <w:trPr>
          <w:cantSplit/>
        </w:trPr>
        <w:tc>
          <w:tcPr>
            <w:tcW w:type="dxa" w:w="3456"/>
            <w:vAlign w:val="top"/>
          </w:tcPr>
          <w:p>
            <w:pPr>
              <w:spacing w:after="40" w:before="0" w:line="259" w:lineRule="auto"/>
            </w:pPr>
            <w:r>
              <w:rPr>
                <w:rFonts w:ascii="Calibri" w:hAnsi="Calibri"/>
                <w:b/>
                <w:i w:val="0"/>
                <w:color w:val="212121"/>
                <w:sz w:val="19"/>
              </w:rPr>
              <w:t>Signs of secondary infection (purulent crust, cellulitis, odour)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Superadded bacterial infection of eroded skin — a major risk for sepsis.</w:t>
            </w:r>
          </w:p>
        </w:tc>
      </w:tr>
      <w:tr>
        <w:trPr>
          <w:cantSplit/>
        </w:trPr>
        <w:tc>
          <w:tcPr>
            <w:tcW w:type="dxa" w:w="3456"/>
            <w:vAlign w:val="top"/>
          </w:tcPr>
          <w:p>
            <w:pPr>
              <w:spacing w:after="40" w:before="0" w:line="259" w:lineRule="auto"/>
            </w:pPr>
            <w:r>
              <w:rPr>
                <w:rFonts w:ascii="Calibri" w:hAnsi="Calibri"/>
                <w:b/>
                <w:i w:val="0"/>
                <w:color w:val="212121"/>
                <w:sz w:val="19"/>
              </w:rPr>
              <w:t>Cushingoid features / steroid stigmata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Iatrogenic sign of prolonged corticosteroid therapy (moon face, striae, thin skin).</w:t>
            </w:r>
          </w:p>
        </w:tc>
      </w:tr>
      <w:tr>
        <w:trPr>
          <w:cantSplit/>
        </w:trPr>
        <w:tc>
          <w:tcPr>
            <w:tcW w:type="dxa" w:w="3456"/>
            <w:vAlign w:val="top"/>
          </w:tcPr>
          <w:p>
            <w:pPr>
              <w:spacing w:after="40" w:before="0" w:line="259" w:lineRule="auto"/>
            </w:pPr>
            <w:r>
              <w:rPr>
                <w:rFonts w:ascii="Calibri" w:hAnsi="Calibri"/>
                <w:b/>
                <w:i w:val="0"/>
                <w:color w:val="212121"/>
                <w:sz w:val="19"/>
              </w:rPr>
              <w:t>Cachexia and dehydration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extensive disease from fluid, protein and nutrient loss through eroded skin.</w:t>
            </w:r>
          </w:p>
        </w:tc>
      </w:tr>
      <w:tr>
        <w:trPr>
          <w:cantSplit/>
        </w:trPr>
        <w:tc>
          <w:tcPr>
            <w:tcW w:type="dxa" w:w="3456"/>
            <w:vAlign w:val="top"/>
          </w:tcPr>
          <w:p>
            <w:pPr>
              <w:spacing w:after="40" w:before="0" w:line="259" w:lineRule="auto"/>
            </w:pPr>
            <w:r>
              <w:rPr>
                <w:rFonts w:ascii="Calibri" w:hAnsi="Calibri"/>
                <w:b/>
                <w:i w:val="0"/>
                <w:color w:val="212121"/>
                <w:sz w:val="19"/>
              </w:rPr>
              <w:t>Conjunctival or nasal erosions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Extra-oral mucosal involvement requiring specialist assessment.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painful skin and mucosal erosions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protein and electrolyte loss from denuded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with malnutrition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Laryngeal/oesophageal involvement affecting voice and swallowing</w:t>
            </w:r>
          </w:p>
        </w:tc>
        <w:tc>
          <w:tcPr>
            <w:tcW w:type="dxa" w:w="2980"/>
            <w:vAlign w:val="top"/>
          </w:tcPr>
          <w:p>
            <w:pPr>
              <w:spacing w:after="40" w:before="0" w:line="259" w:lineRule="auto"/>
            </w:pPr>
            <w:r>
              <w:rPr>
                <w:rFonts w:ascii="Calibri" w:hAnsi="Calibri"/>
                <w:b w:val="0"/>
                <w:i w:val="0"/>
                <w:color w:val="212121"/>
                <w:sz w:val="19"/>
              </w:rPr>
              <w:t>Direct consequences of widespread acantholysis and loss of the epidermal/mucosal barrier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and sepsis (leading cause of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Reactivation of latent tuberculosis and other opportunistic infections (key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Corticosteroid/immunosuppressant toxicity: diabetes, hypertension, osteoporosis/fractures, cushingoid change, cataract &amp; glaucoma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Bone-marrow suppression and hepatotoxicity from azathioprine/methotrexate/mycophenolate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impairment and adrenal suppression in juvenile PV</w:t>
            </w:r>
          </w:p>
        </w:tc>
        <w:tc>
          <w:tcPr>
            <w:tcW w:type="dxa" w:w="2980"/>
            <w:vAlign w:val="top"/>
          </w:tcPr>
          <w:p>
            <w:pPr>
              <w:spacing w:after="40" w:before="0" w:line="259" w:lineRule="auto"/>
            </w:pPr>
            <w:r>
              <w:rPr>
                <w:rFonts w:ascii="Calibri" w:hAnsi="Calibri"/>
                <w:b w:val="0"/>
                <w:i w:val="0"/>
                <w:color w:val="212121"/>
                <w:sz w:val="19"/>
              </w:rPr>
              <w:t>Arise from barrier loss plus the intensive immunosuppression required to control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relapsing–remitting course requiring years of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Post-inflammatory scarring and dyspigmentation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Steroid-induced avascular necrosis of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ocular/laryngeal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depression, anxiety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 overall pemphigus mortality remains about 5–15%</w:t>
            </w:r>
          </w:p>
        </w:tc>
        <w:tc>
          <w:tcPr>
            <w:tcW w:type="dxa" w:w="2980"/>
            <w:vAlign w:val="top"/>
          </w:tcPr>
          <w:p>
            <w:pPr>
              <w:spacing w:after="40" w:before="0" w:line="259" w:lineRule="auto"/>
            </w:pPr>
            <w:r>
              <w:rPr>
                <w:rFonts w:ascii="Calibri" w:hAnsi="Calibri"/>
                <w:b w:val="0"/>
                <w:i w:val="0"/>
                <w:color w:val="212121"/>
                <w:sz w:val="19"/>
              </w:rPr>
              <w:t>Long-term, disabling or irreversible outcomes of chronic disease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 thyroiditis / 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T-cell-mediated autoimmunity and HLA background with PV; routine thyroid screening is advised.</w:t>
            </w:r>
          </w:p>
          <w:p>
            <w:pPr>
              <w:spacing w:after="40" w:before="0" w:line="259" w:lineRule="auto"/>
            </w:pPr>
            <w:r>
              <w:rPr>
                <w:rFonts w:ascii="Calibri" w:hAnsi="Calibri"/>
                <w:b/>
                <w:i w:val="0"/>
                <w:color w:val="212121"/>
                <w:sz w:val="19"/>
              </w:rPr>
              <w:t>SPR ~1.53</w:t>
            </w:r>
          </w:p>
        </w:tc>
      </w:tr>
      <w:tr>
        <w:trPr>
          <w:cantSplit/>
        </w:trPr>
        <w:tc>
          <w:tcPr>
            <w:tcW w:type="dxa" w:w="2232"/>
            <w:vAlign w:val="top"/>
          </w:tcPr>
          <w:p>
            <w:pPr>
              <w:spacing w:after="40" w:before="0" w:line="259" w:lineRule="auto"/>
            </w:pPr>
            <w:r>
              <w:rPr>
                <w:rFonts w:ascii="Calibri" w:hAnsi="Calibri"/>
                <w:b/>
                <w:i w:val="0"/>
                <w:color w:val="212121"/>
                <w:sz w:val="19"/>
              </w:rPr>
              <w:t>Diabetes mellitus (including corticosteroid-induced)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comorbidity and a frequent consequence of high-dose steroids, requiring glucose monitoring throughout treatment.</w:t>
            </w:r>
          </w:p>
          <w:p>
            <w:pPr>
              <w:spacing w:after="40" w:before="0" w:line="259" w:lineRule="auto"/>
            </w:pPr>
            <w:r>
              <w:rPr>
                <w:rFonts w:ascii="Calibri" w:hAnsi="Calibri"/>
                <w:b/>
                <w:i w:val="0"/>
                <w:color w:val="212121"/>
                <w:sz w:val="19"/>
              </w:rPr>
              <w:t>SPR ~2.20</w:t>
            </w:r>
          </w:p>
        </w:tc>
      </w:tr>
      <w:tr>
        <w:trPr>
          <w:cantSplit/>
        </w:trPr>
        <w:tc>
          <w:tcPr>
            <w:tcW w:type="dxa" w:w="2232"/>
            <w:vAlign w:val="top"/>
          </w:tcPr>
          <w:p>
            <w:pPr>
              <w:spacing w:after="40" w:before="0" w:line="259" w:lineRule="auto"/>
            </w:pPr>
            <w:r>
              <w:rPr>
                <w:rFonts w:ascii="Calibri" w:hAnsi="Calibri"/>
                <w:b/>
                <w:i w:val="0"/>
                <w:color w:val="212121"/>
                <w:sz w:val="19"/>
              </w:rPr>
              <w:t>Osteoporosis and fragility fractures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corticosteroids cause bone loss; calcium, vitamin D and DEXA monitoring are needed.</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Painful, disfiguring chronic disease and prolonged therapy drive high psychological morbidity persisting into remission.</w:t>
            </w:r>
          </w:p>
          <w:p>
            <w:pPr>
              <w:spacing w:after="40" w:before="0" w:line="259" w:lineRule="auto"/>
            </w:pPr>
            <w:r>
              <w:rPr>
                <w:rFonts w:ascii="Calibri" w:hAnsi="Calibri"/>
                <w:b/>
                <w:i w:val="0"/>
                <w:color w:val="212121"/>
                <w:sz w:val="19"/>
              </w:rPr>
              <w:t>Up to 38.3%</w:t>
            </w:r>
          </w:p>
        </w:tc>
      </w:tr>
      <w:tr>
        <w:trPr>
          <w:cantSplit/>
        </w:trPr>
        <w:tc>
          <w:tcPr>
            <w:tcW w:type="dxa" w:w="2232"/>
            <w:vAlign w:val="top"/>
          </w:tcPr>
          <w:p>
            <w:pPr>
              <w:spacing w:after="40" w:before="0" w:line="259" w:lineRule="auto"/>
            </w:pPr>
            <w:r>
              <w:rPr>
                <w:rFonts w:ascii="Calibri" w:hAnsi="Calibri"/>
                <w:b/>
                <w:i w:val="0"/>
                <w:color w:val="212121"/>
                <w:sz w:val="19"/>
              </w:rPr>
              <w:t>Serious infections / sepsis (incl. tuberculosis reactivation)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Barrier loss plus immunosuppression predispose to infection — the leading cause of death; TB screening is essential in India.</w:t>
            </w:r>
          </w:p>
        </w:tc>
      </w:tr>
      <w:tr>
        <w:trPr>
          <w:cantSplit/>
        </w:trPr>
        <w:tc>
          <w:tcPr>
            <w:tcW w:type="dxa" w:w="2232"/>
            <w:vAlign w:val="top"/>
          </w:tcPr>
          <w:p>
            <w:pPr>
              <w:spacing w:after="40" w:before="0" w:line="259" w:lineRule="auto"/>
            </w:pPr>
            <w:r>
              <w:rPr>
                <w:rFonts w:ascii="Calibri" w:hAnsi="Calibri"/>
                <w:b/>
                <w:i w:val="0"/>
                <w:color w:val="212121"/>
                <w:sz w:val="19"/>
              </w:rPr>
              <w:t>Other systemic autoimmune diseases (rheumatoid arthritis, pernicious anaemia, myasthenia gravis/thymoma)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PV clusters with other autoimmune disorders through shared immunogenetics; myasthenia gravis/thymoma have a recognised link.</w:t>
            </w:r>
          </w:p>
        </w:tc>
      </w:tr>
      <w:tr>
        <w:trPr>
          <w:cantSplit/>
        </w:trPr>
        <w:tc>
          <w:tcPr>
            <w:tcW w:type="dxa" w:w="2232"/>
            <w:vAlign w:val="top"/>
          </w:tcPr>
          <w:p>
            <w:pPr>
              <w:spacing w:after="40" w:before="0" w:line="259" w:lineRule="auto"/>
            </w:pPr>
            <w:r>
              <w:rPr>
                <w:rFonts w:ascii="Calibri" w:hAnsi="Calibri"/>
                <w:b/>
                <w:i w:val="0"/>
                <w:color w:val="212121"/>
                <w:sz w:val="19"/>
              </w:rPr>
              <w:t>Cardiovascular disease and dyslipidaemia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Reported as prominent comorbidities and compounded by steroid-related metabolic effects; lipid scores may track severity.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persistent painful mouth ulcers or flaccid, easily bursting skin blisters — and seek dermatology review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every new medication; avoid known trigger drugs where possible (penicillamine, captopril, ACE inhibitors, gliptins) and discuss alternatives with the doctor.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stop corticosteroids or immunosuppressants abruptly; taper only under supervision to prevent severe flares and adrenal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gentle skin wound care and oral hygiene, and watch for signs of infection (fever, pus, increasing pain) that need urgent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sun protection and avoid skin trauma, burns and friction, which can provoke new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with anti-desmoglein monitoring; understand PV is controllable but chronic and relapsing.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immunosuppression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and resistance exercise to counter corticosteroid-induced osteoporosis and muscle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low-impact activity that avoids friction or trauma to eroded or healing skin.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mobility and cardiovascular fitness to offset steroid-related metabolic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Pair activity with calcium, vitamin D and bone-density monitoring during prolonged steroid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soft, bland, non-acidic and non-spicy diet to reduce pain from oral erosions.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high-protein, high-calorie intake to replace losses from eroded skin and support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recognised dietary triggers during active disease — garlic, onion, leek (thiol/allium) and tannin-rich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calcium- and vitamin-D-rich foods to protect bone during steroid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especially when skin involvement is extensive, to offset fluid loss.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erosions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Extensive/mucocutaneous 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good sleep hygiene, as corticosteroids frequently cause insomnia and agitation.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the corticosteroid dose in the morning where advised to reduce 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nocturnal pain from erosions with appropriate analgesia and wound dressings.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painful active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improve healing of oral and skin erosions.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regard the reported inverse epidemiological link as protective — tobacco worsens mucosal disease and overall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if needed, especially before and during immunosuppressive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involvement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irritates oral erosions and delays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hepatotoxic interaction of alcohol with azathioprine, methotrexate and mycophenolate.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safe limits with the treating team while on immunosuppressants.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azathioprine/methotrexate/MMF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oral erosions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affect over a third of patients even in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patient support groups and psychodermatology input for coping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as emotional stress can trigger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significant mood or anxiety disorders alongside the skin disease for better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PV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disfiguring or chronic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quality of life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dvl.com/pemphigus-in-india/" TargetMode="External"/><Relationship Id="rId10" Type="http://schemas.openxmlformats.org/officeDocument/2006/relationships/hyperlink" Target="https://dermnetnz.org/topics/pemphigus-vulgaris" TargetMode="External"/><Relationship Id="rId11" Type="http://schemas.openxmlformats.org/officeDocument/2006/relationships/hyperlink" Target="https://pubmed.ncbi.nlm.nih.gov/29582787/" TargetMode="External"/><Relationship Id="rId12" Type="http://schemas.openxmlformats.org/officeDocument/2006/relationships/hyperlink" Target="https://rarediseases.org/rare-diseases/pemphigus/" TargetMode="External"/><Relationship Id="rId13" Type="http://schemas.openxmlformats.org/officeDocument/2006/relationships/hyperlink" Target="https://pubmed.ncbi.nlm.nih.gov/34821016/" TargetMode="External"/><Relationship Id="rId14" Type="http://schemas.openxmlformats.org/officeDocument/2006/relationships/hyperlink" Target="https://pubmed.ncbi.nlm.nih.gov/25786337/" TargetMode="External"/><Relationship Id="rId15" Type="http://schemas.openxmlformats.org/officeDocument/2006/relationships/hyperlink" Target="https://pubmed.ncbi.nlm.nih.gov/34729897/" TargetMode="External"/><Relationship Id="rId16" Type="http://schemas.openxmlformats.org/officeDocument/2006/relationships/hyperlink" Target="https://pmc.ncbi.nlm.nih.gov/articles/PMC117535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