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Intertrigo</w:t>
      </w:r>
    </w:p>
    <w:p>
      <w:pPr>
        <w:spacing w:before="0" w:after="160"/>
      </w:pPr>
      <w:r>
        <w:rPr>
          <w:rFonts w:ascii="Calibri" w:hAnsi="Calibri"/>
          <w:b/>
          <w:i w:val="0"/>
          <w:color w:val="212121"/>
          <w:sz w:val="22"/>
        </w:rPr>
        <w:t xml:space="preserve">AKA </w:t>
      </w:r>
      <w:r>
        <w:rPr>
          <w:rFonts w:ascii="Calibri" w:hAnsi="Calibri"/>
          <w:b w:val="0"/>
          <w:i w:val="0"/>
          <w:color w:val="212121"/>
          <w:sz w:val="22"/>
        </w:rPr>
        <w:t>i.e., Intertriginous dermatitis, Skin-fold rash, Flexural dermatitis; includes candidal intertrigo, toe-web (interdigital) intertrigo and diaper (napkin) intertrigo</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Intertrigo is a superficial inflammatory dermatitis of apposed skin folds (flexures) produced by skin-on-skin friction, heat, and trapped moisture that macerates the stratum corneum and breaks down the skin barrier. It typically appears as symmetric (“mirror-image”) erythema, maceration and moist scaling in the inframammary, axillary, inguinal, abdominal (panniculus), gluteal, neck and finger/toe-web folds, and in the diaper area of infants. Simple irritant intertrigo is frequently complicated by secondary overgrowth of Candida, bacteria (streptococci, staphylococci, gram-negatives, Corynebacterium) or dermatophytes, which converts it into infective disease.</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Intertrigo is one of the most common flexural dermatoses in Indian practice, favoured by a hot, humid tropical climate and by rising rates of overweight, obesity and diabetes. Among obese Indian patients (BMI &gt; 30 kg/m²), roughly 60–70% show cutaneous changes, with skin-fold infection and intertrigo prominent; it is also frequent in nappy-wearing infants, bed-bound or incontinent elderly, and manual/outdoor workers in occlusive clothing. In a study of hospitalised Indian neonates, intertrigo was recorded in about 0.6% (napkin dermatitis ~2%, miliaria ~5%). It is most prevalent wherever heat, humidity and sweating are high.</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Intertrigo is largely a clinical diagnosis; targeted bedside and laboratory tests confirm secondary infection and screen for predisposing disease: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Clinical pattern: symmetric erythema, maceration and moist scaling confined to a body fold (inframammary, axillary, inguinal/genitocrural, abdominal panniculus, gluteal/natal cleft, neck, or finger/toe web).</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KOH microscopy of skin scrapings: budding yeasts with pseudohyphae confirm candidal intertrigo; septate, branching hyphae indicate a dermatophyte (tinea) overlay.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Wood’s lamp examination: coral-red fluorescence indicates erythrasma (Corynebacterium minutissimum); a green tinge suggests Pseudomonas or dermatophyte involvement.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Bacterial swab, Gram stain and culture when there is purulence, foul odour, fissuring, or suspected streptococcal/staphylococcal or gram-negative toe-web infection.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Screen for predisposition: random/fasting blood glucose and HbA1c for undiagnosed diabetes, plus BMI and waist circumference for obesity.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Skin biopsy reserved for atypical, asymmetric, ulcerated or treatment-resistant lesions, to exclude inverse psoriasis, Hailey–Hailey disease, extramammary Paget disease or cutaneous lymphoma.</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Intertrigo is classified by the dominant pathogen, by site and by clinical course:</w:t>
      </w:r>
    </w:p>
    <w:p>
      <w:pPr>
        <w:spacing w:before="0" w:after="80"/>
      </w:pPr>
      <w:r>
        <w:rPr>
          <w:rFonts w:ascii="Calibri" w:hAnsi="Calibri"/>
          <w:b w:val="0"/>
          <w:i w:val="0"/>
          <w:color w:val="212121"/>
          <w:sz w:val="21"/>
        </w:rPr>
        <w:t>(1) Simple (irritant/uncomplicated) intertrigo — friction, heat and trapped moisture produce erythema and maceration without a dominant pathogen.</w:t>
      </w:r>
    </w:p>
    <w:p>
      <w:pPr>
        <w:spacing w:before="0" w:after="80"/>
      </w:pPr>
      <w:r>
        <w:rPr>
          <w:rFonts w:ascii="Calibri" w:hAnsi="Calibri"/>
          <w:b w:val="0"/>
          <w:i w:val="0"/>
          <w:color w:val="212121"/>
          <w:sz w:val="21"/>
        </w:rPr>
        <w:t>(2) Candidal intertrigo — secondary Candida albicans overgrowth causing beefy-red plaques with a macerated, peeling collarette and characteristic satellite papules and pustules; the commonest infective form, especially in people with diabetes and obesity.</w:t>
      </w:r>
    </w:p>
    <w:p>
      <w:pPr>
        <w:spacing w:before="0" w:after="80"/>
      </w:pPr>
      <w:r>
        <w:rPr>
          <w:rFonts w:ascii="Calibri" w:hAnsi="Calibri"/>
          <w:b w:val="0"/>
          <w:i w:val="0"/>
          <w:color w:val="212121"/>
          <w:sz w:val="21"/>
        </w:rPr>
        <w:t>(3) Bacterial intertrigo — Streptococcus/Staphylococcus (weeping, painful, sometimes impetiginised), gram-negative toe-web infection, and erythrasma from Corynebacterium minutissimum (well-demarcated brown patches that fluoresce coral-red under Wood’s lamp).</w:t>
      </w:r>
    </w:p>
    <w:p>
      <w:pPr>
        <w:spacing w:before="0" w:after="80"/>
      </w:pPr>
      <w:r>
        <w:rPr>
          <w:rFonts w:ascii="Calibri" w:hAnsi="Calibri"/>
          <w:b w:val="0"/>
          <w:i w:val="0"/>
          <w:color w:val="212121"/>
          <w:sz w:val="21"/>
        </w:rPr>
        <w:t>(4) Dermatophytic (tinea) intertrigo — overlap with tinea cruris/pedis, showing a scaly advancing border with relative central clearing.</w:t>
      </w:r>
    </w:p>
    <w:p>
      <w:pPr>
        <w:spacing w:before="0" w:after="80"/>
      </w:pPr>
      <w:r>
        <w:rPr>
          <w:rFonts w:ascii="Calibri" w:hAnsi="Calibri"/>
          <w:b w:val="0"/>
          <w:i w:val="0"/>
          <w:color w:val="212121"/>
          <w:sz w:val="21"/>
        </w:rPr>
        <w:t>(5) By site — inframammary, axillary, inguinal/genitocrural, abdominal (panniculus), gluteal/natal cleft, neck folds, interdigital (finger and toe webs), and the diaper area in infants; by course it may be acute, relapsing, or chronic (persisting beyond six weeks).</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Friction: Repetitive skin-on-skin rubbing of opposing folds abrades and inflames the epidermis.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Moisture and occlusion: Trapped sweat, urine, faeces or wound exudate macerates the stratum corneum and disrupts the barrier, the central initiating event.</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Heat and humidity: A warm, humid flexural microclimate—amplified by India’s tropical weather—promotes maceration and microbial proliferation.</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Obesity: Deep, poorly ventilated folds and a large skin surface increase friction, sweat retention and infection risk.</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Diabetes mellitus: Hyperglycaemia, glucose-rich sweat and impaired immunity favour Candida and bacterial colonisation of folds.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Secondary infection: Candida albicans, streptococci/staphylococci, Corynebacterium (erythrasma) and dermatophytes turn simple intertrigo into infective disease.</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Local predisposing states: Hyperhidrosis, incontinence, immobility, tight/occlusive clothing and footwear, and lymphedema sustain a moist, friction-prone environment.</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w:t>
            </w:r>
          </w:p>
        </w:tc>
        <w:tc>
          <w:tcPr>
            <w:tcW w:type="dxa" w:w="4276"/>
            <w:vAlign w:val="top"/>
          </w:tcPr>
          <w:p>
            <w:pPr>
              <w:spacing w:after="60" w:line="259" w:lineRule="auto"/>
            </w:pPr>
            <w:r>
              <w:rPr>
                <w:rFonts w:ascii="Calibri" w:hAnsi="Calibri"/>
                <w:b w:val="0"/>
                <w:i w:val="0"/>
                <w:color w:val="212121"/>
                <w:sz w:val="19"/>
              </w:rPr>
              <w:t>Working-age adults accumulate the key drivers—overweight/obesity, diabetes, occupational heat and sweat, and occlusive clothing—that create deep, moist, friction-prone folds where the barrier breaks down and microbes overgrow.</w:t>
            </w:r>
          </w:p>
          <w:p>
            <w:pPr>
              <w:spacing w:after="40" w:before="60" w:line="259" w:lineRule="auto"/>
            </w:pPr>
            <w:r>
              <w:rPr>
                <w:rFonts w:ascii="Calibri" w:hAnsi="Calibri"/>
                <w:b w:val="0"/>
                <w:i w:val="0"/>
                <w:color w:val="212121"/>
                <w:sz w:val="19"/>
              </w:rPr>
              <w:t>Among obese adults (BMI &gt; 30 kg/m²) in a Chennai study, roughly 60–70% showed cutaneous changes, with skin infections and intertrigo among the common findings.</w:t>
            </w:r>
          </w:p>
          <w:p>
            <w:pPr>
              <w:spacing w:after="40" w:line="252" w:lineRule="auto"/>
            </w:pPr>
            <w:hyperlink r:id="rId9">
              <w:r>
                <w:rPr>
                  <w:rFonts w:ascii="Calibri" w:hAnsi="Calibri" w:cs="Calibri"/>
                  <w:sz w:val="18"/>
                  <w:color w:val="1155CC"/>
                  <w:u w:val="single"/>
                </w:rPr>
                <w:t xml:space="preserve">pubmed.ncbi.nlm.nih.gov/38716024 — obesity-related skin conditions</w:t>
              </w:r>
            </w:hyperlink>
          </w:p>
          <w:p>
            <w:pPr>
              <w:spacing w:before="60" w:after="40"/>
            </w:pPr>
            <w:r>
              <w:rPr>
                <w:rFonts w:ascii="Calibri" w:hAnsi="Calibri"/>
                <w:b w:val="0"/>
                <w:i w:val="0"/>
                <w:color w:val="5A5A5A"/>
                <w:sz w:val="18"/>
              </w:rPr>
              <w:t>#intertrigo  #skinfolds  #obesity  #sweat  #friction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Reduced mobility, incontinence, thinner fragile skin, and comorbid diabetes make older adults prone to persistent moisture and maceration in the groin, natal cleft and inframammary folds, with slow healing and recurrent secondary infection.</w:t>
            </w:r>
          </w:p>
          <w:p>
            <w:pPr>
              <w:spacing w:after="40" w:before="60" w:line="259" w:lineRule="auto"/>
            </w:pPr>
            <w:r>
              <w:rPr>
                <w:rFonts w:ascii="Calibri" w:hAnsi="Calibri"/>
                <w:b w:val="0"/>
                <w:i w:val="0"/>
                <w:color w:val="212121"/>
                <w:sz w:val="19"/>
              </w:rPr>
              <w:t>Intertrigo affects individuals from infancy to advanced age; limited mobility, incontinence and weakened immunity are recognised predisposing factors in older adults.</w:t>
            </w:r>
          </w:p>
          <w:p>
            <w:pPr>
              <w:spacing w:after="40" w:line="252" w:lineRule="auto"/>
            </w:pPr>
            <w:hyperlink r:id="rId10">
              <w:r>
                <w:rPr>
                  <w:rFonts w:ascii="Calibri" w:hAnsi="Calibri" w:cs="Calibri"/>
                  <w:sz w:val="18"/>
                  <w:color w:val="1155CC"/>
                  <w:u w:val="single"/>
                </w:rPr>
                <w:t xml:space="preserve">ncbi.nlm.nih.gov — StatPearls: Intertrigo</w:t>
              </w:r>
            </w:hyperlink>
          </w:p>
          <w:p>
            <w:pPr>
              <w:spacing w:before="60" w:after="40"/>
            </w:pPr>
            <w:r>
              <w:rPr>
                <w:rFonts w:ascii="Calibri" w:hAnsi="Calibri"/>
                <w:b w:val="0"/>
                <w:i w:val="0"/>
                <w:color w:val="5A5A5A"/>
                <w:sz w:val="18"/>
              </w:rPr>
              <w:t>#elderly  #immobility  #incontinence  #skinfragility</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Infants &amp; neonates</w:t>
            </w:r>
          </w:p>
        </w:tc>
        <w:tc>
          <w:tcPr>
            <w:tcW w:type="dxa" w:w="4276"/>
            <w:vAlign w:val="top"/>
          </w:tcPr>
          <w:p>
            <w:pPr>
              <w:spacing w:after="60" w:line="259" w:lineRule="auto"/>
            </w:pPr>
            <w:r>
              <w:rPr>
                <w:rFonts w:ascii="Calibri" w:hAnsi="Calibri"/>
                <w:b w:val="0"/>
                <w:i w:val="0"/>
                <w:color w:val="212121"/>
                <w:sz w:val="19"/>
              </w:rPr>
              <w:t>Occlusive nappies trap urine and faeces against thin skin in the diaper area and neck/thigh creases, causing maceration and irritant intertrigo that is readily colonised by Candida.</w:t>
            </w:r>
          </w:p>
          <w:p>
            <w:pPr>
              <w:spacing w:after="40" w:before="60" w:line="259" w:lineRule="auto"/>
            </w:pPr>
            <w:r>
              <w:rPr>
                <w:rFonts w:ascii="Calibri" w:hAnsi="Calibri"/>
                <w:b w:val="0"/>
                <w:i w:val="0"/>
                <w:color w:val="212121"/>
                <w:sz w:val="19"/>
              </w:rPr>
              <w:t>In 474 hospitalised Indian neonates, intertrigo was recorded in 0.63% and napkin dermatitis in 2.10%, with miliaria in 4.64%.</w:t>
            </w:r>
          </w:p>
          <w:p>
            <w:pPr>
              <w:spacing w:after="40" w:line="252" w:lineRule="auto"/>
            </w:pPr>
            <w:hyperlink r:id="rId11">
              <w:r>
                <w:rPr>
                  <w:rFonts w:ascii="Calibri" w:hAnsi="Calibri" w:cs="Calibri"/>
                  <w:sz w:val="18"/>
                  <w:color w:val="1155CC"/>
                  <w:u w:val="single"/>
                </w:rPr>
                <w:t xml:space="preserve">pubmed.ncbi.nlm.nih.gov/38186839 — neonatal dermatoses, India</w:t>
              </w:r>
            </w:hyperlink>
          </w:p>
          <w:p>
            <w:pPr>
              <w:spacing w:before="60" w:after="40"/>
            </w:pPr>
            <w:r>
              <w:rPr>
                <w:rFonts w:ascii="Calibri" w:hAnsi="Calibri"/>
                <w:b w:val="0"/>
                <w:i w:val="0"/>
                <w:color w:val="5A5A5A"/>
                <w:sz w:val="18"/>
              </w:rPr>
              <w:t>#diaperrash  #napkindermatitis  #neonatal  #candida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Females</w:t>
            </w:r>
          </w:p>
        </w:tc>
        <w:tc>
          <w:tcPr>
            <w:tcW w:type="dxa" w:w="4276"/>
            <w:vAlign w:val="top"/>
          </w:tcPr>
          <w:p>
            <w:pPr>
              <w:spacing w:after="60" w:line="259" w:lineRule="auto"/>
            </w:pPr>
            <w:r>
              <w:rPr>
                <w:rFonts w:ascii="Calibri" w:hAnsi="Calibri"/>
                <w:b w:val="0"/>
                <w:i w:val="0"/>
                <w:color w:val="212121"/>
                <w:sz w:val="19"/>
              </w:rPr>
              <w:t>Large or pendulous breasts and, post-partum, a lax abdominal panniculus create warm, occluded inframammary and abdominal folds; these are classic sites for candidal intertrigo, particularly with coexisting obesity or diabetes.</w:t>
            </w:r>
          </w:p>
          <w:p>
            <w:pPr>
              <w:spacing w:after="40" w:before="60" w:line="259" w:lineRule="auto"/>
            </w:pPr>
            <w:r>
              <w:rPr>
                <w:rFonts w:ascii="Calibri" w:hAnsi="Calibri"/>
                <w:b w:val="0"/>
                <w:i w:val="0"/>
                <w:color w:val="212121"/>
                <w:sz w:val="19"/>
              </w:rPr>
              <w:t>Inframammary and abdominal folds are among the most frequently affected sites; no clear overall sex or ethnic predilection is reported for intertrigo as a whole.</w:t>
            </w:r>
          </w:p>
          <w:p>
            <w:pPr>
              <w:spacing w:after="40" w:line="252" w:lineRule="auto"/>
            </w:pPr>
            <w:hyperlink r:id="rId10">
              <w:r>
                <w:rPr>
                  <w:rFonts w:ascii="Calibri" w:hAnsi="Calibri" w:cs="Calibri"/>
                  <w:sz w:val="18"/>
                  <w:color w:val="1155CC"/>
                  <w:u w:val="single"/>
                </w:rPr>
                <w:t xml:space="preserve">ncbi.nlm.nih.gov — StatPearls: Intertrigo</w:t>
              </w:r>
            </w:hyperlink>
          </w:p>
          <w:p>
            <w:pPr>
              <w:spacing w:before="60" w:after="40"/>
            </w:pPr>
            <w:r>
              <w:rPr>
                <w:rFonts w:ascii="Calibri" w:hAnsi="Calibri"/>
                <w:b w:val="0"/>
                <w:i w:val="0"/>
                <w:color w:val="5A5A5A"/>
                <w:sz w:val="18"/>
              </w:rPr>
              <w:t>#inframammary  #panniculus  #candidalintertrigo</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Manual &amp; low-income workers</w:t>
            </w:r>
          </w:p>
        </w:tc>
        <w:tc>
          <w:tcPr>
            <w:tcW w:type="dxa" w:w="4276"/>
            <w:vAlign w:val="top"/>
          </w:tcPr>
          <w:p>
            <w:pPr>
              <w:spacing w:after="60" w:line="259" w:lineRule="auto"/>
            </w:pPr>
            <w:r>
              <w:rPr>
                <w:rFonts w:ascii="Calibri" w:hAnsi="Calibri"/>
                <w:b w:val="0"/>
                <w:i w:val="0"/>
                <w:color w:val="212121"/>
                <w:sz w:val="19"/>
              </w:rPr>
              <w:t>Physically demanding outdoor work, heavy sweating, limited access to frequent bathing or dry changes of clothing, and re-worn occlusive garments and footwear sustain flexural moisture and friction.</w:t>
            </w:r>
          </w:p>
          <w:p>
            <w:pPr>
              <w:spacing w:after="40" w:before="60" w:line="259" w:lineRule="auto"/>
            </w:pPr>
            <w:r>
              <w:rPr>
                <w:rFonts w:ascii="Calibri" w:hAnsi="Calibri"/>
                <w:b w:val="0"/>
                <w:i w:val="0"/>
                <w:color w:val="212121"/>
                <w:sz w:val="19"/>
              </w:rPr>
              <w:t>Warm, humid environmental exposure and prolonged occlusion are established drivers of intertrigo.</w:t>
            </w:r>
          </w:p>
          <w:p>
            <w:pPr>
              <w:spacing w:after="40" w:line="252" w:lineRule="auto"/>
            </w:pPr>
            <w:hyperlink r:id="rId10">
              <w:r>
                <w:rPr>
                  <w:rFonts w:ascii="Calibri" w:hAnsi="Calibri" w:cs="Calibri"/>
                  <w:sz w:val="18"/>
                  <w:color w:val="1155CC"/>
                  <w:u w:val="single"/>
                </w:rPr>
                <w:t xml:space="preserve">ncbi.nlm.nih.gov — StatPearls: Intertrigo</w:t>
              </w:r>
            </w:hyperlink>
          </w:p>
          <w:p>
            <w:pPr>
              <w:spacing w:before="60" w:after="40"/>
            </w:pPr>
            <w:r>
              <w:rPr>
                <w:rFonts w:ascii="Calibri" w:hAnsi="Calibri"/>
                <w:b w:val="0"/>
                <w:i w:val="0"/>
                <w:color w:val="5A5A5A"/>
                <w:sz w:val="18"/>
              </w:rPr>
              <w:t>#occupational  #outdoorwork  #sweat  #occlusion</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Hot, humid coastal &amp; tropical India</w:t>
            </w:r>
          </w:p>
        </w:tc>
        <w:tc>
          <w:tcPr>
            <w:tcW w:type="dxa" w:w="4276"/>
            <w:vAlign w:val="top"/>
          </w:tcPr>
          <w:p>
            <w:pPr>
              <w:spacing w:after="60" w:line="259" w:lineRule="auto"/>
            </w:pPr>
            <w:r>
              <w:rPr>
                <w:rFonts w:ascii="Calibri" w:hAnsi="Calibri"/>
                <w:b w:val="0"/>
                <w:i w:val="0"/>
                <w:color w:val="212121"/>
                <w:sz w:val="19"/>
              </w:rPr>
              <w:t>High ambient temperature and humidity across much of India raise flexural surface temperature and sweat retention, macerating fold skin and promoting yeast and bacterial overgrowth year-round, peaking in summer and the monsoon.</w:t>
            </w:r>
          </w:p>
          <w:p>
            <w:pPr>
              <w:spacing w:after="40" w:before="60" w:line="259" w:lineRule="auto"/>
            </w:pPr>
            <w:r>
              <w:rPr>
                <w:rFonts w:ascii="Calibri" w:hAnsi="Calibri"/>
                <w:b w:val="0"/>
                <w:i w:val="0"/>
                <w:color w:val="212121"/>
                <w:sz w:val="19"/>
              </w:rPr>
              <w:t>Intertrigo is most prevalent in hot, humid climates, where heat and moisture build-up macerate the stratum corneum.</w:t>
            </w:r>
          </w:p>
          <w:p>
            <w:pPr>
              <w:spacing w:after="40" w:line="252" w:lineRule="auto"/>
            </w:pPr>
            <w:hyperlink r:id="rId10">
              <w:r>
                <w:rPr>
                  <w:rFonts w:ascii="Calibri" w:hAnsi="Calibri" w:cs="Calibri"/>
                  <w:sz w:val="18"/>
                  <w:color w:val="1155CC"/>
                  <w:u w:val="single"/>
                </w:rPr>
                <w:t xml:space="preserve">ncbi.nlm.nih.gov — StatPearls: Intertrigo</w:t>
              </w:r>
            </w:hyperlink>
          </w:p>
          <w:p>
            <w:pPr>
              <w:spacing w:before="60" w:after="40"/>
            </w:pPr>
            <w:r>
              <w:rPr>
                <w:rFonts w:ascii="Calibri" w:hAnsi="Calibri"/>
                <w:b w:val="0"/>
                <w:i w:val="0"/>
                <w:color w:val="5A5A5A"/>
                <w:sz w:val="18"/>
              </w:rPr>
              <w:t>#tropicalclimate  #humidity  #monsoon  #heatrash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Lymphatic-filariasis-endemic South India</w:t>
            </w:r>
          </w:p>
        </w:tc>
        <w:tc>
          <w:tcPr>
            <w:tcW w:type="dxa" w:w="4276"/>
            <w:vAlign w:val="top"/>
          </w:tcPr>
          <w:p>
            <w:pPr>
              <w:spacing w:after="60" w:line="259" w:lineRule="auto"/>
            </w:pPr>
            <w:r>
              <w:rPr>
                <w:rFonts w:ascii="Calibri" w:hAnsi="Calibri"/>
                <w:b w:val="0"/>
                <w:i w:val="0"/>
                <w:color w:val="212121"/>
                <w:sz w:val="19"/>
              </w:rPr>
              <w:t>In limb lymphedema (including bancroftian filariasis), interdigital toe-web intertrigo provides an entry lesion for bacteria, triggering recurrent cellulitis / acute dermatolymphangioadenitis (ADLA) that further worsens the lymphedema.</w:t>
            </w:r>
          </w:p>
          <w:p>
            <w:pPr>
              <w:spacing w:after="40" w:before="60" w:line="259" w:lineRule="auto"/>
            </w:pPr>
            <w:r>
              <w:rPr>
                <w:rFonts w:ascii="Calibri" w:hAnsi="Calibri"/>
                <w:b w:val="0"/>
                <w:i w:val="0"/>
                <w:color w:val="212121"/>
                <w:sz w:val="19"/>
              </w:rPr>
              <w:t>A South Indian case-control study (52 vs 52) found chronic toe-web intertrigo associated with advanced lymphedema (grades III–IV), peripheral tingling/numbness and topical oil application.</w:t>
            </w:r>
          </w:p>
          <w:p>
            <w:pPr>
              <w:spacing w:after="40" w:line="252" w:lineRule="auto"/>
            </w:pPr>
            <w:hyperlink r:id="rId12">
              <w:r>
                <w:rPr>
                  <w:rFonts w:ascii="Calibri" w:hAnsi="Calibri" w:cs="Calibri"/>
                  <w:sz w:val="18"/>
                  <w:color w:val="1155CC"/>
                  <w:u w:val="single"/>
                </w:rPr>
                <w:t xml:space="preserve">pubmed.ncbi.nlm.nih.gov/26353823 — chronic intertrigo of lymphedema leg</w:t>
              </w:r>
            </w:hyperlink>
          </w:p>
          <w:p>
            <w:pPr>
              <w:spacing w:before="60" w:after="40"/>
            </w:pPr>
            <w:r>
              <w:rPr>
                <w:rFonts w:ascii="Calibri" w:hAnsi="Calibri"/>
                <w:b w:val="0"/>
                <w:i w:val="0"/>
                <w:color w:val="5A5A5A"/>
                <w:sz w:val="18"/>
              </w:rPr>
              <w:t>#toewebintertrigo  #lymphedema  #filariasis  #ADLA  #cellulitis</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 / immobility</w:t>
            </w:r>
          </w:p>
        </w:tc>
        <w:tc>
          <w:tcPr>
            <w:tcW w:type="dxa" w:w="2160"/>
            <w:vAlign w:val="top"/>
          </w:tcPr>
          <w:p>
            <w:pPr>
              <w:spacing w:after="40" w:before="0" w:line="259" w:lineRule="auto"/>
            </w:pPr>
            <w:r>
              <w:rPr>
                <w:rFonts w:ascii="Calibri" w:hAnsi="Calibri"/>
                <w:b w:val="0"/>
                <w:i w:val="0"/>
                <w:color w:val="212121"/>
                <w:sz w:val="19"/>
              </w:rPr>
              <w:t>Bed-bound &amp; wheelchair users</w:t>
            </w:r>
          </w:p>
        </w:tc>
        <w:tc>
          <w:tcPr>
            <w:tcW w:type="dxa" w:w="4276"/>
            <w:vAlign w:val="top"/>
          </w:tcPr>
          <w:p>
            <w:pPr>
              <w:spacing w:after="60" w:line="259" w:lineRule="auto"/>
            </w:pPr>
            <w:r>
              <w:rPr>
                <w:rFonts w:ascii="Calibri" w:hAnsi="Calibri"/>
                <w:b w:val="0"/>
                <w:i w:val="0"/>
                <w:color w:val="212121"/>
                <w:sz w:val="19"/>
              </w:rPr>
              <w:t>Prolonged pressure and immobility pool sweat and moisture in the natal cleft, groin and under the abdomen, and limit air drying, so maceration and secondary infection develop and persist.</w:t>
            </w:r>
          </w:p>
          <w:p>
            <w:pPr>
              <w:spacing w:after="40" w:before="60" w:line="259" w:lineRule="auto"/>
            </w:pPr>
            <w:r>
              <w:rPr>
                <w:rFonts w:ascii="Calibri" w:hAnsi="Calibri"/>
                <w:b w:val="0"/>
                <w:i w:val="0"/>
                <w:color w:val="212121"/>
                <w:sz w:val="19"/>
              </w:rPr>
              <w:t>Limited mobility is a recognised predisposing factor for intertrigo and for hidden, neglected fold erosions.</w:t>
            </w:r>
          </w:p>
          <w:p>
            <w:pPr>
              <w:spacing w:after="40" w:line="252" w:lineRule="auto"/>
            </w:pPr>
            <w:hyperlink r:id="rId10">
              <w:r>
                <w:rPr>
                  <w:rFonts w:ascii="Calibri" w:hAnsi="Calibri" w:cs="Calibri"/>
                  <w:sz w:val="18"/>
                  <w:color w:val="1155CC"/>
                  <w:u w:val="single"/>
                </w:rPr>
                <w:t xml:space="preserve">ncbi.nlm.nih.gov — StatPearls: Intertrigo</w:t>
              </w:r>
            </w:hyperlink>
          </w:p>
          <w:p>
            <w:pPr>
              <w:spacing w:before="60" w:after="40"/>
            </w:pPr>
            <w:r>
              <w:rPr>
                <w:rFonts w:ascii="Calibri" w:hAnsi="Calibri"/>
                <w:b w:val="0"/>
                <w:i w:val="0"/>
                <w:color w:val="5A5A5A"/>
                <w:sz w:val="18"/>
              </w:rPr>
              <w:t>#immobility  #bedbound  #pressure  #maceration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Occupational / clothing</w:t>
            </w:r>
          </w:p>
        </w:tc>
        <w:tc>
          <w:tcPr>
            <w:tcW w:type="dxa" w:w="2160"/>
            <w:vAlign w:val="top"/>
          </w:tcPr>
          <w:p>
            <w:pPr>
              <w:spacing w:after="40" w:before="0" w:line="259" w:lineRule="auto"/>
            </w:pPr>
            <w:r>
              <w:rPr>
                <w:rFonts w:ascii="Calibri" w:hAnsi="Calibri"/>
                <w:b w:val="0"/>
                <w:i w:val="0"/>
                <w:color w:val="212121"/>
                <w:sz w:val="19"/>
              </w:rPr>
              <w:t>Tight clothing, footwear &amp; athletes</w:t>
            </w:r>
          </w:p>
        </w:tc>
        <w:tc>
          <w:tcPr>
            <w:tcW w:type="dxa" w:w="4276"/>
            <w:vAlign w:val="top"/>
          </w:tcPr>
          <w:p>
            <w:pPr>
              <w:spacing w:after="60" w:line="259" w:lineRule="auto"/>
            </w:pPr>
            <w:r>
              <w:rPr>
                <w:rFonts w:ascii="Calibri" w:hAnsi="Calibri"/>
                <w:b w:val="0"/>
                <w:i w:val="0"/>
                <w:color w:val="212121"/>
                <w:sz w:val="19"/>
              </w:rPr>
              <w:t>Tight, occlusive, synthetic clothing and closed footwear trap heat and sweat, and repetitive movement adds friction; athletes and those in enclosed shoes are prone to groin and toe-web intertrigo.</w:t>
            </w:r>
          </w:p>
          <w:p>
            <w:pPr>
              <w:spacing w:after="40" w:before="60" w:line="259" w:lineRule="auto"/>
            </w:pPr>
            <w:r>
              <w:rPr>
                <w:rFonts w:ascii="Calibri" w:hAnsi="Calibri"/>
                <w:b w:val="0"/>
                <w:i w:val="0"/>
                <w:color w:val="212121"/>
                <w:sz w:val="19"/>
              </w:rPr>
              <w:t>Excessive sweating and tight-fitting shoes are listed risk factors, and toe-web intertrigo can seed cellulitis of the lower leg.</w:t>
            </w:r>
          </w:p>
          <w:p>
            <w:pPr>
              <w:spacing w:after="40" w:line="252" w:lineRule="auto"/>
            </w:pPr>
            <w:hyperlink r:id="rId13">
              <w:r>
                <w:rPr>
                  <w:rFonts w:ascii="Calibri" w:hAnsi="Calibri" w:cs="Calibri"/>
                  <w:sz w:val="18"/>
                  <w:color w:val="1155CC"/>
                  <w:u w:val="single"/>
                </w:rPr>
                <w:t xml:space="preserve">dermnetnz.org — intertrigo</w:t>
              </w:r>
            </w:hyperlink>
          </w:p>
          <w:p>
            <w:pPr>
              <w:spacing w:before="60" w:after="40"/>
            </w:pPr>
            <w:r>
              <w:rPr>
                <w:rFonts w:ascii="Calibri" w:hAnsi="Calibri"/>
                <w:b w:val="0"/>
                <w:i w:val="0"/>
                <w:color w:val="5A5A5A"/>
                <w:sz w:val="18"/>
              </w:rPr>
              <w:t>#tightclothing  #footwear  #toeweb  #athletes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Hygiene</w:t>
            </w:r>
          </w:p>
        </w:tc>
        <w:tc>
          <w:tcPr>
            <w:tcW w:type="dxa" w:w="2160"/>
            <w:vAlign w:val="top"/>
          </w:tcPr>
          <w:p>
            <w:pPr>
              <w:spacing w:after="40" w:before="0" w:line="259" w:lineRule="auto"/>
            </w:pPr>
            <w:r>
              <w:rPr>
                <w:rFonts w:ascii="Calibri" w:hAnsi="Calibri"/>
                <w:b w:val="0"/>
                <w:i w:val="0"/>
                <w:color w:val="212121"/>
                <w:sz w:val="19"/>
              </w:rPr>
              <w:t>Infrequent drying of folds</w:t>
            </w:r>
          </w:p>
        </w:tc>
        <w:tc>
          <w:tcPr>
            <w:tcW w:type="dxa" w:w="4276"/>
            <w:vAlign w:val="top"/>
          </w:tcPr>
          <w:p>
            <w:pPr>
              <w:spacing w:after="60" w:line="259" w:lineRule="auto"/>
            </w:pPr>
            <w:r>
              <w:rPr>
                <w:rFonts w:ascii="Calibri" w:hAnsi="Calibri"/>
                <w:b w:val="0"/>
                <w:i w:val="0"/>
                <w:color w:val="212121"/>
                <w:sz w:val="19"/>
              </w:rPr>
              <w:t>Failure to dry folds after bathing, sweating or incontinence leaves a moist, occluded surface in which the barrier macerates and Candida and bacteria flourish; over-washing with harsh soap can also strip the barrier.</w:t>
            </w:r>
          </w:p>
          <w:p>
            <w:pPr>
              <w:spacing w:after="40" w:before="60" w:line="259" w:lineRule="auto"/>
            </w:pPr>
            <w:r>
              <w:rPr>
                <w:rFonts w:ascii="Calibri" w:hAnsi="Calibri"/>
                <w:b w:val="0"/>
                <w:i w:val="0"/>
                <w:color w:val="212121"/>
                <w:sz w:val="19"/>
              </w:rPr>
              <w:t>Moisture build-up and sweat retention in flexures are central to the maceration that initiates intertrigo.</w:t>
            </w:r>
          </w:p>
          <w:p>
            <w:pPr>
              <w:spacing w:after="40" w:line="252" w:lineRule="auto"/>
            </w:pPr>
            <w:hyperlink r:id="rId13">
              <w:r>
                <w:rPr>
                  <w:rFonts w:ascii="Calibri" w:hAnsi="Calibri" w:cs="Calibri"/>
                  <w:sz w:val="18"/>
                  <w:color w:val="1155CC"/>
                  <w:u w:val="single"/>
                </w:rPr>
                <w:t xml:space="preserve">dermnetnz.org — intertrigo</w:t>
              </w:r>
            </w:hyperlink>
          </w:p>
          <w:p>
            <w:pPr>
              <w:spacing w:before="60" w:after="40"/>
            </w:pPr>
            <w:r>
              <w:rPr>
                <w:rFonts w:ascii="Calibri" w:hAnsi="Calibri"/>
                <w:b w:val="0"/>
                <w:i w:val="0"/>
                <w:color w:val="5A5A5A"/>
                <w:sz w:val="18"/>
              </w:rPr>
              <w:t>#foldhygiene  #keepdry  #maceration  #barrier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Smokers</w:t>
            </w:r>
          </w:p>
        </w:tc>
        <w:tc>
          <w:tcPr>
            <w:tcW w:type="dxa" w:w="4276"/>
            <w:vAlign w:val="top"/>
          </w:tcPr>
          <w:p>
            <w:pPr>
              <w:spacing w:after="60" w:line="259" w:lineRule="auto"/>
            </w:pPr>
            <w:r>
              <w:rPr>
                <w:rFonts w:ascii="Calibri" w:hAnsi="Calibri"/>
                <w:b w:val="0"/>
                <w:i w:val="0"/>
                <w:color w:val="212121"/>
                <w:sz w:val="19"/>
              </w:rPr>
              <w:t>Smoking impairs dermal microcirculation and wound healing and is associated with a genetic/acquired tendency to flexural skin disease, favouring chronic, slow-to-heal intertrigo.</w:t>
            </w:r>
          </w:p>
          <w:p>
            <w:pPr>
              <w:spacing w:after="40" w:before="60" w:line="259" w:lineRule="auto"/>
            </w:pPr>
            <w:r>
              <w:rPr>
                <w:rFonts w:ascii="Calibri" w:hAnsi="Calibri"/>
                <w:b w:val="0"/>
                <w:i w:val="0"/>
                <w:color w:val="212121"/>
                <w:sz w:val="19"/>
              </w:rPr>
              <w:t>Smoking is listed among the factors that make people more prone to intertrigo.</w:t>
            </w:r>
          </w:p>
          <w:p>
            <w:pPr>
              <w:spacing w:after="40" w:line="252" w:lineRule="auto"/>
            </w:pPr>
            <w:hyperlink r:id="rId13">
              <w:r>
                <w:rPr>
                  <w:rFonts w:ascii="Calibri" w:hAnsi="Calibri" w:cs="Calibri"/>
                  <w:sz w:val="18"/>
                  <w:color w:val="1155CC"/>
                  <w:u w:val="single"/>
                </w:rPr>
                <w:t xml:space="preserve">dermnetnz.org — intertrigo</w:t>
              </w:r>
            </w:hyperlink>
          </w:p>
          <w:p>
            <w:pPr>
              <w:spacing w:before="60" w:after="40"/>
            </w:pPr>
            <w:r>
              <w:rPr>
                <w:rFonts w:ascii="Calibri" w:hAnsi="Calibri"/>
                <w:b w:val="0"/>
                <w:i w:val="0"/>
                <w:color w:val="5A5A5A"/>
                <w:sz w:val="18"/>
              </w:rPr>
              <w:t>#smoking  #microcirculation  #delayedhealing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Regular / heavy alcohol use</w:t>
            </w:r>
          </w:p>
        </w:tc>
        <w:tc>
          <w:tcPr>
            <w:tcW w:type="dxa" w:w="4276"/>
            <w:vAlign w:val="top"/>
          </w:tcPr>
          <w:p>
            <w:pPr>
              <w:spacing w:after="60" w:line="259" w:lineRule="auto"/>
            </w:pPr>
            <w:r>
              <w:rPr>
                <w:rFonts w:ascii="Calibri" w:hAnsi="Calibri"/>
                <w:b w:val="0"/>
                <w:i w:val="0"/>
                <w:color w:val="212121"/>
                <w:sz w:val="19"/>
              </w:rPr>
              <w:t>Alcohol contributes to obesity, immune impairment and self-care neglect, all of which promote moist, infected folds and delayed resolution.</w:t>
            </w:r>
          </w:p>
          <w:p>
            <w:pPr>
              <w:spacing w:after="40" w:before="60" w:line="259" w:lineRule="auto"/>
            </w:pPr>
            <w:r>
              <w:rPr>
                <w:rFonts w:ascii="Calibri" w:hAnsi="Calibri"/>
                <w:b w:val="0"/>
                <w:i w:val="0"/>
                <w:color w:val="212121"/>
                <w:sz w:val="19"/>
              </w:rPr>
              <w:t>Alcohol consumption is listed among predisposing factors for intertrigo.</w:t>
            </w:r>
          </w:p>
          <w:p>
            <w:pPr>
              <w:spacing w:after="40" w:line="252" w:lineRule="auto"/>
            </w:pPr>
            <w:hyperlink r:id="rId13">
              <w:r>
                <w:rPr>
                  <w:rFonts w:ascii="Calibri" w:hAnsi="Calibri" w:cs="Calibri"/>
                  <w:sz w:val="18"/>
                  <w:color w:val="1155CC"/>
                  <w:u w:val="single"/>
                </w:rPr>
                <w:t xml:space="preserve">dermnetnz.org — intertrigo</w:t>
              </w:r>
            </w:hyperlink>
          </w:p>
          <w:p>
            <w:pPr>
              <w:spacing w:before="60" w:after="40"/>
            </w:pPr>
            <w:r>
              <w:rPr>
                <w:rFonts w:ascii="Calibri" w:hAnsi="Calibri"/>
                <w:b w:val="0"/>
                <w:i w:val="0"/>
                <w:color w:val="5A5A5A"/>
                <w:sz w:val="18"/>
              </w:rPr>
              <w:t>#alcohol  #immune  #selfcareneglect</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High-calorie, high-glycaemic diet</w:t>
            </w:r>
          </w:p>
        </w:tc>
        <w:tc>
          <w:tcPr>
            <w:tcW w:type="dxa" w:w="4276"/>
            <w:vAlign w:val="top"/>
          </w:tcPr>
          <w:p>
            <w:pPr>
              <w:spacing w:after="60" w:line="259" w:lineRule="auto"/>
            </w:pPr>
            <w:r>
              <w:rPr>
                <w:rFonts w:ascii="Calibri" w:hAnsi="Calibri"/>
                <w:b w:val="0"/>
                <w:i w:val="0"/>
                <w:color w:val="212121"/>
                <w:sz w:val="19"/>
              </w:rPr>
              <w:t>Energy-dense, sugar-rich, ultra-processed diets drive weight gain and dysglycaemia; the resulting obesity and diabetes deepen folds, raise sweat glucose and impair immunity, feeding candidal intertrigo.</w:t>
            </w:r>
          </w:p>
          <w:p>
            <w:pPr>
              <w:spacing w:after="40" w:before="60" w:line="259" w:lineRule="auto"/>
            </w:pPr>
            <w:r>
              <w:rPr>
                <w:rFonts w:ascii="Calibri" w:hAnsi="Calibri"/>
                <w:b w:val="0"/>
                <w:i w:val="0"/>
                <w:color w:val="212121"/>
                <w:sz w:val="19"/>
              </w:rPr>
              <w:t>Diabetes and hyperglycaemia facilitate Candida colonisation of the skin, including intertrigo in obese individuals.</w:t>
            </w:r>
          </w:p>
          <w:p>
            <w:pPr>
              <w:spacing w:after="40" w:line="252" w:lineRule="auto"/>
            </w:pPr>
            <w:hyperlink r:id="rId14">
              <w:r>
                <w:rPr>
                  <w:rFonts w:ascii="Calibri" w:hAnsi="Calibri" w:cs="Calibri"/>
                  <w:sz w:val="18"/>
                  <w:color w:val="1155CC"/>
                  <w:u w:val="single"/>
                </w:rPr>
                <w:t xml:space="preserve">pubmed.ncbi.nlm.nih.gov/38877612 — Candida skin infection in diabetics</w:t>
              </w:r>
            </w:hyperlink>
          </w:p>
          <w:p>
            <w:pPr>
              <w:spacing w:before="60" w:after="40"/>
            </w:pPr>
            <w:r>
              <w:rPr>
                <w:rFonts w:ascii="Calibri" w:hAnsi="Calibri"/>
                <w:b w:val="0"/>
                <w:i w:val="0"/>
                <w:color w:val="5A5A5A"/>
                <w:sz w:val="18"/>
              </w:rPr>
              <w:t>#highglycemic  #obesogenicdiet  #sugar  #dysglycaemia</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Familial obesity, diabetes, atopy or hyperhidrosis</w:t>
            </w:r>
          </w:p>
        </w:tc>
        <w:tc>
          <w:tcPr>
            <w:tcW w:type="dxa" w:w="4276"/>
            <w:vAlign w:val="top"/>
          </w:tcPr>
          <w:p>
            <w:pPr>
              <w:spacing w:after="60" w:line="259" w:lineRule="auto"/>
            </w:pPr>
            <w:r>
              <w:rPr>
                <w:rFonts w:ascii="Calibri" w:hAnsi="Calibri"/>
                <w:b w:val="0"/>
                <w:i w:val="0"/>
                <w:color w:val="212121"/>
                <w:sz w:val="19"/>
              </w:rPr>
              <w:t>A family tendency to obesity, type 2 diabetes, atopic/flexural skin disease or primary hyperhidrosis inherits the very traits—deep folds, glucose-rich sweat, barrier dysfunction and excess sweating—that predispose to intertrigo.</w:t>
            </w:r>
          </w:p>
          <w:p>
            <w:pPr>
              <w:spacing w:after="40" w:before="60" w:line="259" w:lineRule="auto"/>
            </w:pPr>
            <w:r>
              <w:rPr>
                <w:rFonts w:ascii="Calibri" w:hAnsi="Calibri"/>
                <w:b w:val="0"/>
                <w:i w:val="0"/>
                <w:color w:val="212121"/>
                <w:sz w:val="19"/>
              </w:rPr>
              <w:t>A genetic tendency to skin disease and excessive sweating are recognised host factors for intertrigo.</w:t>
            </w:r>
          </w:p>
          <w:p>
            <w:pPr>
              <w:spacing w:after="40" w:line="252" w:lineRule="auto"/>
            </w:pPr>
            <w:hyperlink r:id="rId13">
              <w:r>
                <w:rPr>
                  <w:rFonts w:ascii="Calibri" w:hAnsi="Calibri" w:cs="Calibri"/>
                  <w:sz w:val="18"/>
                  <w:color w:val="1155CC"/>
                  <w:u w:val="single"/>
                </w:rPr>
                <w:t xml:space="preserve">dermnetnz.org — intertrigo</w:t>
              </w:r>
            </w:hyperlink>
          </w:p>
          <w:p>
            <w:pPr>
              <w:spacing w:before="60" w:after="40"/>
            </w:pPr>
            <w:r>
              <w:rPr>
                <w:rFonts w:ascii="Calibri" w:hAnsi="Calibri"/>
                <w:b w:val="0"/>
                <w:i w:val="0"/>
                <w:color w:val="5A5A5A"/>
                <w:sz w:val="18"/>
              </w:rPr>
              <w:t>#familyhistory  #hyperhidrosis  #atopy  #predisposition</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Patients with diabetes</w:t>
            </w:r>
          </w:p>
        </w:tc>
        <w:tc>
          <w:tcPr>
            <w:tcW w:type="dxa" w:w="4276"/>
            <w:vAlign w:val="top"/>
          </w:tcPr>
          <w:p>
            <w:pPr>
              <w:spacing w:after="60" w:line="259" w:lineRule="auto"/>
            </w:pPr>
            <w:r>
              <w:rPr>
                <w:rFonts w:ascii="Calibri" w:hAnsi="Calibri"/>
                <w:b w:val="0"/>
                <w:i w:val="0"/>
                <w:color w:val="212121"/>
                <w:sz w:val="19"/>
              </w:rPr>
              <w:t>Hyperglycaemia raises glucose in sweat and impairs neutrophil and cell-mediated immunity, so diabetics develop recurrent, more extensive candidal and bacterial intertrigo (and erythrasma) that is harder to clear until glycaemia is controlled.</w:t>
            </w:r>
          </w:p>
          <w:p>
            <w:pPr>
              <w:spacing w:after="40" w:before="60" w:line="259" w:lineRule="auto"/>
            </w:pPr>
            <w:r>
              <w:rPr>
                <w:rFonts w:ascii="Calibri" w:hAnsi="Calibri"/>
                <w:b w:val="0"/>
                <w:i w:val="0"/>
                <w:color w:val="212121"/>
                <w:sz w:val="19"/>
              </w:rPr>
              <w:t>Diabetes induces immunosuppression and, with hyperglycaemia and glucose-rich sweat, facilitates Candida colonisation and cutaneous candidiasis including intertrigo.</w:t>
            </w:r>
          </w:p>
          <w:p>
            <w:pPr>
              <w:spacing w:after="40" w:line="252" w:lineRule="auto"/>
            </w:pPr>
            <w:hyperlink r:id="rId14">
              <w:r>
                <w:rPr>
                  <w:rFonts w:ascii="Calibri" w:hAnsi="Calibri" w:cs="Calibri"/>
                  <w:sz w:val="18"/>
                  <w:color w:val="1155CC"/>
                  <w:u w:val="single"/>
                </w:rPr>
                <w:t xml:space="preserve">pubmed.ncbi.nlm.nih.gov/38877612 — Candida skin infection in diabetics</w:t>
              </w:r>
            </w:hyperlink>
          </w:p>
          <w:p>
            <w:pPr>
              <w:spacing w:before="60" w:after="40"/>
            </w:pPr>
            <w:r>
              <w:rPr>
                <w:rFonts w:ascii="Calibri" w:hAnsi="Calibri"/>
                <w:b w:val="0"/>
                <w:i w:val="0"/>
                <w:color w:val="5A5A5A"/>
                <w:sz w:val="18"/>
              </w:rPr>
              <w:t>#diabetes  #hyperglycaemia  #candidalintertrigo  #immunosuppression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Obesity</w:t>
            </w:r>
          </w:p>
        </w:tc>
        <w:tc>
          <w:tcPr>
            <w:tcW w:type="dxa" w:w="2160"/>
            <w:vAlign w:val="top"/>
          </w:tcPr>
          <w:p>
            <w:pPr>
              <w:spacing w:after="40" w:before="0" w:line="259" w:lineRule="auto"/>
            </w:pPr>
            <w:r>
              <w:rPr>
                <w:rFonts w:ascii="Calibri" w:hAnsi="Calibri"/>
                <w:b w:val="0"/>
                <w:i w:val="0"/>
                <w:color w:val="212121"/>
                <w:sz w:val="19"/>
              </w:rPr>
              <w:t>Overweight &amp; obese individuals</w:t>
            </w:r>
          </w:p>
        </w:tc>
        <w:tc>
          <w:tcPr>
            <w:tcW w:type="dxa" w:w="4276"/>
            <w:vAlign w:val="top"/>
          </w:tcPr>
          <w:p>
            <w:pPr>
              <w:spacing w:after="60" w:line="259" w:lineRule="auto"/>
            </w:pPr>
            <w:r>
              <w:rPr>
                <w:rFonts w:ascii="Calibri" w:hAnsi="Calibri"/>
                <w:b w:val="0"/>
                <w:i w:val="0"/>
                <w:color w:val="212121"/>
                <w:sz w:val="19"/>
              </w:rPr>
              <w:t>Excess adiposity creates numerous deep, apposed, poorly ventilated folds with high friction and sweat retention and a large surface for colonisation, making obesity the single most important predisposing condition.</w:t>
            </w:r>
          </w:p>
          <w:p>
            <w:pPr>
              <w:spacing w:after="40" w:before="60" w:line="259" w:lineRule="auto"/>
            </w:pPr>
            <w:r>
              <w:rPr>
                <w:rFonts w:ascii="Calibri" w:hAnsi="Calibri"/>
                <w:b w:val="0"/>
                <w:i w:val="0"/>
                <w:color w:val="212121"/>
                <w:sz w:val="19"/>
              </w:rPr>
              <w:t>Overweight/obese people are particularly commonly affected; ~60–70% of obese patients show cutaneous changes, with intertrigo and infections prominent.</w:t>
            </w:r>
          </w:p>
          <w:p>
            <w:pPr>
              <w:spacing w:after="40" w:line="252" w:lineRule="auto"/>
            </w:pPr>
            <w:hyperlink r:id="rId9">
              <w:r>
                <w:rPr>
                  <w:rFonts w:ascii="Calibri" w:hAnsi="Calibri" w:cs="Calibri"/>
                  <w:sz w:val="18"/>
                  <w:color w:val="1155CC"/>
                  <w:u w:val="single"/>
                </w:rPr>
                <w:t xml:space="preserve">pubmed.ncbi.nlm.nih.gov/38716024 — obesity-related skin conditions</w:t>
              </w:r>
            </w:hyperlink>
          </w:p>
          <w:p>
            <w:pPr>
              <w:spacing w:before="60" w:after="40"/>
            </w:pPr>
            <w:r>
              <w:rPr>
                <w:rFonts w:ascii="Calibri" w:hAnsi="Calibri"/>
                <w:b w:val="0"/>
                <w:i w:val="0"/>
                <w:color w:val="5A5A5A"/>
                <w:sz w:val="18"/>
              </w:rPr>
              <w:t>#obesity  #deepfolds  #friction  #surfacearea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Hyperhidrosis / incontinence</w:t>
            </w:r>
          </w:p>
        </w:tc>
        <w:tc>
          <w:tcPr>
            <w:tcW w:type="dxa" w:w="2160"/>
            <w:vAlign w:val="top"/>
          </w:tcPr>
          <w:p>
            <w:pPr>
              <w:spacing w:after="40" w:before="0" w:line="259" w:lineRule="auto"/>
            </w:pPr>
            <w:r>
              <w:rPr>
                <w:rFonts w:ascii="Calibri" w:hAnsi="Calibri"/>
                <w:b w:val="0"/>
                <w:i w:val="0"/>
                <w:color w:val="212121"/>
                <w:sz w:val="19"/>
              </w:rPr>
              <w:t>Excess sweating or incontinence</w:t>
            </w:r>
          </w:p>
        </w:tc>
        <w:tc>
          <w:tcPr>
            <w:tcW w:type="dxa" w:w="4276"/>
            <w:vAlign w:val="top"/>
          </w:tcPr>
          <w:p>
            <w:pPr>
              <w:spacing w:after="60" w:line="259" w:lineRule="auto"/>
            </w:pPr>
            <w:r>
              <w:rPr>
                <w:rFonts w:ascii="Calibri" w:hAnsi="Calibri"/>
                <w:b w:val="0"/>
                <w:i w:val="0"/>
                <w:color w:val="212121"/>
                <w:sz w:val="19"/>
              </w:rPr>
              <w:t>Primary hyperhidrosis and urinary/faecal incontinence keep folds continuously wet, macerating the barrier and providing the moisture that Candida and bacteria need to overgrow.</w:t>
            </w:r>
          </w:p>
          <w:p>
            <w:pPr>
              <w:spacing w:after="40" w:before="60" w:line="259" w:lineRule="auto"/>
            </w:pPr>
            <w:r>
              <w:rPr>
                <w:rFonts w:ascii="Calibri" w:hAnsi="Calibri"/>
                <w:b w:val="0"/>
                <w:i w:val="0"/>
                <w:color w:val="212121"/>
                <w:sz w:val="19"/>
              </w:rPr>
              <w:t>Hyperhidrosis, incontinence, urethral discharge and draining wounds are established local risk factors for intertrigo.</w:t>
            </w:r>
          </w:p>
          <w:p>
            <w:pPr>
              <w:spacing w:after="40" w:line="252" w:lineRule="auto"/>
            </w:pPr>
            <w:hyperlink r:id="rId10">
              <w:r>
                <w:rPr>
                  <w:rFonts w:ascii="Calibri" w:hAnsi="Calibri" w:cs="Calibri"/>
                  <w:sz w:val="18"/>
                  <w:color w:val="1155CC"/>
                  <w:u w:val="single"/>
                </w:rPr>
                <w:t xml:space="preserve">ncbi.nlm.nih.gov — StatPearls: Intertrigo</w:t>
              </w:r>
            </w:hyperlink>
          </w:p>
          <w:p>
            <w:pPr>
              <w:spacing w:before="60" w:after="40"/>
            </w:pPr>
            <w:r>
              <w:rPr>
                <w:rFonts w:ascii="Calibri" w:hAnsi="Calibri"/>
                <w:b w:val="0"/>
                <w:i w:val="0"/>
                <w:color w:val="5A5A5A"/>
                <w:sz w:val="18"/>
              </w:rPr>
              <w:t>#hyperhidrosis  #incontinence  #moisture  #maceration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Immunosuppression</w:t>
            </w:r>
          </w:p>
        </w:tc>
        <w:tc>
          <w:tcPr>
            <w:tcW w:type="dxa" w:w="2160"/>
            <w:vAlign w:val="top"/>
          </w:tcPr>
          <w:p>
            <w:pPr>
              <w:spacing w:after="40" w:before="0" w:line="259" w:lineRule="auto"/>
            </w:pPr>
            <w:r>
              <w:rPr>
                <w:rFonts w:ascii="Calibri" w:hAnsi="Calibri"/>
                <w:b w:val="0"/>
                <w:i w:val="0"/>
                <w:color w:val="212121"/>
                <w:sz w:val="19"/>
              </w:rPr>
              <w:t>HIV, chemotherapy, systemic steroids</w:t>
            </w:r>
          </w:p>
        </w:tc>
        <w:tc>
          <w:tcPr>
            <w:tcW w:type="dxa" w:w="4276"/>
            <w:vAlign w:val="top"/>
          </w:tcPr>
          <w:p>
            <w:pPr>
              <w:spacing w:after="60" w:line="259" w:lineRule="auto"/>
            </w:pPr>
            <w:r>
              <w:rPr>
                <w:rFonts w:ascii="Calibri" w:hAnsi="Calibri"/>
                <w:b w:val="0"/>
                <w:i w:val="0"/>
                <w:color w:val="212121"/>
                <w:sz w:val="19"/>
              </w:rPr>
              <w:t>Weakened cell-mediated immunity (HIV, malignancy, chemotherapy, long-term corticosteroids/immunosuppressants) allows widespread, recalcitrant candidal intertrigo and a higher risk of bacterial spread and cellulitis.</w:t>
            </w:r>
          </w:p>
          <w:p>
            <w:pPr>
              <w:spacing w:after="40" w:before="60" w:line="259" w:lineRule="auto"/>
            </w:pPr>
            <w:r>
              <w:rPr>
                <w:rFonts w:ascii="Calibri" w:hAnsi="Calibri"/>
                <w:b w:val="0"/>
                <w:i w:val="0"/>
                <w:color w:val="212121"/>
                <w:sz w:val="19"/>
              </w:rPr>
              <w:t>Weakened immune systems are a recognised predisposing factor; immunosuppressed individuals are significantly more susceptible to cutaneous candidiasis.</w:t>
            </w:r>
          </w:p>
          <w:p>
            <w:pPr>
              <w:spacing w:after="40" w:line="252" w:lineRule="auto"/>
            </w:pPr>
            <w:hyperlink r:id="rId14">
              <w:r>
                <w:rPr>
                  <w:rFonts w:ascii="Calibri" w:hAnsi="Calibri" w:cs="Calibri"/>
                  <w:sz w:val="18"/>
                  <w:color w:val="1155CC"/>
                  <w:u w:val="single"/>
                </w:rPr>
                <w:t xml:space="preserve">pubmed.ncbi.nlm.nih.gov/38877612 — Candida skin infection in diabetics</w:t>
              </w:r>
            </w:hyperlink>
          </w:p>
          <w:p>
            <w:pPr>
              <w:spacing w:before="60" w:after="40"/>
            </w:pPr>
            <w:r>
              <w:rPr>
                <w:rFonts w:ascii="Calibri" w:hAnsi="Calibri"/>
                <w:b w:val="0"/>
                <w:i w:val="0"/>
                <w:color w:val="5A5A5A"/>
                <w:sz w:val="18"/>
              </w:rPr>
              <w:t>#immunosuppression  #HIV  #steroids  #recalcitrant</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Inactivity promotes the obesity and immobility that create deep, moist folds, while heavy sweating during unwashed exercise transiently provokes flexures; regular activity with prompt drying is net protective by controlling weight.</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Energy-dense, high-glycaemic diets drive obesity and diabetes—the two dominant systemic risk factors—raising sweat glucose and deepening folds, which favours candidal intertrigo.</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Sleep acts indirectly: poor or short sleep worsens metabolic control, weight and immunity; in bed-bound patients, prolonged unturned sleep keeps folds occluded and moist.</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Smoking impairs dermal microcirculation and healing and is listed among host factors for flexural skin disease, favouring chronic, slow-to-resolve intertrigo.</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Alcohol contributes to obesity, immune impairment and self-care neglect; it is listed as a predisposing factor, though the direct effect is modest.</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Depression and cognitive impairment reduce hygiene and self-care, allowing folds to stay wet; chronic itch, odour and visible rash in turn cause embarrassment and distress.</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Systemic hydration has little direct role; what matters is surface moisture—keeping folds dry (not fluid intake) prevents maceration.</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meaningful direct association; any effect is negligible and confined to caffeine-triggered sweating in susceptible individuals.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Fold hygiene is central: gentle cleansing and thorough drying, absorbent barriers and frequent changing of damp clothing prevent maceration, while poor hygiene sustains infection and over-washing strips the barrier.</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Heat, humidity, sweating, friction and tight/occlusive clothing and footwear directly generate the macerated, warm, moist flexural microclimate that initiates intertrigo.</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Prolonged sitting or lying and a pendulous abdominal panniculus keep opposing skin surfaces apposed and unventilated; repositioning and lifting/separating folds reduce moisture and friction.</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Adults, elderly</w:t>
            </w:r>
          </w:p>
        </w:tc>
        <w:tc>
          <w:tcPr>
            <w:tcW w:type="dxa" w:w="1512"/>
            <w:vAlign w:val="top"/>
          </w:tcPr>
          <w:p>
            <w:pPr>
              <w:spacing w:after="40" w:before="0" w:line="259" w:lineRule="auto"/>
            </w:pPr>
            <w:r>
              <w:rPr>
                <w:rFonts w:ascii="Calibri" w:hAnsi="Calibri"/>
                <w:b w:val="0"/>
                <w:i w:val="0"/>
                <w:color w:val="212121"/>
                <w:sz w:val="19"/>
              </w:rPr>
              <w:t>18.5–22.9 kg/m² (Asian-Indian)</w:t>
            </w:r>
          </w:p>
        </w:tc>
        <w:tc>
          <w:tcPr>
            <w:tcW w:type="dxa" w:w="1512"/>
            <w:vAlign w:val="top"/>
          </w:tcPr>
          <w:p>
            <w:pPr>
              <w:spacing w:after="40" w:before="0" w:line="259" w:lineRule="auto"/>
            </w:pPr>
            <w:r>
              <w:rPr>
                <w:rFonts w:ascii="Calibri" w:hAnsi="Calibri"/>
                <w:b w:val="0"/>
                <w:i w:val="0"/>
                <w:color w:val="212121"/>
                <w:sz w:val="19"/>
              </w:rPr>
              <w:t>≥ 23 (overweight); ≥ 25 (obese)</w:t>
            </w:r>
          </w:p>
        </w:tc>
        <w:tc>
          <w:tcPr>
            <w:tcW w:type="dxa" w:w="1468"/>
            <w:vAlign w:val="top"/>
          </w:tcPr>
          <w:p>
            <w:pPr>
              <w:spacing w:after="60" w:line="259" w:lineRule="auto"/>
            </w:pPr>
            <w:r>
              <w:rPr>
                <w:rFonts w:ascii="Calibri" w:hAnsi="Calibri"/>
                <w:b w:val="0"/>
                <w:i w:val="0"/>
                <w:color w:val="212121"/>
                <w:sz w:val="19"/>
              </w:rPr>
              <w:t>Higher BMI deepens folds and sweat retention; ~60–70% of obese patients show skin changes</w:t>
            </w:r>
          </w:p>
          <w:p>
            <w:pPr>
              <w:spacing w:after="40" w:line="252" w:lineRule="auto"/>
            </w:pPr>
            <w:hyperlink r:id="rId9">
              <w:r>
                <w:rPr>
                  <w:rFonts w:ascii="Calibri" w:hAnsi="Calibri" w:cs="Calibri"/>
                  <w:sz w:val="18"/>
                  <w:color w:val="1155CC"/>
                  <w:u w:val="single"/>
                </w:rPr>
                <w:t xml:space="preserve">https://pubmed.ncbi.nlm.nih.gov/38716024/</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Waist circumference</w:t>
            </w:r>
          </w:p>
        </w:tc>
        <w:tc>
          <w:tcPr>
            <w:tcW w:type="dxa" w:w="1655"/>
            <w:vAlign w:val="top"/>
          </w:tcPr>
          <w:p>
            <w:pPr>
              <w:spacing w:after="40" w:before="0" w:line="259" w:lineRule="auto"/>
            </w:pPr>
            <w:r>
              <w:rPr>
                <w:rFonts w:ascii="Calibri" w:hAnsi="Calibri"/>
                <w:b w:val="0"/>
                <w:i w:val="0"/>
                <w:color w:val="212121"/>
                <w:sz w:val="19"/>
              </w:rPr>
              <w:t>Overweight/obese adults</w:t>
            </w:r>
          </w:p>
        </w:tc>
        <w:tc>
          <w:tcPr>
            <w:tcW w:type="dxa" w:w="1512"/>
            <w:vAlign w:val="top"/>
          </w:tcPr>
          <w:p>
            <w:pPr>
              <w:spacing w:after="40" w:before="0" w:line="259" w:lineRule="auto"/>
            </w:pPr>
            <w:r>
              <w:rPr>
                <w:rFonts w:ascii="Calibri" w:hAnsi="Calibri"/>
                <w:b w:val="0"/>
                <w:i w:val="0"/>
                <w:color w:val="212121"/>
                <w:sz w:val="19"/>
              </w:rPr>
              <w:t>M &lt; 90 cm; F &lt; 80 cm</w:t>
            </w:r>
          </w:p>
        </w:tc>
        <w:tc>
          <w:tcPr>
            <w:tcW w:type="dxa" w:w="1512"/>
            <w:vAlign w:val="top"/>
          </w:tcPr>
          <w:p>
            <w:pPr>
              <w:spacing w:after="40" w:before="0" w:line="259" w:lineRule="auto"/>
            </w:pPr>
            <w:r>
              <w:rPr>
                <w:rFonts w:ascii="Calibri" w:hAnsi="Calibri"/>
                <w:b w:val="0"/>
                <w:i w:val="0"/>
                <w:color w:val="212121"/>
                <w:sz w:val="19"/>
              </w:rPr>
              <w:t>M ≥ 90 cm; F ≥ 80 cm</w:t>
            </w:r>
          </w:p>
        </w:tc>
        <w:tc>
          <w:tcPr>
            <w:tcW w:type="dxa" w:w="1468"/>
            <w:vAlign w:val="top"/>
          </w:tcPr>
          <w:p>
            <w:pPr>
              <w:spacing w:after="60" w:line="259" w:lineRule="auto"/>
            </w:pPr>
            <w:r>
              <w:rPr>
                <w:rFonts w:ascii="Calibri" w:hAnsi="Calibri"/>
                <w:b w:val="0"/>
                <w:i w:val="0"/>
                <w:color w:val="212121"/>
                <w:sz w:val="19"/>
              </w:rPr>
              <w:t>Abdominal (panniculus) fold is a classic candidal intertrigo site</w:t>
            </w:r>
          </w:p>
          <w:p>
            <w:pPr>
              <w:spacing w:after="40" w:line="252" w:lineRule="auto"/>
            </w:pPr>
            <w:hyperlink r:id="rId9">
              <w:r>
                <w:rPr>
                  <w:rFonts w:ascii="Calibri" w:hAnsi="Calibri" w:cs="Calibri"/>
                  <w:sz w:val="18"/>
                  <w:color w:val="1155CC"/>
                  <w:u w:val="single"/>
                </w:rPr>
                <w:t xml:space="preserve">https://pubmed.ncbi.nlm.nih.gov/38716024/</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Moderate activity (min/week)</w:t>
            </w:r>
          </w:p>
        </w:tc>
        <w:tc>
          <w:tcPr>
            <w:tcW w:type="dxa" w:w="1655"/>
            <w:vAlign w:val="top"/>
          </w:tcPr>
          <w:p>
            <w:pPr>
              <w:spacing w:after="40" w:before="0" w:line="259" w:lineRule="auto"/>
            </w:pPr>
            <w:r>
              <w:rPr>
                <w:rFonts w:ascii="Calibri" w:hAnsi="Calibri"/>
                <w:b w:val="0"/>
                <w:i w:val="0"/>
                <w:color w:val="212121"/>
                <w:sz w:val="19"/>
              </w:rPr>
              <w:t>Sedentary adults</w:t>
            </w:r>
          </w:p>
        </w:tc>
        <w:tc>
          <w:tcPr>
            <w:tcW w:type="dxa" w:w="1512"/>
            <w:vAlign w:val="top"/>
          </w:tcPr>
          <w:p>
            <w:pPr>
              <w:spacing w:after="40" w:before="0" w:line="259" w:lineRule="auto"/>
            </w:pPr>
            <w:r>
              <w:rPr>
                <w:rFonts w:ascii="Calibri" w:hAnsi="Calibri"/>
                <w:b w:val="0"/>
                <w:i w:val="0"/>
                <w:color w:val="212121"/>
                <w:sz w:val="19"/>
              </w:rPr>
              <w:t>≥ 150 min/week</w:t>
            </w:r>
          </w:p>
        </w:tc>
        <w:tc>
          <w:tcPr>
            <w:tcW w:type="dxa" w:w="1512"/>
            <w:vAlign w:val="top"/>
          </w:tcPr>
          <w:p>
            <w:pPr>
              <w:spacing w:after="40" w:before="0" w:line="259" w:lineRule="auto"/>
            </w:pPr>
            <w:r>
              <w:rPr>
                <w:rFonts w:ascii="Calibri" w:hAnsi="Calibri"/>
                <w:b w:val="0"/>
                <w:i w:val="0"/>
                <w:color w:val="212121"/>
                <w:sz w:val="19"/>
              </w:rPr>
              <w:t>&lt; 150 min/week</w:t>
            </w:r>
          </w:p>
        </w:tc>
        <w:tc>
          <w:tcPr>
            <w:tcW w:type="dxa" w:w="1468"/>
            <w:vAlign w:val="top"/>
          </w:tcPr>
          <w:p>
            <w:pPr>
              <w:spacing w:after="40" w:before="0" w:line="259" w:lineRule="auto"/>
            </w:pPr>
            <w:r>
              <w:rPr>
                <w:rFonts w:ascii="Calibri" w:hAnsi="Calibri"/>
                <w:b w:val="0"/>
                <w:i w:val="0"/>
                <w:color w:val="212121"/>
                <w:sz w:val="19"/>
              </w:rPr>
              <w:t>Activity supports weight control; shower and dry folds promptly after sweating</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HbA1c (%)</w:t>
            </w:r>
          </w:p>
        </w:tc>
        <w:tc>
          <w:tcPr>
            <w:tcW w:type="dxa" w:w="1655"/>
            <w:vAlign w:val="top"/>
          </w:tcPr>
          <w:p>
            <w:pPr>
              <w:spacing w:after="40" w:before="0" w:line="259" w:lineRule="auto"/>
            </w:pPr>
            <w:r>
              <w:rPr>
                <w:rFonts w:ascii="Calibri" w:hAnsi="Calibri"/>
                <w:b w:val="0"/>
                <w:i w:val="0"/>
                <w:color w:val="212121"/>
                <w:sz w:val="19"/>
              </w:rPr>
              <w:t>Diabetic/prediabetic adults</w:t>
            </w:r>
          </w:p>
        </w:tc>
        <w:tc>
          <w:tcPr>
            <w:tcW w:type="dxa" w:w="1512"/>
            <w:vAlign w:val="top"/>
          </w:tcPr>
          <w:p>
            <w:pPr>
              <w:spacing w:after="40" w:before="0" w:line="259" w:lineRule="auto"/>
            </w:pPr>
            <w:r>
              <w:rPr>
                <w:rFonts w:ascii="Calibri" w:hAnsi="Calibri"/>
                <w:b w:val="0"/>
                <w:i w:val="0"/>
                <w:color w:val="212121"/>
                <w:sz w:val="19"/>
              </w:rPr>
              <w:t>&lt; 5.7 %</w:t>
            </w:r>
          </w:p>
        </w:tc>
        <w:tc>
          <w:tcPr>
            <w:tcW w:type="dxa" w:w="1512"/>
            <w:vAlign w:val="top"/>
          </w:tcPr>
          <w:p>
            <w:pPr>
              <w:spacing w:after="40" w:before="0" w:line="259" w:lineRule="auto"/>
            </w:pPr>
            <w:r>
              <w:rPr>
                <w:rFonts w:ascii="Calibri" w:hAnsi="Calibri"/>
                <w:b w:val="0"/>
                <w:i w:val="0"/>
                <w:color w:val="212121"/>
                <w:sz w:val="19"/>
              </w:rPr>
              <w:t>≥ 6.5 % (diabetes)</w:t>
            </w:r>
          </w:p>
        </w:tc>
        <w:tc>
          <w:tcPr>
            <w:tcW w:type="dxa" w:w="1468"/>
            <w:vAlign w:val="top"/>
          </w:tcPr>
          <w:p>
            <w:pPr>
              <w:spacing w:after="60" w:line="259" w:lineRule="auto"/>
            </w:pPr>
            <w:r>
              <w:rPr>
                <w:rFonts w:ascii="Calibri" w:hAnsi="Calibri"/>
                <w:b w:val="0"/>
                <w:i w:val="0"/>
                <w:color w:val="212121"/>
                <w:sz w:val="19"/>
              </w:rPr>
              <w:t>Poor glycaemic control drives recurrent candidal intertrigo</w:t>
            </w:r>
          </w:p>
          <w:p>
            <w:pPr>
              <w:spacing w:after="40" w:line="252" w:lineRule="auto"/>
            </w:pPr>
            <w:hyperlink r:id="rId14">
              <w:r>
                <w:rPr>
                  <w:rFonts w:ascii="Calibri" w:hAnsi="Calibri" w:cs="Calibri"/>
                  <w:sz w:val="18"/>
                  <w:color w:val="1155CC"/>
                  <w:u w:val="single"/>
                </w:rPr>
                <w:t xml:space="preserve">https://pubmed.ncbi.nlm.nih.gov/38877612/</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Fasting blood glucose (mg/dL)</w:t>
            </w:r>
          </w:p>
        </w:tc>
        <w:tc>
          <w:tcPr>
            <w:tcW w:type="dxa" w:w="1655"/>
            <w:vAlign w:val="top"/>
          </w:tcPr>
          <w:p>
            <w:pPr>
              <w:spacing w:after="40" w:before="0" w:line="259" w:lineRule="auto"/>
            </w:pPr>
            <w:r>
              <w:rPr>
                <w:rFonts w:ascii="Calibri" w:hAnsi="Calibri"/>
                <w:b w:val="0"/>
                <w:i w:val="0"/>
                <w:color w:val="212121"/>
                <w:sz w:val="19"/>
              </w:rPr>
              <w:t>At-risk adults</w:t>
            </w:r>
          </w:p>
        </w:tc>
        <w:tc>
          <w:tcPr>
            <w:tcW w:type="dxa" w:w="1512"/>
            <w:vAlign w:val="top"/>
          </w:tcPr>
          <w:p>
            <w:pPr>
              <w:spacing w:after="40" w:before="0" w:line="259" w:lineRule="auto"/>
            </w:pPr>
            <w:r>
              <w:rPr>
                <w:rFonts w:ascii="Calibri" w:hAnsi="Calibri"/>
                <w:b w:val="0"/>
                <w:i w:val="0"/>
                <w:color w:val="212121"/>
                <w:sz w:val="19"/>
              </w:rPr>
              <w:t>70–99 mg/dL</w:t>
            </w:r>
          </w:p>
        </w:tc>
        <w:tc>
          <w:tcPr>
            <w:tcW w:type="dxa" w:w="1512"/>
            <w:vAlign w:val="top"/>
          </w:tcPr>
          <w:p>
            <w:pPr>
              <w:spacing w:after="40" w:before="0" w:line="259" w:lineRule="auto"/>
            </w:pPr>
            <w:r>
              <w:rPr>
                <w:rFonts w:ascii="Calibri" w:hAnsi="Calibri"/>
                <w:b w:val="0"/>
                <w:i w:val="0"/>
                <w:color w:val="212121"/>
                <w:sz w:val="19"/>
              </w:rPr>
              <w:t>≥ 126 mg/dL</w:t>
            </w:r>
          </w:p>
        </w:tc>
        <w:tc>
          <w:tcPr>
            <w:tcW w:type="dxa" w:w="1468"/>
            <w:vAlign w:val="top"/>
          </w:tcPr>
          <w:p>
            <w:pPr>
              <w:spacing w:after="40" w:before="0" w:line="259" w:lineRule="auto"/>
            </w:pPr>
            <w:r>
              <w:rPr>
                <w:rFonts w:ascii="Calibri" w:hAnsi="Calibri"/>
                <w:b w:val="0"/>
                <w:i w:val="0"/>
                <w:color w:val="212121"/>
                <w:sz w:val="19"/>
              </w:rPr>
              <w:t>Screen every persistent or recurrent fold rash for undiagnosed diabetes</w:t>
            </w:r>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Fold drying / clothing change</w:t>
            </w:r>
          </w:p>
        </w:tc>
        <w:tc>
          <w:tcPr>
            <w:tcW w:type="dxa" w:w="1655"/>
            <w:vAlign w:val="top"/>
          </w:tcPr>
          <w:p>
            <w:pPr>
              <w:spacing w:after="40" w:before="0" w:line="259" w:lineRule="auto"/>
            </w:pPr>
            <w:r>
              <w:rPr>
                <w:rFonts w:ascii="Calibri" w:hAnsi="Calibri"/>
                <w:b w:val="0"/>
                <w:i w:val="0"/>
                <w:color w:val="212121"/>
                <w:sz w:val="19"/>
              </w:rPr>
              <w:t>All patients, incontinent, athletes</w:t>
            </w:r>
          </w:p>
        </w:tc>
        <w:tc>
          <w:tcPr>
            <w:tcW w:type="dxa" w:w="1512"/>
            <w:vAlign w:val="top"/>
          </w:tcPr>
          <w:p>
            <w:pPr>
              <w:spacing w:after="40" w:before="0" w:line="259" w:lineRule="auto"/>
            </w:pPr>
            <w:r>
              <w:rPr>
                <w:rFonts w:ascii="Calibri" w:hAnsi="Calibri"/>
                <w:b w:val="0"/>
                <w:i w:val="0"/>
                <w:color w:val="212121"/>
                <w:sz w:val="19"/>
              </w:rPr>
              <w:t>Dry folds after each wash/sweat; change damp clothing promptly</w:t>
            </w:r>
          </w:p>
        </w:tc>
        <w:tc>
          <w:tcPr>
            <w:tcW w:type="dxa" w:w="1512"/>
            <w:vAlign w:val="top"/>
          </w:tcPr>
          <w:p>
            <w:pPr>
              <w:spacing w:after="40" w:before="0" w:line="259" w:lineRule="auto"/>
            </w:pPr>
            <w:r>
              <w:rPr>
                <w:rFonts w:ascii="Calibri" w:hAnsi="Calibri"/>
                <w:b w:val="0"/>
                <w:i w:val="0"/>
                <w:color w:val="212121"/>
                <w:sz w:val="19"/>
              </w:rPr>
              <w:t>Folds left damp; garments re-worn while wet</w:t>
            </w:r>
          </w:p>
        </w:tc>
        <w:tc>
          <w:tcPr>
            <w:tcW w:type="dxa" w:w="1468"/>
            <w:vAlign w:val="top"/>
          </w:tcPr>
          <w:p>
            <w:pPr>
              <w:spacing w:after="40" w:before="0" w:line="259" w:lineRule="auto"/>
            </w:pPr>
            <w:r>
              <w:rPr>
                <w:rFonts w:ascii="Calibri" w:hAnsi="Calibri"/>
                <w:b w:val="0"/>
                <w:i w:val="0"/>
                <w:color w:val="212121"/>
                <w:sz w:val="19"/>
              </w:rPr>
              <w:t>Keeping folds clean and dry is the key preventive metric</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Ambient heat &amp; humidity / sweating</w:t>
            </w:r>
          </w:p>
        </w:tc>
        <w:tc>
          <w:tcPr>
            <w:tcW w:type="dxa" w:w="1655"/>
            <w:vAlign w:val="top"/>
          </w:tcPr>
          <w:p>
            <w:pPr>
              <w:spacing w:after="40" w:before="0" w:line="259" w:lineRule="auto"/>
            </w:pPr>
            <w:r>
              <w:rPr>
                <w:rFonts w:ascii="Calibri" w:hAnsi="Calibri"/>
                <w:b w:val="0"/>
                <w:i w:val="0"/>
                <w:color w:val="212121"/>
                <w:sz w:val="19"/>
              </w:rPr>
              <w:t>Outdoor workers, hot-humid regions</w:t>
            </w:r>
          </w:p>
        </w:tc>
        <w:tc>
          <w:tcPr>
            <w:tcW w:type="dxa" w:w="1512"/>
            <w:vAlign w:val="top"/>
          </w:tcPr>
          <w:p>
            <w:pPr>
              <w:spacing w:after="40" w:before="0" w:line="259" w:lineRule="auto"/>
            </w:pPr>
            <w:r>
              <w:rPr>
                <w:rFonts w:ascii="Calibri" w:hAnsi="Calibri"/>
                <w:b w:val="0"/>
                <w:i w:val="0"/>
                <w:color w:val="212121"/>
                <w:sz w:val="19"/>
              </w:rPr>
              <w:t>Cool, ventilated, breathable cotton clothing</w:t>
            </w:r>
          </w:p>
        </w:tc>
        <w:tc>
          <w:tcPr>
            <w:tcW w:type="dxa" w:w="1512"/>
            <w:vAlign w:val="top"/>
          </w:tcPr>
          <w:p>
            <w:pPr>
              <w:spacing w:after="40" w:before="0" w:line="259" w:lineRule="auto"/>
            </w:pPr>
            <w:r>
              <w:rPr>
                <w:rFonts w:ascii="Calibri" w:hAnsi="Calibri"/>
                <w:b w:val="0"/>
                <w:i w:val="0"/>
                <w:color w:val="212121"/>
                <w:sz w:val="19"/>
              </w:rPr>
              <w:t>High heat/humidity with occlusive synthetic clothing</w:t>
            </w:r>
          </w:p>
        </w:tc>
        <w:tc>
          <w:tcPr>
            <w:tcW w:type="dxa" w:w="1468"/>
            <w:vAlign w:val="top"/>
          </w:tcPr>
          <w:p>
            <w:pPr>
              <w:spacing w:after="60" w:line="259" w:lineRule="auto"/>
            </w:pPr>
            <w:r>
              <w:rPr>
                <w:rFonts w:ascii="Calibri" w:hAnsi="Calibri"/>
                <w:b w:val="0"/>
                <w:i w:val="0"/>
                <w:color w:val="212121"/>
                <w:sz w:val="19"/>
              </w:rPr>
              <w:t>Tropical climate and occlusion macerate flexures</w:t>
            </w:r>
          </w:p>
          <w:p>
            <w:pPr>
              <w:spacing w:after="40" w:line="252" w:lineRule="auto"/>
            </w:pPr>
            <w:hyperlink r:id="rId10">
              <w:r>
                <w:rPr>
                  <w:rFonts w:ascii="Calibri" w:hAnsi="Calibri" w:cs="Calibri"/>
                  <w:sz w:val="18"/>
                  <w:color w:val="1155CC"/>
                  <w:u w:val="single"/>
                </w:rPr>
                <w:t xml:space="preserve">https://www.ncbi.nlm.nih.gov/books/NBK531489/</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Adult smokers</w:t>
            </w:r>
          </w:p>
        </w:tc>
        <w:tc>
          <w:tcPr>
            <w:tcW w:type="dxa" w:w="1512"/>
            <w:vAlign w:val="top"/>
          </w:tcPr>
          <w:p>
            <w:pPr>
              <w:spacing w:after="40" w:before="0" w:line="259" w:lineRule="auto"/>
            </w:pPr>
            <w:r>
              <w:rPr>
                <w:rFonts w:ascii="Calibri" w:hAnsi="Calibri"/>
                <w:b w:val="0"/>
                <w:i w:val="0"/>
                <w:color w:val="212121"/>
                <w:sz w:val="19"/>
              </w:rPr>
              <w:t>0/day</w:t>
            </w:r>
          </w:p>
        </w:tc>
        <w:tc>
          <w:tcPr>
            <w:tcW w:type="dxa" w:w="1512"/>
            <w:vAlign w:val="top"/>
          </w:tcPr>
          <w:p>
            <w:pPr>
              <w:spacing w:after="40" w:before="0" w:line="259" w:lineRule="auto"/>
            </w:pPr>
            <w:r>
              <w:rPr>
                <w:rFonts w:ascii="Calibri" w:hAnsi="Calibri"/>
                <w:b w:val="0"/>
                <w:i w:val="0"/>
                <w:color w:val="212121"/>
                <w:sz w:val="19"/>
              </w:rPr>
              <w:t>≥ 1/day</w:t>
            </w:r>
          </w:p>
        </w:tc>
        <w:tc>
          <w:tcPr>
            <w:tcW w:type="dxa" w:w="1468"/>
            <w:vAlign w:val="top"/>
          </w:tcPr>
          <w:p>
            <w:pPr>
              <w:spacing w:after="60" w:line="259" w:lineRule="auto"/>
            </w:pPr>
            <w:r>
              <w:rPr>
                <w:rFonts w:ascii="Calibri" w:hAnsi="Calibri"/>
                <w:b w:val="0"/>
                <w:i w:val="0"/>
                <w:color w:val="212121"/>
                <w:sz w:val="19"/>
              </w:rPr>
              <w:t>Impairs microcirculation and healing of fold erosions</w:t>
            </w:r>
          </w:p>
          <w:p>
            <w:pPr>
              <w:spacing w:after="40" w:line="252" w:lineRule="auto"/>
            </w:pPr>
            <w:hyperlink r:id="rId13">
              <w:r>
                <w:rPr>
                  <w:rFonts w:ascii="Calibri" w:hAnsi="Calibri" w:cs="Calibri"/>
                  <w:sz w:val="18"/>
                  <w:color w:val="1155CC"/>
                  <w:u w:val="single"/>
                </w:rPr>
                <w:t xml:space="preserve">https://dermnetnz.org/topics/intertrigo</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Mycological</w:t>
            </w:r>
          </w:p>
        </w:tc>
        <w:tc>
          <w:tcPr>
            <w:tcW w:type="dxa" w:w="1036"/>
            <w:vAlign w:val="top"/>
          </w:tcPr>
          <w:p>
            <w:pPr>
              <w:spacing w:after="40" w:before="0" w:line="259" w:lineRule="auto"/>
            </w:pPr>
            <w:r>
              <w:rPr>
                <w:rFonts w:ascii="Calibri" w:hAnsi="Calibri"/>
                <w:b w:val="0"/>
                <w:i w:val="0"/>
                <w:color w:val="212121"/>
                <w:sz w:val="16"/>
              </w:rPr>
              <w:t>Budding yeast &amp; pseudohyphae</w:t>
            </w:r>
          </w:p>
        </w:tc>
        <w:tc>
          <w:tcPr>
            <w:tcW w:type="dxa" w:w="892"/>
            <w:vAlign w:val="top"/>
          </w:tcPr>
          <w:p>
            <w:pPr>
              <w:spacing w:after="40" w:before="0" w:line="259" w:lineRule="auto"/>
            </w:pPr>
            <w:r>
              <w:rPr>
                <w:rFonts w:ascii="Calibri" w:hAnsi="Calibri"/>
                <w:b w:val="0"/>
                <w:i w:val="0"/>
                <w:color w:val="212121"/>
                <w:sz w:val="16"/>
              </w:rPr>
              <w:t>KOH wet mount of skin scraping</w:t>
            </w:r>
          </w:p>
        </w:tc>
        <w:tc>
          <w:tcPr>
            <w:tcW w:type="dxa" w:w="950"/>
            <w:vAlign w:val="top"/>
          </w:tcPr>
          <w:p>
            <w:pPr>
              <w:spacing w:after="40" w:before="0" w:line="259" w:lineRule="auto"/>
            </w:pPr>
            <w:r>
              <w:rPr>
                <w:rFonts w:ascii="Calibri" w:hAnsi="Calibri"/>
                <w:b w:val="0"/>
                <w:i w:val="0"/>
                <w:color w:val="212121"/>
                <w:sz w:val="16"/>
              </w:rPr>
              <w:t>No fungal elements</w:t>
            </w:r>
          </w:p>
        </w:tc>
        <w:tc>
          <w:tcPr>
            <w:tcW w:type="dxa" w:w="950"/>
            <w:vAlign w:val="top"/>
          </w:tcPr>
          <w:p>
            <w:pPr>
              <w:spacing w:after="40" w:before="0" w:line="259" w:lineRule="auto"/>
            </w:pPr>
            <w:r>
              <w:rPr>
                <w:rFonts w:ascii="Calibri" w:hAnsi="Calibri"/>
                <w:b w:val="0"/>
                <w:i w:val="0"/>
                <w:color w:val="212121"/>
                <w:sz w:val="16"/>
              </w:rPr>
              <w:t>Budding yeasts with pseudohyphae</w:t>
            </w:r>
          </w:p>
        </w:tc>
        <w:tc>
          <w:tcPr>
            <w:tcW w:type="dxa" w:w="1036"/>
            <w:vAlign w:val="top"/>
          </w:tcPr>
          <w:p>
            <w:pPr>
              <w:spacing w:after="40" w:before="0" w:line="259" w:lineRule="auto"/>
            </w:pPr>
            <w:r>
              <w:rPr>
                <w:rFonts w:ascii="Calibri" w:hAnsi="Calibri"/>
                <w:b w:val="0"/>
                <w:i w:val="0"/>
                <w:color w:val="212121"/>
                <w:sz w:val="16"/>
              </w:rPr>
              <w:t>Confirms candidal intertrigo; septate hyphae indicate dermatophyte overlay</w:t>
            </w:r>
          </w:p>
        </w:tc>
        <w:tc>
          <w:tcPr>
            <w:tcW w:type="dxa" w:w="1036"/>
            <w:vAlign w:val="top"/>
          </w:tcPr>
          <w:p>
            <w:pPr>
              <w:spacing w:after="40" w:before="0" w:line="259" w:lineRule="auto"/>
            </w:pPr>
            <w:r>
              <w:rPr>
                <w:rFonts w:ascii="Calibri" w:hAnsi="Calibri"/>
                <w:b w:val="0"/>
                <w:i w:val="0"/>
                <w:color w:val="212121"/>
                <w:sz w:val="16"/>
              </w:rPr>
              <w:t>Diabetics, obese, moist beefy-red folds with satellite pustules</w:t>
            </w:r>
          </w:p>
        </w:tc>
        <w:tc>
          <w:tcPr>
            <w:tcW w:type="dxa" w:w="720"/>
            <w:vAlign w:val="top"/>
          </w:tcPr>
          <w:p>
            <w:pPr>
              <w:spacing w:after="40" w:before="0" w:line="259" w:lineRule="auto"/>
            </w:pPr>
            <w:r>
              <w:rPr>
                <w:rFonts w:ascii="Calibri" w:hAnsi="Calibri"/>
                <w:b w:val="0"/>
                <w:i w:val="0"/>
                <w:color w:val="212121"/>
                <w:sz w:val="16"/>
              </w:rPr>
              <w:t>Hygiene; Food</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Bedside, rapid; sample the macerated edge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Special examination</w:t>
            </w:r>
          </w:p>
        </w:tc>
        <w:tc>
          <w:tcPr>
            <w:tcW w:type="dxa" w:w="1036"/>
            <w:vAlign w:val="top"/>
          </w:tcPr>
          <w:p>
            <w:pPr>
              <w:spacing w:after="40" w:before="0" w:line="259" w:lineRule="auto"/>
            </w:pPr>
            <w:r>
              <w:rPr>
                <w:rFonts w:ascii="Calibri" w:hAnsi="Calibri"/>
                <w:b w:val="0"/>
                <w:i w:val="0"/>
                <w:color w:val="212121"/>
                <w:sz w:val="16"/>
              </w:rPr>
              <w:t>Coral-red fluorescence</w:t>
            </w:r>
          </w:p>
        </w:tc>
        <w:tc>
          <w:tcPr>
            <w:tcW w:type="dxa" w:w="892"/>
            <w:vAlign w:val="top"/>
          </w:tcPr>
          <w:p>
            <w:pPr>
              <w:spacing w:after="40" w:before="0" w:line="259" w:lineRule="auto"/>
            </w:pPr>
            <w:r>
              <w:rPr>
                <w:rFonts w:ascii="Calibri" w:hAnsi="Calibri"/>
                <w:b w:val="0"/>
                <w:i w:val="0"/>
                <w:color w:val="212121"/>
                <w:sz w:val="16"/>
              </w:rPr>
              <w:t>Wood’s lamp examination</w:t>
            </w:r>
          </w:p>
        </w:tc>
        <w:tc>
          <w:tcPr>
            <w:tcW w:type="dxa" w:w="950"/>
            <w:vAlign w:val="top"/>
          </w:tcPr>
          <w:p>
            <w:pPr>
              <w:spacing w:after="40" w:before="0" w:line="259" w:lineRule="auto"/>
            </w:pPr>
            <w:r>
              <w:rPr>
                <w:rFonts w:ascii="Calibri" w:hAnsi="Calibri"/>
                <w:b w:val="0"/>
                <w:i w:val="0"/>
                <w:color w:val="212121"/>
                <w:sz w:val="16"/>
              </w:rPr>
              <w:t>No fluorescence</w:t>
            </w:r>
          </w:p>
        </w:tc>
        <w:tc>
          <w:tcPr>
            <w:tcW w:type="dxa" w:w="950"/>
            <w:vAlign w:val="top"/>
          </w:tcPr>
          <w:p>
            <w:pPr>
              <w:spacing w:after="40" w:before="0" w:line="259" w:lineRule="auto"/>
            </w:pPr>
            <w:r>
              <w:rPr>
                <w:rFonts w:ascii="Calibri" w:hAnsi="Calibri"/>
                <w:b w:val="0"/>
                <w:i w:val="0"/>
                <w:color w:val="212121"/>
                <w:sz w:val="16"/>
              </w:rPr>
              <w:t>Coral-red (erythrasma); green (Pseudomonas/dermatophyte)</w:t>
            </w:r>
          </w:p>
        </w:tc>
        <w:tc>
          <w:tcPr>
            <w:tcW w:type="dxa" w:w="1036"/>
            <w:vAlign w:val="top"/>
          </w:tcPr>
          <w:p>
            <w:pPr>
              <w:spacing w:after="40" w:before="0" w:line="259" w:lineRule="auto"/>
            </w:pPr>
            <w:r>
              <w:rPr>
                <w:rFonts w:ascii="Calibri" w:hAnsi="Calibri"/>
                <w:b w:val="0"/>
                <w:i w:val="0"/>
                <w:color w:val="212121"/>
                <w:sz w:val="16"/>
              </w:rPr>
              <w:t>Distinguishes erythrasma and gram-negative colonisation from candidal/simple intertrigo</w:t>
            </w:r>
          </w:p>
        </w:tc>
        <w:tc>
          <w:tcPr>
            <w:tcW w:type="dxa" w:w="1036"/>
            <w:vAlign w:val="top"/>
          </w:tcPr>
          <w:p>
            <w:pPr>
              <w:spacing w:after="40" w:before="0" w:line="259" w:lineRule="auto"/>
            </w:pPr>
            <w:r>
              <w:rPr>
                <w:rFonts w:ascii="Calibri" w:hAnsi="Calibri"/>
                <w:b w:val="0"/>
                <w:i w:val="0"/>
                <w:color w:val="212121"/>
                <w:sz w:val="16"/>
              </w:rPr>
              <w:t>Groin/axillary/toe-web intertrigo, diabetics</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Erythrasma is commoner in occluded folds and diabetes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Microbiological</w:t>
            </w:r>
          </w:p>
        </w:tc>
        <w:tc>
          <w:tcPr>
            <w:tcW w:type="dxa" w:w="1036"/>
            <w:vAlign w:val="top"/>
          </w:tcPr>
          <w:p>
            <w:pPr>
              <w:spacing w:after="40" w:before="0" w:line="259" w:lineRule="auto"/>
            </w:pPr>
            <w:r>
              <w:rPr>
                <w:rFonts w:ascii="Calibri" w:hAnsi="Calibri"/>
                <w:b w:val="0"/>
                <w:i w:val="0"/>
                <w:color w:val="212121"/>
                <w:sz w:val="16"/>
              </w:rPr>
              <w:t>Pathogenic bacteria</w:t>
            </w:r>
          </w:p>
        </w:tc>
        <w:tc>
          <w:tcPr>
            <w:tcW w:type="dxa" w:w="892"/>
            <w:vAlign w:val="top"/>
          </w:tcPr>
          <w:p>
            <w:pPr>
              <w:spacing w:after="40" w:before="0" w:line="259" w:lineRule="auto"/>
            </w:pPr>
            <w:r>
              <w:rPr>
                <w:rFonts w:ascii="Calibri" w:hAnsi="Calibri"/>
                <w:b w:val="0"/>
                <w:i w:val="0"/>
                <w:color w:val="212121"/>
                <w:sz w:val="16"/>
              </w:rPr>
              <w:t>Swab, Gram stain &amp; culture/sensitivity</w:t>
            </w:r>
          </w:p>
        </w:tc>
        <w:tc>
          <w:tcPr>
            <w:tcW w:type="dxa" w:w="950"/>
            <w:vAlign w:val="top"/>
          </w:tcPr>
          <w:p>
            <w:pPr>
              <w:spacing w:after="40" w:before="0" w:line="259" w:lineRule="auto"/>
            </w:pPr>
            <w:r>
              <w:rPr>
                <w:rFonts w:ascii="Calibri" w:hAnsi="Calibri"/>
                <w:b w:val="0"/>
                <w:i w:val="0"/>
                <w:color w:val="212121"/>
                <w:sz w:val="16"/>
              </w:rPr>
              <w:t>Skin commensals only</w:t>
            </w:r>
          </w:p>
        </w:tc>
        <w:tc>
          <w:tcPr>
            <w:tcW w:type="dxa" w:w="950"/>
            <w:vAlign w:val="top"/>
          </w:tcPr>
          <w:p>
            <w:pPr>
              <w:spacing w:after="40" w:before="0" w:line="259" w:lineRule="auto"/>
            </w:pPr>
            <w:r>
              <w:rPr>
                <w:rFonts w:ascii="Calibri" w:hAnsi="Calibri"/>
                <w:b w:val="0"/>
                <w:i w:val="0"/>
                <w:color w:val="212121"/>
                <w:sz w:val="16"/>
              </w:rPr>
              <w:t>Streptococcus, Staphylococcus or gram-negative growth</w:t>
            </w:r>
          </w:p>
        </w:tc>
        <w:tc>
          <w:tcPr>
            <w:tcW w:type="dxa" w:w="1036"/>
            <w:vAlign w:val="top"/>
          </w:tcPr>
          <w:p>
            <w:pPr>
              <w:spacing w:after="40" w:before="0" w:line="259" w:lineRule="auto"/>
            </w:pPr>
            <w:r>
              <w:rPr>
                <w:rFonts w:ascii="Calibri" w:hAnsi="Calibri"/>
                <w:b w:val="0"/>
                <w:i w:val="0"/>
                <w:color w:val="212121"/>
                <w:sz w:val="16"/>
              </w:rPr>
              <w:t>Confirms bacterial superinfection and guides antibiotic choice</w:t>
            </w:r>
          </w:p>
        </w:tc>
        <w:tc>
          <w:tcPr>
            <w:tcW w:type="dxa" w:w="1036"/>
            <w:vAlign w:val="top"/>
          </w:tcPr>
          <w:p>
            <w:pPr>
              <w:spacing w:after="40" w:before="0" w:line="259" w:lineRule="auto"/>
            </w:pPr>
            <w:r>
              <w:rPr>
                <w:rFonts w:ascii="Calibri" w:hAnsi="Calibri"/>
                <w:b w:val="0"/>
                <w:i w:val="0"/>
                <w:color w:val="212121"/>
                <w:sz w:val="16"/>
              </w:rPr>
              <w:t>Purulent, weeping, malodorous or fissured folds; toe-web</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Guides therapy</w:t>
            </w:r>
          </w:p>
        </w:tc>
        <w:tc>
          <w:tcPr>
            <w:tcW w:type="dxa" w:w="720"/>
            <w:vAlign w:val="top"/>
          </w:tcPr>
          <w:p>
            <w:pPr>
              <w:spacing w:after="40" w:before="0" w:line="259" w:lineRule="auto"/>
            </w:pPr>
            <w:r>
              <w:rPr>
                <w:rFonts w:ascii="Calibri" w:hAnsi="Calibri"/>
                <w:b w:val="0"/>
                <w:i w:val="0"/>
                <w:color w:val="212121"/>
                <w:sz w:val="16"/>
              </w:rPr>
              <w:t>Take before starting antibiotics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Mycological</w:t>
            </w:r>
          </w:p>
        </w:tc>
        <w:tc>
          <w:tcPr>
            <w:tcW w:type="dxa" w:w="1036"/>
            <w:vAlign w:val="top"/>
          </w:tcPr>
          <w:p>
            <w:pPr>
              <w:spacing w:after="40" w:before="0" w:line="259" w:lineRule="auto"/>
            </w:pPr>
            <w:r>
              <w:rPr>
                <w:rFonts w:ascii="Calibri" w:hAnsi="Calibri"/>
                <w:b w:val="0"/>
                <w:i w:val="0"/>
                <w:color w:val="212121"/>
                <w:sz w:val="16"/>
              </w:rPr>
              <w:t>Fungal isolate</w:t>
            </w:r>
          </w:p>
        </w:tc>
        <w:tc>
          <w:tcPr>
            <w:tcW w:type="dxa" w:w="892"/>
            <w:vAlign w:val="top"/>
          </w:tcPr>
          <w:p>
            <w:pPr>
              <w:spacing w:after="40" w:before="0" w:line="259" w:lineRule="auto"/>
            </w:pPr>
            <w:r>
              <w:rPr>
                <w:rFonts w:ascii="Calibri" w:hAnsi="Calibri"/>
                <w:b w:val="0"/>
                <w:i w:val="0"/>
                <w:color w:val="212121"/>
                <w:sz w:val="16"/>
              </w:rPr>
              <w:t>Fungal culture</w:t>
            </w:r>
          </w:p>
        </w:tc>
        <w:tc>
          <w:tcPr>
            <w:tcW w:type="dxa" w:w="950"/>
            <w:vAlign w:val="top"/>
          </w:tcPr>
          <w:p>
            <w:pPr>
              <w:spacing w:after="40" w:before="0" w:line="259" w:lineRule="auto"/>
            </w:pPr>
            <w:r>
              <w:rPr>
                <w:rFonts w:ascii="Calibri" w:hAnsi="Calibri"/>
                <w:b w:val="0"/>
                <w:i w:val="0"/>
                <w:color w:val="212121"/>
                <w:sz w:val="16"/>
              </w:rPr>
              <w:t>No growth</w:t>
            </w:r>
          </w:p>
        </w:tc>
        <w:tc>
          <w:tcPr>
            <w:tcW w:type="dxa" w:w="950"/>
            <w:vAlign w:val="top"/>
          </w:tcPr>
          <w:p>
            <w:pPr>
              <w:spacing w:after="40" w:before="0" w:line="259" w:lineRule="auto"/>
            </w:pPr>
            <w:r>
              <w:rPr>
                <w:rFonts w:ascii="Calibri" w:hAnsi="Calibri"/>
                <w:b w:val="0"/>
                <w:i w:val="0"/>
                <w:color w:val="212121"/>
                <w:sz w:val="16"/>
              </w:rPr>
              <w:t>Candida species or dermatophyte isolated</w:t>
            </w:r>
          </w:p>
        </w:tc>
        <w:tc>
          <w:tcPr>
            <w:tcW w:type="dxa" w:w="1036"/>
            <w:vAlign w:val="top"/>
          </w:tcPr>
          <w:p>
            <w:pPr>
              <w:spacing w:after="40" w:before="0" w:line="259" w:lineRule="auto"/>
            </w:pPr>
            <w:r>
              <w:rPr>
                <w:rFonts w:ascii="Calibri" w:hAnsi="Calibri"/>
                <w:b w:val="0"/>
                <w:i w:val="0"/>
                <w:color w:val="212121"/>
                <w:sz w:val="16"/>
              </w:rPr>
              <w:t>Speciates recurrent/resistant infection and confirms tinea overlap</w:t>
            </w:r>
          </w:p>
        </w:tc>
        <w:tc>
          <w:tcPr>
            <w:tcW w:type="dxa" w:w="1036"/>
            <w:vAlign w:val="top"/>
          </w:tcPr>
          <w:p>
            <w:pPr>
              <w:spacing w:after="40" w:before="0" w:line="259" w:lineRule="auto"/>
            </w:pPr>
            <w:r>
              <w:rPr>
                <w:rFonts w:ascii="Calibri" w:hAnsi="Calibri"/>
                <w:b w:val="0"/>
                <w:i w:val="0"/>
                <w:color w:val="212121"/>
                <w:sz w:val="16"/>
              </w:rPr>
              <w:t>Recurrent, extensive or treatment-resistant intertrigo</w:t>
            </w:r>
          </w:p>
        </w:tc>
        <w:tc>
          <w:tcPr>
            <w:tcW w:type="dxa" w:w="720"/>
            <w:vAlign w:val="top"/>
          </w:tcPr>
          <w:p>
            <w:pPr>
              <w:spacing w:after="40" w:before="0" w:line="259" w:lineRule="auto"/>
            </w:pPr>
            <w:r>
              <w:rPr>
                <w:rFonts w:ascii="Calibri" w:hAnsi="Calibri"/>
                <w:b w:val="0"/>
                <w:i w:val="0"/>
                <w:color w:val="212121"/>
                <w:sz w:val="16"/>
              </w:rPr>
              <w:t>Hygiene; Food</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Consider when KOH is equivocal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blood glucose / HbA1c</w:t>
            </w:r>
          </w:p>
        </w:tc>
        <w:tc>
          <w:tcPr>
            <w:tcW w:type="dxa" w:w="892"/>
            <w:vAlign w:val="top"/>
          </w:tcPr>
          <w:p>
            <w:pPr>
              <w:spacing w:after="40" w:before="0" w:line="259" w:lineRule="auto"/>
            </w:pPr>
            <w:r>
              <w:rPr>
                <w:rFonts w:ascii="Calibri" w:hAnsi="Calibri"/>
                <w:b w:val="0"/>
                <w:i w:val="0"/>
                <w:color w:val="212121"/>
                <w:sz w:val="16"/>
              </w:rPr>
              <w:t>Blood glucose testing</w:t>
            </w:r>
          </w:p>
        </w:tc>
        <w:tc>
          <w:tcPr>
            <w:tcW w:type="dxa" w:w="950"/>
            <w:vAlign w:val="top"/>
          </w:tcPr>
          <w:p>
            <w:pPr>
              <w:spacing w:after="40" w:before="0" w:line="259" w:lineRule="auto"/>
            </w:pPr>
            <w:r>
              <w:rPr>
                <w:rFonts w:ascii="Calibri" w:hAnsi="Calibri"/>
                <w:b w:val="0"/>
                <w:i w:val="0"/>
                <w:color w:val="212121"/>
                <w:sz w:val="16"/>
              </w:rPr>
              <w:t>FBS 70–99 mg/dL; HbA1c &lt; 5.7 %</w:t>
            </w:r>
          </w:p>
        </w:tc>
        <w:tc>
          <w:tcPr>
            <w:tcW w:type="dxa" w:w="950"/>
            <w:vAlign w:val="top"/>
          </w:tcPr>
          <w:p>
            <w:pPr>
              <w:spacing w:after="40" w:before="0" w:line="259" w:lineRule="auto"/>
            </w:pPr>
            <w:r>
              <w:rPr>
                <w:rFonts w:ascii="Calibri" w:hAnsi="Calibri"/>
                <w:b w:val="0"/>
                <w:i w:val="0"/>
                <w:color w:val="212121"/>
                <w:sz w:val="16"/>
              </w:rPr>
              <w:t>FBS ≥ 126 mg/dL; HbA1c ≥ 6.5 %</w:t>
            </w:r>
          </w:p>
        </w:tc>
        <w:tc>
          <w:tcPr>
            <w:tcW w:type="dxa" w:w="1036"/>
            <w:vAlign w:val="top"/>
          </w:tcPr>
          <w:p>
            <w:pPr>
              <w:spacing w:after="40" w:before="0" w:line="259" w:lineRule="auto"/>
            </w:pPr>
            <w:r>
              <w:rPr>
                <w:rFonts w:ascii="Calibri" w:hAnsi="Calibri"/>
                <w:b w:val="0"/>
                <w:i w:val="0"/>
                <w:color w:val="212121"/>
                <w:sz w:val="16"/>
              </w:rPr>
              <w:t>Detects undiagnosed or poorly controlled diabetes underlying candidal intertrigo</w:t>
            </w:r>
          </w:p>
        </w:tc>
        <w:tc>
          <w:tcPr>
            <w:tcW w:type="dxa" w:w="1036"/>
            <w:vAlign w:val="top"/>
          </w:tcPr>
          <w:p>
            <w:pPr>
              <w:spacing w:after="40" w:before="0" w:line="259" w:lineRule="auto"/>
            </w:pPr>
            <w:r>
              <w:rPr>
                <w:rFonts w:ascii="Calibri" w:hAnsi="Calibri"/>
                <w:b w:val="0"/>
                <w:i w:val="0"/>
                <w:color w:val="212121"/>
                <w:sz w:val="16"/>
              </w:rPr>
              <w:t>Recurrent candidal intertrigo, obese, family history</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Persistent flexural candidiasis may be a presenting sign of diabetes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Histopathology</w:t>
            </w:r>
          </w:p>
        </w:tc>
        <w:tc>
          <w:tcPr>
            <w:tcW w:type="dxa" w:w="1036"/>
            <w:vAlign w:val="top"/>
          </w:tcPr>
          <w:p>
            <w:pPr>
              <w:spacing w:after="40" w:before="0" w:line="259" w:lineRule="auto"/>
            </w:pPr>
            <w:r>
              <w:rPr>
                <w:rFonts w:ascii="Calibri" w:hAnsi="Calibri"/>
                <w:b w:val="0"/>
                <w:i w:val="0"/>
                <w:color w:val="212121"/>
                <w:sz w:val="16"/>
              </w:rPr>
              <w:t>Skin biopsy</w:t>
            </w:r>
          </w:p>
        </w:tc>
        <w:tc>
          <w:tcPr>
            <w:tcW w:type="dxa" w:w="892"/>
            <w:vAlign w:val="top"/>
          </w:tcPr>
          <w:p>
            <w:pPr>
              <w:spacing w:after="40" w:before="0" w:line="259" w:lineRule="auto"/>
            </w:pPr>
            <w:r>
              <w:rPr>
                <w:rFonts w:ascii="Calibri" w:hAnsi="Calibri"/>
                <w:b w:val="0"/>
                <w:i w:val="0"/>
                <w:color w:val="212121"/>
                <w:sz w:val="16"/>
              </w:rPr>
              <w:t>Punch biopsy ± direct immunofluorescence</w:t>
            </w:r>
          </w:p>
        </w:tc>
        <w:tc>
          <w:tcPr>
            <w:tcW w:type="dxa" w:w="950"/>
            <w:vAlign w:val="top"/>
          </w:tcPr>
          <w:p>
            <w:pPr>
              <w:spacing w:after="40" w:before="0" w:line="259" w:lineRule="auto"/>
            </w:pPr>
            <w:r>
              <w:rPr>
                <w:rFonts w:ascii="Calibri" w:hAnsi="Calibri"/>
                <w:b w:val="0"/>
                <w:i w:val="0"/>
                <w:color w:val="212121"/>
                <w:sz w:val="16"/>
              </w:rPr>
              <w:t>Non-specific dermatitis</w:t>
            </w:r>
          </w:p>
        </w:tc>
        <w:tc>
          <w:tcPr>
            <w:tcW w:type="dxa" w:w="950"/>
            <w:vAlign w:val="top"/>
          </w:tcPr>
          <w:p>
            <w:pPr>
              <w:spacing w:after="40" w:before="0" w:line="259" w:lineRule="auto"/>
            </w:pPr>
            <w:r>
              <w:rPr>
                <w:rFonts w:ascii="Calibri" w:hAnsi="Calibri"/>
                <w:b w:val="0"/>
                <w:i w:val="0"/>
                <w:color w:val="212121"/>
                <w:sz w:val="16"/>
              </w:rPr>
              <w:t>Features of inverse psoriasis, Hailey–Hailey, Paget or lymphoma</w:t>
            </w:r>
          </w:p>
        </w:tc>
        <w:tc>
          <w:tcPr>
            <w:tcW w:type="dxa" w:w="1036"/>
            <w:vAlign w:val="top"/>
          </w:tcPr>
          <w:p>
            <w:pPr>
              <w:spacing w:after="40" w:before="0" w:line="259" w:lineRule="auto"/>
            </w:pPr>
            <w:r>
              <w:rPr>
                <w:rFonts w:ascii="Calibri" w:hAnsi="Calibri"/>
                <w:b w:val="0"/>
                <w:i w:val="0"/>
                <w:color w:val="212121"/>
                <w:sz w:val="16"/>
              </w:rPr>
              <w:t>Excludes mimics in atypical or refractory flexural disease</w:t>
            </w:r>
          </w:p>
        </w:tc>
        <w:tc>
          <w:tcPr>
            <w:tcW w:type="dxa" w:w="1036"/>
            <w:vAlign w:val="top"/>
          </w:tcPr>
          <w:p>
            <w:pPr>
              <w:spacing w:after="40" w:before="0" w:line="259" w:lineRule="auto"/>
            </w:pPr>
            <w:r>
              <w:rPr>
                <w:rFonts w:ascii="Calibri" w:hAnsi="Calibri"/>
                <w:b w:val="0"/>
                <w:i w:val="0"/>
                <w:color w:val="212121"/>
                <w:sz w:val="16"/>
              </w:rPr>
              <w:t>Asymmetric, ulcerated or non-resolving intertrigo</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Reserved</w:t>
            </w:r>
          </w:p>
        </w:tc>
        <w:tc>
          <w:tcPr>
            <w:tcW w:type="dxa" w:w="720"/>
            <w:vAlign w:val="top"/>
          </w:tcPr>
          <w:p>
            <w:pPr>
              <w:spacing w:after="40" w:before="0" w:line="259" w:lineRule="auto"/>
            </w:pPr>
            <w:r>
              <w:rPr>
                <w:rFonts w:ascii="Calibri" w:hAnsi="Calibri"/>
                <w:b w:val="0"/>
                <w:i w:val="0"/>
                <w:color w:val="212121"/>
                <w:sz w:val="16"/>
              </w:rPr>
              <w:t>Only when diagnosis is in doubt</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Rash, itch, burning, odour, oozing in a fold</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One or more present</w:t>
            </w:r>
          </w:p>
        </w:tc>
        <w:tc>
          <w:tcPr>
            <w:tcW w:type="dxa" w:w="1036"/>
            <w:vAlign w:val="top"/>
          </w:tcPr>
          <w:p>
            <w:pPr>
              <w:spacing w:after="40" w:before="0" w:line="259" w:lineRule="auto"/>
            </w:pPr>
            <w:r>
              <w:rPr>
                <w:rFonts w:ascii="Calibri" w:hAnsi="Calibri"/>
                <w:b w:val="0"/>
                <w:i w:val="0"/>
                <w:color w:val="212121"/>
                <w:sz w:val="16"/>
              </w:rPr>
              <w:t>Symptomatic flexural dermatitis; duration &gt;6 weeks suggests chronic disease</w:t>
            </w:r>
          </w:p>
        </w:tc>
        <w:tc>
          <w:tcPr>
            <w:tcW w:type="dxa" w:w="1036"/>
            <w:vAlign w:val="top"/>
          </w:tcPr>
          <w:p>
            <w:pPr>
              <w:spacing w:after="40" w:before="0" w:line="259" w:lineRule="auto"/>
            </w:pPr>
            <w:r>
              <w:rPr>
                <w:rFonts w:ascii="Calibri" w:hAnsi="Calibri"/>
                <w:b w:val="0"/>
                <w:i w:val="0"/>
                <w:color w:val="212121"/>
                <w:sz w:val="16"/>
              </w:rPr>
              <w:t>Obese, diabetic, elderly, infants, manual workers</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Ask about heat/sweat aggravation and recurrence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Inspection</w:t>
            </w:r>
          </w:p>
        </w:tc>
        <w:tc>
          <w:tcPr>
            <w:tcW w:type="dxa" w:w="950"/>
            <w:vAlign w:val="top"/>
          </w:tcPr>
          <w:p>
            <w:pPr>
              <w:spacing w:after="40" w:before="0" w:line="259" w:lineRule="auto"/>
            </w:pPr>
            <w:r>
              <w:rPr>
                <w:rFonts w:ascii="Calibri" w:hAnsi="Calibri"/>
                <w:b w:val="0"/>
                <w:i w:val="0"/>
                <w:color w:val="212121"/>
                <w:sz w:val="16"/>
              </w:rPr>
              <w:t>Site &amp; morphology</w:t>
            </w:r>
          </w:p>
        </w:tc>
        <w:tc>
          <w:tcPr>
            <w:tcW w:type="dxa" w:w="979"/>
            <w:vAlign w:val="top"/>
          </w:tcPr>
          <w:p>
            <w:pPr>
              <w:spacing w:after="40" w:before="0" w:line="259" w:lineRule="auto"/>
            </w:pPr>
            <w:r>
              <w:rPr>
                <w:rFonts w:ascii="Calibri" w:hAnsi="Calibri"/>
                <w:b w:val="0"/>
                <w:i w:val="0"/>
                <w:color w:val="212121"/>
                <w:sz w:val="16"/>
              </w:rPr>
              <w:t>Symmetric erythema, maceration, satellite lesions</w:t>
            </w:r>
          </w:p>
        </w:tc>
        <w:tc>
          <w:tcPr>
            <w:tcW w:type="dxa" w:w="950"/>
            <w:vAlign w:val="top"/>
          </w:tcPr>
          <w:p>
            <w:pPr>
              <w:spacing w:after="40" w:before="0" w:line="259" w:lineRule="auto"/>
            </w:pPr>
            <w:r>
              <w:rPr>
                <w:rFonts w:ascii="Calibri" w:hAnsi="Calibri"/>
                <w:b w:val="0"/>
                <w:i w:val="0"/>
                <w:color w:val="212121"/>
                <w:sz w:val="16"/>
              </w:rPr>
              <w:t>Intact fold skin</w:t>
            </w:r>
          </w:p>
        </w:tc>
        <w:tc>
          <w:tcPr>
            <w:tcW w:type="dxa" w:w="950"/>
            <w:vAlign w:val="top"/>
          </w:tcPr>
          <w:p>
            <w:pPr>
              <w:spacing w:after="40" w:before="0" w:line="259" w:lineRule="auto"/>
            </w:pPr>
            <w:r>
              <w:rPr>
                <w:rFonts w:ascii="Calibri" w:hAnsi="Calibri"/>
                <w:b w:val="0"/>
                <w:i w:val="0"/>
                <w:color w:val="212121"/>
                <w:sz w:val="16"/>
              </w:rPr>
              <w:t>Mirror-image erythema, macerated collarette, satellite papulopustules, fissuring</w:t>
            </w:r>
          </w:p>
        </w:tc>
        <w:tc>
          <w:tcPr>
            <w:tcW w:type="dxa" w:w="1036"/>
            <w:vAlign w:val="top"/>
          </w:tcPr>
          <w:p>
            <w:pPr>
              <w:spacing w:after="40" w:before="0" w:line="259" w:lineRule="auto"/>
            </w:pPr>
            <w:r>
              <w:rPr>
                <w:rFonts w:ascii="Calibri" w:hAnsi="Calibri"/>
                <w:b w:val="0"/>
                <w:i w:val="0"/>
                <w:color w:val="212121"/>
                <w:sz w:val="16"/>
              </w:rPr>
              <w:t>Distinguishes simple, candidal, bacterial and dermatophytic patterns</w:t>
            </w:r>
          </w:p>
        </w:tc>
        <w:tc>
          <w:tcPr>
            <w:tcW w:type="dxa" w:w="1036"/>
            <w:vAlign w:val="top"/>
          </w:tcPr>
          <w:p>
            <w:pPr>
              <w:spacing w:after="40" w:before="0" w:line="259" w:lineRule="auto"/>
            </w:pPr>
            <w:r>
              <w:rPr>
                <w:rFonts w:ascii="Calibri" w:hAnsi="Calibri"/>
                <w:b w:val="0"/>
                <w:i w:val="0"/>
                <w:color w:val="212121"/>
                <w:sz w:val="16"/>
              </w:rPr>
              <w:t>Inframammary, inguinal, abdominal, gluteal, toe-web</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Examine every major fold, both feet and web spaces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Bedside test</w:t>
            </w:r>
          </w:p>
        </w:tc>
        <w:tc>
          <w:tcPr>
            <w:tcW w:type="dxa" w:w="950"/>
            <w:vAlign w:val="top"/>
          </w:tcPr>
          <w:p>
            <w:pPr>
              <w:spacing w:after="40" w:before="0" w:line="259" w:lineRule="auto"/>
            </w:pPr>
            <w:r>
              <w:rPr>
                <w:rFonts w:ascii="Calibri" w:hAnsi="Calibri"/>
                <w:b w:val="0"/>
                <w:i w:val="0"/>
                <w:color w:val="212121"/>
                <w:sz w:val="16"/>
              </w:rPr>
              <w:t>Wood’s lamp screen</w:t>
            </w:r>
          </w:p>
        </w:tc>
        <w:tc>
          <w:tcPr>
            <w:tcW w:type="dxa" w:w="979"/>
            <w:vAlign w:val="top"/>
          </w:tcPr>
          <w:p>
            <w:pPr>
              <w:spacing w:after="40" w:before="0" w:line="259" w:lineRule="auto"/>
            </w:pPr>
            <w:r>
              <w:rPr>
                <w:rFonts w:ascii="Calibri" w:hAnsi="Calibri"/>
                <w:b w:val="0"/>
                <w:i w:val="0"/>
                <w:color w:val="212121"/>
                <w:sz w:val="16"/>
              </w:rPr>
              <w:t>Fluorescence colour</w:t>
            </w:r>
          </w:p>
        </w:tc>
        <w:tc>
          <w:tcPr>
            <w:tcW w:type="dxa" w:w="950"/>
            <w:vAlign w:val="top"/>
          </w:tcPr>
          <w:p>
            <w:pPr>
              <w:spacing w:after="40" w:before="0" w:line="259" w:lineRule="auto"/>
            </w:pPr>
            <w:r>
              <w:rPr>
                <w:rFonts w:ascii="Calibri" w:hAnsi="Calibri"/>
                <w:b w:val="0"/>
                <w:i w:val="0"/>
                <w:color w:val="212121"/>
                <w:sz w:val="16"/>
              </w:rPr>
              <w:t>No fluorescence</w:t>
            </w:r>
          </w:p>
        </w:tc>
        <w:tc>
          <w:tcPr>
            <w:tcW w:type="dxa" w:w="950"/>
            <w:vAlign w:val="top"/>
          </w:tcPr>
          <w:p>
            <w:pPr>
              <w:spacing w:after="40" w:before="0" w:line="259" w:lineRule="auto"/>
            </w:pPr>
            <w:r>
              <w:rPr>
                <w:rFonts w:ascii="Calibri" w:hAnsi="Calibri"/>
                <w:b w:val="0"/>
                <w:i w:val="0"/>
                <w:color w:val="212121"/>
                <w:sz w:val="16"/>
              </w:rPr>
              <w:t>Coral-red (erythrasma) / green tinge</w:t>
            </w:r>
          </w:p>
        </w:tc>
        <w:tc>
          <w:tcPr>
            <w:tcW w:type="dxa" w:w="1036"/>
            <w:vAlign w:val="top"/>
          </w:tcPr>
          <w:p>
            <w:pPr>
              <w:spacing w:after="40" w:before="0" w:line="259" w:lineRule="auto"/>
            </w:pPr>
            <w:r>
              <w:rPr>
                <w:rFonts w:ascii="Calibri" w:hAnsi="Calibri"/>
                <w:b w:val="0"/>
                <w:i w:val="0"/>
                <w:color w:val="212121"/>
                <w:sz w:val="16"/>
              </w:rPr>
              <w:t>Rapid clinic-side clue to erythrasma or gram-negative colonisation</w:t>
            </w:r>
          </w:p>
        </w:tc>
        <w:tc>
          <w:tcPr>
            <w:tcW w:type="dxa" w:w="1036"/>
            <w:vAlign w:val="top"/>
          </w:tcPr>
          <w:p>
            <w:pPr>
              <w:spacing w:after="40" w:before="0" w:line="259" w:lineRule="auto"/>
            </w:pPr>
            <w:r>
              <w:rPr>
                <w:rFonts w:ascii="Calibri" w:hAnsi="Calibri"/>
                <w:b w:val="0"/>
                <w:i w:val="0"/>
                <w:color w:val="212121"/>
                <w:sz w:val="16"/>
              </w:rPr>
              <w:t>Groin/axillary intertrigo, diabetics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Confirm erythrasma before antibacterial therapy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Comorbidity &amp; risk history</w:t>
            </w:r>
          </w:p>
        </w:tc>
        <w:tc>
          <w:tcPr>
            <w:tcW w:type="dxa" w:w="979"/>
            <w:vAlign w:val="top"/>
          </w:tcPr>
          <w:p>
            <w:pPr>
              <w:spacing w:after="40" w:before="0" w:line="259" w:lineRule="auto"/>
            </w:pPr>
            <w:r>
              <w:rPr>
                <w:rFonts w:ascii="Calibri" w:hAnsi="Calibri"/>
                <w:b w:val="0"/>
                <w:i w:val="0"/>
                <w:color w:val="212121"/>
                <w:sz w:val="16"/>
              </w:rPr>
              <w:t>Diabetes, obesity, incontinence, immobility, immunosuppression</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 1 predisposing condition</w:t>
            </w:r>
          </w:p>
        </w:tc>
        <w:tc>
          <w:tcPr>
            <w:tcW w:type="dxa" w:w="1036"/>
            <w:vAlign w:val="top"/>
          </w:tcPr>
          <w:p>
            <w:pPr>
              <w:spacing w:after="40" w:before="0" w:line="259" w:lineRule="auto"/>
            </w:pPr>
            <w:r>
              <w:rPr>
                <w:rFonts w:ascii="Calibri" w:hAnsi="Calibri"/>
                <w:b w:val="0"/>
                <w:i w:val="0"/>
                <w:color w:val="212121"/>
                <w:sz w:val="16"/>
              </w:rPr>
              <w:t>Identifies drivers that must be corrected for durable cure</w:t>
            </w:r>
          </w:p>
        </w:tc>
        <w:tc>
          <w:tcPr>
            <w:tcW w:type="dxa" w:w="1036"/>
            <w:vAlign w:val="top"/>
          </w:tcPr>
          <w:p>
            <w:pPr>
              <w:spacing w:after="40" w:before="0" w:line="259" w:lineRule="auto"/>
            </w:pPr>
            <w:r>
              <w:rPr>
                <w:rFonts w:ascii="Calibri" w:hAnsi="Calibri"/>
                <w:b w:val="0"/>
                <w:i w:val="0"/>
                <w:color w:val="212121"/>
                <w:sz w:val="16"/>
              </w:rPr>
              <w:t>Recurrent/extensive intertrigo</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Recurrent candidal intertrigo warrants a diabetes screen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Occupational, clothing &amp; hygiene history</w:t>
            </w:r>
          </w:p>
        </w:tc>
        <w:tc>
          <w:tcPr>
            <w:tcW w:type="dxa" w:w="979"/>
            <w:vAlign w:val="top"/>
          </w:tcPr>
          <w:p>
            <w:pPr>
              <w:spacing w:after="40" w:before="0" w:line="259" w:lineRule="auto"/>
            </w:pPr>
            <w:r>
              <w:rPr>
                <w:rFonts w:ascii="Calibri" w:hAnsi="Calibri"/>
                <w:b w:val="0"/>
                <w:i w:val="0"/>
                <w:color w:val="212121"/>
                <w:sz w:val="16"/>
              </w:rPr>
              <w:t>Heat/sweat exposure, tight/occlusive clothing &amp; footwear, fold-drying habits</w:t>
            </w:r>
          </w:p>
        </w:tc>
        <w:tc>
          <w:tcPr>
            <w:tcW w:type="dxa" w:w="950"/>
            <w:vAlign w:val="top"/>
          </w:tcPr>
          <w:p>
            <w:pPr>
              <w:spacing w:after="40" w:before="0" w:line="259" w:lineRule="auto"/>
            </w:pPr>
            <w:r>
              <w:rPr>
                <w:rFonts w:ascii="Calibri" w:hAnsi="Calibri"/>
                <w:b w:val="0"/>
                <w:i w:val="0"/>
                <w:color w:val="212121"/>
                <w:sz w:val="16"/>
              </w:rPr>
              <w:t>Cool, breathable, well-dried</w:t>
            </w:r>
          </w:p>
        </w:tc>
        <w:tc>
          <w:tcPr>
            <w:tcW w:type="dxa" w:w="950"/>
            <w:vAlign w:val="top"/>
          </w:tcPr>
          <w:p>
            <w:pPr>
              <w:spacing w:after="40" w:before="0" w:line="259" w:lineRule="auto"/>
            </w:pPr>
            <w:r>
              <w:rPr>
                <w:rFonts w:ascii="Calibri" w:hAnsi="Calibri"/>
                <w:b w:val="0"/>
                <w:i w:val="0"/>
                <w:color w:val="212121"/>
                <w:sz w:val="16"/>
              </w:rPr>
              <w:t>Heat/humidity, occlusion, folds left damp</w:t>
            </w:r>
          </w:p>
        </w:tc>
        <w:tc>
          <w:tcPr>
            <w:tcW w:type="dxa" w:w="1036"/>
            <w:vAlign w:val="top"/>
          </w:tcPr>
          <w:p>
            <w:pPr>
              <w:spacing w:after="40" w:before="0" w:line="259" w:lineRule="auto"/>
            </w:pPr>
            <w:r>
              <w:rPr>
                <w:rFonts w:ascii="Calibri" w:hAnsi="Calibri"/>
                <w:b w:val="0"/>
                <w:i w:val="0"/>
                <w:color w:val="212121"/>
                <w:sz w:val="16"/>
              </w:rPr>
              <w:t>Modifiable environmental and behavioural triggers</w:t>
            </w:r>
          </w:p>
        </w:tc>
        <w:tc>
          <w:tcPr>
            <w:tcW w:type="dxa" w:w="1036"/>
            <w:vAlign w:val="top"/>
          </w:tcPr>
          <w:p>
            <w:pPr>
              <w:spacing w:after="40" w:before="0" w:line="259" w:lineRule="auto"/>
            </w:pPr>
            <w:r>
              <w:rPr>
                <w:rFonts w:ascii="Calibri" w:hAnsi="Calibri"/>
                <w:b w:val="0"/>
                <w:i w:val="0"/>
                <w:color w:val="212121"/>
                <w:sz w:val="16"/>
              </w:rPr>
              <w:t>Outdoor/manual workers, athletes</w:t>
            </w:r>
          </w:p>
        </w:tc>
        <w:tc>
          <w:tcPr>
            <w:tcW w:type="dxa" w:w="720"/>
            <w:vAlign w:val="top"/>
          </w:tcPr>
          <w:p>
            <w:pPr>
              <w:spacing w:after="40" w:before="0" w:line="259" w:lineRule="auto"/>
            </w:pPr>
            <w:r>
              <w:rPr>
                <w:rFonts w:ascii="Calibri" w:hAnsi="Calibri"/>
                <w:b w:val="0"/>
                <w:i w:val="0"/>
                <w:color w:val="212121"/>
                <w:sz w:val="16"/>
              </w:rPr>
              <w:t>Provoking factors; 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Central to prevention and relapse control</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Palpation/inspection</w:t>
            </w:r>
          </w:p>
        </w:tc>
        <w:tc>
          <w:tcPr>
            <w:tcW w:type="dxa" w:w="950"/>
            <w:vAlign w:val="top"/>
          </w:tcPr>
          <w:p>
            <w:pPr>
              <w:spacing w:after="40" w:before="0" w:line="259" w:lineRule="auto"/>
            </w:pPr>
            <w:r>
              <w:rPr>
                <w:rFonts w:ascii="Calibri" w:hAnsi="Calibri"/>
                <w:b w:val="0"/>
                <w:i w:val="0"/>
                <w:color w:val="212121"/>
                <w:sz w:val="16"/>
              </w:rPr>
              <w:t>Signs of spread</w:t>
            </w:r>
          </w:p>
        </w:tc>
        <w:tc>
          <w:tcPr>
            <w:tcW w:type="dxa" w:w="979"/>
            <w:vAlign w:val="top"/>
          </w:tcPr>
          <w:p>
            <w:pPr>
              <w:spacing w:after="40" w:before="0" w:line="259" w:lineRule="auto"/>
            </w:pPr>
            <w:r>
              <w:rPr>
                <w:rFonts w:ascii="Calibri" w:hAnsi="Calibri"/>
                <w:b w:val="0"/>
                <w:i w:val="0"/>
                <w:color w:val="212121"/>
                <w:sz w:val="16"/>
              </w:rPr>
              <w:t>Warmth, tenderness, spreading erythema, lymphangitis</w:t>
            </w:r>
          </w:p>
        </w:tc>
        <w:tc>
          <w:tcPr>
            <w:tcW w:type="dxa" w:w="950"/>
            <w:vAlign w:val="top"/>
          </w:tcPr>
          <w:p>
            <w:pPr>
              <w:spacing w:after="40" w:before="0" w:line="259" w:lineRule="auto"/>
            </w:pPr>
            <w:r>
              <w:rPr>
                <w:rFonts w:ascii="Calibri" w:hAnsi="Calibri"/>
                <w:b w:val="0"/>
                <w:i w:val="0"/>
                <w:color w:val="212121"/>
                <w:sz w:val="16"/>
              </w:rPr>
              <w:t>Localised fold rash</w:t>
            </w:r>
          </w:p>
        </w:tc>
        <w:tc>
          <w:tcPr>
            <w:tcW w:type="dxa" w:w="950"/>
            <w:vAlign w:val="top"/>
          </w:tcPr>
          <w:p>
            <w:pPr>
              <w:spacing w:after="40" w:before="0" w:line="259" w:lineRule="auto"/>
            </w:pPr>
            <w:r>
              <w:rPr>
                <w:rFonts w:ascii="Calibri" w:hAnsi="Calibri"/>
                <w:b w:val="0"/>
                <w:i w:val="0"/>
                <w:color w:val="212121"/>
                <w:sz w:val="16"/>
              </w:rPr>
              <w:t>Cellulitis / ADLA features</w:t>
            </w:r>
          </w:p>
        </w:tc>
        <w:tc>
          <w:tcPr>
            <w:tcW w:type="dxa" w:w="1036"/>
            <w:vAlign w:val="top"/>
          </w:tcPr>
          <w:p>
            <w:pPr>
              <w:spacing w:after="40" w:before="0" w:line="259" w:lineRule="auto"/>
            </w:pPr>
            <w:r>
              <w:rPr>
                <w:rFonts w:ascii="Calibri" w:hAnsi="Calibri"/>
                <w:b w:val="0"/>
                <w:i w:val="0"/>
                <w:color w:val="212121"/>
                <w:sz w:val="16"/>
              </w:rPr>
              <w:t>Flags secondary soft-tissue infection needing systemic therapy</w:t>
            </w:r>
          </w:p>
        </w:tc>
        <w:tc>
          <w:tcPr>
            <w:tcW w:type="dxa" w:w="1036"/>
            <w:vAlign w:val="top"/>
          </w:tcPr>
          <w:p>
            <w:pPr>
              <w:spacing w:after="40" w:before="0" w:line="259" w:lineRule="auto"/>
            </w:pPr>
            <w:r>
              <w:rPr>
                <w:rFonts w:ascii="Calibri" w:hAnsi="Calibri"/>
                <w:b w:val="0"/>
                <w:i w:val="0"/>
                <w:color w:val="212121"/>
                <w:sz w:val="16"/>
              </w:rPr>
              <w:t>Toe-web intertrigo, lymphedema, diabetics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Red flag</w:t>
            </w:r>
          </w:p>
        </w:tc>
        <w:tc>
          <w:tcPr>
            <w:tcW w:type="dxa" w:w="720"/>
            <w:vAlign w:val="top"/>
          </w:tcPr>
          <w:p>
            <w:pPr>
              <w:spacing w:after="40" w:before="0" w:line="259" w:lineRule="auto"/>
            </w:pPr>
            <w:r>
              <w:rPr>
                <w:rFonts w:ascii="Calibri" w:hAnsi="Calibri"/>
                <w:b w:val="0"/>
                <w:i w:val="0"/>
                <w:color w:val="212121"/>
                <w:sz w:val="16"/>
              </w:rPr>
              <w:t>Toe-web intertrigo can seed lower-leg cellulitis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Itching (pruritus) in the fold</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Often the earliest complaint; scratching worsens maceration and barrier damage.</w:t>
            </w:r>
          </w:p>
        </w:tc>
      </w:tr>
      <w:tr>
        <w:trPr>
          <w:cantSplit/>
        </w:trPr>
        <w:tc>
          <w:tcPr>
            <w:tcW w:type="dxa" w:w="2304"/>
            <w:vAlign w:val="top"/>
          </w:tcPr>
          <w:p>
            <w:pPr>
              <w:spacing w:after="40" w:before="0" w:line="259" w:lineRule="auto"/>
            </w:pPr>
            <w:r>
              <w:rPr>
                <w:rFonts w:ascii="Calibri" w:hAnsi="Calibri"/>
                <w:b/>
                <w:i w:val="0"/>
                <w:color w:val="212121"/>
                <w:sz w:val="19"/>
              </w:rPr>
              <w:t>Burning or stinging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Raw, macerated skin stings, especially with sweat, urine or movement.</w:t>
            </w:r>
          </w:p>
        </w:tc>
      </w:tr>
      <w:tr>
        <w:trPr>
          <w:cantSplit/>
        </w:trPr>
        <w:tc>
          <w:tcPr>
            <w:tcW w:type="dxa" w:w="2304"/>
            <w:vAlign w:val="top"/>
          </w:tcPr>
          <w:p>
            <w:pPr>
              <w:spacing w:after="40" w:before="0" w:line="259" w:lineRule="auto"/>
            </w:pPr>
            <w:r>
              <w:rPr>
                <w:rFonts w:ascii="Calibri" w:hAnsi="Calibri"/>
                <w:b/>
                <w:i w:val="0"/>
                <w:color w:val="212121"/>
                <w:sz w:val="19"/>
              </w:rPr>
              <w:t>Redness and soreness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Symmetric erythema on both apposed surfaces of the fold.</w:t>
            </w:r>
          </w:p>
        </w:tc>
      </w:tr>
      <w:tr>
        <w:trPr>
          <w:cantSplit/>
        </w:trPr>
        <w:tc>
          <w:tcPr>
            <w:tcW w:type="dxa" w:w="2304"/>
            <w:vAlign w:val="top"/>
          </w:tcPr>
          <w:p>
            <w:pPr>
              <w:spacing w:after="40" w:before="0" w:line="259" w:lineRule="auto"/>
            </w:pPr>
            <w:r>
              <w:rPr>
                <w:rFonts w:ascii="Calibri" w:hAnsi="Calibri"/>
                <w:b/>
                <w:i w:val="0"/>
                <w:color w:val="212121"/>
                <w:sz w:val="19"/>
              </w:rPr>
              <w:t>Moist, weeping skin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Maceration and exudation give a wet, soggy, glistening surface.</w:t>
            </w:r>
          </w:p>
        </w:tc>
      </w:tr>
      <w:tr>
        <w:trPr>
          <w:cantSplit/>
        </w:trPr>
        <w:tc>
          <w:tcPr>
            <w:tcW w:type="dxa" w:w="2304"/>
            <w:vAlign w:val="top"/>
          </w:tcPr>
          <w:p>
            <w:pPr>
              <w:spacing w:after="40" w:before="0" w:line="259" w:lineRule="auto"/>
            </w:pPr>
            <w:r>
              <w:rPr>
                <w:rFonts w:ascii="Calibri" w:hAnsi="Calibri"/>
                <w:b/>
                <w:i w:val="0"/>
                <w:color w:val="212121"/>
                <w:sz w:val="19"/>
              </w:rPr>
              <w:t>Malodour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Bacterial and yeast overgrowth in the moist fold produces an unpleasant smell.</w:t>
            </w:r>
          </w:p>
        </w:tc>
      </w:tr>
      <w:tr>
        <w:trPr>
          <w:cantSplit/>
        </w:trPr>
        <w:tc>
          <w:tcPr>
            <w:tcW w:type="dxa" w:w="2304"/>
            <w:vAlign w:val="top"/>
          </w:tcPr>
          <w:p>
            <w:pPr>
              <w:spacing w:after="40" w:before="0" w:line="259" w:lineRule="auto"/>
            </w:pPr>
            <w:r>
              <w:rPr>
                <w:rFonts w:ascii="Calibri" w:hAnsi="Calibri"/>
                <w:b/>
                <w:i w:val="0"/>
                <w:color w:val="212121"/>
                <w:sz w:val="19"/>
              </w:rPr>
              <w:t>Pain with movement or rubbing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Friction between skin surfaces makes walking or arm/thigh movement uncomfortable.</w:t>
            </w:r>
          </w:p>
        </w:tc>
      </w:tr>
      <w:tr>
        <w:trPr>
          <w:cantSplit/>
        </w:trPr>
        <w:tc>
          <w:tcPr>
            <w:tcW w:type="dxa" w:w="2304"/>
            <w:vAlign w:val="top"/>
          </w:tcPr>
          <w:p>
            <w:pPr>
              <w:spacing w:after="40" w:before="0" w:line="259" w:lineRule="auto"/>
            </w:pPr>
            <w:r>
              <w:rPr>
                <w:rFonts w:ascii="Calibri" w:hAnsi="Calibri"/>
                <w:b/>
                <w:i w:val="0"/>
                <w:color w:val="212121"/>
                <w:sz w:val="19"/>
              </w:rPr>
              <w:t>Cracking / fissuring at the fold base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Deep painful fissures form in chronic or heavily macerated folds and toe webs.</w:t>
            </w:r>
          </w:p>
        </w:tc>
      </w:tr>
      <w:tr>
        <w:trPr>
          <w:cantSplit/>
        </w:trPr>
        <w:tc>
          <w:tcPr>
            <w:tcW w:type="dxa" w:w="2304"/>
            <w:vAlign w:val="top"/>
          </w:tcPr>
          <w:p>
            <w:pPr>
              <w:spacing w:after="40" w:before="0" w:line="259" w:lineRule="auto"/>
            </w:pPr>
            <w:r>
              <w:rPr>
                <w:rFonts w:ascii="Calibri" w:hAnsi="Calibri"/>
                <w:b/>
                <w:i w:val="0"/>
                <w:color w:val="212121"/>
                <w:sz w:val="19"/>
              </w:rPr>
              <w:t>Scaling or peeling at the margins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 peeling collarette (candida) or scaly advancing edge (dermatophyte) may be seen.</w:t>
            </w:r>
          </w:p>
        </w:tc>
      </w:tr>
      <w:tr>
        <w:trPr>
          <w:cantSplit/>
        </w:trPr>
        <w:tc>
          <w:tcPr>
            <w:tcW w:type="dxa" w:w="2304"/>
            <w:vAlign w:val="top"/>
          </w:tcPr>
          <w:p>
            <w:pPr>
              <w:spacing w:after="40" w:before="0" w:line="259" w:lineRule="auto"/>
            </w:pPr>
            <w:r>
              <w:rPr>
                <w:rFonts w:ascii="Calibri" w:hAnsi="Calibri"/>
                <w:b/>
                <w:i w:val="0"/>
                <w:color w:val="212121"/>
                <w:sz w:val="19"/>
              </w:rPr>
              <w:t>Satellite pustules / spots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Small pustules and papules just beyond the main plaque strongly suggest Candida.</w:t>
            </w:r>
          </w:p>
        </w:tc>
      </w:tr>
      <w:tr>
        <w:trPr>
          <w:cantSplit/>
        </w:trPr>
        <w:tc>
          <w:tcPr>
            <w:tcW w:type="dxa" w:w="2304"/>
            <w:vAlign w:val="top"/>
          </w:tcPr>
          <w:p>
            <w:pPr>
              <w:spacing w:after="40" w:before="0" w:line="259" w:lineRule="auto"/>
            </w:pPr>
            <w:r>
              <w:rPr>
                <w:rFonts w:ascii="Calibri" w:hAnsi="Calibri"/>
                <w:b/>
                <w:i w:val="0"/>
                <w:color w:val="212121"/>
                <w:sz w:val="19"/>
              </w:rPr>
              <w:t>Whitish, soggy toe-web skin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Interdigital maceration with a boggy white appearance, often malodorous.</w:t>
            </w:r>
          </w:p>
        </w:tc>
      </w:tr>
      <w:tr>
        <w:trPr>
          <w:cantSplit/>
        </w:trPr>
        <w:tc>
          <w:tcPr>
            <w:tcW w:type="dxa" w:w="2304"/>
            <w:vAlign w:val="top"/>
          </w:tcPr>
          <w:p>
            <w:pPr>
              <w:spacing w:after="40" w:before="0" w:line="259" w:lineRule="auto"/>
            </w:pPr>
            <w:r>
              <w:rPr>
                <w:rFonts w:ascii="Calibri" w:hAnsi="Calibri"/>
                <w:b/>
                <w:i w:val="0"/>
                <w:color w:val="212121"/>
                <w:sz w:val="19"/>
              </w:rPr>
              <w:t>Fever or malaise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Suggests secondary cellulitis, ADLA or systemic spread and needs urgent care.</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Symmetric (“mirror-image”) erythema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Well-demarcated redness on both opposing surfaces of the fold—hallmark of intertrigo.</w:t>
            </w:r>
          </w:p>
        </w:tc>
      </w:tr>
      <w:tr>
        <w:trPr>
          <w:cantSplit/>
        </w:trPr>
        <w:tc>
          <w:tcPr>
            <w:tcW w:type="dxa" w:w="3456"/>
            <w:vAlign w:val="top"/>
          </w:tcPr>
          <w:p>
            <w:pPr>
              <w:spacing w:after="40" w:before="0" w:line="259" w:lineRule="auto"/>
            </w:pPr>
            <w:r>
              <w:rPr>
                <w:rFonts w:ascii="Calibri" w:hAnsi="Calibri"/>
                <w:b/>
                <w:i w:val="0"/>
                <w:color w:val="212121"/>
                <w:sz w:val="19"/>
              </w:rPr>
              <w:t>Maceration of fold skin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Softened, whitened, sodden stratum corneum from trapped moisture.</w:t>
            </w:r>
          </w:p>
        </w:tc>
      </w:tr>
      <w:tr>
        <w:trPr>
          <w:cantSplit/>
        </w:trPr>
        <w:tc>
          <w:tcPr>
            <w:tcW w:type="dxa" w:w="3456"/>
            <w:vAlign w:val="top"/>
          </w:tcPr>
          <w:p>
            <w:pPr>
              <w:spacing w:after="40" w:before="0" w:line="259" w:lineRule="auto"/>
            </w:pPr>
            <w:r>
              <w:rPr>
                <w:rFonts w:ascii="Calibri" w:hAnsi="Calibri"/>
                <w:b/>
                <w:i w:val="0"/>
                <w:color w:val="212121"/>
                <w:sz w:val="19"/>
              </w:rPr>
              <w:t>Satellite papulopustules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Discrete pustules/papules beyond the plaque edge—characteristic of candidal intertrigo.</w:t>
            </w:r>
          </w:p>
        </w:tc>
      </w:tr>
      <w:tr>
        <w:trPr>
          <w:cantSplit/>
        </w:trPr>
        <w:tc>
          <w:tcPr>
            <w:tcW w:type="dxa" w:w="3456"/>
            <w:vAlign w:val="top"/>
          </w:tcPr>
          <w:p>
            <w:pPr>
              <w:spacing w:after="40" w:before="0" w:line="259" w:lineRule="auto"/>
            </w:pPr>
            <w:r>
              <w:rPr>
                <w:rFonts w:ascii="Calibri" w:hAnsi="Calibri"/>
                <w:b/>
                <w:i w:val="0"/>
                <w:color w:val="212121"/>
                <w:sz w:val="19"/>
              </w:rPr>
              <w:t>Superficial fissuring / erosion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Linear cracks at the depth of the fold, painful and slow to heal.</w:t>
            </w:r>
          </w:p>
        </w:tc>
      </w:tr>
      <w:tr>
        <w:trPr>
          <w:cantSplit/>
        </w:trPr>
        <w:tc>
          <w:tcPr>
            <w:tcW w:type="dxa" w:w="3456"/>
            <w:vAlign w:val="top"/>
          </w:tcPr>
          <w:p>
            <w:pPr>
              <w:spacing w:after="40" w:before="0" w:line="259" w:lineRule="auto"/>
            </w:pPr>
            <w:r>
              <w:rPr>
                <w:rFonts w:ascii="Calibri" w:hAnsi="Calibri"/>
                <w:b/>
                <w:i w:val="0"/>
                <w:color w:val="212121"/>
                <w:sz w:val="19"/>
              </w:rPr>
              <w:t>Exudation and weeping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Serous or purulent moisture, sometimes crusting, indicating active or infected disease.</w:t>
            </w:r>
          </w:p>
        </w:tc>
      </w:tr>
      <w:tr>
        <w:trPr>
          <w:cantSplit/>
        </w:trPr>
        <w:tc>
          <w:tcPr>
            <w:tcW w:type="dxa" w:w="3456"/>
            <w:vAlign w:val="top"/>
          </w:tcPr>
          <w:p>
            <w:pPr>
              <w:spacing w:after="40" w:before="0" w:line="259" w:lineRule="auto"/>
            </w:pPr>
            <w:r>
              <w:rPr>
                <w:rFonts w:ascii="Calibri" w:hAnsi="Calibri"/>
                <w:b/>
                <w:i w:val="0"/>
                <w:color w:val="212121"/>
                <w:sz w:val="19"/>
              </w:rPr>
              <w:t>Foul odour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Bacterial overgrowth (including gram-negatives in toe webs) produces malodour.</w:t>
            </w:r>
          </w:p>
        </w:tc>
      </w:tr>
      <w:tr>
        <w:trPr>
          <w:cantSplit/>
        </w:trPr>
        <w:tc>
          <w:tcPr>
            <w:tcW w:type="dxa" w:w="3456"/>
            <w:vAlign w:val="top"/>
          </w:tcPr>
          <w:p>
            <w:pPr>
              <w:spacing w:after="40" w:before="0" w:line="259" w:lineRule="auto"/>
            </w:pPr>
            <w:r>
              <w:rPr>
                <w:rFonts w:ascii="Calibri" w:hAnsi="Calibri"/>
                <w:b/>
                <w:i w:val="0"/>
                <w:color w:val="212121"/>
                <w:sz w:val="19"/>
              </w:rPr>
              <w:t>Coral-red Wood’s lamp fluorescence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Diagnostic of erythrasma (Corynebacterium minutissimum), commoner in diabetes and occluded folds.</w:t>
            </w:r>
          </w:p>
        </w:tc>
      </w:tr>
      <w:tr>
        <w:trPr>
          <w:cantSplit/>
        </w:trPr>
        <w:tc>
          <w:tcPr>
            <w:tcW w:type="dxa" w:w="3456"/>
            <w:vAlign w:val="top"/>
          </w:tcPr>
          <w:p>
            <w:pPr>
              <w:spacing w:after="40" w:before="0" w:line="259" w:lineRule="auto"/>
            </w:pPr>
            <w:r>
              <w:rPr>
                <w:rFonts w:ascii="Calibri" w:hAnsi="Calibri"/>
                <w:b/>
                <w:i w:val="0"/>
                <w:color w:val="212121"/>
                <w:sz w:val="19"/>
              </w:rPr>
              <w:t>Scaly advancing border with central clearing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Suggests dermatophytic (tinea cruris/pedis) overlap rather than simple intertrigo.</w:t>
            </w:r>
          </w:p>
        </w:tc>
      </w:tr>
      <w:tr>
        <w:trPr>
          <w:cantSplit/>
        </w:trPr>
        <w:tc>
          <w:tcPr>
            <w:tcW w:type="dxa" w:w="3456"/>
            <w:vAlign w:val="top"/>
          </w:tcPr>
          <w:p>
            <w:pPr>
              <w:spacing w:after="40" w:before="0" w:line="259" w:lineRule="auto"/>
            </w:pPr>
            <w:r>
              <w:rPr>
                <w:rFonts w:ascii="Calibri" w:hAnsi="Calibri"/>
                <w:b/>
                <w:i w:val="0"/>
                <w:color w:val="212121"/>
                <w:sz w:val="19"/>
              </w:rPr>
              <w:t>Whitish interdigital maceration/erosion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Toe-web intertrigo; a recognised portal for lower-limb cellulitis.</w:t>
            </w:r>
          </w:p>
        </w:tc>
      </w:tr>
      <w:tr>
        <w:trPr>
          <w:cantSplit/>
        </w:trPr>
        <w:tc>
          <w:tcPr>
            <w:tcW w:type="dxa" w:w="3456"/>
            <w:vAlign w:val="top"/>
          </w:tcPr>
          <w:p>
            <w:pPr>
              <w:spacing w:after="40" w:before="0" w:line="259" w:lineRule="auto"/>
            </w:pPr>
            <w:r>
              <w:rPr>
                <w:rFonts w:ascii="Calibri" w:hAnsi="Calibri"/>
                <w:b/>
                <w:i w:val="0"/>
                <w:color w:val="212121"/>
                <w:sz w:val="19"/>
              </w:rPr>
              <w:t>Lichenification &amp; hyperpigmentation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Thickened, darkened skin from chronic rubbing and post-inflammatory change.</w:t>
            </w:r>
          </w:p>
        </w:tc>
      </w:tr>
      <w:tr>
        <w:trPr>
          <w:cantSplit/>
        </w:trPr>
        <w:tc>
          <w:tcPr>
            <w:tcW w:type="dxa" w:w="3456"/>
            <w:vAlign w:val="top"/>
          </w:tcPr>
          <w:p>
            <w:pPr>
              <w:spacing w:after="40" w:before="0" w:line="259" w:lineRule="auto"/>
            </w:pPr>
            <w:r>
              <w:rPr>
                <w:rFonts w:ascii="Calibri" w:hAnsi="Calibri"/>
                <w:b/>
                <w:i w:val="0"/>
                <w:color w:val="212121"/>
                <w:sz w:val="19"/>
              </w:rPr>
              <w:t>Warmth, tenderness, spreading erythema, lymphangitis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Signs of secondary cellulitis or acute dermatolymphangioadenitis needing systemic therapy.</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candidal infection with satellite pustules (candidal intertrigo)</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Bacterial superinfection (Streptococcus/Staphylococcus; gram-negative toe-web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Erythrasma (Corynebacterium minutissimum)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Dermatophyte (tinea) overlay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Painful fissures and erosions of the fold</w:t>
            </w:r>
          </w:p>
        </w:tc>
        <w:tc>
          <w:tcPr>
            <w:tcW w:type="dxa" w:w="2980"/>
            <w:vAlign w:val="top"/>
          </w:tcPr>
          <w:p>
            <w:pPr>
              <w:spacing w:after="40" w:before="0" w:line="259" w:lineRule="auto"/>
            </w:pPr>
            <w:r>
              <w:rPr>
                <w:rFonts w:ascii="Calibri" w:hAnsi="Calibri"/>
                <w:b w:val="0"/>
                <w:i w:val="0"/>
                <w:color w:val="212121"/>
                <w:sz w:val="19"/>
              </w:rPr>
              <w:t>Direct conversion of simple irritant intertrigo into infective/eroded disease by microbial overgrowth in the macerated fold</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Cellulitis and abscess of the affected region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dermatolymphangioadenitis (ADLA) in limb lymphedema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Irritant or allergic contact dermatitis from OTC/topical agents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Epidermal atrophy and striae from prolonged potent topical steroids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Post-inflammatory hyper- or hypopigmentation</w:t>
            </w:r>
          </w:p>
        </w:tc>
        <w:tc>
          <w:tcPr>
            <w:tcW w:type="dxa" w:w="2980"/>
            <w:vAlign w:val="top"/>
          </w:tcPr>
          <w:p>
            <w:pPr>
              <w:spacing w:after="40" w:before="0" w:line="259" w:lineRule="auto"/>
            </w:pPr>
            <w:r>
              <w:rPr>
                <w:rFonts w:ascii="Calibri" w:hAnsi="Calibri"/>
                <w:b w:val="0"/>
                <w:i w:val="0"/>
                <w:color w:val="212121"/>
                <w:sz w:val="19"/>
              </w:rPr>
              <w:t>Spread of infection beyond the fold and iatrogenic or reactive complications of treatment and inflammation</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cellulitis driving progression/worsening of lymphedema (elephantiasis)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non-healing macerated plaques and lichenification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Sepsis from neglected, hidden fold ulcers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Scarring and permanent dyspigmentation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Impaired mobility, self-esteem and quality of life</w:t>
            </w:r>
          </w:p>
        </w:tc>
        <w:tc>
          <w:tcPr>
            <w:tcW w:type="dxa" w:w="2980"/>
            <w:vAlign w:val="top"/>
          </w:tcPr>
          <w:p>
            <w:pPr>
              <w:spacing w:after="40" w:before="0" w:line="259" w:lineRule="auto"/>
            </w:pPr>
            <w:r>
              <w:rPr>
                <w:rFonts w:ascii="Calibri" w:hAnsi="Calibri"/>
                <w:b w:val="0"/>
                <w:i w:val="0"/>
                <w:color w:val="212121"/>
                <w:sz w:val="19"/>
              </w:rPr>
              <w:t>Irreversible, disabling outcomes of longstanding, recurrent or neglected secondary complications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Obesity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Deep, apposed, poorly ventilated folds with high friction and sweat retention make obesity the single most important predisposing condition; ~60–70% of obese patients show cutaneous changes, intertrigo among them.</w:t>
            </w:r>
          </w:p>
          <w:p>
            <w:pPr>
              <w:spacing w:after="40" w:before="0" w:line="259" w:lineRule="auto"/>
            </w:pPr>
            <w:r>
              <w:rPr>
                <w:rFonts w:ascii="Calibri" w:hAnsi="Calibri"/>
                <w:b/>
                <w:i w:val="0"/>
                <w:color w:val="212121"/>
                <w:sz w:val="19"/>
              </w:rPr>
              <w:t>~60–70% (skin changes in obesity)</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Hyperglycaemia, glucose-rich sweat and impaired immunity promote recurrent candidal and bacterial intertrigo; persistent flexural candidiasis may itself be a presenting clue to undiagnosed diabetes.</w:t>
            </w:r>
          </w:p>
        </w:tc>
      </w:tr>
      <w:tr>
        <w:trPr>
          <w:cantSplit/>
        </w:trPr>
        <w:tc>
          <w:tcPr>
            <w:tcW w:type="dxa" w:w="2232"/>
            <w:vAlign w:val="top"/>
          </w:tcPr>
          <w:p>
            <w:pPr>
              <w:spacing w:after="40" w:before="0" w:line="259" w:lineRule="auto"/>
            </w:pPr>
            <w:r>
              <w:rPr>
                <w:rFonts w:ascii="Calibri" w:hAnsi="Calibri"/>
                <w:b/>
                <w:i w:val="0"/>
                <w:color w:val="212121"/>
                <w:sz w:val="19"/>
              </w:rPr>
              <w:t>Cutaneous candidiasis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Candida albicans overgrowth is the commonest infective complication of intertrigo, producing satellite pustules and a macerated collarette; the two are closely intertwined.</w:t>
            </w:r>
          </w:p>
        </w:tc>
      </w:tr>
      <w:tr>
        <w:trPr>
          <w:cantSplit/>
        </w:trPr>
        <w:tc>
          <w:tcPr>
            <w:tcW w:type="dxa" w:w="2232"/>
            <w:vAlign w:val="top"/>
          </w:tcPr>
          <w:p>
            <w:pPr>
              <w:spacing w:after="40" w:before="0" w:line="259" w:lineRule="auto"/>
            </w:pPr>
            <w:r>
              <w:rPr>
                <w:rFonts w:ascii="Calibri" w:hAnsi="Calibri"/>
                <w:b/>
                <w:i w:val="0"/>
                <w:color w:val="212121"/>
                <w:sz w:val="19"/>
              </w:rPr>
              <w:t>Hyperhidrosis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Excess sweating keeps folds continuously moist, macerating the barrier and supplying the humidity that yeast and bacteria need.</w:t>
            </w:r>
          </w:p>
        </w:tc>
      </w:tr>
      <w:tr>
        <w:trPr>
          <w:cantSplit/>
        </w:trPr>
        <w:tc>
          <w:tcPr>
            <w:tcW w:type="dxa" w:w="2232"/>
            <w:vAlign w:val="top"/>
          </w:tcPr>
          <w:p>
            <w:pPr>
              <w:spacing w:after="40" w:before="0" w:line="259" w:lineRule="auto"/>
            </w:pPr>
            <w:r>
              <w:rPr>
                <w:rFonts w:ascii="Calibri" w:hAnsi="Calibri"/>
                <w:b/>
                <w:i w:val="0"/>
                <w:color w:val="212121"/>
                <w:sz w:val="19"/>
              </w:rPr>
              <w:t>Erythrasma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Corynebacterium minutissimum colonises the same occluded folds, coexists with or mimics intertrigo, and (like intertrigo) is commoner in diabetes; Wood’s lamp separates them.</w:t>
            </w:r>
          </w:p>
        </w:tc>
      </w:tr>
      <w:tr>
        <w:trPr>
          <w:cantSplit/>
        </w:trPr>
        <w:tc>
          <w:tcPr>
            <w:tcW w:type="dxa" w:w="2232"/>
            <w:vAlign w:val="top"/>
          </w:tcPr>
          <w:p>
            <w:pPr>
              <w:spacing w:after="40" w:before="0" w:line="259" w:lineRule="auto"/>
            </w:pPr>
            <w:r>
              <w:rPr>
                <w:rFonts w:ascii="Calibri" w:hAnsi="Calibri"/>
                <w:b/>
                <w:i w:val="0"/>
                <w:color w:val="212121"/>
                <w:sz w:val="19"/>
              </w:rPr>
              <w:t>Lymphedema / lymphatic filariasis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Toe-web intertrigo is an entry lesion for recurrent cellulitis/ADLA, which further damages lymphatics and worsens lymphedema in a vicious cycle.</w:t>
            </w:r>
          </w:p>
        </w:tc>
      </w:tr>
      <w:tr>
        <w:trPr>
          <w:cantSplit/>
        </w:trPr>
        <w:tc>
          <w:tcPr>
            <w:tcW w:type="dxa" w:w="2232"/>
            <w:vAlign w:val="top"/>
          </w:tcPr>
          <w:p>
            <w:pPr>
              <w:spacing w:after="40" w:before="0" w:line="259" w:lineRule="auto"/>
            </w:pPr>
            <w:r>
              <w:rPr>
                <w:rFonts w:ascii="Calibri" w:hAnsi="Calibri"/>
                <w:b/>
                <w:i w:val="0"/>
                <w:color w:val="212121"/>
                <w:sz w:val="19"/>
              </w:rPr>
              <w:t>Incontinence-associated dermatitis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Urine and faeces macerate perineal and gluteal folds, overlapping with and predisposing to intertrigo in the elderly and immobile.</w:t>
            </w:r>
          </w:p>
        </w:tc>
      </w:tr>
      <w:tr>
        <w:trPr>
          <w:cantSplit/>
        </w:trPr>
        <w:tc>
          <w:tcPr>
            <w:tcW w:type="dxa" w:w="2232"/>
            <w:vAlign w:val="top"/>
          </w:tcPr>
          <w:p>
            <w:pPr>
              <w:spacing w:after="40" w:before="0" w:line="259" w:lineRule="auto"/>
            </w:pPr>
            <w:r>
              <w:rPr>
                <w:rFonts w:ascii="Calibri" w:hAnsi="Calibri"/>
                <w:b/>
                <w:i w:val="0"/>
                <w:color w:val="212121"/>
                <w:sz w:val="19"/>
              </w:rPr>
              <w:t>Dermatophytosis (tinea cruris/pedis)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Groin and toe-web tinea frequently overlaps with intertrigo, sharing warm moist niches; each can be mistaken for or seed the other.</w:t>
            </w:r>
          </w:p>
        </w:tc>
      </w:tr>
      <w:tr>
        <w:trPr>
          <w:cantSplit/>
        </w:trPr>
        <w:tc>
          <w:tcPr>
            <w:tcW w:type="dxa" w:w="2232"/>
            <w:vAlign w:val="top"/>
          </w:tcPr>
          <w:p>
            <w:pPr>
              <w:spacing w:after="40" w:before="0" w:line="259" w:lineRule="auto"/>
            </w:pPr>
            <w:r>
              <w:rPr>
                <w:rFonts w:ascii="Calibri" w:hAnsi="Calibri"/>
                <w:b/>
                <w:i w:val="0"/>
                <w:color w:val="212121"/>
                <w:sz w:val="19"/>
              </w:rPr>
              <w:t>Inverse (flexural) psoriasis</w:t>
            </w:r>
          </w:p>
        </w:tc>
        <w:tc>
          <w:tcPr>
            <w:tcW w:type="dxa" w:w="2520"/>
            <w:vAlign w:val="top"/>
          </w:tcPr>
          <w:p>
            <w:pPr>
              <w:spacing w:after="40" w:before="0" w:line="259" w:lineRule="auto"/>
            </w:pPr>
            <w:r>
              <w:rPr>
                <w:rFonts w:ascii="Calibri" w:hAnsi="Calibri"/>
                <w:b w:val="0"/>
                <w:i w:val="0"/>
                <w:color w:val="212121"/>
                <w:sz w:val="18"/>
              </w:rPr>
              <w:t>• Clinical Management Impact</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Well-demarcated flexural erythema can mimic or coexist with intertrigo; misdiagnosis changes treatment, so refractory cases may need biopsy.</w:t>
            </w:r>
          </w:p>
        </w:tc>
      </w:tr>
      <w:tr>
        <w:trPr>
          <w:cantSplit/>
        </w:trPr>
        <w:tc>
          <w:tcPr>
            <w:tcW w:type="dxa" w:w="2232"/>
            <w:vAlign w:val="top"/>
          </w:tcPr>
          <w:p>
            <w:pPr>
              <w:spacing w:after="40" w:before="0" w:line="259" w:lineRule="auto"/>
            </w:pPr>
            <w:r>
              <w:rPr>
                <w:rFonts w:ascii="Calibri" w:hAnsi="Calibri"/>
                <w:b/>
                <w:i w:val="0"/>
                <w:color w:val="212121"/>
                <w:sz w:val="19"/>
              </w:rPr>
              <w:t>Cellulitis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Bacterial superinfection of a fold—especially toe-web intertrigo—can progress to limb cellulitis requiring systemic antibiotics.</w:t>
            </w:r>
          </w:p>
        </w:tc>
      </w:tr>
      <w:tr>
        <w:trPr>
          <w:cantSplit/>
        </w:trPr>
        <w:tc>
          <w:tcPr>
            <w:tcW w:type="dxa" w:w="2232"/>
            <w:vAlign w:val="top"/>
          </w:tcPr>
          <w:p>
            <w:pPr>
              <w:spacing w:after="40" w:before="0" w:line="259" w:lineRule="auto"/>
            </w:pPr>
            <w:r>
              <w:rPr>
                <w:rFonts w:ascii="Calibri" w:hAnsi="Calibri"/>
                <w:b/>
                <w:i w:val="0"/>
                <w:color w:val="212121"/>
                <w:sz w:val="19"/>
              </w:rPr>
              <w:t>HIV / immunosuppression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Impaired cell-mediated immunity permits widespread, recalcitrant candidal intertrigo and a higher risk of bacterial spread.</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skin folds clean and, above all, dry—pat (do not rub) dry after every bath and after sweating.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Wear loose, breathable cotton clothing and change out of damp or sweaty clothes and footwear promptly.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Separate apposed surfaces with a soft absorbent barrier (clean cotton, moisture-wicking textile) and apply a zinc-oxide or petrolatum barrier or an absorbent powder to high-risk folds.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weight and control blood sugar, as obesity and diabetes are the two dominant drivers of recurrence.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infants, change nappies frequently, cleanse gently and allow nappy-free drying time.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early warning signs (redness, itch, odour, moist peeling) and treat promptly before infection sets in.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and immobile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Infants in nappies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Manual/outdoor workers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the “soak, cleanse and thoroughly dry” routine, then apply the prescribed topical (antifungal for Candida, antibacterial for bacterial/erythrasma).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Apply a topical antifungal (e.g., clotrimazole/miconazole) for candidal intertrigo; treat both feet and disinfect footwear for toe-web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only short courses of low-potency topical steroid for inflammation and avoid prolonged potent steroids, which cause fold atrophy and striae.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the full treatment course and continue drying/barrier measures after clearance to prevent relapse.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medical review urgently if spreading redness, pain, fever or streaking (cellulitis/ADLA) develops.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candidal intertrigo</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Toe-web / interdigital intertrigo</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 with recurrent intertrigo</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Lymphedema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at least 150 minutes/week of moderate activity to reduce and maintain a healthy weight and shrink deep folds.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Shower and dry all folds promptly after exercise or heavy sweating.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Wear moisture-wicking activewear and well-fitting footwear; change out of sweaty kit immediately.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gradual 5–10% weight loss if overweight, focusing on central/abdominal fat.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Athletes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workers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balanced, low-glycaemic diet rich in whole grains, pulses, vegetables and fruit to control weight and blood sugar.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sugary drinks, sweets and ultra-processed, energy-dense foods that drive obesity and dysglycaemia.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adequate protein and micronutrients (including zinc and vitamin C) to support skin-barrier repair.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Optimise glycaemic control diligently—clearing candidal intertrigo is difficult while blood sugar is high.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or at risk of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candidal intertrigo</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to support metabolic control, weight and immunity.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bed-bound patients, reposition regularly and keep bedding and folds dry to avoid prolonged occlusion.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breathable bedding and nightwear to reduce overnight sweating in the folds.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Bed-bound / immobile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obesity or diabetes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to improve dermal microcirculation and healing of fold erosions and fissures.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cessation support (counselling, nicotine replacement) to reduce chronic, slow-healing skin disease.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chronic or fissured intertrigo</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within safe limits to avoid weight gain, immune impairment and self-care neglect.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heavy drinking, which is associated with poorer hygiene and delayed skin healing.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Regular/heavy alcohol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obesity</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depression or cognitive impairment that reduces day-to-day hygiene and fold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carers of dependent, incontinent or bed-bound patients to maintain a clean, dry-fold routine.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Acknowledge and manage the embarrassment, itch and odour of chronic intertrigo to protect quality of life and adherence.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with cognitive impairment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Dependent/incontinent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chronic relapsing intertrigo</w:t>
            </w:r>
          </w:p>
        </w:tc>
        <w:tc>
          <w:tcPr>
            <w:tcW w:type="dxa" w:w="1036"/>
            <w:vAlign w:val="top"/>
          </w:tcPr>
          <w:p>
            <w:pPr>
              <w:spacing w:after="40" w:before="0" w:line="259" w:lineRule="auto"/>
            </w:pPr>
            <w:r>
              <w:rPr>
                <w:rFonts w:ascii="Calibri" w:hAnsi="Calibri"/>
                <w:b w:val="0"/>
                <w:i w:val="0"/>
                <w:color w:val="212121"/>
                <w:sz w:val="19"/>
              </w:rPr>
              <w:t>Low</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38716024/" TargetMode="External"/><Relationship Id="rId10" Type="http://schemas.openxmlformats.org/officeDocument/2006/relationships/hyperlink" Target="https://www.ncbi.nlm.nih.gov/books/NBK531489/" TargetMode="External"/><Relationship Id="rId11" Type="http://schemas.openxmlformats.org/officeDocument/2006/relationships/hyperlink" Target="https://pubmed.ncbi.nlm.nih.gov/38186839/" TargetMode="External"/><Relationship Id="rId12" Type="http://schemas.openxmlformats.org/officeDocument/2006/relationships/hyperlink" Target="https://pubmed.ncbi.nlm.nih.gov/26353823/" TargetMode="External"/><Relationship Id="rId13" Type="http://schemas.openxmlformats.org/officeDocument/2006/relationships/hyperlink" Target="https://dermnetnz.org/topics/intertrigo" TargetMode="External"/><Relationship Id="rId14" Type="http://schemas.openxmlformats.org/officeDocument/2006/relationships/hyperlink" Target="https://pubmed.ncbi.nlm.nih.gov/388776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