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Nail Disorders (pitting, clubbing, koilonychia)</w:t>
      </w:r>
    </w:p>
    <w:p>
      <w:pPr>
        <w:spacing w:before="0" w:after="160"/>
      </w:pPr>
      <w:r>
        <w:rPr>
          <w:rFonts w:ascii="Calibri" w:hAnsi="Calibri"/>
          <w:b/>
          <w:i w:val="0"/>
          <w:color w:val="212121"/>
          <w:sz w:val="22"/>
        </w:rPr>
        <w:t xml:space="preserve">AKA </w:t>
      </w:r>
      <w:r>
        <w:rPr>
          <w:rFonts w:ascii="Calibri" w:hAnsi="Calibri"/>
          <w:b w:val="0"/>
          <w:i w:val="0"/>
          <w:color w:val="212121"/>
          <w:sz w:val="22"/>
        </w:rPr>
        <w:t>i.e., Nail dystrophy, Onychodystrophy, Nail changes; Spoon nails (koilonychia); Clubbed / Hippocratic nails (digital clubbing); Pitted nails (onychia punctata / psoriatic pits)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Nail disorders encompass a broad group of structural, surface, adhesion and colour abnormalities of the finger- and toe-nails that are frequently the visible signature of an underlying dermatological or systemic disease. Three morphological signs are especially useful at the bedside: pitting (punctate depressions of the nail plate, typically from psoriasis or alopecia areata), clubbing (bulbous enlargement of the distal digit with loss of the normal nail-fold angle, usually a marker of chronic cardiopulmonary, hepatic or gastrointestinal disease), and koilonychia (thin, concave, spoon-shaped nails classically linked to iron-deficiency anaemia). Because the nail apparatus records events in the matrix and nail bed over months, these changes often serve as early, low-cost diagnostic clues to systemic illness.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nail disorders account for roughly 10% of all dermatology outpatient consultations, and onychomycosis is the single commonest nail disease, contributing up to about half of all nail pathology. Koilonychia (spoon nails) tracks the country's very high burden of iron-deficiency anaemia — NFHS-5 (2019–21) recorded anaemia in over 55% of women of reproductive age across social groups — while nail pitting is the most frequent nail change seen in psoriasis and alopecia areata. Digital clubbing, though less common, remains an important clinical marker of underlying cardiopulmonary, hepatic or gastrointestinal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Nail disorders are largely a clinical diagnosis made by careful inspection of all twenty nails, the nail folds and the surrounding skin; the pattern of change directs a targeted search for the underlying local or systemic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Pitting: punctate depressions in the nail plate from focal parakeratosis of the proximal matrix — numerous, deep, irregular pits suggest psoriasis, whereas shallow, geometric pits and trachyonychia suggest alopecia areata;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Clubbing: bulbous enlargement of the distal digit with loss of the normal ~160° nail-fold (Lovibond) angle, a positive Schamroth window sign and a spongy, fluctuant nail bed — mandates evaluation for cardiopulmonary, hepatic or gastrointestinal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Koilonychia: thin, soft, concave “spoon-shaped” nails that can cradle a drop of water — prompts a complete blood count and iron studies to confirm iron-deficiency anaemia;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Infection / dystrophy: thickened, discoloured, crumbling nails with subungual debris — confirm onychomycosis with KOH microscopy, fungal culture or nail-clipping histopathology (PAS) before starting antifungals;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Ancillary tools: dermoscopy / onychoscopy of the plate and proximal nail fold, and directed laboratory tests (CBC, ferritin, TSH, glucose) or imaging (chest X-ray / HRCT, SpO2) chosen according to the clinical pattern.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Nail disorders are best grouped by the morphological abnormality, each pattern pointing to a distinct set of local or systemic causes:</w:t>
      </w:r>
    </w:p>
    <w:p>
      <w:pPr>
        <w:spacing w:before="0" w:after="80"/>
      </w:pPr>
      <w:r>
        <w:rPr>
          <w:rFonts w:ascii="Calibri" w:hAnsi="Calibri"/>
          <w:b w:val="0"/>
          <w:i w:val="0"/>
          <w:color w:val="212121"/>
          <w:sz w:val="21"/>
        </w:rPr>
        <w:t>(1) Surface &amp; plate changes — pitting, trachyonychia (rough “sandpaper” nails), Beau's lines (transverse grooves from temporary matrix arrest) and longitudinal ridging; most often reflect psoriasis, alopecia areata, eczema or a systemic insult;</w:t>
      </w:r>
    </w:p>
    <w:p>
      <w:pPr>
        <w:spacing w:before="0" w:after="80"/>
      </w:pPr>
      <w:r>
        <w:rPr>
          <w:rFonts w:ascii="Calibri" w:hAnsi="Calibri"/>
          <w:b w:val="0"/>
          <w:i w:val="0"/>
          <w:color w:val="212121"/>
          <w:sz w:val="21"/>
        </w:rPr>
        <w:t>(2) Contour &amp; shape changes — digital clubbing (increased curvature, bulbous fingertip) and koilonychia (spoon nails); classic external signs of systemic disease — chronic hypoxia / cardiopulmonary–GI disease and iron-deficiency anaemia respectively;</w:t>
      </w:r>
    </w:p>
    <w:p>
      <w:pPr>
        <w:spacing w:before="0" w:after="80"/>
      </w:pPr>
      <w:r>
        <w:rPr>
          <w:rFonts w:ascii="Calibri" w:hAnsi="Calibri"/>
          <w:b w:val="0"/>
          <w:i w:val="0"/>
          <w:color w:val="212121"/>
          <w:sz w:val="21"/>
        </w:rPr>
        <w:t>(3) Adhesion changes — onycholysis (distal separation of the plate from the bed) and onychomadesis (proximal shedding); caused by psoriasis, trauma, thyroid disease, drugs or infection;</w:t>
      </w:r>
    </w:p>
    <w:p>
      <w:pPr>
        <w:spacing w:before="0" w:after="80"/>
      </w:pPr>
      <w:r>
        <w:rPr>
          <w:rFonts w:ascii="Calibri" w:hAnsi="Calibri"/>
          <w:b w:val="0"/>
          <w:i w:val="0"/>
          <w:color w:val="212121"/>
          <w:sz w:val="21"/>
        </w:rPr>
        <w:t>(4) Colour changes — leukonychia (white), longitudinal melanonychia (brown/black streak — must exclude subungual melanoma), splinter haemorrhages, and Terry's / Muehrcke / half-and-half nails signalling hepatic, renal or hypoalbuminaemic states;</w:t>
      </w:r>
    </w:p>
    <w:p>
      <w:pPr>
        <w:spacing w:before="0" w:after="80"/>
      </w:pPr>
      <w:r>
        <w:rPr>
          <w:rFonts w:ascii="Calibri" w:hAnsi="Calibri"/>
          <w:b w:val="0"/>
          <w:i w:val="0"/>
          <w:color w:val="212121"/>
          <w:sz w:val="21"/>
        </w:rPr>
        <w:t>(5) Infective &amp; inflammatory disorders — onychomycosis, acute and chronic paronychia and nail psoriasis; the commonest day-to-day nail pathology, strongly influenced by hygiene, humidity and occupation.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Iron &amp; micronutrient deficiency: Chronic iron deficiency thins and softens the nail plate, producing brittle nails and koilonychia; the dominant driver in the Indian context given the high national anaemia burden.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Inflammatory skin disease: Psoriasis and alopecia areata inflame and disrupt the nail matrix and bed, causing pitting, onycholysis, oil-drop discolouration, subungual hyperkeratosis and trachyonychia.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Chronic hypoxia &amp; cardiopulmonary–GI disease: Bronchiectasis, interstitial lung disease, lung cancer, cyanotic congenital heart disease, cirrhosis and inflammatory bowel disease drive digital clubbing via platelet-derived and vascular growth-factor (PDGF, VEGF) pathways.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Fungal &amp; bacterial infection: Dermatophytes and yeasts cause onychomycosis (thick, crumbly, discoloured nails) and bacteria cause paronychia — the commonest infective nail disorders, favoured by heat, humidity, occlusive footwear and prolonged wet work.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Trauma &amp; occupational / chemical exposure: Repetitive microtrauma, prolonged water and detergent contact, solvents and cosmetic procedures produce onycholysis, brittle nails, koilonychia and habit-tic deformity.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Endocrine &amp; metabolic disease: Thyroid dysfunction and diabetes mellitus alter nail growth, texture, colour and susceptibility to infection.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 hereditary factors: Inherited koilonychia, nail–patella syndrome and pachyonychia congenita cause structural nail defects independent of nutritional deficiency.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adults present with the full range of nail pathology — onychomycosis, occupational onycholysis and paronychia, and iron-deficiency koilonychia. Nails act as an accessible, months-long record of matrix health that flags systemic disease.</w:t>
            </w:r>
          </w:p>
          <w:p>
            <w:pPr>
              <w:spacing w:after="40" w:before="60" w:line="259" w:lineRule="auto"/>
            </w:pPr>
            <w:r>
              <w:rPr>
                <w:rFonts w:ascii="Calibri" w:hAnsi="Calibri"/>
                <w:b w:val="0"/>
                <w:i w:val="0"/>
                <w:color w:val="212121"/>
                <w:sz w:val="19"/>
              </w:rPr>
              <w:t>Nail disorders account for about 10% of all dermatological (skin) consultations.</w:t>
            </w:r>
          </w:p>
          <w:p>
            <w:pPr>
              <w:spacing w:after="40" w:line="252" w:lineRule="auto"/>
            </w:pPr>
            <w:hyperlink r:id="rId9">
              <w:r>
                <w:rPr>
                  <w:rFonts w:ascii="Calibri" w:hAnsi="Calibri" w:cs="Calibri"/>
                  <w:sz w:val="18"/>
                  <w:color w:val="1155CC"/>
                  <w:u w:val="single"/>
                </w:rPr>
                <w:t xml:space="preserve">pubmed.ncbi.nlm.nih.gov/37151277</w:t>
              </w:r>
            </w:hyperlink>
          </w:p>
          <w:p>
            <w:pPr>
              <w:spacing w:before="60" w:after="40"/>
            </w:pPr>
            <w:r>
              <w:rPr>
                <w:rFonts w:ascii="Calibri" w:hAnsi="Calibri"/>
                <w:b w:val="0"/>
                <w:i w:val="0"/>
                <w:color w:val="5A5A5A"/>
                <w:sz w:val="18"/>
              </w:rPr>
              <w:t>#onychodystrophy  #koilonychia  #onychomycosis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Ageing slows nail growth and impairs peripheral circulation, raising rates of onychomycosis, onychauxis (thickening), brittle nails and longitudinal ridging; comorbid diabetes and vascular disease compound the risk.</w:t>
            </w:r>
          </w:p>
          <w:p>
            <w:pPr>
              <w:spacing w:after="40" w:before="60" w:line="259" w:lineRule="auto"/>
            </w:pPr>
            <w:r>
              <w:rPr>
                <w:rFonts w:ascii="Calibri" w:hAnsi="Calibri"/>
                <w:b w:val="0"/>
                <w:i w:val="0"/>
                <w:color w:val="212121"/>
                <w:sz w:val="19"/>
              </w:rPr>
              <w:t>Onychomycosis prevalence rises steeply with age and is a leading nail disease in older Indian adults.</w:t>
            </w:r>
          </w:p>
          <w:p>
            <w:pPr>
              <w:spacing w:after="40" w:line="252" w:lineRule="auto"/>
            </w:pPr>
            <w:hyperlink r:id="rId10">
              <w:r>
                <w:rPr>
                  <w:rFonts w:ascii="Calibri" w:hAnsi="Calibri" w:cs="Calibri"/>
                  <w:sz w:val="18"/>
                  <w:color w:val="1155CC"/>
                  <w:u w:val="single"/>
                </w:rPr>
                <w:t xml:space="preserve">pubmed.ncbi.nlm.nih.gov/18445944</w:t>
              </w:r>
            </w:hyperlink>
          </w:p>
          <w:p>
            <w:pPr>
              <w:spacing w:before="60" w:after="40"/>
            </w:pPr>
            <w:r>
              <w:rPr>
                <w:rFonts w:ascii="Calibri" w:hAnsi="Calibri"/>
                <w:b w:val="0"/>
                <w:i w:val="0"/>
                <w:color w:val="5A5A5A"/>
                <w:sz w:val="18"/>
              </w:rPr>
              <w:t>#ageing  #onychomycosis  #brittlenails  #peripheralvascular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In children, surface nail changes (pitting, trachyonychia) most often signal alopecia areata or psoriasis, and mild koilonychia can be a transient, benign finding of infancy that resolves with growth.</w:t>
            </w:r>
          </w:p>
          <w:p>
            <w:pPr>
              <w:spacing w:after="40" w:before="60" w:line="259" w:lineRule="auto"/>
            </w:pPr>
            <w:r>
              <w:rPr>
                <w:rFonts w:ascii="Calibri" w:hAnsi="Calibri"/>
                <w:b w:val="0"/>
                <w:i w:val="0"/>
                <w:color w:val="212121"/>
                <w:sz w:val="19"/>
              </w:rPr>
              <w:t>Nail abnormalities were found in 46% of 272 children with alopecia areata.</w:t>
            </w:r>
          </w:p>
          <w:p>
            <w:pPr>
              <w:spacing w:after="40" w:line="252" w:lineRule="auto"/>
            </w:pPr>
            <w:hyperlink r:id="rId11">
              <w:r>
                <w:rPr>
                  <w:rFonts w:ascii="Calibri" w:hAnsi="Calibri" w:cs="Calibri"/>
                  <w:sz w:val="18"/>
                  <w:color w:val="1155CC"/>
                  <w:u w:val="single"/>
                </w:rPr>
                <w:t xml:space="preserve">pubmed.ncbi.nlm.nih.gov/8041648</w:t>
              </w:r>
            </w:hyperlink>
          </w:p>
          <w:p>
            <w:pPr>
              <w:spacing w:before="60" w:after="40"/>
            </w:pPr>
            <w:r>
              <w:rPr>
                <w:rFonts w:ascii="Calibri" w:hAnsi="Calibri"/>
                <w:b w:val="0"/>
                <w:i w:val="0"/>
                <w:color w:val="5A5A5A"/>
                <w:sz w:val="18"/>
              </w:rPr>
              <w:t>#pitting  #trachyonychia  #alopeciaareata  #paediatric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of reproductive age</w:t>
            </w:r>
          </w:p>
        </w:tc>
        <w:tc>
          <w:tcPr>
            <w:tcW w:type="dxa" w:w="4276"/>
            <w:vAlign w:val="top"/>
          </w:tcPr>
          <w:p>
            <w:pPr>
              <w:spacing w:after="60" w:line="259" w:lineRule="auto"/>
            </w:pPr>
            <w:r>
              <w:rPr>
                <w:rFonts w:ascii="Calibri" w:hAnsi="Calibri"/>
                <w:b w:val="0"/>
                <w:i w:val="0"/>
                <w:color w:val="212121"/>
                <w:sz w:val="19"/>
              </w:rPr>
              <w:t>Menstrual blood loss, repeated pregnancies, lactation and predominantly cereal-based diets make iron deficiency and koilonychia far more common in Indian women than men.</w:t>
            </w:r>
          </w:p>
          <w:p>
            <w:pPr>
              <w:spacing w:after="40" w:before="60" w:line="259" w:lineRule="auto"/>
            </w:pPr>
            <w:r>
              <w:rPr>
                <w:rFonts w:ascii="Calibri" w:hAnsi="Calibri"/>
                <w:b w:val="0"/>
                <w:i w:val="0"/>
                <w:color w:val="212121"/>
                <w:sz w:val="19"/>
              </w:rPr>
              <w:t>NFHS-5 recorded anaemia in over 55% of women of reproductive age across all social groups in India.</w:t>
            </w:r>
          </w:p>
          <w:p>
            <w:pPr>
              <w:spacing w:after="40" w:line="252" w:lineRule="auto"/>
            </w:pPr>
            <w:hyperlink r:id="rId12">
              <w:r>
                <w:rPr>
                  <w:rFonts w:ascii="Calibri" w:hAnsi="Calibri" w:cs="Calibri"/>
                  <w:sz w:val="18"/>
                  <w:color w:val="1155CC"/>
                  <w:u w:val="single"/>
                </w:rPr>
                <w:t xml:space="preserve">pubmed.ncbi.nlm.nih.gov/36730352</w:t>
              </w:r>
            </w:hyperlink>
          </w:p>
          <w:p>
            <w:pPr>
              <w:spacing w:before="60" w:after="40"/>
            </w:pPr>
            <w:r>
              <w:rPr>
                <w:rFonts w:ascii="Calibri" w:hAnsi="Calibri"/>
                <w:b w:val="0"/>
                <w:i w:val="0"/>
                <w:color w:val="5A5A5A"/>
                <w:sz w:val="18"/>
              </w:rPr>
              <w:t>#irondeficiency  #koilonychia  #anaemia  #womenshealth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manual-labour households</w:t>
            </w:r>
          </w:p>
        </w:tc>
        <w:tc>
          <w:tcPr>
            <w:tcW w:type="dxa" w:w="4276"/>
            <w:vAlign w:val="top"/>
          </w:tcPr>
          <w:p>
            <w:pPr>
              <w:spacing w:after="60" w:line="259" w:lineRule="auto"/>
            </w:pPr>
            <w:r>
              <w:rPr>
                <w:rFonts w:ascii="Calibri" w:hAnsi="Calibri"/>
                <w:b w:val="0"/>
                <w:i w:val="0"/>
                <w:color w:val="212121"/>
                <w:sz w:val="19"/>
              </w:rPr>
              <w:t>Nutritional iron deficiency, barefoot or ill-fitting footwear, repetitive occupational trauma and delayed access to care concentrate koilonychia, onychomycosis and chronic paronychia in lower socioeconomic groups.</w:t>
            </w:r>
          </w:p>
          <w:p>
            <w:pPr>
              <w:spacing w:after="40" w:before="60" w:line="259" w:lineRule="auto"/>
            </w:pPr>
            <w:r>
              <w:rPr>
                <w:rFonts w:ascii="Calibri" w:hAnsi="Calibri"/>
                <w:b w:val="0"/>
                <w:i w:val="0"/>
                <w:color w:val="212121"/>
                <w:sz w:val="19"/>
              </w:rPr>
              <w:t>Anaemia in Indian women is strongly patterned by socioeconomic disadvantage across NFHS-4 and NFHS-5.</w:t>
            </w:r>
          </w:p>
          <w:p>
            <w:pPr>
              <w:spacing w:after="40" w:line="252" w:lineRule="auto"/>
            </w:pPr>
            <w:hyperlink r:id="rId13">
              <w:r>
                <w:rPr>
                  <w:rFonts w:ascii="Calibri" w:hAnsi="Calibri" w:cs="Calibri"/>
                  <w:sz w:val="18"/>
                  <w:color w:val="1155CC"/>
                  <w:u w:val="single"/>
                </w:rPr>
                <w:t xml:space="preserve">pubmed.ncbi.nlm.nih.gov/38347505</w:t>
              </w:r>
            </w:hyperlink>
          </w:p>
          <w:p>
            <w:pPr>
              <w:spacing w:before="60" w:after="40"/>
            </w:pPr>
            <w:r>
              <w:rPr>
                <w:rFonts w:ascii="Calibri" w:hAnsi="Calibri"/>
                <w:b w:val="0"/>
                <w:i w:val="0"/>
                <w:color w:val="5A5A5A"/>
                <w:sz w:val="18"/>
              </w:rPr>
              <w:t>#poverty  #malnutrition  #footwear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rural &amp; agricultural communities</w:t>
            </w:r>
          </w:p>
        </w:tc>
        <w:tc>
          <w:tcPr>
            <w:tcW w:type="dxa" w:w="4276"/>
            <w:vAlign w:val="top"/>
          </w:tcPr>
          <w:p>
            <w:pPr>
              <w:spacing w:after="60" w:line="259" w:lineRule="auto"/>
            </w:pPr>
            <w:r>
              <w:rPr>
                <w:rFonts w:ascii="Calibri" w:hAnsi="Calibri"/>
                <w:b w:val="0"/>
                <w:i w:val="0"/>
                <w:color w:val="212121"/>
                <w:sz w:val="19"/>
              </w:rPr>
              <w:t>Endemic iron deficiency plus barefoot work in wet fields, soil and water exposure predispose to koilonychia, dermatophyte onychomycosis and traumatic nail dystrophy in agrarian populations.</w:t>
            </w:r>
          </w:p>
          <w:p>
            <w:pPr>
              <w:spacing w:after="40" w:before="60" w:line="259" w:lineRule="auto"/>
            </w:pPr>
            <w:r>
              <w:rPr>
                <w:rFonts w:ascii="Calibri" w:hAnsi="Calibri"/>
                <w:b w:val="0"/>
                <w:i w:val="0"/>
                <w:color w:val="212121"/>
                <w:sz w:val="19"/>
              </w:rPr>
              <w:t>Anaemia remains highly prevalent among Indian women, including during pregnancy, in the 2019–21 national survey.</w:t>
            </w:r>
          </w:p>
          <w:p>
            <w:pPr>
              <w:spacing w:after="40" w:line="252" w:lineRule="auto"/>
            </w:pPr>
            <w:hyperlink r:id="rId14">
              <w:r>
                <w:rPr>
                  <w:rFonts w:ascii="Calibri" w:hAnsi="Calibri" w:cs="Calibri"/>
                  <w:sz w:val="18"/>
                  <w:color w:val="1155CC"/>
                  <w:u w:val="single"/>
                </w:rPr>
                <w:t xml:space="preserve">pubmed.ncbi.nlm.nih.gov/37888841</w:t>
              </w:r>
            </w:hyperlink>
          </w:p>
          <w:p>
            <w:pPr>
              <w:spacing w:before="60" w:after="40"/>
            </w:pPr>
            <w:r>
              <w:rPr>
                <w:rFonts w:ascii="Calibri" w:hAnsi="Calibri"/>
                <w:b w:val="0"/>
                <w:i w:val="0"/>
                <w:color w:val="5A5A5A"/>
                <w:sz w:val="18"/>
              </w:rPr>
              <w:t>#rural  #agriculture  #koilonychia  #dermatophyte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humid coastal &amp; tropical belts</w:t>
            </w:r>
          </w:p>
        </w:tc>
        <w:tc>
          <w:tcPr>
            <w:tcW w:type="dxa" w:w="4276"/>
            <w:vAlign w:val="top"/>
          </w:tcPr>
          <w:p>
            <w:pPr>
              <w:spacing w:after="60" w:line="259" w:lineRule="auto"/>
            </w:pPr>
            <w:r>
              <w:rPr>
                <w:rFonts w:ascii="Calibri" w:hAnsi="Calibri"/>
                <w:b w:val="0"/>
                <w:i w:val="0"/>
                <w:color w:val="212121"/>
                <w:sz w:val="19"/>
              </w:rPr>
              <w:t>High ambient heat and humidity with occlusive footwear create a warm, moist microenvironment that favours dermatophyte and yeast nail infection.</w:t>
            </w:r>
          </w:p>
          <w:p>
            <w:pPr>
              <w:spacing w:after="40" w:before="60" w:line="259" w:lineRule="auto"/>
            </w:pPr>
            <w:r>
              <w:rPr>
                <w:rFonts w:ascii="Calibri" w:hAnsi="Calibri"/>
                <w:b w:val="0"/>
                <w:i w:val="0"/>
                <w:color w:val="212121"/>
                <w:sz w:val="19"/>
              </w:rPr>
              <w:t>Onychomycosis is the most prevalent nail disease and can account for up to ~50% of all nail disorders.</w:t>
            </w:r>
          </w:p>
          <w:p>
            <w:pPr>
              <w:spacing w:after="40" w:line="252" w:lineRule="auto"/>
            </w:pPr>
            <w:hyperlink r:id="rId15">
              <w:r>
                <w:rPr>
                  <w:rFonts w:ascii="Calibri" w:hAnsi="Calibri" w:cs="Calibri"/>
                  <w:sz w:val="18"/>
                  <w:color w:val="1155CC"/>
                  <w:u w:val="single"/>
                </w:rPr>
                <w:t xml:space="preserve">pubmed.ncbi.nlm.nih.gov/17357634</w:t>
              </w:r>
            </w:hyperlink>
          </w:p>
          <w:p>
            <w:pPr>
              <w:spacing w:before="60" w:after="40"/>
            </w:pPr>
            <w:r>
              <w:rPr>
                <w:rFonts w:ascii="Calibri" w:hAnsi="Calibri"/>
                <w:b w:val="0"/>
                <w:i w:val="0"/>
                <w:color w:val="5A5A5A"/>
                <w:sz w:val="18"/>
              </w:rPr>
              <w:t>#humidity  #onychomycosis  #tinea  #occlusion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wet-work</w:t>
            </w:r>
          </w:p>
        </w:tc>
        <w:tc>
          <w:tcPr>
            <w:tcW w:type="dxa" w:w="2160"/>
            <w:vAlign w:val="top"/>
          </w:tcPr>
          <w:p>
            <w:pPr>
              <w:spacing w:after="40" w:before="0" w:line="259" w:lineRule="auto"/>
            </w:pPr>
            <w:r>
              <w:rPr>
                <w:rFonts w:ascii="Calibri" w:hAnsi="Calibri"/>
                <w:b w:val="0"/>
                <w:i w:val="0"/>
                <w:color w:val="212121"/>
                <w:sz w:val="19"/>
              </w:rPr>
              <w:t>Farmers, cooks, cleaners, dishwashers, healthcare workers</w:t>
            </w:r>
          </w:p>
        </w:tc>
        <w:tc>
          <w:tcPr>
            <w:tcW w:type="dxa" w:w="4276"/>
            <w:vAlign w:val="top"/>
          </w:tcPr>
          <w:p>
            <w:pPr>
              <w:spacing w:after="60" w:line="259" w:lineRule="auto"/>
            </w:pPr>
            <w:r>
              <w:rPr>
                <w:rFonts w:ascii="Calibri" w:hAnsi="Calibri"/>
                <w:b w:val="0"/>
                <w:i w:val="0"/>
                <w:color w:val="212121"/>
                <w:sz w:val="19"/>
              </w:rPr>
              <w:t>Prolonged immersion in water and detergents softens and macerates the nail plate and cuticle, producing chronic paronychia, onycholysis, brittle nails and koilonychia.</w:t>
            </w:r>
          </w:p>
          <w:p>
            <w:pPr>
              <w:spacing w:after="40" w:before="60" w:line="259" w:lineRule="auto"/>
            </w:pPr>
            <w:r>
              <w:rPr>
                <w:rFonts w:ascii="Calibri" w:hAnsi="Calibri"/>
                <w:b w:val="0"/>
                <w:i w:val="0"/>
                <w:color w:val="212121"/>
                <w:sz w:val="19"/>
              </w:rPr>
              <w:t>Repeated wet-work and irritant exposure is a well-recognised cause of chronic paronychia and acquired nail dystrophy.</w:t>
            </w:r>
          </w:p>
          <w:p>
            <w:pPr>
              <w:spacing w:after="40" w:line="252" w:lineRule="auto"/>
            </w:pPr>
            <w:hyperlink r:id="rId16">
              <w:r>
                <w:rPr>
                  <w:rFonts w:ascii="Calibri" w:hAnsi="Calibri" w:cs="Calibri"/>
                  <w:sz w:val="18"/>
                  <w:color w:val="1155CC"/>
                  <w:u w:val="single"/>
                </w:rPr>
                <w:t xml:space="preserve">pubmed.ncbi.nlm.nih.gov/22016272</w:t>
              </w:r>
            </w:hyperlink>
          </w:p>
          <w:p>
            <w:pPr>
              <w:spacing w:before="60" w:after="40"/>
            </w:pPr>
            <w:r>
              <w:rPr>
                <w:rFonts w:ascii="Calibri" w:hAnsi="Calibri"/>
                <w:b w:val="0"/>
                <w:i w:val="0"/>
                <w:color w:val="5A5A5A"/>
                <w:sz w:val="18"/>
              </w:rPr>
              <w:t>#wetwork  #paronychia  #onycholysis  #irritant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tobacco smokers</w:t>
            </w:r>
          </w:p>
        </w:tc>
        <w:tc>
          <w:tcPr>
            <w:tcW w:type="dxa" w:w="4276"/>
            <w:vAlign w:val="top"/>
          </w:tcPr>
          <w:p>
            <w:pPr>
              <w:spacing w:after="60" w:line="259" w:lineRule="auto"/>
            </w:pPr>
            <w:r>
              <w:rPr>
                <w:rFonts w:ascii="Calibri" w:hAnsi="Calibri"/>
                <w:b w:val="0"/>
                <w:i w:val="0"/>
                <w:color w:val="212121"/>
                <w:sz w:val="19"/>
              </w:rPr>
              <w:t>Smoking stains the nail plate (harlequin discolouration), impairs peripheral perfusion and causes the chronic lung disease (COPD, bronchiectasis, lung cancer) that underlies much acquired digital clubbing.</w:t>
            </w:r>
          </w:p>
          <w:p>
            <w:pPr>
              <w:spacing w:after="40" w:before="60" w:line="259" w:lineRule="auto"/>
            </w:pPr>
            <w:r>
              <w:rPr>
                <w:rFonts w:ascii="Calibri" w:hAnsi="Calibri"/>
                <w:b w:val="0"/>
                <w:i w:val="0"/>
                <w:color w:val="212121"/>
                <w:sz w:val="19"/>
              </w:rPr>
              <w:t>Chronic pulmonary disease is a leading cause of acquired digital clubbing.</w:t>
            </w:r>
          </w:p>
          <w:p>
            <w:pPr>
              <w:spacing w:after="40" w:line="252" w:lineRule="auto"/>
            </w:pPr>
            <w:hyperlink r:id="rId17">
              <w:r>
                <w:rPr>
                  <w:rFonts w:ascii="Calibri" w:hAnsi="Calibri" w:cs="Calibri"/>
                  <w:sz w:val="18"/>
                  <w:color w:val="1155CC"/>
                  <w:u w:val="single"/>
                </w:rPr>
                <w:t xml:space="preserve">pubmed.ncbi.nlm.nih.gov/20344919</w:t>
              </w:r>
            </w:hyperlink>
          </w:p>
          <w:p>
            <w:pPr>
              <w:spacing w:before="60" w:after="40"/>
            </w:pPr>
            <w:r>
              <w:rPr>
                <w:rFonts w:ascii="Calibri" w:hAnsi="Calibri"/>
                <w:b w:val="0"/>
                <w:i w:val="0"/>
                <w:color w:val="5A5A5A"/>
                <w:sz w:val="18"/>
              </w:rPr>
              <w:t>#smoking  #clubbing  #nicotinestain  #lungdisease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Nail trauma &amp; cosmetics</w:t>
            </w:r>
          </w:p>
        </w:tc>
        <w:tc>
          <w:tcPr>
            <w:tcW w:type="dxa" w:w="2160"/>
            <w:vAlign w:val="top"/>
          </w:tcPr>
          <w:p>
            <w:pPr>
              <w:spacing w:after="40" w:before="0" w:line="259" w:lineRule="auto"/>
            </w:pPr>
            <w:r>
              <w:rPr>
                <w:rFonts w:ascii="Calibri" w:hAnsi="Calibri"/>
                <w:b w:val="0"/>
                <w:i w:val="0"/>
                <w:color w:val="212121"/>
                <w:sz w:val="19"/>
              </w:rPr>
              <w:t>Manual workers, nail-biters, gel/acrylic manicure users</w:t>
            </w:r>
          </w:p>
        </w:tc>
        <w:tc>
          <w:tcPr>
            <w:tcW w:type="dxa" w:w="4276"/>
            <w:vAlign w:val="top"/>
          </w:tcPr>
          <w:p>
            <w:pPr>
              <w:spacing w:after="60" w:line="259" w:lineRule="auto"/>
            </w:pPr>
            <w:r>
              <w:rPr>
                <w:rFonts w:ascii="Calibri" w:hAnsi="Calibri"/>
                <w:b w:val="0"/>
                <w:i w:val="0"/>
                <w:color w:val="212121"/>
                <w:sz w:val="19"/>
              </w:rPr>
              <w:t>Repetitive microtrauma, aggressive cuticle removal and acetone/acrylic cosmetics weaken the plate and matrix, causing onycholysis, brittle nails, habit-tic deformity and koilonychia.</w:t>
            </w:r>
          </w:p>
          <w:p>
            <w:pPr>
              <w:spacing w:before="60" w:after="40"/>
            </w:pPr>
            <w:r>
              <w:rPr>
                <w:rFonts w:ascii="Calibri" w:hAnsi="Calibri"/>
                <w:b w:val="0"/>
                <w:i w:val="0"/>
                <w:color w:val="5A5A5A"/>
                <w:sz w:val="18"/>
              </w:rPr>
              <w:t>#trauma  #manicure  #onychophagia  #habittic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Predominantly vegetarian / cereal-based diets</w:t>
            </w:r>
          </w:p>
        </w:tc>
        <w:tc>
          <w:tcPr>
            <w:tcW w:type="dxa" w:w="4276"/>
            <w:vAlign w:val="top"/>
          </w:tcPr>
          <w:p>
            <w:pPr>
              <w:spacing w:after="60" w:line="259" w:lineRule="auto"/>
            </w:pPr>
            <w:r>
              <w:rPr>
                <w:rFonts w:ascii="Calibri" w:hAnsi="Calibri"/>
                <w:b w:val="0"/>
                <w:i w:val="0"/>
                <w:color w:val="212121"/>
                <w:sz w:val="19"/>
              </w:rPr>
              <w:t>Non-heme plant iron is poorly absorbed and phytate/tannin-rich cereal diets and tea with meals further reduce bioavailability, driving the iron deficiency that produces koilonychia — a key mechanism in India.</w:t>
            </w:r>
          </w:p>
          <w:p>
            <w:pPr>
              <w:spacing w:after="40" w:before="60" w:line="259" w:lineRule="auto"/>
            </w:pPr>
            <w:r>
              <w:rPr>
                <w:rFonts w:ascii="Calibri" w:hAnsi="Calibri"/>
                <w:b w:val="0"/>
                <w:i w:val="0"/>
                <w:color w:val="212121"/>
                <w:sz w:val="19"/>
              </w:rPr>
              <w:t>Anaemia exceeds 55% across social groups in India, reflecting widespread dietary iron inadequacy.</w:t>
            </w:r>
          </w:p>
          <w:p>
            <w:pPr>
              <w:spacing w:after="40" w:line="252" w:lineRule="auto"/>
            </w:pPr>
            <w:hyperlink r:id="rId12">
              <w:r>
                <w:rPr>
                  <w:rFonts w:ascii="Calibri" w:hAnsi="Calibri" w:cs="Calibri"/>
                  <w:sz w:val="18"/>
                  <w:color w:val="1155CC"/>
                  <w:u w:val="single"/>
                </w:rPr>
                <w:t xml:space="preserve">pubmed.ncbi.nlm.nih.gov/36730352</w:t>
              </w:r>
            </w:hyperlink>
          </w:p>
          <w:p>
            <w:pPr>
              <w:spacing w:before="60" w:after="40"/>
            </w:pPr>
            <w:r>
              <w:rPr>
                <w:rFonts w:ascii="Calibri" w:hAnsi="Calibri"/>
                <w:b w:val="0"/>
                <w:i w:val="0"/>
                <w:color w:val="5A5A5A"/>
                <w:sz w:val="18"/>
              </w:rPr>
              <w:t>#vegetarian  #nonhemeiron  #phytates  #koilonychia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Protein-energy malnutrition</w:t>
            </w:r>
          </w:p>
        </w:tc>
        <w:tc>
          <w:tcPr>
            <w:tcW w:type="dxa" w:w="2160"/>
            <w:vAlign w:val="top"/>
          </w:tcPr>
          <w:p>
            <w:pPr>
              <w:spacing w:after="40" w:before="0" w:line="259" w:lineRule="auto"/>
            </w:pPr>
            <w:r>
              <w:rPr>
                <w:rFonts w:ascii="Calibri" w:hAnsi="Calibri"/>
                <w:b w:val="0"/>
                <w:i w:val="0"/>
                <w:color w:val="212121"/>
                <w:sz w:val="19"/>
              </w:rPr>
              <w:t>Undernourished individuals</w:t>
            </w:r>
          </w:p>
        </w:tc>
        <w:tc>
          <w:tcPr>
            <w:tcW w:type="dxa" w:w="4276"/>
            <w:vAlign w:val="top"/>
          </w:tcPr>
          <w:p>
            <w:pPr>
              <w:spacing w:after="60" w:line="259" w:lineRule="auto"/>
            </w:pPr>
            <w:r>
              <w:rPr>
                <w:rFonts w:ascii="Calibri" w:hAnsi="Calibri"/>
                <w:b w:val="0"/>
                <w:i w:val="0"/>
                <w:color w:val="212121"/>
                <w:sz w:val="19"/>
              </w:rPr>
              <w:t>Protein-energy malnutrition and hypoalbuminaemia impair matrix keratinisation, yielding brittle nails, Beau's lines, Muehrcke's lines and leukonychia.</w:t>
            </w:r>
          </w:p>
          <w:p>
            <w:pPr>
              <w:spacing w:before="60" w:after="40"/>
            </w:pPr>
            <w:r>
              <w:rPr>
                <w:rFonts w:ascii="Calibri" w:hAnsi="Calibri"/>
                <w:b w:val="0"/>
                <w:i w:val="0"/>
                <w:color w:val="5A5A5A"/>
                <w:sz w:val="18"/>
              </w:rPr>
              <w:t>#malnutrition  #hypoalbuminaemia  #beauslines  #leukonychia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psoriasis or alopecia areata</w:t>
            </w:r>
          </w:p>
        </w:tc>
        <w:tc>
          <w:tcPr>
            <w:tcW w:type="dxa" w:w="4276"/>
            <w:vAlign w:val="top"/>
          </w:tcPr>
          <w:p>
            <w:pPr>
              <w:spacing w:after="60" w:line="259" w:lineRule="auto"/>
            </w:pPr>
            <w:r>
              <w:rPr>
                <w:rFonts w:ascii="Calibri" w:hAnsi="Calibri"/>
                <w:b w:val="0"/>
                <w:i w:val="0"/>
                <w:color w:val="212121"/>
                <w:sz w:val="19"/>
              </w:rPr>
              <w:t>Inherited susceptibility to psoriasis and alopecia areata predisposes to matrix inflammation with nail pitting, onycholysis and trachyonychia, often preceding or accompanying skin disease.</w:t>
            </w:r>
          </w:p>
          <w:p>
            <w:pPr>
              <w:spacing w:after="40" w:before="60" w:line="259" w:lineRule="auto"/>
            </w:pPr>
            <w:r>
              <w:rPr>
                <w:rFonts w:ascii="Calibri" w:hAnsi="Calibri"/>
                <w:b w:val="0"/>
                <w:i w:val="0"/>
                <w:color w:val="212121"/>
                <w:sz w:val="19"/>
              </w:rPr>
              <w:t>Nail involvement affects roughly 10–90% of patients with plaque psoriasis over their lifetime.</w:t>
            </w:r>
          </w:p>
          <w:p>
            <w:pPr>
              <w:spacing w:after="40" w:line="252" w:lineRule="auto"/>
            </w:pPr>
            <w:hyperlink r:id="rId18">
              <w:r>
                <w:rPr>
                  <w:rFonts w:ascii="Calibri" w:hAnsi="Calibri" w:cs="Calibri"/>
                  <w:sz w:val="18"/>
                  <w:color w:val="1155CC"/>
                  <w:u w:val="single"/>
                </w:rPr>
                <w:t xml:space="preserve">pubmed.ncbi.nlm.nih.gov/28386142</w:t>
              </w:r>
            </w:hyperlink>
          </w:p>
          <w:p>
            <w:pPr>
              <w:spacing w:before="60" w:after="40"/>
            </w:pPr>
            <w:r>
              <w:rPr>
                <w:rFonts w:ascii="Calibri" w:hAnsi="Calibri"/>
                <w:b w:val="0"/>
                <w:i w:val="0"/>
                <w:color w:val="5A5A5A"/>
                <w:sz w:val="18"/>
              </w:rPr>
              <w:t>#psoriasis  #alopeciaareata  #pitting  #heritable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Hereditary koilonychia</w:t>
            </w:r>
          </w:p>
        </w:tc>
        <w:tc>
          <w:tcPr>
            <w:tcW w:type="dxa" w:w="2160"/>
            <w:vAlign w:val="top"/>
          </w:tcPr>
          <w:p>
            <w:pPr>
              <w:spacing w:after="40" w:before="0" w:line="259" w:lineRule="auto"/>
            </w:pPr>
            <w:r>
              <w:rPr>
                <w:rFonts w:ascii="Calibri" w:hAnsi="Calibri"/>
                <w:b w:val="0"/>
                <w:i w:val="0"/>
                <w:color w:val="212121"/>
                <w:sz w:val="19"/>
              </w:rPr>
              <w:t>Familial (autosomal-dominant) spoon nails</w:t>
            </w:r>
          </w:p>
        </w:tc>
        <w:tc>
          <w:tcPr>
            <w:tcW w:type="dxa" w:w="4276"/>
            <w:vAlign w:val="top"/>
          </w:tcPr>
          <w:p>
            <w:pPr>
              <w:spacing w:after="60" w:line="259" w:lineRule="auto"/>
            </w:pPr>
            <w:r>
              <w:rPr>
                <w:rFonts w:ascii="Calibri" w:hAnsi="Calibri"/>
                <w:b w:val="0"/>
                <w:i w:val="0"/>
                <w:color w:val="212121"/>
                <w:sz w:val="19"/>
              </w:rPr>
              <w:t>Rare inherited koilonychia produces spoon-shaped nails from birth or early childhood without any iron deficiency, and must be distinguished from acquired nutritional koilonychia.</w:t>
            </w:r>
          </w:p>
          <w:p>
            <w:pPr>
              <w:spacing w:after="40" w:before="60" w:line="259" w:lineRule="auto"/>
            </w:pPr>
            <w:r>
              <w:rPr>
                <w:rFonts w:ascii="Calibri" w:hAnsi="Calibri"/>
                <w:b w:val="0"/>
                <w:i w:val="0"/>
                <w:color w:val="212121"/>
                <w:sz w:val="19"/>
              </w:rPr>
              <w:t>Koilonychia has hereditary as well as acquired (chiefly iron-deficiency) forms in its differential diagnosis.</w:t>
            </w:r>
          </w:p>
          <w:p>
            <w:pPr>
              <w:spacing w:after="40" w:line="252" w:lineRule="auto"/>
            </w:pPr>
            <w:hyperlink r:id="rId19">
              <w:r>
                <w:rPr>
                  <w:rFonts w:ascii="Calibri" w:hAnsi="Calibri" w:cs="Calibri"/>
                  <w:sz w:val="18"/>
                  <w:color w:val="1155CC"/>
                  <w:u w:val="single"/>
                </w:rPr>
                <w:t xml:space="preserve">pubmed.ncbi.nlm.nih.gov/27531645</w:t>
              </w:r>
            </w:hyperlink>
          </w:p>
          <w:p>
            <w:pPr>
              <w:spacing w:before="60" w:after="40"/>
            </w:pPr>
            <w:r>
              <w:rPr>
                <w:rFonts w:ascii="Calibri" w:hAnsi="Calibri"/>
                <w:b w:val="0"/>
                <w:i w:val="0"/>
                <w:color w:val="5A5A5A"/>
                <w:sz w:val="18"/>
              </w:rPr>
              <w:t>#hereditary  #koilonychia  #autosomaldominant  #congenital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Iron-deficiency anaemia</w:t>
            </w:r>
          </w:p>
        </w:tc>
        <w:tc>
          <w:tcPr>
            <w:tcW w:type="dxa" w:w="2160"/>
            <w:vAlign w:val="top"/>
          </w:tcPr>
          <w:p>
            <w:pPr>
              <w:spacing w:after="40" w:before="0" w:line="259" w:lineRule="auto"/>
            </w:pPr>
            <w:r>
              <w:rPr>
                <w:rFonts w:ascii="Calibri" w:hAnsi="Calibri"/>
                <w:b w:val="0"/>
                <w:i w:val="0"/>
                <w:color w:val="212121"/>
                <w:sz w:val="19"/>
              </w:rPr>
              <w:t>Patients with iron-deficiency anaemia</w:t>
            </w:r>
          </w:p>
        </w:tc>
        <w:tc>
          <w:tcPr>
            <w:tcW w:type="dxa" w:w="4276"/>
            <w:vAlign w:val="top"/>
          </w:tcPr>
          <w:p>
            <w:pPr>
              <w:spacing w:after="60" w:line="259" w:lineRule="auto"/>
            </w:pPr>
            <w:r>
              <w:rPr>
                <w:rFonts w:ascii="Calibri" w:hAnsi="Calibri"/>
                <w:b w:val="0"/>
                <w:i w:val="0"/>
                <w:color w:val="212121"/>
                <w:sz w:val="19"/>
              </w:rPr>
              <w:t>Iron is essential for normal keratin synthesis; chronic deficiency softens and flattens then hollows the plate, making koilonychia a classic peripheral sign of long-standing iron-deficiency anaemia.</w:t>
            </w:r>
          </w:p>
          <w:p>
            <w:pPr>
              <w:spacing w:after="40" w:before="60" w:line="259" w:lineRule="auto"/>
            </w:pPr>
            <w:r>
              <w:rPr>
                <w:rFonts w:ascii="Calibri" w:hAnsi="Calibri"/>
                <w:b w:val="0"/>
                <w:i w:val="0"/>
                <w:color w:val="212121"/>
                <w:sz w:val="19"/>
              </w:rPr>
              <w:t>Koilonychia is a well-documented clinical manifestation of iron-deficiency anaemia.</w:t>
            </w:r>
          </w:p>
          <w:p>
            <w:pPr>
              <w:spacing w:after="40" w:line="252" w:lineRule="auto"/>
            </w:pPr>
            <w:hyperlink r:id="rId20">
              <w:r>
                <w:rPr>
                  <w:rFonts w:ascii="Calibri" w:hAnsi="Calibri" w:cs="Calibri"/>
                  <w:sz w:val="18"/>
                  <w:color w:val="1155CC"/>
                  <w:u w:val="single"/>
                </w:rPr>
                <w:t xml:space="preserve">pubmed.ncbi.nlm.nih.gov/29186547</w:t>
              </w:r>
            </w:hyperlink>
          </w:p>
          <w:p>
            <w:pPr>
              <w:spacing w:before="60" w:after="40"/>
            </w:pPr>
            <w:r>
              <w:rPr>
                <w:rFonts w:ascii="Calibri" w:hAnsi="Calibri"/>
                <w:b w:val="0"/>
                <w:i w:val="0"/>
                <w:color w:val="5A5A5A"/>
                <w:sz w:val="18"/>
              </w:rPr>
              <w:t>#irondeficiency  #koilonychia  #pallor  #glossitis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Psoriasis / psoriatic arthritis</w:t>
            </w:r>
          </w:p>
        </w:tc>
        <w:tc>
          <w:tcPr>
            <w:tcW w:type="dxa" w:w="2160"/>
            <w:vAlign w:val="top"/>
          </w:tcPr>
          <w:p>
            <w:pPr>
              <w:spacing w:after="40" w:before="0" w:line="259" w:lineRule="auto"/>
            </w:pPr>
            <w:r>
              <w:rPr>
                <w:rFonts w:ascii="Calibri" w:hAnsi="Calibri"/>
                <w:b w:val="0"/>
                <w:i w:val="0"/>
                <w:color w:val="212121"/>
                <w:sz w:val="19"/>
              </w:rPr>
              <w:t>Patients with psoriasis</w:t>
            </w:r>
          </w:p>
        </w:tc>
        <w:tc>
          <w:tcPr>
            <w:tcW w:type="dxa" w:w="4276"/>
            <w:vAlign w:val="top"/>
          </w:tcPr>
          <w:p>
            <w:pPr>
              <w:spacing w:after="60" w:line="259" w:lineRule="auto"/>
            </w:pPr>
            <w:r>
              <w:rPr>
                <w:rFonts w:ascii="Calibri" w:hAnsi="Calibri"/>
                <w:b w:val="0"/>
                <w:i w:val="0"/>
                <w:color w:val="212121"/>
                <w:sz w:val="19"/>
              </w:rPr>
              <w:t>Psoriatic inflammation of the nail matrix and bed produces pitting, oil-drop (salmon) patches, onycholysis and subungual hyperkeratosis; nail disease is also a marker of, and risk factor for, psoriatic arthritis.</w:t>
            </w:r>
          </w:p>
          <w:p>
            <w:pPr>
              <w:spacing w:after="40" w:before="60" w:line="259" w:lineRule="auto"/>
            </w:pPr>
            <w:r>
              <w:rPr>
                <w:rFonts w:ascii="Calibri" w:hAnsi="Calibri"/>
                <w:b w:val="0"/>
                <w:i w:val="0"/>
                <w:color w:val="212121"/>
                <w:sz w:val="19"/>
              </w:rPr>
              <w:t>Documented prevalence of nail psoriasis varies between about 10% and 81% of psoriasis patients.</w:t>
            </w:r>
          </w:p>
          <w:p>
            <w:pPr>
              <w:spacing w:after="40" w:line="252" w:lineRule="auto"/>
            </w:pPr>
            <w:hyperlink r:id="rId21">
              <w:r>
                <w:rPr>
                  <w:rFonts w:ascii="Calibri" w:hAnsi="Calibri" w:cs="Calibri"/>
                  <w:sz w:val="18"/>
                  <w:color w:val="1155CC"/>
                  <w:u w:val="single"/>
                </w:rPr>
                <w:t xml:space="preserve">pubmed.ncbi.nlm.nih.gov/23550612</w:t>
              </w:r>
            </w:hyperlink>
          </w:p>
          <w:p>
            <w:pPr>
              <w:spacing w:before="60" w:after="40"/>
            </w:pPr>
            <w:r>
              <w:rPr>
                <w:rFonts w:ascii="Calibri" w:hAnsi="Calibri"/>
                <w:b w:val="0"/>
                <w:i w:val="0"/>
                <w:color w:val="5A5A5A"/>
                <w:sz w:val="18"/>
              </w:rPr>
              <w:t>#psoriasis  #pitting  #oildrop  #psoriaticarthritis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cardiopulmonary / GI disease</w:t>
            </w:r>
          </w:p>
        </w:tc>
        <w:tc>
          <w:tcPr>
            <w:tcW w:type="dxa" w:w="2160"/>
            <w:vAlign w:val="top"/>
          </w:tcPr>
          <w:p>
            <w:pPr>
              <w:spacing w:after="40" w:before="0" w:line="259" w:lineRule="auto"/>
            </w:pPr>
            <w:r>
              <w:rPr>
                <w:rFonts w:ascii="Calibri" w:hAnsi="Calibri"/>
                <w:b w:val="0"/>
                <w:i w:val="0"/>
                <w:color w:val="212121"/>
                <w:sz w:val="19"/>
              </w:rPr>
              <w:t>Bronchiectasis, ILD, lung cancer, cyanotic heart disease, cirrhosis, IBD</w:t>
            </w:r>
          </w:p>
        </w:tc>
        <w:tc>
          <w:tcPr>
            <w:tcW w:type="dxa" w:w="4276"/>
            <w:vAlign w:val="top"/>
          </w:tcPr>
          <w:p>
            <w:pPr>
              <w:spacing w:after="60" w:line="259" w:lineRule="auto"/>
            </w:pPr>
            <w:r>
              <w:rPr>
                <w:rFonts w:ascii="Calibri" w:hAnsi="Calibri"/>
                <w:b w:val="0"/>
                <w:i w:val="0"/>
                <w:color w:val="212121"/>
                <w:sz w:val="19"/>
              </w:rPr>
              <w:t>Chronic hypoxia and disease-related circulating growth factors cause distal digital soft-tissue proliferation, producing clubbing that can be the first clue to serious underlying disease.</w:t>
            </w:r>
          </w:p>
          <w:p>
            <w:pPr>
              <w:spacing w:after="40" w:before="60" w:line="259" w:lineRule="auto"/>
            </w:pPr>
            <w:r>
              <w:rPr>
                <w:rFonts w:ascii="Calibri" w:hAnsi="Calibri"/>
                <w:b w:val="0"/>
                <w:i w:val="0"/>
                <w:color w:val="212121"/>
                <w:sz w:val="19"/>
              </w:rPr>
              <w:t>Acquired digital clubbing is most commonly due to pulmonary and cardiovascular disease.</w:t>
            </w:r>
          </w:p>
          <w:p>
            <w:pPr>
              <w:spacing w:after="40" w:line="252" w:lineRule="auto"/>
            </w:pPr>
            <w:hyperlink r:id="rId22">
              <w:r>
                <w:rPr>
                  <w:rFonts w:ascii="Calibri" w:hAnsi="Calibri" w:cs="Calibri"/>
                  <w:sz w:val="18"/>
                  <w:color w:val="1155CC"/>
                  <w:u w:val="single"/>
                </w:rPr>
                <w:t xml:space="preserve">pubmed.ncbi.nlm.nih.gov/23671180</w:t>
              </w:r>
            </w:hyperlink>
          </w:p>
          <w:p>
            <w:pPr>
              <w:spacing w:before="60" w:after="40"/>
            </w:pPr>
            <w:r>
              <w:rPr>
                <w:rFonts w:ascii="Calibri" w:hAnsi="Calibri"/>
                <w:b w:val="0"/>
                <w:i w:val="0"/>
                <w:color w:val="5A5A5A"/>
                <w:sz w:val="18"/>
              </w:rPr>
              <w:t>#clubbing  #hypoxia  #bronchiectasis  #lungcancer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mellitus</w:t>
            </w:r>
          </w:p>
        </w:tc>
        <w:tc>
          <w:tcPr>
            <w:tcW w:type="dxa" w:w="4276"/>
            <w:vAlign w:val="top"/>
          </w:tcPr>
          <w:p>
            <w:pPr>
              <w:spacing w:after="60" w:line="259" w:lineRule="auto"/>
            </w:pPr>
            <w:r>
              <w:rPr>
                <w:rFonts w:ascii="Calibri" w:hAnsi="Calibri"/>
                <w:b w:val="0"/>
                <w:i w:val="0"/>
                <w:color w:val="212121"/>
                <w:sz w:val="19"/>
              </w:rPr>
              <w:t>Hyperglycaemia, microangiopathy and impaired immunity make diabetics prone to onychomycosis and periungual infection, which can seed foot ulceration and secondary complications.</w:t>
            </w:r>
          </w:p>
          <w:p>
            <w:pPr>
              <w:spacing w:after="40" w:before="60" w:line="259" w:lineRule="auto"/>
            </w:pPr>
            <w:r>
              <w:rPr>
                <w:rFonts w:ascii="Calibri" w:hAnsi="Calibri"/>
                <w:b w:val="0"/>
                <w:i w:val="0"/>
                <w:color w:val="212121"/>
                <w:sz w:val="19"/>
              </w:rPr>
              <w:t>Onychomycosis is significantly more frequent among Indian patients with diabetes mellitus.</w:t>
            </w:r>
          </w:p>
          <w:p>
            <w:pPr>
              <w:spacing w:after="40" w:line="252" w:lineRule="auto"/>
            </w:pPr>
            <w:hyperlink r:id="rId23">
              <w:r>
                <w:rPr>
                  <w:rFonts w:ascii="Calibri" w:hAnsi="Calibri" w:cs="Calibri"/>
                  <w:sz w:val="18"/>
                  <w:color w:val="1155CC"/>
                  <w:u w:val="single"/>
                </w:rPr>
                <w:t xml:space="preserve">pubmed.ncbi.nlm.nih.gov/12390186</w:t>
              </w:r>
            </w:hyperlink>
          </w:p>
          <w:p>
            <w:pPr>
              <w:spacing w:before="60" w:after="40"/>
            </w:pPr>
            <w:r>
              <w:rPr>
                <w:rFonts w:ascii="Calibri" w:hAnsi="Calibri"/>
                <w:b w:val="0"/>
                <w:i w:val="0"/>
                <w:color w:val="5A5A5A"/>
                <w:sz w:val="18"/>
              </w:rPr>
              <w:t>#diabetes  #onychomycosis  #footcare  #microangiopathy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little direct effect on nail structure, but cardiorespiratory fitness reflects the pulmonary/cardiac health whose chronic impairment (hypoxia) drives digital clubbing; sports and manual work are a source of nail trauma.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Iron, protein, biotin and general nutrition strongly influence nail integrity; iron-deficiency (very common in India) is the leading cause of koilonychia, while protein-energy malnutrition causes brittle nails and Beau's lines.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direct role in nail disease, though adequate rest supports the systemic health and healing that underpin normal nail growth.</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causes nicotine (harlequin) staining and peripheral vasoconstriction, and is the principal driver of the chronic lung disease and malignancy that underlie much acquired clubbing.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leads to cirrhosis (clubbing, Terry's nails, leukonychia) and to nutritional deficiencies that impair nail quality.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and stress drive onychophagia (nail-biting), onychotillomania and habit-tic deformity, producing ridging, dystrophy and secondary paronychia.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wet-work and repeated water/detergent immersion macerate and soften the nail unit, causing chronic paronychia, onycholysis, brittle nails and koilonychia.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meaningful evidence links caffeine intake to nail structure or nail disorders.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Nail and foot hygiene, moisture control and footwear are decisive for onychomycosis and paronychia — the commonest nail disorders — and for preventing secondary infection of dystrophic nails.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Repetitive trauma, occupational chemicals and solvents, tight footwear, and cosmetic manicure procedures directly provoke onycholysis, koilonychia, brittle nails and habit-tic deformity.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Adults, women of reproductive age</w:t>
            </w:r>
          </w:p>
        </w:tc>
        <w:tc>
          <w:tcPr>
            <w:tcW w:type="dxa" w:w="1512"/>
            <w:vAlign w:val="top"/>
          </w:tcPr>
          <w:p>
            <w:pPr>
              <w:spacing w:after="40" w:before="0" w:line="259" w:lineRule="auto"/>
            </w:pPr>
            <w:r>
              <w:rPr>
                <w:rFonts w:ascii="Calibri" w:hAnsi="Calibri"/>
                <w:b w:val="0"/>
                <w:i w:val="0"/>
                <w:color w:val="212121"/>
                <w:sz w:val="19"/>
              </w:rPr>
              <w:t>F ≥ 12; M ≥ 13 g/dL</w:t>
            </w:r>
          </w:p>
        </w:tc>
        <w:tc>
          <w:tcPr>
            <w:tcW w:type="dxa" w:w="1512"/>
            <w:vAlign w:val="top"/>
          </w:tcPr>
          <w:p>
            <w:pPr>
              <w:spacing w:after="40" w:before="0" w:line="259" w:lineRule="auto"/>
            </w:pPr>
            <w:r>
              <w:rPr>
                <w:rFonts w:ascii="Calibri" w:hAnsi="Calibri"/>
                <w:b w:val="0"/>
                <w:i w:val="0"/>
                <w:color w:val="212121"/>
                <w:sz w:val="19"/>
              </w:rPr>
              <w:t>F &lt; 12; M &lt; 13 g/dL</w:t>
            </w:r>
          </w:p>
        </w:tc>
        <w:tc>
          <w:tcPr>
            <w:tcW w:type="dxa" w:w="1468"/>
            <w:vAlign w:val="top"/>
          </w:tcPr>
          <w:p>
            <w:pPr>
              <w:spacing w:after="60" w:line="259" w:lineRule="auto"/>
            </w:pPr>
            <w:r>
              <w:rPr>
                <w:rFonts w:ascii="Calibri" w:hAnsi="Calibri"/>
                <w:b w:val="0"/>
                <w:i w:val="0"/>
                <w:color w:val="212121"/>
                <w:sz w:val="19"/>
              </w:rPr>
              <w:t>Anaemia (very common in Indian women) underlies iron-deficiency koilonychia</w:t>
            </w:r>
          </w:p>
          <w:p>
            <w:pPr>
              <w:spacing w:after="40" w:line="252" w:lineRule="auto"/>
            </w:pPr>
            <w:hyperlink r:id="rId12">
              <w:r>
                <w:rPr>
                  <w:rFonts w:ascii="Calibri" w:hAnsi="Calibri" w:cs="Calibri"/>
                  <w:sz w:val="18"/>
                  <w:color w:val="1155CC"/>
                  <w:u w:val="single"/>
                </w:rPr>
                <w:t xml:space="preserve">https://pubmed.ncbi.nlm.nih.gov/36730352/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(ng/mL)</w:t>
            </w:r>
          </w:p>
        </w:tc>
        <w:tc>
          <w:tcPr>
            <w:tcW w:type="dxa" w:w="1655"/>
            <w:vAlign w:val="top"/>
          </w:tcPr>
          <w:p>
            <w:pPr>
              <w:spacing w:after="40" w:before="0" w:line="259" w:lineRule="auto"/>
            </w:pPr>
            <w:r>
              <w:rPr>
                <w:rFonts w:ascii="Calibri" w:hAnsi="Calibri"/>
                <w:b w:val="0"/>
                <w:i w:val="0"/>
                <w:color w:val="212121"/>
                <w:sz w:val="19"/>
              </w:rPr>
              <w:t>Patients with brittle / spoon nails</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15–30 ng/mL</w:t>
            </w:r>
          </w:p>
        </w:tc>
        <w:tc>
          <w:tcPr>
            <w:tcW w:type="dxa" w:w="1468"/>
            <w:vAlign w:val="top"/>
          </w:tcPr>
          <w:p>
            <w:pPr>
              <w:spacing w:after="60" w:line="259" w:lineRule="auto"/>
            </w:pPr>
            <w:r>
              <w:rPr>
                <w:rFonts w:ascii="Calibri" w:hAnsi="Calibri"/>
                <w:b w:val="0"/>
                <w:i w:val="0"/>
                <w:color w:val="212121"/>
                <w:sz w:val="19"/>
              </w:rPr>
              <w:t>Low ferritin confirms iron deficiency — the key reversible cause of koilonychia</w:t>
            </w:r>
          </w:p>
          <w:p>
            <w:pPr>
              <w:spacing w:after="40" w:line="252" w:lineRule="auto"/>
            </w:pPr>
            <w:hyperlink r:id="rId19">
              <w:r>
                <w:rPr>
                  <w:rFonts w:ascii="Calibri" w:hAnsi="Calibri" w:cs="Calibri"/>
                  <w:sz w:val="18"/>
                  <w:color w:val="1155CC"/>
                  <w:u w:val="single"/>
                </w:rPr>
                <w:t xml:space="preserve">https://pubmed.ncbi.nlm.nih.gov/27531645/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(fL)</w:t>
            </w:r>
          </w:p>
        </w:tc>
        <w:tc>
          <w:tcPr>
            <w:tcW w:type="dxa" w:w="1655"/>
            <w:vAlign w:val="top"/>
          </w:tcPr>
          <w:p>
            <w:pPr>
              <w:spacing w:after="40" w:before="0" w:line="259" w:lineRule="auto"/>
            </w:pPr>
            <w:r>
              <w:rPr>
                <w:rFonts w:ascii="Calibri" w:hAnsi="Calibri"/>
                <w:b w:val="0"/>
                <w:i w:val="0"/>
                <w:color w:val="212121"/>
                <w:sz w:val="19"/>
              </w:rPr>
              <w:t>Anaemic patients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&lt; 80 fL (microcytic)</w:t>
            </w:r>
          </w:p>
        </w:tc>
        <w:tc>
          <w:tcPr>
            <w:tcW w:type="dxa" w:w="1468"/>
            <w:vAlign w:val="top"/>
          </w:tcPr>
          <w:p>
            <w:pPr>
              <w:spacing w:after="40" w:before="0" w:line="259" w:lineRule="auto"/>
            </w:pPr>
            <w:r>
              <w:rPr>
                <w:rFonts w:ascii="Calibri" w:hAnsi="Calibri"/>
                <w:b w:val="0"/>
                <w:i w:val="0"/>
                <w:color w:val="212121"/>
                <w:sz w:val="19"/>
              </w:rPr>
              <w:t>Microcytosis supports iron-deficiency as the cause of nail changes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Nail-fold (Lovibond) angle</w:t>
            </w:r>
          </w:p>
        </w:tc>
        <w:tc>
          <w:tcPr>
            <w:tcW w:type="dxa" w:w="1655"/>
            <w:vAlign w:val="top"/>
          </w:tcPr>
          <w:p>
            <w:pPr>
              <w:spacing w:after="40" w:before="0" w:line="259" w:lineRule="auto"/>
            </w:pPr>
            <w:r>
              <w:rPr>
                <w:rFonts w:ascii="Calibri" w:hAnsi="Calibri"/>
                <w:b w:val="0"/>
                <w:i w:val="0"/>
                <w:color w:val="212121"/>
                <w:sz w:val="19"/>
              </w:rPr>
              <w:t>Patients with suspected clubbing</w:t>
            </w:r>
          </w:p>
        </w:tc>
        <w:tc>
          <w:tcPr>
            <w:tcW w:type="dxa" w:w="1512"/>
            <w:vAlign w:val="top"/>
          </w:tcPr>
          <w:p>
            <w:pPr>
              <w:spacing w:after="40" w:before="0" w:line="259" w:lineRule="auto"/>
            </w:pPr>
            <w:r>
              <w:rPr>
                <w:rFonts w:ascii="Calibri" w:hAnsi="Calibri"/>
                <w:b w:val="0"/>
                <w:i w:val="0"/>
                <w:color w:val="212121"/>
                <w:sz w:val="19"/>
              </w:rPr>
              <w:t>&lt; 160° (Schamroth window present)</w:t>
            </w:r>
          </w:p>
        </w:tc>
        <w:tc>
          <w:tcPr>
            <w:tcW w:type="dxa" w:w="1512"/>
            <w:vAlign w:val="top"/>
          </w:tcPr>
          <w:p>
            <w:pPr>
              <w:spacing w:after="40" w:before="0" w:line="259" w:lineRule="auto"/>
            </w:pPr>
            <w:r>
              <w:rPr>
                <w:rFonts w:ascii="Calibri" w:hAnsi="Calibri"/>
                <w:b w:val="0"/>
                <w:i w:val="0"/>
                <w:color w:val="212121"/>
                <w:sz w:val="19"/>
              </w:rPr>
              <w:t>&gt; 180° (window obliterated)</w:t>
            </w:r>
          </w:p>
        </w:tc>
        <w:tc>
          <w:tcPr>
            <w:tcW w:type="dxa" w:w="1468"/>
            <w:vAlign w:val="top"/>
          </w:tcPr>
          <w:p>
            <w:pPr>
              <w:spacing w:after="60" w:line="259" w:lineRule="auto"/>
            </w:pPr>
            <w:r>
              <w:rPr>
                <w:rFonts w:ascii="Calibri" w:hAnsi="Calibri"/>
                <w:b w:val="0"/>
                <w:i w:val="0"/>
                <w:color w:val="212121"/>
                <w:sz w:val="19"/>
              </w:rPr>
              <w:t>Increased profile angle and positive Schamroth sign define digital clubbing</w:t>
            </w:r>
          </w:p>
          <w:p>
            <w:pPr>
              <w:spacing w:after="40" w:line="252" w:lineRule="auto"/>
            </w:pPr>
            <w:hyperlink r:id="rId22">
              <w:r>
                <w:rPr>
                  <w:rFonts w:ascii="Calibri" w:hAnsi="Calibri" w:cs="Calibri"/>
                  <w:sz w:val="18"/>
                  <w:color w:val="1155CC"/>
                  <w:u w:val="single"/>
                </w:rPr>
                <w:t xml:space="preserve">https://pubmed.ncbi.nlm.nih.gov/23671180/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Nail pit count per nail</w:t>
            </w:r>
          </w:p>
        </w:tc>
        <w:tc>
          <w:tcPr>
            <w:tcW w:type="dxa" w:w="1655"/>
            <w:vAlign w:val="top"/>
          </w:tcPr>
          <w:p>
            <w:pPr>
              <w:spacing w:after="40" w:before="0" w:line="259" w:lineRule="auto"/>
            </w:pPr>
            <w:r>
              <w:rPr>
                <w:rFonts w:ascii="Calibri" w:hAnsi="Calibri"/>
                <w:b w:val="0"/>
                <w:i w:val="0"/>
                <w:color w:val="212121"/>
                <w:sz w:val="19"/>
              </w:rPr>
              <w:t>Patients with psoriasis / alopecia areata</w:t>
            </w:r>
          </w:p>
        </w:tc>
        <w:tc>
          <w:tcPr>
            <w:tcW w:type="dxa" w:w="1512"/>
            <w:vAlign w:val="top"/>
          </w:tcPr>
          <w:p>
            <w:pPr>
              <w:spacing w:after="40" w:before="0" w:line="259" w:lineRule="auto"/>
            </w:pPr>
            <w:r>
              <w:rPr>
                <w:rFonts w:ascii="Calibri" w:hAnsi="Calibri"/>
                <w:b w:val="0"/>
                <w:i w:val="0"/>
                <w:color w:val="212121"/>
                <w:sz w:val="19"/>
              </w:rPr>
              <w:t>0 pits</w:t>
            </w:r>
          </w:p>
        </w:tc>
        <w:tc>
          <w:tcPr>
            <w:tcW w:type="dxa" w:w="1512"/>
            <w:vAlign w:val="top"/>
          </w:tcPr>
          <w:p>
            <w:pPr>
              <w:spacing w:after="40" w:before="0" w:line="259" w:lineRule="auto"/>
            </w:pPr>
            <w:r>
              <w:rPr>
                <w:rFonts w:ascii="Calibri" w:hAnsi="Calibri"/>
                <w:b w:val="0"/>
                <w:i w:val="0"/>
                <w:color w:val="212121"/>
                <w:sz w:val="19"/>
              </w:rPr>
              <w:t>≥ 1 pit; numerous deep pits suggest psoriasis</w:t>
            </w:r>
          </w:p>
        </w:tc>
        <w:tc>
          <w:tcPr>
            <w:tcW w:type="dxa" w:w="1468"/>
            <w:vAlign w:val="top"/>
          </w:tcPr>
          <w:p>
            <w:pPr>
              <w:spacing w:after="60" w:line="259" w:lineRule="auto"/>
            </w:pPr>
            <w:r>
              <w:rPr>
                <w:rFonts w:ascii="Calibri" w:hAnsi="Calibri"/>
                <w:b w:val="0"/>
                <w:i w:val="0"/>
                <w:color w:val="212121"/>
                <w:sz w:val="19"/>
              </w:rPr>
              <w:t>Pitting arises from abnormal keratinisation of the proximal nail matrix</w:t>
            </w:r>
          </w:p>
          <w:p>
            <w:pPr>
              <w:spacing w:after="40" w:line="252" w:lineRule="auto"/>
            </w:pPr>
            <w:hyperlink r:id="rId24">
              <w:r>
                <w:rPr>
                  <w:rFonts w:ascii="Calibri" w:hAnsi="Calibri" w:cs="Calibri"/>
                  <w:sz w:val="18"/>
                  <w:color w:val="1155CC"/>
                  <w:u w:val="single"/>
                </w:rPr>
                <w:t xml:space="preserve">https://pubmed.ncbi.nlm.nih.gov/41118185/</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Resting oxygen saturation (SpO2)</w:t>
            </w:r>
          </w:p>
        </w:tc>
        <w:tc>
          <w:tcPr>
            <w:tcW w:type="dxa" w:w="1655"/>
            <w:vAlign w:val="top"/>
          </w:tcPr>
          <w:p>
            <w:pPr>
              <w:spacing w:after="40" w:before="0" w:line="259" w:lineRule="auto"/>
            </w:pPr>
            <w:r>
              <w:rPr>
                <w:rFonts w:ascii="Calibri" w:hAnsi="Calibri"/>
                <w:b w:val="0"/>
                <w:i w:val="0"/>
                <w:color w:val="212121"/>
                <w:sz w:val="19"/>
              </w:rPr>
              <w:t>Patients with clubbing / chronic lung disease</w:t>
            </w:r>
          </w:p>
        </w:tc>
        <w:tc>
          <w:tcPr>
            <w:tcW w:type="dxa" w:w="1512"/>
            <w:vAlign w:val="top"/>
          </w:tcPr>
          <w:p>
            <w:pPr>
              <w:spacing w:after="40" w:before="0" w:line="259" w:lineRule="auto"/>
            </w:pPr>
            <w:r>
              <w:rPr>
                <w:rFonts w:ascii="Calibri" w:hAnsi="Calibri"/>
                <w:b w:val="0"/>
                <w:i w:val="0"/>
                <w:color w:val="212121"/>
                <w:sz w:val="19"/>
              </w:rPr>
              <w:t>≥ 95%</w:t>
            </w:r>
          </w:p>
        </w:tc>
        <w:tc>
          <w:tcPr>
            <w:tcW w:type="dxa" w:w="1512"/>
            <w:vAlign w:val="top"/>
          </w:tcPr>
          <w:p>
            <w:pPr>
              <w:spacing w:after="40" w:before="0" w:line="259" w:lineRule="auto"/>
            </w:pPr>
            <w:r>
              <w:rPr>
                <w:rFonts w:ascii="Calibri" w:hAnsi="Calibri"/>
                <w:b w:val="0"/>
                <w:i w:val="0"/>
                <w:color w:val="212121"/>
                <w:sz w:val="19"/>
              </w:rPr>
              <w:t>&lt; 90% (chronic hypoxaemia)</w:t>
            </w:r>
          </w:p>
        </w:tc>
        <w:tc>
          <w:tcPr>
            <w:tcW w:type="dxa" w:w="1468"/>
            <w:vAlign w:val="top"/>
          </w:tcPr>
          <w:p>
            <w:pPr>
              <w:spacing w:after="40" w:before="0" w:line="259" w:lineRule="auto"/>
            </w:pPr>
            <w:r>
              <w:rPr>
                <w:rFonts w:ascii="Calibri" w:hAnsi="Calibri"/>
                <w:b w:val="0"/>
                <w:i w:val="0"/>
                <w:color w:val="212121"/>
                <w:sz w:val="19"/>
              </w:rPr>
              <w:t>Chronic hypoxaemia is a mechanism of clubbing; prompts cardiopulmonary workup</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wet-work / immersion (hours)</w:t>
            </w:r>
          </w:p>
        </w:tc>
        <w:tc>
          <w:tcPr>
            <w:tcW w:type="dxa" w:w="1655"/>
            <w:vAlign w:val="top"/>
          </w:tcPr>
          <w:p>
            <w:pPr>
              <w:spacing w:after="40" w:before="0" w:line="259" w:lineRule="auto"/>
            </w:pPr>
            <w:r>
              <w:rPr>
                <w:rFonts w:ascii="Calibri" w:hAnsi="Calibri"/>
                <w:b w:val="0"/>
                <w:i w:val="0"/>
                <w:color w:val="212121"/>
                <w:sz w:val="19"/>
              </w:rPr>
              <w:t>Wet-work occupations</w:t>
            </w:r>
          </w:p>
        </w:tc>
        <w:tc>
          <w:tcPr>
            <w:tcW w:type="dxa" w:w="1512"/>
            <w:vAlign w:val="top"/>
          </w:tcPr>
          <w:p>
            <w:pPr>
              <w:spacing w:after="40" w:before="0" w:line="259" w:lineRule="auto"/>
            </w:pPr>
            <w:r>
              <w:rPr>
                <w:rFonts w:ascii="Calibri" w:hAnsi="Calibri"/>
                <w:b w:val="0"/>
                <w:i w:val="0"/>
                <w:color w:val="212121"/>
                <w:sz w:val="19"/>
              </w:rPr>
              <w:t>&lt; 2 h continuous</w:t>
            </w:r>
          </w:p>
        </w:tc>
        <w:tc>
          <w:tcPr>
            <w:tcW w:type="dxa" w:w="1512"/>
            <w:vAlign w:val="top"/>
          </w:tcPr>
          <w:p>
            <w:pPr>
              <w:spacing w:after="40" w:before="0" w:line="259" w:lineRule="auto"/>
            </w:pPr>
            <w:r>
              <w:rPr>
                <w:rFonts w:ascii="Calibri" w:hAnsi="Calibri"/>
                <w:b w:val="0"/>
                <w:i w:val="0"/>
                <w:color w:val="212121"/>
                <w:sz w:val="19"/>
              </w:rPr>
              <w:t>&gt; 2 h continuous or frequent immersion</w:t>
            </w:r>
          </w:p>
        </w:tc>
        <w:tc>
          <w:tcPr>
            <w:tcW w:type="dxa" w:w="1468"/>
            <w:vAlign w:val="top"/>
          </w:tcPr>
          <w:p>
            <w:pPr>
              <w:spacing w:after="40" w:before="0" w:line="259" w:lineRule="auto"/>
            </w:pPr>
            <w:r>
              <w:rPr>
                <w:rFonts w:ascii="Calibri" w:hAnsi="Calibri"/>
                <w:b w:val="0"/>
                <w:i w:val="0"/>
                <w:color w:val="212121"/>
                <w:sz w:val="19"/>
              </w:rPr>
              <w:t>Prolonged wetness causes chronic paronychia, onycholysis and koilonychia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chronic smokers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stains nails and drives the lung disease behind acquired clubbing</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KOH microscopy / fungal culture</w:t>
            </w:r>
          </w:p>
        </w:tc>
        <w:tc>
          <w:tcPr>
            <w:tcW w:type="dxa" w:w="1655"/>
            <w:vAlign w:val="top"/>
          </w:tcPr>
          <w:p>
            <w:pPr>
              <w:spacing w:after="40" w:before="0" w:line="259" w:lineRule="auto"/>
            </w:pPr>
            <w:r>
              <w:rPr>
                <w:rFonts w:ascii="Calibri" w:hAnsi="Calibri"/>
                <w:b w:val="0"/>
                <w:i w:val="0"/>
                <w:color w:val="212121"/>
                <w:sz w:val="19"/>
              </w:rPr>
              <w:t>Thick, discoloured, crumbling nails</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 for dermatophyte / yeast</w:t>
            </w:r>
          </w:p>
        </w:tc>
        <w:tc>
          <w:tcPr>
            <w:tcW w:type="dxa" w:w="1468"/>
            <w:vAlign w:val="top"/>
          </w:tcPr>
          <w:p>
            <w:pPr>
              <w:spacing w:after="60" w:line="259" w:lineRule="auto"/>
            </w:pPr>
            <w:r>
              <w:rPr>
                <w:rFonts w:ascii="Calibri" w:hAnsi="Calibri"/>
                <w:b w:val="0"/>
                <w:i w:val="0"/>
                <w:color w:val="212121"/>
                <w:sz w:val="19"/>
              </w:rPr>
              <w:t>Mycological confirmation is required before prolonged systemic antifungals</w:t>
            </w:r>
          </w:p>
          <w:p>
            <w:pPr>
              <w:spacing w:after="40" w:line="252" w:lineRule="auto"/>
            </w:pPr>
            <w:hyperlink r:id="rId16">
              <w:r>
                <w:rPr>
                  <w:rFonts w:ascii="Calibri" w:hAnsi="Calibri" w:cs="Calibri"/>
                  <w:sz w:val="18"/>
                  <w:color w:val="1155CC"/>
                  <w:u w:val="single"/>
                </w:rPr>
                <w:t xml:space="preserve">https://pubmed.ncbi.nlm.nih.gov/22016272/</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Patients with onychomycosis / periungual infection</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60" w:line="259" w:lineRule="auto"/>
            </w:pPr>
            <w:r>
              <w:rPr>
                <w:rFonts w:ascii="Calibri" w:hAnsi="Calibri"/>
                <w:b w:val="0"/>
                <w:i w:val="0"/>
                <w:color w:val="212121"/>
                <w:sz w:val="19"/>
              </w:rPr>
              <w:t>Uncontrolled diabetes predisposes to onychomycosis and nail-fold infection</w:t>
            </w:r>
          </w:p>
          <w:p>
            <w:pPr>
              <w:spacing w:after="40" w:line="252" w:lineRule="auto"/>
            </w:pPr>
            <w:hyperlink r:id="rId23">
              <w:r>
                <w:rPr>
                  <w:rFonts w:ascii="Calibri" w:hAnsi="Calibri" w:cs="Calibri"/>
                  <w:sz w:val="18"/>
                  <w:color w:val="1155CC"/>
                  <w:u w:val="single"/>
                </w:rPr>
                <w:t xml:space="preserve">https://pubmed.ncbi.nlm.nih.gov/12390186/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Thyroid-stimulating hormone (mIU/L)</w:t>
            </w:r>
          </w:p>
        </w:tc>
        <w:tc>
          <w:tcPr>
            <w:tcW w:type="dxa" w:w="1655"/>
            <w:vAlign w:val="top"/>
          </w:tcPr>
          <w:p>
            <w:pPr>
              <w:spacing w:after="40" w:before="0" w:line="259" w:lineRule="auto"/>
            </w:pPr>
            <w:r>
              <w:rPr>
                <w:rFonts w:ascii="Calibri" w:hAnsi="Calibri"/>
                <w:b w:val="0"/>
                <w:i w:val="0"/>
                <w:color w:val="212121"/>
                <w:sz w:val="19"/>
              </w:rPr>
              <w:t>Patients with brittle nails / onycholysis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&gt; 4.0 mIU/L (hypothyroid) or suppressed</w:t>
            </w:r>
          </w:p>
        </w:tc>
        <w:tc>
          <w:tcPr>
            <w:tcW w:type="dxa" w:w="1468"/>
            <w:vAlign w:val="top"/>
          </w:tcPr>
          <w:p>
            <w:pPr>
              <w:spacing w:after="40" w:before="0" w:line="259" w:lineRule="auto"/>
            </w:pPr>
            <w:r>
              <w:rPr>
                <w:rFonts w:ascii="Calibri" w:hAnsi="Calibri"/>
                <w:b w:val="0"/>
                <w:i w:val="0"/>
                <w:color w:val="212121"/>
                <w:sz w:val="19"/>
              </w:rPr>
              <w:t>Thyroid dysfunction slows nail growth and causes brittleness, onycholysis, koilonychia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with indices (Hb, MCV, MCH, RDW)</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Hb F ≥ 12 / M ≥ 13 g/dL; MCV 80–100 fL</w:t>
            </w:r>
          </w:p>
        </w:tc>
        <w:tc>
          <w:tcPr>
            <w:tcW w:type="dxa" w:w="950"/>
            <w:vAlign w:val="top"/>
          </w:tcPr>
          <w:p>
            <w:pPr>
              <w:spacing w:after="40" w:before="0" w:line="259" w:lineRule="auto"/>
            </w:pPr>
            <w:r>
              <w:rPr>
                <w:rFonts w:ascii="Calibri" w:hAnsi="Calibri"/>
                <w:b w:val="0"/>
                <w:i w:val="0"/>
                <w:color w:val="212121"/>
                <w:sz w:val="16"/>
              </w:rPr>
              <w:t>Low Hb with microcytosis (MCV &lt; 80 fL)</w:t>
            </w:r>
          </w:p>
        </w:tc>
        <w:tc>
          <w:tcPr>
            <w:tcW w:type="dxa" w:w="1036"/>
            <w:vAlign w:val="top"/>
          </w:tcPr>
          <w:p>
            <w:pPr>
              <w:spacing w:after="40" w:before="0" w:line="259" w:lineRule="auto"/>
            </w:pPr>
            <w:r>
              <w:rPr>
                <w:rFonts w:ascii="Calibri" w:hAnsi="Calibri"/>
                <w:b w:val="0"/>
                <w:i w:val="0"/>
                <w:color w:val="212121"/>
                <w:sz w:val="16"/>
              </w:rPr>
              <w:t>Detects iron-deficiency anaemia underlying koilonychia and brittle nails</w:t>
            </w:r>
          </w:p>
        </w:tc>
        <w:tc>
          <w:tcPr>
            <w:tcW w:type="dxa" w:w="1036"/>
            <w:vAlign w:val="top"/>
          </w:tcPr>
          <w:p>
            <w:pPr>
              <w:spacing w:after="40" w:before="0" w:line="259" w:lineRule="auto"/>
            </w:pPr>
            <w:r>
              <w:rPr>
                <w:rFonts w:ascii="Calibri" w:hAnsi="Calibri"/>
                <w:b w:val="0"/>
                <w:i w:val="0"/>
                <w:color w:val="212121"/>
                <w:sz w:val="16"/>
              </w:rPr>
              <w:t>Patients with koilonychia, women of reproductive age, vegetarians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Cheap, widely available screen for spoon nails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Iron studies (serum ferritin, iron, TIBC, transferrin saturation)</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Ferritin &gt; 30 ng/mL; TSAT 20–45%</w:t>
            </w:r>
          </w:p>
        </w:tc>
        <w:tc>
          <w:tcPr>
            <w:tcW w:type="dxa" w:w="950"/>
            <w:vAlign w:val="top"/>
          </w:tcPr>
          <w:p>
            <w:pPr>
              <w:spacing w:after="40" w:before="0" w:line="259" w:lineRule="auto"/>
            </w:pPr>
            <w:r>
              <w:rPr>
                <w:rFonts w:ascii="Calibri" w:hAnsi="Calibri"/>
                <w:b w:val="0"/>
                <w:i w:val="0"/>
                <w:color w:val="212121"/>
                <w:sz w:val="16"/>
              </w:rPr>
              <w:t>Ferritin &lt; 15–30 ng/mL; low TSAT</w:t>
            </w:r>
          </w:p>
        </w:tc>
        <w:tc>
          <w:tcPr>
            <w:tcW w:type="dxa" w:w="1036"/>
            <w:vAlign w:val="top"/>
          </w:tcPr>
          <w:p>
            <w:pPr>
              <w:spacing w:after="40" w:before="0" w:line="259" w:lineRule="auto"/>
            </w:pPr>
            <w:r>
              <w:rPr>
                <w:rFonts w:ascii="Calibri" w:hAnsi="Calibri"/>
                <w:b w:val="0"/>
                <w:i w:val="0"/>
                <w:color w:val="212121"/>
                <w:sz w:val="16"/>
              </w:rPr>
              <w:t>Confirms iron deficiency as the cause of koilonychia and guides replacement</w:t>
            </w:r>
          </w:p>
        </w:tc>
        <w:tc>
          <w:tcPr>
            <w:tcW w:type="dxa" w:w="1036"/>
            <w:vAlign w:val="top"/>
          </w:tcPr>
          <w:p>
            <w:pPr>
              <w:spacing w:after="40" w:before="0" w:line="259" w:lineRule="auto"/>
            </w:pPr>
            <w:r>
              <w:rPr>
                <w:rFonts w:ascii="Calibri" w:hAnsi="Calibri"/>
                <w:b w:val="0"/>
                <w:i w:val="0"/>
                <w:color w:val="212121"/>
                <w:sz w:val="16"/>
              </w:rPr>
              <w:t>Patients with koilonychia / anaemia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Ferritin is an acute-phase reactant —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KOH mount, fungal culture, nail-clipping histopathology (PAS)</w:t>
            </w:r>
          </w:p>
        </w:tc>
        <w:tc>
          <w:tcPr>
            <w:tcW w:type="dxa" w:w="892"/>
            <w:vAlign w:val="top"/>
          </w:tcPr>
          <w:p>
            <w:pPr>
              <w:spacing w:after="40" w:before="0" w:line="259" w:lineRule="auto"/>
            </w:pPr>
            <w:r>
              <w:rPr>
                <w:rFonts w:ascii="Calibri" w:hAnsi="Calibri"/>
                <w:b w:val="0"/>
                <w:i w:val="0"/>
                <w:color w:val="212121"/>
                <w:sz w:val="16"/>
              </w:rPr>
              <w:t>Nail sampling</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Hyphae / spores; dermatophyte or yeast on culture</w:t>
            </w:r>
          </w:p>
        </w:tc>
        <w:tc>
          <w:tcPr>
            <w:tcW w:type="dxa" w:w="1036"/>
            <w:vAlign w:val="top"/>
          </w:tcPr>
          <w:p>
            <w:pPr>
              <w:spacing w:after="40" w:before="0" w:line="259" w:lineRule="auto"/>
            </w:pPr>
            <w:r>
              <w:rPr>
                <w:rFonts w:ascii="Calibri" w:hAnsi="Calibri"/>
                <w:b w:val="0"/>
                <w:i w:val="0"/>
                <w:color w:val="212121"/>
                <w:sz w:val="16"/>
              </w:rPr>
              <w:t>Confirms onychomycosis and identifies organism before antifungal therapy</w:t>
            </w:r>
          </w:p>
        </w:tc>
        <w:tc>
          <w:tcPr>
            <w:tcW w:type="dxa" w:w="1036"/>
            <w:vAlign w:val="top"/>
          </w:tcPr>
          <w:p>
            <w:pPr>
              <w:spacing w:after="40" w:before="0" w:line="259" w:lineRule="auto"/>
            </w:pPr>
            <w:r>
              <w:rPr>
                <w:rFonts w:ascii="Calibri" w:hAnsi="Calibri"/>
                <w:b w:val="0"/>
                <w:i w:val="0"/>
                <w:color w:val="212121"/>
                <w:sz w:val="16"/>
              </w:rPr>
              <w:t>Thick, discoloured, crumbling nails; diabetics; elderly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PAS histology is the most sensitive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 function (TSH, free T4)</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Raised or suppressed TSH</w:t>
            </w:r>
          </w:p>
        </w:tc>
        <w:tc>
          <w:tcPr>
            <w:tcW w:type="dxa" w:w="1036"/>
            <w:vAlign w:val="top"/>
          </w:tcPr>
          <w:p>
            <w:pPr>
              <w:spacing w:after="40" w:before="0" w:line="259" w:lineRule="auto"/>
            </w:pPr>
            <w:r>
              <w:rPr>
                <w:rFonts w:ascii="Calibri" w:hAnsi="Calibri"/>
                <w:b w:val="0"/>
                <w:i w:val="0"/>
                <w:color w:val="212121"/>
                <w:sz w:val="16"/>
              </w:rPr>
              <w:t>Thyroid disease causes brittle, slow-growing nails, onycholysis and koilonychia</w:t>
            </w:r>
          </w:p>
        </w:tc>
        <w:tc>
          <w:tcPr>
            <w:tcW w:type="dxa" w:w="1036"/>
            <w:vAlign w:val="top"/>
          </w:tcPr>
          <w:p>
            <w:pPr>
              <w:spacing w:after="40" w:before="0" w:line="259" w:lineRule="auto"/>
            </w:pPr>
            <w:r>
              <w:rPr>
                <w:rFonts w:ascii="Calibri" w:hAnsi="Calibri"/>
                <w:b w:val="0"/>
                <w:i w:val="0"/>
                <w:color w:val="212121"/>
                <w:sz w:val="16"/>
              </w:rPr>
              <w:t>Patients with brittle nails / onycholysis / koilonychia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when systemic features suggest thyroid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Identifies diabetes predisposing to onychomycosis and periungual infection</w:t>
            </w:r>
          </w:p>
        </w:tc>
        <w:tc>
          <w:tcPr>
            <w:tcW w:type="dxa" w:w="1036"/>
            <w:vAlign w:val="top"/>
          </w:tcPr>
          <w:p>
            <w:pPr>
              <w:spacing w:after="40" w:before="0" w:line="259" w:lineRule="auto"/>
            </w:pPr>
            <w:r>
              <w:rPr>
                <w:rFonts w:ascii="Calibri" w:hAnsi="Calibri"/>
                <w:b w:val="0"/>
                <w:i w:val="0"/>
                <w:color w:val="212121"/>
                <w:sz w:val="16"/>
              </w:rPr>
              <w:t>Patients with onychomycosis / recurrent paronychia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Screen especially before nail surgery in diabetics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oximetry</w:t>
            </w:r>
          </w:p>
        </w:tc>
        <w:tc>
          <w:tcPr>
            <w:tcW w:type="dxa" w:w="1036"/>
            <w:vAlign w:val="top"/>
          </w:tcPr>
          <w:p>
            <w:pPr>
              <w:spacing w:after="40" w:before="0" w:line="259" w:lineRule="auto"/>
            </w:pPr>
            <w:r>
              <w:rPr>
                <w:rFonts w:ascii="Calibri" w:hAnsi="Calibri"/>
                <w:b w:val="0"/>
                <w:i w:val="0"/>
                <w:color w:val="212121"/>
                <w:sz w:val="16"/>
              </w:rPr>
              <w:t>Chest X-ray / HRCT thorax, SpO2, ABG</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Clear fields; SpO2 ≥ 95%</w:t>
            </w:r>
          </w:p>
        </w:tc>
        <w:tc>
          <w:tcPr>
            <w:tcW w:type="dxa" w:w="950"/>
            <w:vAlign w:val="top"/>
          </w:tcPr>
          <w:p>
            <w:pPr>
              <w:spacing w:after="40" w:before="0" w:line="259" w:lineRule="auto"/>
            </w:pPr>
            <w:r>
              <w:rPr>
                <w:rFonts w:ascii="Calibri" w:hAnsi="Calibri"/>
                <w:b w:val="0"/>
                <w:i w:val="0"/>
                <w:color w:val="212121"/>
                <w:sz w:val="16"/>
              </w:rPr>
              <w:t>Mass, fibrosis, bronchiectasis; hypoxaemia</w:t>
            </w:r>
          </w:p>
        </w:tc>
        <w:tc>
          <w:tcPr>
            <w:tcW w:type="dxa" w:w="1036"/>
            <w:vAlign w:val="top"/>
          </w:tcPr>
          <w:p>
            <w:pPr>
              <w:spacing w:after="40" w:before="0" w:line="259" w:lineRule="auto"/>
            </w:pPr>
            <w:r>
              <w:rPr>
                <w:rFonts w:ascii="Calibri" w:hAnsi="Calibri"/>
                <w:b w:val="0"/>
                <w:i w:val="0"/>
                <w:color w:val="212121"/>
                <w:sz w:val="16"/>
              </w:rPr>
              <w:t>Identifies cardiopulmonary cause of digital clubbing (including malignancy)</w:t>
            </w:r>
          </w:p>
        </w:tc>
        <w:tc>
          <w:tcPr>
            <w:tcW w:type="dxa" w:w="1036"/>
            <w:vAlign w:val="top"/>
          </w:tcPr>
          <w:p>
            <w:pPr>
              <w:spacing w:after="40" w:before="0" w:line="259" w:lineRule="auto"/>
            </w:pPr>
            <w:r>
              <w:rPr>
                <w:rFonts w:ascii="Calibri" w:hAnsi="Calibri"/>
                <w:b w:val="0"/>
                <w:i w:val="0"/>
                <w:color w:val="212121"/>
                <w:sz w:val="16"/>
              </w:rPr>
              <w:t>Patients with new-onset clubbing, smokers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New clubbing warrants exclusion of lung cancer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 / hepatic</w:t>
            </w:r>
          </w:p>
        </w:tc>
        <w:tc>
          <w:tcPr>
            <w:tcW w:type="dxa" w:w="1036"/>
            <w:vAlign w:val="top"/>
          </w:tcPr>
          <w:p>
            <w:pPr>
              <w:spacing w:after="40" w:before="0" w:line="259" w:lineRule="auto"/>
            </w:pPr>
            <w:r>
              <w:rPr>
                <w:rFonts w:ascii="Calibri" w:hAnsi="Calibri"/>
                <w:b w:val="0"/>
                <w:i w:val="0"/>
                <w:color w:val="212121"/>
                <w:sz w:val="16"/>
              </w:rPr>
              <w:t>ANA, RF, liver function tests</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Negative autoantibodies; normal LFTs</w:t>
            </w:r>
          </w:p>
        </w:tc>
        <w:tc>
          <w:tcPr>
            <w:tcW w:type="dxa" w:w="950"/>
            <w:vAlign w:val="top"/>
          </w:tcPr>
          <w:p>
            <w:pPr>
              <w:spacing w:after="40" w:before="0" w:line="259" w:lineRule="auto"/>
            </w:pPr>
            <w:r>
              <w:rPr>
                <w:rFonts w:ascii="Calibri" w:hAnsi="Calibri"/>
                <w:b w:val="0"/>
                <w:i w:val="0"/>
                <w:color w:val="212121"/>
                <w:sz w:val="16"/>
              </w:rPr>
              <w:t>Positive autoantibodies; deranged LFTs</w:t>
            </w:r>
          </w:p>
        </w:tc>
        <w:tc>
          <w:tcPr>
            <w:tcW w:type="dxa" w:w="1036"/>
            <w:vAlign w:val="top"/>
          </w:tcPr>
          <w:p>
            <w:pPr>
              <w:spacing w:after="40" w:before="0" w:line="259" w:lineRule="auto"/>
            </w:pPr>
            <w:r>
              <w:rPr>
                <w:rFonts w:ascii="Calibri" w:hAnsi="Calibri"/>
                <w:b w:val="0"/>
                <w:i w:val="0"/>
                <w:color w:val="212121"/>
                <w:sz w:val="16"/>
              </w:rPr>
              <w:t>Uncovers connective-tissue disease or cirrhosis behind nail-fold and clubbing changes</w:t>
            </w:r>
          </w:p>
        </w:tc>
        <w:tc>
          <w:tcPr>
            <w:tcW w:type="dxa" w:w="1036"/>
            <w:vAlign w:val="top"/>
          </w:tcPr>
          <w:p>
            <w:pPr>
              <w:spacing w:after="40" w:before="0" w:line="259" w:lineRule="auto"/>
            </w:pPr>
            <w:r>
              <w:rPr>
                <w:rFonts w:ascii="Calibri" w:hAnsi="Calibri"/>
                <w:b w:val="0"/>
                <w:i w:val="0"/>
                <w:color w:val="212121"/>
                <w:sz w:val="16"/>
              </w:rPr>
              <w:t>Patients with nail-fold capillary changes, clubbing, leukonychia</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Pair with nail-fold capillaroscopy where indicated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Onset, distribution and nature of nail change (single vs all nails)</w:t>
            </w:r>
          </w:p>
        </w:tc>
        <w:tc>
          <w:tcPr>
            <w:tcW w:type="dxa" w:w="950"/>
            <w:vAlign w:val="top"/>
          </w:tcPr>
          <w:p>
            <w:pPr>
              <w:spacing w:after="40" w:before="0" w:line="259" w:lineRule="auto"/>
            </w:pPr>
            <w:r>
              <w:rPr>
                <w:rFonts w:ascii="Calibri" w:hAnsi="Calibri"/>
                <w:b w:val="0"/>
                <w:i w:val="0"/>
                <w:color w:val="212121"/>
                <w:sz w:val="16"/>
              </w:rPr>
              <w:t>No nail complaint</w:t>
            </w:r>
          </w:p>
        </w:tc>
        <w:tc>
          <w:tcPr>
            <w:tcW w:type="dxa" w:w="950"/>
            <w:vAlign w:val="top"/>
          </w:tcPr>
          <w:p>
            <w:pPr>
              <w:spacing w:after="40" w:before="0" w:line="259" w:lineRule="auto"/>
            </w:pPr>
            <w:r>
              <w:rPr>
                <w:rFonts w:ascii="Calibri" w:hAnsi="Calibri"/>
                <w:b w:val="0"/>
                <w:i w:val="0"/>
                <w:color w:val="212121"/>
                <w:sz w:val="16"/>
              </w:rPr>
              <w:t>Spoon nails, pits, thickening, lifting or clubbing</w:t>
            </w:r>
          </w:p>
        </w:tc>
        <w:tc>
          <w:tcPr>
            <w:tcW w:type="dxa" w:w="1036"/>
            <w:vAlign w:val="top"/>
          </w:tcPr>
          <w:p>
            <w:pPr>
              <w:spacing w:after="40" w:before="0" w:line="259" w:lineRule="auto"/>
            </w:pPr>
            <w:r>
              <w:rPr>
                <w:rFonts w:ascii="Calibri" w:hAnsi="Calibri"/>
                <w:b w:val="0"/>
                <w:i w:val="0"/>
                <w:color w:val="212121"/>
                <w:sz w:val="16"/>
              </w:rPr>
              <w:t>Single-digit change suggests trauma/tumour; all-nail change suggests systemic cause</w:t>
            </w:r>
          </w:p>
        </w:tc>
        <w:tc>
          <w:tcPr>
            <w:tcW w:type="dxa" w:w="1036"/>
            <w:vAlign w:val="top"/>
          </w:tcPr>
          <w:p>
            <w:pPr>
              <w:spacing w:after="40" w:before="0" w:line="259" w:lineRule="auto"/>
            </w:pPr>
            <w:r>
              <w:rPr>
                <w:rFonts w:ascii="Calibri" w:hAnsi="Calibri"/>
                <w:b w:val="0"/>
                <w:i w:val="0"/>
                <w:color w:val="212121"/>
                <w:sz w:val="16"/>
              </w:rPr>
              <w:t>All patients presenting with nail changes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Photograph nails to track progression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drug &amp; trauma history</w:t>
            </w:r>
          </w:p>
        </w:tc>
        <w:tc>
          <w:tcPr>
            <w:tcW w:type="dxa" w:w="979"/>
            <w:vAlign w:val="top"/>
          </w:tcPr>
          <w:p>
            <w:pPr>
              <w:spacing w:after="40" w:before="0" w:line="259" w:lineRule="auto"/>
            </w:pPr>
            <w:r>
              <w:rPr>
                <w:rFonts w:ascii="Calibri" w:hAnsi="Calibri"/>
                <w:b w:val="0"/>
                <w:i w:val="0"/>
                <w:color w:val="212121"/>
                <w:sz w:val="16"/>
              </w:rPr>
              <w:t>Wet-work, chemicals, cosmetics, retinoids, chemotherapy, nail-biting</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Chronic wet-work / irritant / drug exposure</w:t>
            </w:r>
          </w:p>
        </w:tc>
        <w:tc>
          <w:tcPr>
            <w:tcW w:type="dxa" w:w="1036"/>
            <w:vAlign w:val="top"/>
          </w:tcPr>
          <w:p>
            <w:pPr>
              <w:spacing w:after="40" w:before="0" w:line="259" w:lineRule="auto"/>
            </w:pPr>
            <w:r>
              <w:rPr>
                <w:rFonts w:ascii="Calibri" w:hAnsi="Calibri"/>
                <w:b w:val="0"/>
                <w:i w:val="0"/>
                <w:color w:val="212121"/>
                <w:sz w:val="16"/>
              </w:rPr>
              <w:t>Identifies reversible external causes of onycholysis, brittleness, koilonychia, Beau's lines</w:t>
            </w:r>
          </w:p>
        </w:tc>
        <w:tc>
          <w:tcPr>
            <w:tcW w:type="dxa" w:w="1036"/>
            <w:vAlign w:val="top"/>
          </w:tcPr>
          <w:p>
            <w:pPr>
              <w:spacing w:after="40" w:before="0" w:line="259" w:lineRule="auto"/>
            </w:pPr>
            <w:r>
              <w:rPr>
                <w:rFonts w:ascii="Calibri" w:hAnsi="Calibri"/>
                <w:b w:val="0"/>
                <w:i w:val="0"/>
                <w:color w:val="212121"/>
                <w:sz w:val="16"/>
              </w:rPr>
              <w:t>Wet-work occupations, manicure users, patients on systemic drugs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Beau's lines date a systemic insult by growth rate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review &amp; family history</w:t>
            </w:r>
          </w:p>
        </w:tc>
        <w:tc>
          <w:tcPr>
            <w:tcW w:type="dxa" w:w="979"/>
            <w:vAlign w:val="top"/>
          </w:tcPr>
          <w:p>
            <w:pPr>
              <w:spacing w:after="40" w:before="0" w:line="259" w:lineRule="auto"/>
            </w:pPr>
            <w:r>
              <w:rPr>
                <w:rFonts w:ascii="Calibri" w:hAnsi="Calibri"/>
                <w:b w:val="0"/>
                <w:i w:val="0"/>
                <w:color w:val="212121"/>
                <w:sz w:val="16"/>
              </w:rPr>
              <w:t>Psoriasis, alopecia areata, anaemia symptoms, respiratory/cardiac/GI disease</w:t>
            </w:r>
          </w:p>
        </w:tc>
        <w:tc>
          <w:tcPr>
            <w:tcW w:type="dxa" w:w="950"/>
            <w:vAlign w:val="top"/>
          </w:tcPr>
          <w:p>
            <w:pPr>
              <w:spacing w:after="40" w:before="0" w:line="259" w:lineRule="auto"/>
            </w:pPr>
            <w:r>
              <w:rPr>
                <w:rFonts w:ascii="Calibri" w:hAnsi="Calibri"/>
                <w:b w:val="0"/>
                <w:i w:val="0"/>
                <w:color w:val="212121"/>
                <w:sz w:val="16"/>
              </w:rPr>
              <w:t>Nil relevant</w:t>
            </w:r>
          </w:p>
        </w:tc>
        <w:tc>
          <w:tcPr>
            <w:tcW w:type="dxa" w:w="950"/>
            <w:vAlign w:val="top"/>
          </w:tcPr>
          <w:p>
            <w:pPr>
              <w:spacing w:after="40" w:before="0" w:line="259" w:lineRule="auto"/>
            </w:pPr>
            <w:r>
              <w:rPr>
                <w:rFonts w:ascii="Calibri" w:hAnsi="Calibri"/>
                <w:b w:val="0"/>
                <w:i w:val="0"/>
                <w:color w:val="212121"/>
                <w:sz w:val="16"/>
              </w:rPr>
              <w:t>Positive personal or family history</w:t>
            </w:r>
          </w:p>
        </w:tc>
        <w:tc>
          <w:tcPr>
            <w:tcW w:type="dxa" w:w="1036"/>
            <w:vAlign w:val="top"/>
          </w:tcPr>
          <w:p>
            <w:pPr>
              <w:spacing w:after="40" w:before="0" w:line="259" w:lineRule="auto"/>
            </w:pPr>
            <w:r>
              <w:rPr>
                <w:rFonts w:ascii="Calibri" w:hAnsi="Calibri"/>
                <w:b w:val="0"/>
                <w:i w:val="0"/>
                <w:color w:val="212121"/>
                <w:sz w:val="16"/>
              </w:rPr>
              <w:t>Directs search for the systemic disorder announced by the nail sign</w:t>
            </w:r>
          </w:p>
        </w:tc>
        <w:tc>
          <w:tcPr>
            <w:tcW w:type="dxa" w:w="1036"/>
            <w:vAlign w:val="top"/>
          </w:tcPr>
          <w:p>
            <w:pPr>
              <w:spacing w:after="40" w:before="0" w:line="259" w:lineRule="auto"/>
            </w:pPr>
            <w:r>
              <w:rPr>
                <w:rFonts w:ascii="Calibri" w:hAnsi="Calibri"/>
                <w:b w:val="0"/>
                <w:i w:val="0"/>
                <w:color w:val="212121"/>
                <w:sz w:val="16"/>
              </w:rPr>
              <w:t>Patients with pitting, koilonychia or clubbing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of familial nail/skin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Schamroth window test &amp; Lovibond angle</w:t>
            </w:r>
          </w:p>
        </w:tc>
        <w:tc>
          <w:tcPr>
            <w:tcW w:type="dxa" w:w="979"/>
            <w:vAlign w:val="top"/>
          </w:tcPr>
          <w:p>
            <w:pPr>
              <w:spacing w:after="40" w:before="0" w:line="259" w:lineRule="auto"/>
            </w:pPr>
            <w:r>
              <w:rPr>
                <w:rFonts w:ascii="Calibri" w:hAnsi="Calibri"/>
                <w:b w:val="0"/>
                <w:i w:val="0"/>
                <w:color w:val="212121"/>
                <w:sz w:val="16"/>
              </w:rPr>
              <w:t>Nail-fold profile angle and diamond-shaped window</w:t>
            </w:r>
          </w:p>
        </w:tc>
        <w:tc>
          <w:tcPr>
            <w:tcW w:type="dxa" w:w="950"/>
            <w:vAlign w:val="top"/>
          </w:tcPr>
          <w:p>
            <w:pPr>
              <w:spacing w:after="40" w:before="0" w:line="259" w:lineRule="auto"/>
            </w:pPr>
            <w:r>
              <w:rPr>
                <w:rFonts w:ascii="Calibri" w:hAnsi="Calibri"/>
                <w:b w:val="0"/>
                <w:i w:val="0"/>
                <w:color w:val="212121"/>
                <w:sz w:val="16"/>
              </w:rPr>
              <w:t>Angle &lt; 160°; window present</w:t>
            </w:r>
          </w:p>
        </w:tc>
        <w:tc>
          <w:tcPr>
            <w:tcW w:type="dxa" w:w="950"/>
            <w:vAlign w:val="top"/>
          </w:tcPr>
          <w:p>
            <w:pPr>
              <w:spacing w:after="40" w:before="0" w:line="259" w:lineRule="auto"/>
            </w:pPr>
            <w:r>
              <w:rPr>
                <w:rFonts w:ascii="Calibri" w:hAnsi="Calibri"/>
                <w:b w:val="0"/>
                <w:i w:val="0"/>
                <w:color w:val="212121"/>
                <w:sz w:val="16"/>
              </w:rPr>
              <w:t>Angle &gt; 180°; window obliterated</w:t>
            </w:r>
          </w:p>
        </w:tc>
        <w:tc>
          <w:tcPr>
            <w:tcW w:type="dxa" w:w="1036"/>
            <w:vAlign w:val="top"/>
          </w:tcPr>
          <w:p>
            <w:pPr>
              <w:spacing w:after="40" w:before="0" w:line="259" w:lineRule="auto"/>
            </w:pPr>
            <w:r>
              <w:rPr>
                <w:rFonts w:ascii="Calibri" w:hAnsi="Calibri"/>
                <w:b w:val="0"/>
                <w:i w:val="0"/>
                <w:color w:val="212121"/>
                <w:sz w:val="16"/>
              </w:rPr>
              <w:t>Objectively confirms digital clubbing at the bedside</w:t>
            </w:r>
          </w:p>
        </w:tc>
        <w:tc>
          <w:tcPr>
            <w:tcW w:type="dxa" w:w="1036"/>
            <w:vAlign w:val="top"/>
          </w:tcPr>
          <w:p>
            <w:pPr>
              <w:spacing w:after="40" w:before="0" w:line="259" w:lineRule="auto"/>
            </w:pPr>
            <w:r>
              <w:rPr>
                <w:rFonts w:ascii="Calibri" w:hAnsi="Calibri"/>
                <w:b w:val="0"/>
                <w:i w:val="0"/>
                <w:color w:val="212121"/>
                <w:sz w:val="16"/>
              </w:rPr>
              <w:t>Patients with suspected clubbing, chronic smokers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bilaterally; unilateral clubbing suggests local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Koilonychia water-drop test &amp; pallor check</w:t>
            </w:r>
          </w:p>
        </w:tc>
        <w:tc>
          <w:tcPr>
            <w:tcW w:type="dxa" w:w="979"/>
            <w:vAlign w:val="top"/>
          </w:tcPr>
          <w:p>
            <w:pPr>
              <w:spacing w:after="40" w:before="0" w:line="259" w:lineRule="auto"/>
            </w:pPr>
            <w:r>
              <w:rPr>
                <w:rFonts w:ascii="Calibri" w:hAnsi="Calibri"/>
                <w:b w:val="0"/>
                <w:i w:val="0"/>
                <w:color w:val="212121"/>
                <w:sz w:val="16"/>
              </w:rPr>
              <w:t>Nail concavity plus conjunctival/palmar pallor and glossitis</w:t>
            </w:r>
          </w:p>
        </w:tc>
        <w:tc>
          <w:tcPr>
            <w:tcW w:type="dxa" w:w="950"/>
            <w:vAlign w:val="top"/>
          </w:tcPr>
          <w:p>
            <w:pPr>
              <w:spacing w:after="40" w:before="0" w:line="259" w:lineRule="auto"/>
            </w:pPr>
            <w:r>
              <w:rPr>
                <w:rFonts w:ascii="Calibri" w:hAnsi="Calibri"/>
                <w:b w:val="0"/>
                <w:i w:val="0"/>
                <w:color w:val="212121"/>
                <w:sz w:val="16"/>
              </w:rPr>
              <w:t>Convex nail; no pallor</w:t>
            </w:r>
          </w:p>
        </w:tc>
        <w:tc>
          <w:tcPr>
            <w:tcW w:type="dxa" w:w="950"/>
            <w:vAlign w:val="top"/>
          </w:tcPr>
          <w:p>
            <w:pPr>
              <w:spacing w:after="40" w:before="0" w:line="259" w:lineRule="auto"/>
            </w:pPr>
            <w:r>
              <w:rPr>
                <w:rFonts w:ascii="Calibri" w:hAnsi="Calibri"/>
                <w:b w:val="0"/>
                <w:i w:val="0"/>
                <w:color w:val="212121"/>
                <w:sz w:val="16"/>
              </w:rPr>
              <w:t>Spoon nail holds a water drop; pallor present</w:t>
            </w:r>
          </w:p>
        </w:tc>
        <w:tc>
          <w:tcPr>
            <w:tcW w:type="dxa" w:w="1036"/>
            <w:vAlign w:val="top"/>
          </w:tcPr>
          <w:p>
            <w:pPr>
              <w:spacing w:after="40" w:before="0" w:line="259" w:lineRule="auto"/>
            </w:pPr>
            <w:r>
              <w:rPr>
                <w:rFonts w:ascii="Calibri" w:hAnsi="Calibri"/>
                <w:b w:val="0"/>
                <w:i w:val="0"/>
                <w:color w:val="212121"/>
                <w:sz w:val="16"/>
              </w:rPr>
              <w:t>Links koilonychia to iron-deficiency anaemia and prompts blood work</w:t>
            </w:r>
          </w:p>
        </w:tc>
        <w:tc>
          <w:tcPr>
            <w:tcW w:type="dxa" w:w="1036"/>
            <w:vAlign w:val="top"/>
          </w:tcPr>
          <w:p>
            <w:pPr>
              <w:spacing w:after="40" w:before="0" w:line="259" w:lineRule="auto"/>
            </w:pPr>
            <w:r>
              <w:rPr>
                <w:rFonts w:ascii="Calibri" w:hAnsi="Calibri"/>
                <w:b w:val="0"/>
                <w:i w:val="0"/>
                <w:color w:val="212121"/>
                <w:sz w:val="16"/>
              </w:rPr>
              <w:t>Women of reproductive age, vegetarians, anaemic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Look for angular stomatitis and koilonychia together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Onychoscopy / dermoscopy &amp; full skin exam</w:t>
            </w:r>
          </w:p>
        </w:tc>
        <w:tc>
          <w:tcPr>
            <w:tcW w:type="dxa" w:w="979"/>
            <w:vAlign w:val="top"/>
          </w:tcPr>
          <w:p>
            <w:pPr>
              <w:spacing w:after="40" w:before="0" w:line="259" w:lineRule="auto"/>
            </w:pPr>
            <w:r>
              <w:rPr>
                <w:rFonts w:ascii="Calibri" w:hAnsi="Calibri"/>
                <w:b w:val="0"/>
                <w:i w:val="0"/>
                <w:color w:val="212121"/>
                <w:sz w:val="16"/>
              </w:rPr>
              <w:t>Plate surface (pits, oil-drop), splinter haemorrhages, nail-fold capillaries, scalp/skin</w:t>
            </w:r>
          </w:p>
        </w:tc>
        <w:tc>
          <w:tcPr>
            <w:tcW w:type="dxa" w:w="950"/>
            <w:vAlign w:val="top"/>
          </w:tcPr>
          <w:p>
            <w:pPr>
              <w:spacing w:after="40" w:before="0" w:line="259" w:lineRule="auto"/>
            </w:pPr>
            <w:r>
              <w:rPr>
                <w:rFonts w:ascii="Calibri" w:hAnsi="Calibri"/>
                <w:b w:val="0"/>
                <w:i w:val="0"/>
                <w:color w:val="212121"/>
                <w:sz w:val="16"/>
              </w:rPr>
              <w:t>Normal plate and folds</w:t>
            </w:r>
          </w:p>
        </w:tc>
        <w:tc>
          <w:tcPr>
            <w:tcW w:type="dxa" w:w="950"/>
            <w:vAlign w:val="top"/>
          </w:tcPr>
          <w:p>
            <w:pPr>
              <w:spacing w:after="40" w:before="0" w:line="259" w:lineRule="auto"/>
            </w:pPr>
            <w:r>
              <w:rPr>
                <w:rFonts w:ascii="Calibri" w:hAnsi="Calibri"/>
                <w:b w:val="0"/>
                <w:i w:val="0"/>
                <w:color w:val="212121"/>
                <w:sz w:val="16"/>
              </w:rPr>
              <w:t>Pits, salmon patch, splinter haemorrhages, capillary changes</w:t>
            </w:r>
          </w:p>
        </w:tc>
        <w:tc>
          <w:tcPr>
            <w:tcW w:type="dxa" w:w="1036"/>
            <w:vAlign w:val="top"/>
          </w:tcPr>
          <w:p>
            <w:pPr>
              <w:spacing w:after="40" w:before="0" w:line="259" w:lineRule="auto"/>
            </w:pPr>
            <w:r>
              <w:rPr>
                <w:rFonts w:ascii="Calibri" w:hAnsi="Calibri"/>
                <w:b w:val="0"/>
                <w:i w:val="0"/>
                <w:color w:val="212121"/>
                <w:sz w:val="16"/>
              </w:rPr>
              <w:t>Refines the cause (psoriasis vs alopecia areata vs connective-tissue disease)</w:t>
            </w:r>
          </w:p>
        </w:tc>
        <w:tc>
          <w:tcPr>
            <w:tcW w:type="dxa" w:w="1036"/>
            <w:vAlign w:val="top"/>
          </w:tcPr>
          <w:p>
            <w:pPr>
              <w:spacing w:after="40" w:before="0" w:line="259" w:lineRule="auto"/>
            </w:pPr>
            <w:r>
              <w:rPr>
                <w:rFonts w:ascii="Calibri" w:hAnsi="Calibri"/>
                <w:b w:val="0"/>
                <w:i w:val="0"/>
                <w:color w:val="212121"/>
                <w:sz w:val="16"/>
              </w:rPr>
              <w:t>Patients with surface nail changes or nail-fold signs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all 20 nails plus scalp, elbows and knees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Spoon-shaped / upturned nails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Koilonychia — thin concave nails that patients notice can cradle a drop of water; suggests iron deficiency.</w:t>
            </w:r>
          </w:p>
        </w:tc>
      </w:tr>
      <w:tr>
        <w:trPr>
          <w:cantSplit/>
        </w:trPr>
        <w:tc>
          <w:tcPr>
            <w:tcW w:type="dxa" w:w="2304"/>
            <w:vAlign w:val="top"/>
          </w:tcPr>
          <w:p>
            <w:pPr>
              <w:spacing w:after="40" w:before="0" w:line="259" w:lineRule="auto"/>
            </w:pPr>
            <w:r>
              <w:rPr>
                <w:rFonts w:ascii="Calibri" w:hAnsi="Calibri"/>
                <w:b/>
                <w:i w:val="0"/>
                <w:color w:val="212121"/>
                <w:sz w:val="19"/>
              </w:rPr>
              <w:t>Thin, soft, easily-bent nails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plate strength from iron/protein deficiency or chronic wet-work.</w:t>
            </w:r>
          </w:p>
        </w:tc>
      </w:tr>
      <w:tr>
        <w:trPr>
          <w:cantSplit/>
        </w:trPr>
        <w:tc>
          <w:tcPr>
            <w:tcW w:type="dxa" w:w="2304"/>
            <w:vAlign w:val="top"/>
          </w:tcPr>
          <w:p>
            <w:pPr>
              <w:spacing w:after="40" w:before="0" w:line="259" w:lineRule="auto"/>
            </w:pPr>
            <w:r>
              <w:rPr>
                <w:rFonts w:ascii="Calibri" w:hAnsi="Calibri"/>
                <w:b/>
                <w:i w:val="0"/>
                <w:color w:val="212121"/>
                <w:sz w:val="19"/>
              </w:rPr>
              <w:t>Thickened, discoloured (yellow/white/brown) nails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for onychomycosis with subungual debris; the commonest nail complaint.</w:t>
            </w:r>
          </w:p>
        </w:tc>
      </w:tr>
      <w:tr>
        <w:trPr>
          <w:cantSplit/>
        </w:trPr>
        <w:tc>
          <w:tcPr>
            <w:tcW w:type="dxa" w:w="2304"/>
            <w:vAlign w:val="top"/>
          </w:tcPr>
          <w:p>
            <w:pPr>
              <w:spacing w:after="40" w:before="0" w:line="259" w:lineRule="auto"/>
            </w:pPr>
            <w:r>
              <w:rPr>
                <w:rFonts w:ascii="Calibri" w:hAnsi="Calibri"/>
                <w:b/>
                <w:i w:val="0"/>
                <w:color w:val="212121"/>
                <w:sz w:val="19"/>
              </w:rPr>
              <w:t>Brittle, splitting or flaking nails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Onychorrhexis / onychoschizia from ageing, deficiency, thyroid disease or irritant exposure.</w:t>
            </w:r>
          </w:p>
        </w:tc>
      </w:tr>
      <w:tr>
        <w:trPr>
          <w:cantSplit/>
        </w:trPr>
        <w:tc>
          <w:tcPr>
            <w:tcW w:type="dxa" w:w="2304"/>
            <w:vAlign w:val="top"/>
          </w:tcPr>
          <w:p>
            <w:pPr>
              <w:spacing w:after="40" w:before="0" w:line="259" w:lineRule="auto"/>
            </w:pPr>
            <w:r>
              <w:rPr>
                <w:rFonts w:ascii="Calibri" w:hAnsi="Calibri"/>
                <w:b/>
                <w:i w:val="0"/>
                <w:color w:val="212121"/>
                <w:sz w:val="19"/>
              </w:rPr>
              <w:t>Small surface dents or pits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Patient-noticed pitting of the plate, typical of psoriasis and alopecia areata.</w:t>
            </w:r>
          </w:p>
        </w:tc>
      </w:tr>
      <w:tr>
        <w:trPr>
          <w:cantSplit/>
        </w:trPr>
        <w:tc>
          <w:tcPr>
            <w:tcW w:type="dxa" w:w="2304"/>
            <w:vAlign w:val="top"/>
          </w:tcPr>
          <w:p>
            <w:pPr>
              <w:spacing w:after="40" w:before="0" w:line="259" w:lineRule="auto"/>
            </w:pPr>
            <w:r>
              <w:rPr>
                <w:rFonts w:ascii="Calibri" w:hAnsi="Calibri"/>
                <w:b/>
                <w:i w:val="0"/>
                <w:color w:val="212121"/>
                <w:sz w:val="19"/>
              </w:rPr>
              <w:t>Nail lifting or a gap under the nail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Onycholysis — separation of the plate from the bed, from psoriasis, trauma or infection.</w:t>
            </w:r>
          </w:p>
        </w:tc>
      </w:tr>
      <w:tr>
        <w:trPr>
          <w:cantSplit/>
        </w:trPr>
        <w:tc>
          <w:tcPr>
            <w:tcW w:type="dxa" w:w="2304"/>
            <w:vAlign w:val="top"/>
          </w:tcPr>
          <w:p>
            <w:pPr>
              <w:spacing w:after="40" w:before="0" w:line="259" w:lineRule="auto"/>
            </w:pPr>
            <w:r>
              <w:rPr>
                <w:rFonts w:ascii="Calibri" w:hAnsi="Calibri"/>
                <w:b/>
                <w:i w:val="0"/>
                <w:color w:val="212121"/>
                <w:sz w:val="19"/>
              </w:rPr>
              <w:t>Bulbous, enlarged fingertips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Clubbing — swelling and increased nail curvature signalling cardiopulmonary or GI disease.</w:t>
            </w:r>
          </w:p>
        </w:tc>
      </w:tr>
      <w:tr>
        <w:trPr>
          <w:cantSplit/>
        </w:trPr>
        <w:tc>
          <w:tcPr>
            <w:tcW w:type="dxa" w:w="2304"/>
            <w:vAlign w:val="top"/>
          </w:tcPr>
          <w:p>
            <w:pPr>
              <w:spacing w:after="40" w:before="0" w:line="259" w:lineRule="auto"/>
            </w:pPr>
            <w:r>
              <w:rPr>
                <w:rFonts w:ascii="Calibri" w:hAnsi="Calibri"/>
                <w:b/>
                <w:i w:val="0"/>
                <w:color w:val="212121"/>
                <w:sz w:val="19"/>
              </w:rPr>
              <w:t>Pain, tenderness or swelling around the nail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Paronychia — inflammation of the nail fold, acute (bacterial) or chronic (wet-work/candidal).</w:t>
            </w:r>
          </w:p>
        </w:tc>
      </w:tr>
      <w:tr>
        <w:trPr>
          <w:cantSplit/>
        </w:trPr>
        <w:tc>
          <w:tcPr>
            <w:tcW w:type="dxa" w:w="2304"/>
            <w:vAlign w:val="top"/>
          </w:tcPr>
          <w:p>
            <w:pPr>
              <w:spacing w:after="40" w:before="0" w:line="259" w:lineRule="auto"/>
            </w:pPr>
            <w:r>
              <w:rPr>
                <w:rFonts w:ascii="Calibri" w:hAnsi="Calibri"/>
                <w:b/>
                <w:i w:val="0"/>
                <w:color w:val="212121"/>
                <w:sz w:val="19"/>
              </w:rPr>
              <w:t>Fatigue, breathlessness or pallor with nail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symptoms accompanying koilonychia (anaemia) or clubbing (hypoxia).</w:t>
            </w:r>
          </w:p>
        </w:tc>
      </w:tr>
      <w:tr>
        <w:trPr>
          <w:cantSplit/>
        </w:trPr>
        <w:tc>
          <w:tcPr>
            <w:tcW w:type="dxa" w:w="2304"/>
            <w:vAlign w:val="top"/>
          </w:tcPr>
          <w:p>
            <w:pPr>
              <w:spacing w:after="40" w:before="0" w:line="259" w:lineRule="auto"/>
            </w:pPr>
            <w:r>
              <w:rPr>
                <w:rFonts w:ascii="Calibri" w:hAnsi="Calibri"/>
                <w:b/>
                <w:i w:val="0"/>
                <w:color w:val="212121"/>
                <w:sz w:val="19"/>
              </w:rPr>
              <w:t>Compulsive nail-biting / picking with ridging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Onychophagia / habit-tic deformity linked to anxiety and stress.</w:t>
            </w:r>
          </w:p>
        </w:tc>
      </w:tr>
      <w:tr>
        <w:trPr>
          <w:cantSplit/>
        </w:trPr>
        <w:tc>
          <w:tcPr>
            <w:tcW w:type="dxa" w:w="2304"/>
            <w:vAlign w:val="top"/>
          </w:tcPr>
          <w:p>
            <w:pPr>
              <w:spacing w:after="40" w:before="0" w:line="259" w:lineRule="auto"/>
            </w:pPr>
            <w:r>
              <w:rPr>
                <w:rFonts w:ascii="Calibri" w:hAnsi="Calibri"/>
                <w:b/>
                <w:i w:val="0"/>
                <w:color w:val="212121"/>
                <w:sz w:val="19"/>
              </w:rPr>
              <w:t>Complete shedding or loss of a nail</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Onychomadesis — proximal separation after severe illness, drugs or trauma.</w:t>
            </w:r>
          </w:p>
        </w:tc>
      </w:tr>
      <w:tr>
        <w:trPr>
          <w:cantSplit/>
        </w:trPr>
        <w:tc>
          <w:tcPr>
            <w:tcW w:type="dxa" w:w="2304"/>
            <w:vAlign w:val="top"/>
          </w:tcPr>
          <w:p>
            <w:pPr>
              <w:spacing w:after="40" w:before="0" w:line="259" w:lineRule="auto"/>
            </w:pPr>
            <w:r>
              <w:rPr>
                <w:rFonts w:ascii="Calibri" w:hAnsi="Calibri"/>
                <w:b/>
                <w:i w:val="0"/>
                <w:color w:val="212121"/>
                <w:sz w:val="19"/>
              </w:rPr>
              <w:t>A new dark streak under the nail</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Longitudinal melanonychia — usually benign but must exclude subungual melanoma, especially if a single, widening band.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Nail pitting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Punctate depressions of the plate from proximal-matrix parakeratosis; deep/irregular in psoriasis, shallow/geometric in alopecia areata.</w:t>
            </w:r>
          </w:p>
        </w:tc>
      </w:tr>
      <w:tr>
        <w:trPr>
          <w:cantSplit/>
        </w:trPr>
        <w:tc>
          <w:tcPr>
            <w:tcW w:type="dxa" w:w="3456"/>
            <w:vAlign w:val="top"/>
          </w:tcPr>
          <w:p>
            <w:pPr>
              <w:spacing w:after="40" w:before="0" w:line="259" w:lineRule="auto"/>
            </w:pPr>
            <w:r>
              <w:rPr>
                <w:rFonts w:ascii="Calibri" w:hAnsi="Calibri"/>
                <w:b/>
                <w:i w:val="0"/>
                <w:color w:val="212121"/>
                <w:sz w:val="19"/>
              </w:rPr>
              <w:t>Koilonychia (spoon nail)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Thin, flattened then concave nail with a positive water-drop test — hallmark of iron-deficiency anaemia.</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nail-fold (Lovibond) angle &gt; 180°, positive Schamroth window and spongy nail bed.</w:t>
            </w:r>
          </w:p>
        </w:tc>
      </w:tr>
      <w:tr>
        <w:trPr>
          <w:cantSplit/>
        </w:trPr>
        <w:tc>
          <w:tcPr>
            <w:tcW w:type="dxa" w:w="3456"/>
            <w:vAlign w:val="top"/>
          </w:tcPr>
          <w:p>
            <w:pPr>
              <w:spacing w:after="40" w:before="0" w:line="259" w:lineRule="auto"/>
            </w:pPr>
            <w:r>
              <w:rPr>
                <w:rFonts w:ascii="Calibri" w:hAnsi="Calibri"/>
                <w:b/>
                <w:i w:val="0"/>
                <w:color w:val="212121"/>
                <w:sz w:val="19"/>
              </w:rPr>
              <w:t>Onycholysis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Distal/lateral separation of plate from bed producing a white-yellow zone; psoriasis, trauma, thyroid disease, infection.</w:t>
            </w:r>
          </w:p>
        </w:tc>
      </w:tr>
      <w:tr>
        <w:trPr>
          <w:cantSplit/>
        </w:trPr>
        <w:tc>
          <w:tcPr>
            <w:tcW w:type="dxa" w:w="3456"/>
            <w:vAlign w:val="top"/>
          </w:tcPr>
          <w:p>
            <w:pPr>
              <w:spacing w:after="40" w:before="0" w:line="259" w:lineRule="auto"/>
            </w:pPr>
            <w:r>
              <w:rPr>
                <w:rFonts w:ascii="Calibri" w:hAnsi="Calibri"/>
                <w:b/>
                <w:i w:val="0"/>
                <w:color w:val="212121"/>
                <w:sz w:val="19"/>
              </w:rPr>
              <w:t>Oil-drop (salmon) patch &amp; subungual hyperkeratosis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Translucent yellow-pink discolouration and heaped-up subungual keratin — specific for nail psoriasis.</w:t>
            </w:r>
          </w:p>
        </w:tc>
      </w:tr>
      <w:tr>
        <w:trPr>
          <w:cantSplit/>
        </w:trPr>
        <w:tc>
          <w:tcPr>
            <w:tcW w:type="dxa" w:w="3456"/>
            <w:vAlign w:val="top"/>
          </w:tcPr>
          <w:p>
            <w:pPr>
              <w:spacing w:after="40" w:before="0" w:line="259" w:lineRule="auto"/>
            </w:pPr>
            <w:r>
              <w:rPr>
                <w:rFonts w:ascii="Calibri" w:hAnsi="Calibri"/>
                <w:b/>
                <w:i w:val="0"/>
                <w:color w:val="212121"/>
                <w:sz w:val="19"/>
              </w:rPr>
              <w:t>Onychomycotic dystrophy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Thick, crumbly, yellow-brown nail with subungual debris; KOH/culture positive.</w:t>
            </w:r>
          </w:p>
        </w:tc>
      </w:tr>
      <w:tr>
        <w:trPr>
          <w:cantSplit/>
        </w:trPr>
        <w:tc>
          <w:tcPr>
            <w:tcW w:type="dxa" w:w="3456"/>
            <w:vAlign w:val="top"/>
          </w:tcPr>
          <w:p>
            <w:pPr>
              <w:spacing w:after="40" w:before="0" w:line="259" w:lineRule="auto"/>
            </w:pPr>
            <w:r>
              <w:rPr>
                <w:rFonts w:ascii="Calibri" w:hAnsi="Calibri"/>
                <w:b/>
                <w:i w:val="0"/>
                <w:color w:val="212121"/>
                <w:sz w:val="19"/>
              </w:rPr>
              <w:t>Beau's lines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Transverse grooves marking temporary matrix arrest from systemic illness, high fever or chemotherapy.</w:t>
            </w:r>
          </w:p>
        </w:tc>
      </w:tr>
      <w:tr>
        <w:trPr>
          <w:cantSplit/>
        </w:trPr>
        <w:tc>
          <w:tcPr>
            <w:tcW w:type="dxa" w:w="3456"/>
            <w:vAlign w:val="top"/>
          </w:tcPr>
          <w:p>
            <w:pPr>
              <w:spacing w:after="40" w:before="0" w:line="259" w:lineRule="auto"/>
            </w:pPr>
            <w:r>
              <w:rPr>
                <w:rFonts w:ascii="Calibri" w:hAnsi="Calibri"/>
                <w:b/>
                <w:i w:val="0"/>
                <w:color w:val="212121"/>
                <w:sz w:val="19"/>
              </w:rPr>
              <w:t>Splinter haemorrhages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Longitudinal red-brown streaks from nail-bed capillary damage; trauma, psoriasis, endocarditis, vasculitis.</w:t>
            </w:r>
          </w:p>
        </w:tc>
      </w:tr>
      <w:tr>
        <w:trPr>
          <w:cantSplit/>
        </w:trPr>
        <w:tc>
          <w:tcPr>
            <w:tcW w:type="dxa" w:w="3456"/>
            <w:vAlign w:val="top"/>
          </w:tcPr>
          <w:p>
            <w:pPr>
              <w:spacing w:after="40" w:before="0" w:line="259" w:lineRule="auto"/>
            </w:pPr>
            <w:r>
              <w:rPr>
                <w:rFonts w:ascii="Calibri" w:hAnsi="Calibri"/>
                <w:b/>
                <w:i w:val="0"/>
                <w:color w:val="212121"/>
                <w:sz w:val="19"/>
              </w:rPr>
              <w:t>Leukonychia (incl. Terry's / Muehrcke's)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White discolouration signalling trauma, hypoalbuminaemia, hepatic or renal disease.</w:t>
            </w:r>
          </w:p>
        </w:tc>
      </w:tr>
      <w:tr>
        <w:trPr>
          <w:cantSplit/>
        </w:trPr>
        <w:tc>
          <w:tcPr>
            <w:tcW w:type="dxa" w:w="3456"/>
            <w:vAlign w:val="top"/>
          </w:tcPr>
          <w:p>
            <w:pPr>
              <w:spacing w:after="40" w:before="0" w:line="259" w:lineRule="auto"/>
            </w:pPr>
            <w:r>
              <w:rPr>
                <w:rFonts w:ascii="Calibri" w:hAnsi="Calibri"/>
                <w:b/>
                <w:i w:val="0"/>
                <w:color w:val="212121"/>
                <w:sz w:val="19"/>
              </w:rPr>
              <w:t>Trachyonychia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Rough, longitudinally ridged “sandpaper” nails; alopecia areata, psoriasis, lichen planus.</w:t>
            </w:r>
          </w:p>
        </w:tc>
      </w:tr>
      <w:tr>
        <w:trPr>
          <w:cantSplit/>
        </w:trPr>
        <w:tc>
          <w:tcPr>
            <w:tcW w:type="dxa" w:w="3456"/>
            <w:vAlign w:val="top"/>
          </w:tcPr>
          <w:p>
            <w:pPr>
              <w:spacing w:after="40" w:before="0" w:line="259" w:lineRule="auto"/>
            </w:pPr>
            <w:r>
              <w:rPr>
                <w:rFonts w:ascii="Calibri" w:hAnsi="Calibri"/>
                <w:b/>
                <w:i w:val="0"/>
                <w:color w:val="212121"/>
                <w:sz w:val="19"/>
              </w:rPr>
              <w:t>Longitudinal melanonychia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Pigmented band; benign in many, but a single widening band with periungual spread (Hutchinson sign) suggests melanoma.</w:t>
            </w:r>
          </w:p>
        </w:tc>
      </w:tr>
      <w:tr>
        <w:trPr>
          <w:cantSplit/>
        </w:trPr>
        <w:tc>
          <w:tcPr>
            <w:tcW w:type="dxa" w:w="3456"/>
            <w:vAlign w:val="top"/>
          </w:tcPr>
          <w:p>
            <w:pPr>
              <w:spacing w:after="40" w:before="0" w:line="259" w:lineRule="auto"/>
            </w:pPr>
            <w:r>
              <w:rPr>
                <w:rFonts w:ascii="Calibri" w:hAnsi="Calibri"/>
                <w:b/>
                <w:i w:val="0"/>
                <w:color w:val="212121"/>
                <w:sz w:val="19"/>
              </w:rPr>
              <w:t>Pterygium / anonychia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Scarring fusion of proximal fold to bed or permanent nail loss, e.g. lichen planus — an irreversible outcome.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 disfigurement and psychosocial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pain and impaired fine-motor / grip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paronychia and secondary bacterial infection of the nail folds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Ingrowing nail with granulation and recurrent inflammation</w:t>
            </w:r>
          </w:p>
        </w:tc>
        <w:tc>
          <w:tcPr>
            <w:tcW w:type="dxa" w:w="2980"/>
            <w:vAlign w:val="top"/>
          </w:tcPr>
          <w:p>
            <w:pPr>
              <w:spacing w:after="40" w:before="0" w:line="259" w:lineRule="auto"/>
            </w:pPr>
            <w:r>
              <w:rPr>
                <w:rFonts w:ascii="Calibri" w:hAnsi="Calibri"/>
                <w:b w:val="0"/>
                <w:i w:val="0"/>
                <w:color w:val="212121"/>
                <w:sz w:val="19"/>
              </w:rPr>
              <w:t>Direct local consequences of the nail abnormality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Missed systemic disease flagged by the nail sign (iron-deficiency anaemia, chronic hypoxia,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matrix damage with fixed dystrophy, ridging or pterygium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of onychomycosis to other nails, skin (tinea) and 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diagnosis of malignancy — lung cancer behind clubbing, subungual melanoma behind melanonychia</w:t>
            </w:r>
          </w:p>
        </w:tc>
        <w:tc>
          <w:tcPr>
            <w:tcW w:type="dxa" w:w="2980"/>
            <w:vAlign w:val="top"/>
          </w:tcPr>
          <w:p>
            <w:pPr>
              <w:spacing w:after="40" w:before="0" w:line="259" w:lineRule="auto"/>
            </w:pPr>
            <w:r>
              <w:rPr>
                <w:rFonts w:ascii="Calibri" w:hAnsi="Calibri"/>
                <w:b w:val="0"/>
                <w:i w:val="0"/>
                <w:color w:val="212121"/>
                <w:sz w:val="19"/>
              </w:rPr>
              <w:t>Consequences of the underlying disorder or of untreated infection/inflammation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outcomes of undiagnosed underlying disease (advanced malignancy, cor pulmonale, severe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nail loss (anonychia) with functional and cosmetic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Cellulitis, osteomyelitis or digital abscess from severe periungual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foot ulceration and, rarely, amputation seeded by nail-unit infection</w:t>
            </w:r>
          </w:p>
        </w:tc>
        <w:tc>
          <w:tcPr>
            <w:tcW w:type="dxa" w:w="2980"/>
            <w:vAlign w:val="top"/>
          </w:tcPr>
          <w:p>
            <w:pPr>
              <w:spacing w:after="40" w:before="0" w:line="259" w:lineRule="auto"/>
            </w:pPr>
            <w:r>
              <w:rPr>
                <w:rFonts w:ascii="Calibri" w:hAnsi="Calibri"/>
                <w:b w:val="0"/>
                <w:i w:val="0"/>
                <w:color w:val="212121"/>
                <w:sz w:val="19"/>
              </w:rPr>
              <w:t>Irreversible, disabling end-results of longstanding secondary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Koilonychia and brittle nails are classic peripheral signs of chronic iron deficiency; nails often improve with iron replacement.</w:t>
            </w:r>
          </w:p>
        </w:tc>
      </w:tr>
      <w:tr>
        <w:trPr>
          <w:cantSplit/>
        </w:trPr>
        <w:tc>
          <w:tcPr>
            <w:tcW w:type="dxa" w:w="2232"/>
            <w:vAlign w:val="top"/>
          </w:tcPr>
          <w:p>
            <w:pPr>
              <w:spacing w:after="40" w:before="0" w:line="259" w:lineRule="auto"/>
            </w:pPr>
            <w:r>
              <w:rPr>
                <w:rFonts w:ascii="Calibri" w:hAnsi="Calibri"/>
                <w:b/>
                <w:i w:val="0"/>
                <w:color w:val="212121"/>
                <w:sz w:val="19"/>
              </w:rPr>
              <w:t>Psoriasis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Nail matrix/bed inflammation causes pitting, oil-drop patches, onycholysis and subungual hyperkeratosis.</w:t>
            </w:r>
          </w:p>
          <w:p>
            <w:pPr>
              <w:spacing w:after="40" w:before="0" w:line="259" w:lineRule="auto"/>
            </w:pPr>
            <w:r>
              <w:rPr>
                <w:rFonts w:ascii="Calibri" w:hAnsi="Calibri"/>
                <w:b/>
                <w:i w:val="0"/>
                <w:color w:val="212121"/>
                <w:sz w:val="19"/>
              </w:rPr>
              <w:t>Up to 80–90% (lifetime)</w:t>
            </w:r>
          </w:p>
        </w:tc>
      </w:tr>
      <w:tr>
        <w:trPr>
          <w:cantSplit/>
        </w:trPr>
        <w:tc>
          <w:tcPr>
            <w:tcW w:type="dxa" w:w="2232"/>
            <w:vAlign w:val="top"/>
          </w:tcPr>
          <w:p>
            <w:pPr>
              <w:spacing w:after="40" w:before="0" w:line="259" w:lineRule="auto"/>
            </w:pPr>
            <w:r>
              <w:rPr>
                <w:rFonts w:ascii="Calibri" w:hAnsi="Calibri"/>
                <w:b/>
                <w:i w:val="0"/>
                <w:color w:val="212121"/>
                <w:sz w:val="19"/>
              </w:rPr>
              <w:t>Psoriatic arthritis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Nail pitting and onycholysis are associated with, and help predict, psoriatic arthritis — especially distal-joint disease.</w:t>
            </w:r>
          </w:p>
        </w:tc>
      </w:tr>
      <w:tr>
        <w:trPr>
          <w:cantSplit/>
        </w:trPr>
        <w:tc>
          <w:tcPr>
            <w:tcW w:type="dxa" w:w="2232"/>
            <w:vAlign w:val="top"/>
          </w:tcPr>
          <w:p>
            <w:pPr>
              <w:spacing w:after="40" w:before="0" w:line="259" w:lineRule="auto"/>
            </w:pPr>
            <w:r>
              <w:rPr>
                <w:rFonts w:ascii="Calibri" w:hAnsi="Calibri"/>
                <w:b/>
                <w:i w:val="0"/>
                <w:color w:val="212121"/>
                <w:sz w:val="19"/>
              </w:rPr>
              <w:t>Alopecia areata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Pitting, trachyonychia and Beau's lines accompany hair loss and may precede or outlast it.</w:t>
            </w:r>
          </w:p>
          <w:p>
            <w:pPr>
              <w:spacing w:after="40" w:before="0" w:line="259" w:lineRule="auto"/>
            </w:pPr>
            <w:r>
              <w:rPr>
                <w:rFonts w:ascii="Calibri" w:hAnsi="Calibri"/>
                <w:b/>
                <w:i w:val="0"/>
                <w:color w:val="212121"/>
                <w:sz w:val="19"/>
              </w:rPr>
              <w:t>Up to ~64% (nail involvement)</w:t>
            </w:r>
          </w:p>
        </w:tc>
      </w:tr>
      <w:tr>
        <w:trPr>
          <w:cantSplit/>
        </w:trPr>
        <w:tc>
          <w:tcPr>
            <w:tcW w:type="dxa" w:w="2232"/>
            <w:vAlign w:val="top"/>
          </w:tcPr>
          <w:p>
            <w:pPr>
              <w:spacing w:after="40" w:before="0" w:line="259" w:lineRule="auto"/>
            </w:pPr>
            <w:r>
              <w:rPr>
                <w:rFonts w:ascii="Calibri" w:hAnsi="Calibri"/>
                <w:b/>
                <w:i w:val="0"/>
                <w:color w:val="212121"/>
                <w:sz w:val="19"/>
              </w:rPr>
              <w:t>Onychomycosis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infective nail disorder, causing thick, discoloured, crumbling dystrophy; favoured by heat, humidity and diabetes.</w:t>
            </w:r>
          </w:p>
          <w:p>
            <w:pPr>
              <w:spacing w:after="40" w:before="0" w:line="259" w:lineRule="auto"/>
            </w:pPr>
            <w:r>
              <w:rPr>
                <w:rFonts w:ascii="Calibri" w:hAnsi="Calibri"/>
                <w:b/>
                <w:i w:val="0"/>
                <w:color w:val="212121"/>
                <w:sz w:val="19"/>
              </w:rPr>
              <w:t>Up to ~50% of nail disease</w:t>
            </w:r>
          </w:p>
        </w:tc>
      </w:tr>
      <w:tr>
        <w:trPr>
          <w:cantSplit/>
        </w:trPr>
        <w:tc>
          <w:tcPr>
            <w:tcW w:type="dxa" w:w="2232"/>
            <w:vAlign w:val="top"/>
          </w:tcPr>
          <w:p>
            <w:pPr>
              <w:spacing w:after="40" w:before="0" w:line="259" w:lineRule="auto"/>
            </w:pPr>
            <w:r>
              <w:rPr>
                <w:rFonts w:ascii="Calibri" w:hAnsi="Calibri"/>
                <w:b/>
                <w:i w:val="0"/>
                <w:color w:val="212121"/>
                <w:sz w:val="19"/>
              </w:rPr>
              <w:t>Chronic lung disease (bronchiectasis, ILD, lung cancer, COPD)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Leading cause of acquired digital clubbing; new clubbing mandates exclusion of malignancy.</w:t>
            </w:r>
          </w:p>
        </w:tc>
      </w:tr>
      <w:tr>
        <w:trPr>
          <w:cantSplit/>
        </w:trPr>
        <w:tc>
          <w:tcPr>
            <w:tcW w:type="dxa" w:w="2232"/>
            <w:vAlign w:val="top"/>
          </w:tcPr>
          <w:p>
            <w:pPr>
              <w:spacing w:after="40" w:before="0" w:line="259" w:lineRule="auto"/>
            </w:pPr>
            <w:r>
              <w:rPr>
                <w:rFonts w:ascii="Calibri" w:hAnsi="Calibri"/>
                <w:b/>
                <w:i w:val="0"/>
                <w:color w:val="212121"/>
                <w:sz w:val="19"/>
              </w:rPr>
              <w:t>Cyanotic congenital heart disease / infective endocarditis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hypoxia causes clubbing; endocarditis causes clubbing and splinter haemorrhages.</w:t>
            </w:r>
          </w:p>
        </w:tc>
      </w:tr>
      <w:tr>
        <w:trPr>
          <w:cantSplit/>
        </w:trPr>
        <w:tc>
          <w:tcPr>
            <w:tcW w:type="dxa" w:w="2232"/>
            <w:vAlign w:val="top"/>
          </w:tcPr>
          <w:p>
            <w:pPr>
              <w:spacing w:after="40" w:before="0" w:line="259" w:lineRule="auto"/>
            </w:pPr>
            <w:r>
              <w:rPr>
                <w:rFonts w:ascii="Calibri" w:hAnsi="Calibri"/>
                <w:b/>
                <w:i w:val="0"/>
                <w:color w:val="212121"/>
                <w:sz w:val="19"/>
              </w:rPr>
              <w:t>Chronic liver disease / cirrhosis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clubbing, Terry's nails and leukonychia; often alcohol-related.</w:t>
            </w:r>
          </w:p>
        </w:tc>
      </w:tr>
      <w:tr>
        <w:trPr>
          <w:cantSplit/>
        </w:trPr>
        <w:tc>
          <w:tcPr>
            <w:tcW w:type="dxa" w:w="2232"/>
            <w:vAlign w:val="top"/>
          </w:tcPr>
          <w:p>
            <w:pPr>
              <w:spacing w:after="40" w:before="0" w:line="259" w:lineRule="auto"/>
            </w:pPr>
            <w:r>
              <w:rPr>
                <w:rFonts w:ascii="Calibri" w:hAnsi="Calibri"/>
                <w:b/>
                <w:i w:val="0"/>
                <w:color w:val="212121"/>
                <w:sz w:val="19"/>
              </w:rPr>
              <w:t>Inflammatory bowel disease / malabsorption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Drives both clubbing and iron-deficiency koilonychia through inflammation and nutrient loss.</w:t>
            </w:r>
          </w:p>
        </w:tc>
      </w:tr>
      <w:tr>
        <w:trPr>
          <w:cantSplit/>
        </w:trPr>
        <w:tc>
          <w:tcPr>
            <w:tcW w:type="dxa" w:w="2232"/>
            <w:vAlign w:val="top"/>
          </w:tcPr>
          <w:p>
            <w:pPr>
              <w:spacing w:after="40" w:before="0" w:line="259" w:lineRule="auto"/>
            </w:pPr>
            <w:r>
              <w:rPr>
                <w:rFonts w:ascii="Calibri" w:hAnsi="Calibri"/>
                <w:b/>
                <w:i w:val="0"/>
                <w:color w:val="212121"/>
                <w:sz w:val="19"/>
              </w:rPr>
              <w:t>Thyroid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 and hyperthyroidism cause brittle, slow-growing nails, onycholysis and koilonychia.</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Predisposes to onychomycosis and periungual infection, with risk of foot complications.</w:t>
            </w:r>
          </w:p>
        </w:tc>
      </w:tr>
      <w:tr>
        <w:trPr>
          <w:cantSplit/>
        </w:trPr>
        <w:tc>
          <w:tcPr>
            <w:tcW w:type="dxa" w:w="2232"/>
            <w:vAlign w:val="top"/>
          </w:tcPr>
          <w:p>
            <w:pPr>
              <w:spacing w:after="40" w:before="0" w:line="259" w:lineRule="auto"/>
            </w:pPr>
            <w:r>
              <w:rPr>
                <w:rFonts w:ascii="Calibri" w:hAnsi="Calibri"/>
                <w:b/>
                <w:i w:val="0"/>
                <w:color w:val="212121"/>
                <w:sz w:val="19"/>
              </w:rPr>
              <w:t>Plummer-Vinson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Triad of koilonychia, dysphagia and iron-deficiency anaemia — a defined nail-plus-systemic association.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read nails as clues to health — seek evaluation for spoon nails (possible anaemia), new clubbing (heart/lung disease) or a new dark streak under a nail (to exclude melanoma).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nails straight across, keep them short and clean, and avoid aggressive cuticle cutting or biting.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hands and feet dry; change socks, dry between the toes, and disinfect or avoid sharing nail clippers and salon instruments.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well-fitting, breathable footwear and protective gloves for wet-work and chemical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self-treat suspected fungal nails long-term without confirmation — many nail changes mimic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Wet-work occupations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koilonychia/brittle nails, treat confirmed iron deficiency with iron-rich foods (green leafy vegetables, legumes, jaggery, fortified cereals) plus prescribed iron replacement.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non-heme (plant) iron with vitamin-C sources (citrus, amla, tomato) to boost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tea or coffee with meals, which reduce iron absorption through tannins.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general nutrition to support keratin synthesis and nail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Recheck haemoglobin and ferritin after replacement; nail recovery lags behind blood indices by months.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koilonychia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iron- and protein-adequate balanced diet, especially for menstruating women, pregnant women and 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vitamin-C-rich foods with meals to improve iron uptake from plant 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iodised salt and adequate dietary iodine to support normal thyroid and nail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overall micronutrient adequacy (biotin, zinc) through a varied diet rather than unproven supplements.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nails during sport and manual work with gloves and correctly fitted footwear to reduce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cardiorespiratory fitness, which supports the heart and lung health relevant to clubbing.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Trim toenails and choose proper shoes before running or trekking to avoid subungual haematoma and onycholysis.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Trekkers / runners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prevent nicotine (harlequin) staining and improve peripheral 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Cessation lowers the risk of the chronic lung disease and malignancy that cause acquired clubbing.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cessation support (counselling, nicotine replacement) for sustained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early clubbing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the risk of cirrhosis, which causes clubbing, Terry's nails and leukonychia.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Moderating intake protects nutrition and iron status that underpin nail integrity.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dependence, since chronic liver disease worsens both nail and systemic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leukonychia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stress driving nail-biting (onychophagia), picking (onychotillomania) and habit-tic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techniques — habit-reversal training, keeping nails trimmed, and bitter-tasting nail coatings.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secondary paronychia and refer for psychological support when nail-directed behaviours are compulsive.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the psychosocial distress of visible nail disease, which can affect self-esteem and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Nail-biters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habit-tic dystrophy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 stressed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overall recovery and healing of the nail apparatus.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sleep-disrupting chronic disease (e.g. respiratory illness) that indirectly affects nail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systemic illness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7151277/" TargetMode="External"/><Relationship Id="rId10" Type="http://schemas.openxmlformats.org/officeDocument/2006/relationships/hyperlink" Target="https://pubmed.ncbi.nlm.nih.gov/18445944/" TargetMode="External"/><Relationship Id="rId11" Type="http://schemas.openxmlformats.org/officeDocument/2006/relationships/hyperlink" Target="https://pubmed.ncbi.nlm.nih.gov/8041648/" TargetMode="External"/><Relationship Id="rId12" Type="http://schemas.openxmlformats.org/officeDocument/2006/relationships/hyperlink" Target="https://pubmed.ncbi.nlm.nih.gov/36730352/" TargetMode="External"/><Relationship Id="rId13" Type="http://schemas.openxmlformats.org/officeDocument/2006/relationships/hyperlink" Target="https://pubmed.ncbi.nlm.nih.gov/38347505/" TargetMode="External"/><Relationship Id="rId14" Type="http://schemas.openxmlformats.org/officeDocument/2006/relationships/hyperlink" Target="https://pubmed.ncbi.nlm.nih.gov/37888841/" TargetMode="External"/><Relationship Id="rId15" Type="http://schemas.openxmlformats.org/officeDocument/2006/relationships/hyperlink" Target="https://pubmed.ncbi.nlm.nih.gov/17357634/" TargetMode="External"/><Relationship Id="rId16" Type="http://schemas.openxmlformats.org/officeDocument/2006/relationships/hyperlink" Target="https://pubmed.ncbi.nlm.nih.gov/22016272/" TargetMode="External"/><Relationship Id="rId17" Type="http://schemas.openxmlformats.org/officeDocument/2006/relationships/hyperlink" Target="https://pubmed.ncbi.nlm.nih.gov/20344919/" TargetMode="External"/><Relationship Id="rId18" Type="http://schemas.openxmlformats.org/officeDocument/2006/relationships/hyperlink" Target="https://pubmed.ncbi.nlm.nih.gov/28386142/" TargetMode="External"/><Relationship Id="rId19" Type="http://schemas.openxmlformats.org/officeDocument/2006/relationships/hyperlink" Target="https://pubmed.ncbi.nlm.nih.gov/27531645/" TargetMode="External"/><Relationship Id="rId20" Type="http://schemas.openxmlformats.org/officeDocument/2006/relationships/hyperlink" Target="https://pubmed.ncbi.nlm.nih.gov/29186547/" TargetMode="External"/><Relationship Id="rId21" Type="http://schemas.openxmlformats.org/officeDocument/2006/relationships/hyperlink" Target="https://pubmed.ncbi.nlm.nih.gov/23550612/" TargetMode="External"/><Relationship Id="rId22" Type="http://schemas.openxmlformats.org/officeDocument/2006/relationships/hyperlink" Target="https://pubmed.ncbi.nlm.nih.gov/23671180/" TargetMode="External"/><Relationship Id="rId23" Type="http://schemas.openxmlformats.org/officeDocument/2006/relationships/hyperlink" Target="https://pubmed.ncbi.nlm.nih.gov/12390186/" TargetMode="External"/><Relationship Id="rId24" Type="http://schemas.openxmlformats.org/officeDocument/2006/relationships/hyperlink" Target="https://pubmed.ncbi.nlm.nih.gov/41118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