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Photodermatoses / Sunburn</w:t>
      </w:r>
    </w:p>
    <w:p>
      <w:pPr>
        <w:spacing w:before="0" w:after="160"/>
      </w:pPr>
      <w:r>
        <w:rPr>
          <w:rFonts w:ascii="Calibri" w:hAnsi="Calibri"/>
          <w:b/>
          <w:i w:val="0"/>
          <w:color w:val="212121"/>
          <w:sz w:val="22"/>
        </w:rPr>
        <w:t xml:space="preserve">AKA </w:t>
      </w:r>
      <w:r>
        <w:rPr>
          <w:rFonts w:ascii="Calibri" w:hAnsi="Calibri"/>
          <w:b w:val="0"/>
          <w:i w:val="0"/>
          <w:color w:val="212121"/>
          <w:sz w:val="22"/>
        </w:rPr>
        <w:t>i.e., Sun allergy, Photosensitivity / light-sensitive skin, Solar (UV) dermatitis, Sunburn (solar erythema, “sun poisoning”); the group includes Polymorphic light eruption (PMLE/PLE, “sun rash”, prurigo aestivalis), Chronic actinic dermatitis (CAD, actinic reticuloid), Actinic prurigo, Solar urticaria, Hydroa vacciniforme and drug/chemical photosensitivity (phototoxic &amp; photoallergic)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Photodermatoses are a heterogeneous group of skin disorders caused by an abnormal or exaggerated cutaneous reaction to non-ionising ultraviolet radiation (UVA 320–400 nm, UVB 280–320 nm) and, less often, visible light. Sunburn is the acute phototoxic prototype — a normal but exaggerated, dose-dependent inflammatory response (erythema, pain, sometimes blistering) that follows excess UVB (and UVA) exposure and reflects direct UV-induced DNA damage of keratinocytes. Beyond sunburn, the group encompasses immunologically mediated idiopathic photodermatoses (of which polymorphic light eruption is by far the commonest), drug- and chemical-induced photosensitivity, photo-aggravated dermatoses (e.g., lupus erythematosus), and rare metabolic (porphyrias, pellagra) and DNA-repair (xeroderma pigmentosum) disorders. Although darker Indian skin (Fitzpatrick IV–VI) is relatively photoprotected, photodermatoses are common in India owing to intense year-round insolation and a large outdoor-working population.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Photodermatoses are a frequent reason for dermatology consultation in India, which lies in a high-insolation tropical belt with a very high ambient ultraviolet index for much of the year. Polymorphic light eruption (PLE) is the commonest photodermatosis in Indians; in an Indian series 96% of PLE patients were of skin phototypes IV–VI and about 63% were women, most of them housewives, reflecting incidental rather than recreational sun exposure. Parthenium (congress grass) airborne/photo-aggravated contact dermatitis is the single commonest plant dermatitis in the country and accounts for nearly 40% of patients attending contact-dermatitis clinics, chiefly middle-aged outdoor-working men (male:female ≈ 5.5:1). True sunburn is less frequent in deeply pigmented skin but occurs readily in fair-skinned (Fitzpatrick I–III) individuals, high-altitude and desert populations, and during intense recreational exposure. The high burden of vitamin-D deficiency in India (reported at 70–100% of the general population) frames a genuine ‘photoprotection paradox’ that must be balanced against sun-avoidance advice.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Photodermatoses are largely a clinical diagnosis based on a light-exposed distribution and a temporal link to sun exposure; targeted phototesting, photopatch testing, histology and blood work confirm the subtype and exclude systemic photosensitising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photodistribution: an eruption confined to sun-exposed sites (face, ‘V’ of the neck, extensor forearms, dorsa of hands, lower legs) with sharp sparing of naturally shaded areas — upper eyelids, nasolabial folds, submental region, behind the ears and under the chin.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Temporal history: latency between sun exposure and rash (minutes in solar urticaria; hours to 1–2 days in sunburn and PLE), seasonal spring/early-summer recurrence for PLE, and improvement away from sunlight.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Provocative phototesting: graded UVB and UVA (solar-simulator/monochromator) to measure the minimal erythema dose (MED) and reproduce lesions — a reduced MED indicates abnormal photosensitivity, and repeated irradiation provokes a positive PLE eruption in ~60% of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Photopatch testing: identifies photoallergic contact sensitisers (organic sunscreen filters, fragrances, topical NSAIDs, antimicrobials) and is complemented by standard patch testing for Parthenium/airborne allergens.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with histopathology (and direct immunofluorescence): sunburn shows dyskeratotic ‘sunburn cells’; PLE shows papillary dermal oedema with a perivascular lymphocytic infiltrate and negative immunofluorescence; interface change with a positive lupus band suggests lupus.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Autoimmune serology (ANA, anti-Ro/SSA, anti-La/SSB, ENA) to exclude photo-aggravated systemic or subacute cutaneous lupus erythematosus in photosensitive patients.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Porphyrin studies (plasma, urine and stool porphyrins; erythrocyte protoporphyrin) when a porphyria is suspected — e.g., fragile skin and blisters on the hands, or immediate burning pain on light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Drug and contactant review plus serum 25-hydroxyvitamin D where photoprotection is intensive, to identify culprit photosensitisers and monitor the photoprotection–vitamin-D balance.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Photodermatoses are grouped by mechanism; sunburn itself is best understood as the acute, dose-dependent phototoxic reaction of normal skin:</w:t>
      </w:r>
    </w:p>
    <w:p>
      <w:pPr>
        <w:spacing w:before="0" w:after="80"/>
      </w:pPr>
      <w:r>
        <w:rPr>
          <w:rFonts w:ascii="Calibri" w:hAnsi="Calibri"/>
          <w:b w:val="0"/>
          <w:i w:val="0"/>
          <w:color w:val="212121"/>
          <w:sz w:val="21"/>
        </w:rPr>
        <w:t>(1) Idiopathic / immunologically mediated photodermatoses — polymorphic light eruption (the commonest), actinic prurigo, chronic actinic dermatitis (actinic reticuloid), solar urticaria and hydroa vacciniforme; presumed delayed-type hypersensitivity to UV-induced endogenous photo-antigens.</w:t>
      </w:r>
    </w:p>
    <w:p>
      <w:pPr>
        <w:spacing w:before="0" w:after="80"/>
      </w:pPr>
      <w:r>
        <w:rPr>
          <w:rFonts w:ascii="Calibri" w:hAnsi="Calibri"/>
          <w:b w:val="0"/>
          <w:i w:val="0"/>
          <w:color w:val="212121"/>
          <w:sz w:val="21"/>
        </w:rPr>
        <w:t>(2) Drug- and chemical-induced photosensitivity — phototoxic reactions (an exaggerated, sunburn-like response seen in anyone given enough drug and UV, e.g., fluoroquinolones, tetracyclines (doxycycline), thiazides, NSAIDs, amiodarone, voriconazole, phenothiazines) and photoallergic reactions (an immune, eczematous response in sensitised individuals, e.g., to sunscreen chemicals or fragrances).</w:t>
      </w:r>
    </w:p>
    <w:p>
      <w:pPr>
        <w:spacing w:before="0" w:after="80"/>
      </w:pPr>
      <w:r>
        <w:rPr>
          <w:rFonts w:ascii="Calibri" w:hAnsi="Calibri"/>
          <w:b w:val="0"/>
          <w:i w:val="0"/>
          <w:color w:val="212121"/>
          <w:sz w:val="21"/>
        </w:rPr>
        <w:t>(3) Photo-aggravated dermatoses — pre-existing conditions worsened by light, such as lupus erythematosus, dermatomyositis, rosacea, atopic and seborrhoeic dermatitis, and Parthenium/airborne contact dermatitis progressing to a chronic-actinic-dermatitis pattern.</w:t>
      </w:r>
    </w:p>
    <w:p>
      <w:pPr>
        <w:spacing w:before="0" w:after="80"/>
      </w:pPr>
      <w:r>
        <w:rPr>
          <w:rFonts w:ascii="Calibri" w:hAnsi="Calibri"/>
          <w:b w:val="0"/>
          <w:i w:val="0"/>
          <w:color w:val="212121"/>
          <w:sz w:val="21"/>
        </w:rPr>
        <w:t>(4) Genophotodermatoses / defective DNA repair — xeroderma pigmentosum, Cockayne syndrome and related disorders with extreme photosensitivity and very early skin cancers (important in India where consanguinity raises the frequency).</w:t>
      </w:r>
    </w:p>
    <w:p>
      <w:pPr>
        <w:spacing w:before="0" w:after="80"/>
      </w:pPr>
      <w:r>
        <w:rPr>
          <w:rFonts w:ascii="Calibri" w:hAnsi="Calibri"/>
          <w:b w:val="0"/>
          <w:i w:val="0"/>
          <w:color w:val="212121"/>
          <w:sz w:val="21"/>
        </w:rPr>
        <w:t>(5) Metabolic photodermatoses — the porphyrias (porphyria cutanea tarda, erythropoietic protoporphyria) and pellagra (niacin deficiency), in which accumulated photoactive metabolites or nutritional deficiency produce a photosensitive dermatitis.</w:t>
      </w:r>
    </w:p>
    <w:p>
      <w:pPr>
        <w:spacing w:before="0" w:after="80"/>
      </w:pPr>
      <w:r>
        <w:rPr>
          <w:rFonts w:ascii="Calibri" w:hAnsi="Calibri"/>
          <w:b w:val="0"/>
          <w:i w:val="0"/>
          <w:color w:val="212121"/>
          <w:sz w:val="21"/>
        </w:rPr>
        <w:t>Sunburn is graded like a thermal burn: first-degree (painful erythema and oedema, the usual reaction) and second-degree/severe (blistering, partial-thickness injury with possible systemic ‘sun-poisoning’ symptoms); erythema begins 2–6 h after exposure, peaks at 12–24 h and settles over 3–7 days with peeling.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Ultraviolet radiation exposure: UVB directly damages keratinocyte DNA (pyrimidine dimers) to cause sunburn, while UVA generates reactive oxygen species and drives most PLE and drug phototoxicity — the intense, year-round Indian sun is the fundamental cause.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Skin phototype and pigment: fair, poorly tanning skin (Fitzpatrick I–III), and depigmented skin (vitiligo, albinism), have a low minimal erythema dose and burn easily; melanin-rich Indian skin is relatively but not absolutely protected.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Abnormal immune response to UV: an aberrant delayed-type hypersensitivity to UV-induced endogenous photo-antigens, with defective UV immunosuppression, underlies PLE, actinic prurigo and chronic actinic dermatitis.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Exogenous photosensitisers: systemic drugs (fluoroquinolones, tetracyclines, thiazides, NSAIDs, amiodarone, voriconazole, phenothiazines), topical agents/cosmetics and psoralen-containing plants and foods lower the threshold for phototoxic and photoallergic reactions.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Plant and airborne allergens: Parthenium hysterophorus (congress grass) and other Compositae cause airborne/photo-aggravated contact dermatitis that can evolve into chronic actinic dermatitis, a major problem in outdoor-working Indians.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and metabolic defects: inherited DNA-repair defects (xeroderma pigmentosum), a familial tendency to PLE, and metabolic disorders (porphyrias, pellagra) produce intrinsic photosensitivity.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Behavioural and environmental amplifiers: high altitude and snow, water and sand reflection, midday outdoor work or recreation, tanning beds and inadequate photoprotection all increase the effective UV dose.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&amp; middle-aged adults</w:t>
            </w:r>
          </w:p>
        </w:tc>
        <w:tc>
          <w:tcPr>
            <w:tcW w:type="dxa" w:w="4276"/>
            <w:vAlign w:val="top"/>
          </w:tcPr>
          <w:p>
            <w:pPr>
              <w:spacing w:after="60" w:line="259" w:lineRule="auto"/>
            </w:pPr>
            <w:r>
              <w:rPr>
                <w:rFonts w:ascii="Calibri" w:hAnsi="Calibri"/>
                <w:b w:val="0"/>
                <w:i w:val="0"/>
                <w:color w:val="212121"/>
                <w:sz w:val="19"/>
              </w:rPr>
              <w:t>The peak age for polymorphic light eruption is the 2nd–4th decades, and young adults also have the highest sunburn incidence through outdoor recreation and sun-seeking. An abnormal delayed-hypersensitivity response to UV-induced skin antigens drives recurrent spring/summer eruptions.</w:t>
            </w:r>
          </w:p>
          <w:p>
            <w:pPr>
              <w:spacing w:after="40" w:before="60" w:line="259" w:lineRule="auto"/>
            </w:pPr>
            <w:r>
              <w:rPr>
                <w:rFonts w:ascii="Calibri" w:hAnsi="Calibri"/>
                <w:b w:val="0"/>
                <w:i w:val="0"/>
                <w:color w:val="212121"/>
                <w:sz w:val="19"/>
              </w:rPr>
              <w:t>About three-quarters of PLE cases begin in women aged 20–40 years.</w:t>
            </w:r>
          </w:p>
          <w:p>
            <w:pPr>
              <w:spacing w:after="40" w:line="252" w:lineRule="auto"/>
            </w:pPr>
            <w:hyperlink r:id="rId9">
              <w:r>
                <w:rPr>
                  <w:rFonts w:ascii="Calibri" w:hAnsi="Calibri" w:cs="Calibri"/>
                  <w:sz w:val="18"/>
                  <w:color w:val="1155CC"/>
                  <w:u w:val="single"/>
                </w:rPr>
                <w:t xml:space="preserve">ncbi.nlm.nih.gov — StatPearls: Polymorphous Light Eruption</w:t>
              </w:r>
            </w:hyperlink>
          </w:p>
          <w:p>
            <w:pPr>
              <w:spacing w:before="60" w:after="40"/>
            </w:pPr>
            <w:r>
              <w:rPr>
                <w:rFonts w:ascii="Calibri" w:hAnsi="Calibri"/>
                <w:b w:val="0"/>
                <w:i w:val="0"/>
                <w:color w:val="5A5A5A"/>
                <w:sz w:val="18"/>
              </w:rPr>
              <w:t>#photodermatoses  #PLE  #youngadults  #sunexposure  #UVradiation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carry decades of cumulative photodamage (actinic keratoses, photoaging, skin cancer) and are the group in which chronic actinic dermatitis — a persistent, disabling eczematous photosensitivity — characteristically arises, typically in men over 60.</w:t>
            </w:r>
          </w:p>
          <w:p>
            <w:pPr>
              <w:spacing w:after="40" w:before="60" w:line="259" w:lineRule="auto"/>
            </w:pPr>
            <w:r>
              <w:rPr>
                <w:rFonts w:ascii="Calibri" w:hAnsi="Calibri"/>
                <w:b w:val="0"/>
                <w:i w:val="0"/>
                <w:color w:val="212121"/>
                <w:sz w:val="19"/>
              </w:rPr>
              <w:t>Chronic actinic dermatitis characteristically affects elderly men and is described in India as a rare but disabling chronic photodermatosis.</w:t>
            </w:r>
          </w:p>
          <w:p>
            <w:pPr>
              <w:spacing w:after="40" w:line="252" w:lineRule="auto"/>
            </w:pPr>
            <w:hyperlink r:id="rId10">
              <w:r>
                <w:rPr>
                  <w:rFonts w:ascii="Calibri" w:hAnsi="Calibri" w:cs="Calibri"/>
                  <w:sz w:val="18"/>
                  <w:color w:val="1155CC"/>
                  <w:u w:val="single"/>
                </w:rPr>
                <w:t xml:space="preserve">ijdvl.com — Photodermatoses in India</w:t>
              </w:r>
            </w:hyperlink>
          </w:p>
          <w:p>
            <w:pPr>
              <w:spacing w:before="60" w:after="40"/>
            </w:pPr>
            <w:r>
              <w:rPr>
                <w:rFonts w:ascii="Calibri" w:hAnsi="Calibri"/>
                <w:b w:val="0"/>
                <w:i w:val="0"/>
                <w:color w:val="5A5A5A"/>
                <w:sz w:val="18"/>
              </w:rPr>
              <w:t>#elderly  #chronicactinicdermatitis  #photoaging  #actinickeratosis  #cumulativeUV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(housewives)</w:t>
            </w:r>
          </w:p>
        </w:tc>
        <w:tc>
          <w:tcPr>
            <w:tcW w:type="dxa" w:w="4276"/>
            <w:vAlign w:val="top"/>
          </w:tcPr>
          <w:p>
            <w:pPr>
              <w:spacing w:after="60" w:line="259" w:lineRule="auto"/>
            </w:pPr>
            <w:r>
              <w:rPr>
                <w:rFonts w:ascii="Calibri" w:hAnsi="Calibri"/>
                <w:b w:val="0"/>
                <w:i w:val="0"/>
                <w:color w:val="212121"/>
                <w:sz w:val="19"/>
              </w:rPr>
              <w:t>PLE is strongly female-predominant. In India it affects mainly women during incidental daily sun exposure (commuting, terrace/roof work, drying clothes), rather than recreational tanning as in the West.</w:t>
            </w:r>
          </w:p>
          <w:p>
            <w:pPr>
              <w:spacing w:after="40" w:before="60" w:line="259" w:lineRule="auto"/>
            </w:pPr>
            <w:r>
              <w:rPr>
                <w:rFonts w:ascii="Calibri" w:hAnsi="Calibri"/>
                <w:b w:val="0"/>
                <w:i w:val="0"/>
                <w:color w:val="212121"/>
                <w:sz w:val="19"/>
              </w:rPr>
              <w:t>PLE is up to four times commoner in women; in an Indian series ~63% of PLE patients were female, most of them housewives.</w:t>
            </w:r>
          </w:p>
          <w:p>
            <w:pPr>
              <w:spacing w:after="40" w:line="252" w:lineRule="auto"/>
            </w:pPr>
            <w:hyperlink r:id="rId10">
              <w:r>
                <w:rPr>
                  <w:rFonts w:ascii="Calibri" w:hAnsi="Calibri" w:cs="Calibri"/>
                  <w:sz w:val="18"/>
                  <w:color w:val="1155CC"/>
                  <w:u w:val="single"/>
                </w:rPr>
                <w:t xml:space="preserve">ijdvl.com — Photodermatoses in India</w:t>
              </w:r>
            </w:hyperlink>
          </w:p>
          <w:p>
            <w:pPr>
              <w:spacing w:before="60" w:after="40"/>
            </w:pPr>
            <w:r>
              <w:rPr>
                <w:rFonts w:ascii="Calibri" w:hAnsi="Calibri"/>
                <w:b w:val="0"/>
                <w:i w:val="0"/>
                <w:color w:val="5A5A5A"/>
                <w:sz w:val="18"/>
              </w:rPr>
              <w:t>#female  #housewives  #PLE  #incidentalsun  #4to1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 / occupation</w:t>
            </w:r>
          </w:p>
        </w:tc>
        <w:tc>
          <w:tcPr>
            <w:tcW w:type="dxa" w:w="2160"/>
            <w:vAlign w:val="top"/>
          </w:tcPr>
          <w:p>
            <w:pPr>
              <w:spacing w:after="40" w:before="0" w:line="259" w:lineRule="auto"/>
            </w:pPr>
            <w:r>
              <w:rPr>
                <w:rFonts w:ascii="Calibri" w:hAnsi="Calibri"/>
                <w:b w:val="0"/>
                <w:i w:val="0"/>
                <w:color w:val="212121"/>
                <w:sz w:val="19"/>
              </w:rPr>
              <w:t>Outdoor-working men</w:t>
            </w:r>
          </w:p>
        </w:tc>
        <w:tc>
          <w:tcPr>
            <w:tcW w:type="dxa" w:w="4276"/>
            <w:vAlign w:val="top"/>
          </w:tcPr>
          <w:p>
            <w:pPr>
              <w:spacing w:after="60" w:line="259" w:lineRule="auto"/>
            </w:pPr>
            <w:r>
              <w:rPr>
                <w:rFonts w:ascii="Calibri" w:hAnsi="Calibri"/>
                <w:b w:val="0"/>
                <w:i w:val="0"/>
                <w:color w:val="212121"/>
                <w:sz w:val="19"/>
              </w:rPr>
              <w:t>Men doing prolonged outdoor work bear the greatest cumulative UV load and dominate the airborne/photo-aggravated contact dermatitis and chronic-actinic-dermatitis spectrum linked to Parthenium exposure.</w:t>
            </w:r>
          </w:p>
          <w:p>
            <w:pPr>
              <w:spacing w:after="40" w:before="60" w:line="259" w:lineRule="auto"/>
            </w:pPr>
            <w:r>
              <w:rPr>
                <w:rFonts w:ascii="Calibri" w:hAnsi="Calibri"/>
                <w:b w:val="0"/>
                <w:i w:val="0"/>
                <w:color w:val="212121"/>
                <w:sz w:val="19"/>
              </w:rPr>
              <w:t>Parthenium dermatitis affects predominantly middle-aged to elderly outdoor-working men, with a male:female ratio of about 5.5:1.</w:t>
            </w:r>
          </w:p>
          <w:p>
            <w:pPr>
              <w:spacing w:after="40" w:line="252" w:lineRule="auto"/>
            </w:pPr>
            <w:hyperlink r:id="rId11">
              <w:r>
                <w:rPr>
                  <w:rFonts w:ascii="Calibri" w:hAnsi="Calibri" w:cs="Calibri"/>
                  <w:sz w:val="18"/>
                  <w:color w:val="1155CC"/>
                  <w:u w:val="single"/>
                </w:rPr>
                <w:t xml:space="preserve">ijdvl.com — Parthenium dermatitis in India</w:t>
              </w:r>
            </w:hyperlink>
          </w:p>
          <w:p>
            <w:pPr>
              <w:spacing w:before="60" w:after="40"/>
            </w:pPr>
            <w:r>
              <w:rPr>
                <w:rFonts w:ascii="Calibri" w:hAnsi="Calibri"/>
                <w:b w:val="0"/>
                <w:i w:val="0"/>
                <w:color w:val="5A5A5A"/>
                <w:sz w:val="18"/>
              </w:rPr>
              <w:t>#male  #outdoorwork  #parthenium  #chronicactinicdermatitis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Farmers &amp; outdoor manual labourers</w:t>
            </w:r>
          </w:p>
        </w:tc>
        <w:tc>
          <w:tcPr>
            <w:tcW w:type="dxa" w:w="4276"/>
            <w:vAlign w:val="top"/>
          </w:tcPr>
          <w:p>
            <w:pPr>
              <w:spacing w:after="60" w:line="259" w:lineRule="auto"/>
            </w:pPr>
            <w:r>
              <w:rPr>
                <w:rFonts w:ascii="Calibri" w:hAnsi="Calibri"/>
                <w:b w:val="0"/>
                <w:i w:val="0"/>
                <w:color w:val="212121"/>
                <w:sz w:val="19"/>
              </w:rPr>
              <w:t>Farmers, construction and road workers, fishermen and street vendors have the highest cumulative sun and plant-allergen exposure with the least photoprotection, driving sunburn, photoaging and Parthenium-related photodermatitis.</w:t>
            </w:r>
          </w:p>
          <w:p>
            <w:pPr>
              <w:spacing w:after="40" w:before="60" w:line="259" w:lineRule="auto"/>
            </w:pPr>
            <w:r>
              <w:rPr>
                <w:rFonts w:ascii="Calibri" w:hAnsi="Calibri"/>
                <w:b w:val="0"/>
                <w:i w:val="0"/>
                <w:color w:val="212121"/>
                <w:sz w:val="19"/>
              </w:rPr>
              <w:t>In a South-Indian series of airborne contact dermatitis, 90% of affected patients were farmers.</w:t>
            </w:r>
          </w:p>
          <w:p>
            <w:pPr>
              <w:spacing w:after="40" w:line="252" w:lineRule="auto"/>
            </w:pPr>
            <w:hyperlink r:id="rId12">
              <w:r>
                <w:rPr>
                  <w:rFonts w:ascii="Calibri" w:hAnsi="Calibri" w:cs="Calibri"/>
                  <w:sz w:val="18"/>
                  <w:color w:val="1155CC"/>
                  <w:u w:val="single"/>
                </w:rPr>
                <w:t xml:space="preserve">pubmed.ncbi.nlm.nih.gov/19040516 — airborne contact dermatitis (S India)</w:t>
              </w:r>
            </w:hyperlink>
          </w:p>
          <w:p>
            <w:pPr>
              <w:spacing w:before="60" w:after="40"/>
            </w:pPr>
            <w:r>
              <w:rPr>
                <w:rFonts w:ascii="Calibri" w:hAnsi="Calibri"/>
                <w:b w:val="0"/>
                <w:i w:val="0"/>
                <w:color w:val="5A5A5A"/>
                <w:sz w:val="18"/>
              </w:rPr>
              <w:t>#farmers  #manuallabour  #lowSES  #outdoorexposure  #photoprotectiongap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phototype</w:t>
            </w:r>
          </w:p>
        </w:tc>
        <w:tc>
          <w:tcPr>
            <w:tcW w:type="dxa" w:w="2160"/>
            <w:vAlign w:val="top"/>
          </w:tcPr>
          <w:p>
            <w:pPr>
              <w:spacing w:after="40" w:before="0" w:line="259" w:lineRule="auto"/>
            </w:pPr>
            <w:r>
              <w:rPr>
                <w:rFonts w:ascii="Calibri" w:hAnsi="Calibri"/>
                <w:b w:val="0"/>
                <w:i w:val="0"/>
                <w:color w:val="212121"/>
                <w:sz w:val="19"/>
              </w:rPr>
              <w:t>Fair-skinned individuals (Fitzpatrick I–III)</w:t>
            </w:r>
          </w:p>
        </w:tc>
        <w:tc>
          <w:tcPr>
            <w:tcW w:type="dxa" w:w="4276"/>
            <w:vAlign w:val="top"/>
          </w:tcPr>
          <w:p>
            <w:pPr>
              <w:spacing w:after="60" w:line="259" w:lineRule="auto"/>
            </w:pPr>
            <w:r>
              <w:rPr>
                <w:rFonts w:ascii="Calibri" w:hAnsi="Calibri"/>
                <w:b w:val="0"/>
                <w:i w:val="0"/>
                <w:color w:val="212121"/>
                <w:sz w:val="19"/>
              </w:rPr>
              <w:t>Lighter skin has less protective eumelanin and a low minimal erythema dose, so it burns quickly; fair north-eastern and north-Indian populations, and light-skinned children, sunburn far more readily than deeply pigmented skin.</w:t>
            </w:r>
          </w:p>
          <w:p>
            <w:pPr>
              <w:spacing w:after="40" w:before="60" w:line="259" w:lineRule="auto"/>
            </w:pPr>
            <w:r>
              <w:rPr>
                <w:rFonts w:ascii="Calibri" w:hAnsi="Calibri"/>
                <w:b w:val="0"/>
                <w:i w:val="0"/>
                <w:color w:val="212121"/>
                <w:sz w:val="19"/>
              </w:rPr>
              <w:t>Fair skin can burn after as little as ~15 minutes of midday sun, whereas darker skin tolerates hours because higher eumelanin raises the erythema threshold.</w:t>
            </w:r>
          </w:p>
          <w:p>
            <w:pPr>
              <w:spacing w:after="40" w:line="252" w:lineRule="auto"/>
            </w:pPr>
            <w:hyperlink r:id="rId13">
              <w:r>
                <w:rPr>
                  <w:rFonts w:ascii="Calibri" w:hAnsi="Calibri" w:cs="Calibri"/>
                  <w:sz w:val="18"/>
                  <w:color w:val="1155CC"/>
                  <w:u w:val="single"/>
                </w:rPr>
                <w:t xml:space="preserve">dermnetnz.org — Sunburn</w:t>
              </w:r>
            </w:hyperlink>
          </w:p>
          <w:p>
            <w:pPr>
              <w:spacing w:before="60" w:after="40"/>
            </w:pPr>
            <w:r>
              <w:rPr>
                <w:rFonts w:ascii="Calibri" w:hAnsi="Calibri"/>
                <w:b w:val="0"/>
                <w:i w:val="0"/>
                <w:color w:val="5A5A5A"/>
                <w:sz w:val="18"/>
              </w:rPr>
              <w:t>#fairskin  #Fitzpatrick  #lowMED  #sunburn  #melanin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High-insolation plains &amp; desert (Thar, Deccan)</w:t>
            </w:r>
          </w:p>
        </w:tc>
        <w:tc>
          <w:tcPr>
            <w:tcW w:type="dxa" w:w="4276"/>
            <w:vAlign w:val="top"/>
          </w:tcPr>
          <w:p>
            <w:pPr>
              <w:spacing w:after="60" w:line="259" w:lineRule="auto"/>
            </w:pPr>
            <w:r>
              <w:rPr>
                <w:rFonts w:ascii="Calibri" w:hAnsi="Calibri"/>
                <w:b w:val="0"/>
                <w:i w:val="0"/>
                <w:color w:val="212121"/>
                <w:sz w:val="19"/>
              </w:rPr>
              <w:t>Much of India experiences a very high ultraviolet index for most of the year; hot arid zones such as the Thar desert combine extreme insolation, reflective sand and outdoor livelihoods to raise photodamage and desert (environmental) dermatoses.</w:t>
            </w:r>
          </w:p>
          <w:p>
            <w:pPr>
              <w:spacing w:after="40" w:before="60" w:line="259" w:lineRule="auto"/>
            </w:pPr>
            <w:r>
              <w:rPr>
                <w:rFonts w:ascii="Calibri" w:hAnsi="Calibri"/>
                <w:b w:val="0"/>
                <w:i w:val="0"/>
                <w:color w:val="212121"/>
                <w:sz w:val="19"/>
              </w:rPr>
              <w:t>Photodermatoses feature prominently among the ‘desert dermatoses’ described from the Thar desert region of India.</w:t>
            </w:r>
          </w:p>
          <w:p>
            <w:pPr>
              <w:spacing w:after="40" w:line="252" w:lineRule="auto"/>
            </w:pPr>
            <w:hyperlink r:id="rId14">
              <w:r>
                <w:rPr>
                  <w:rFonts w:ascii="Calibri" w:hAnsi="Calibri" w:cs="Calibri"/>
                  <w:sz w:val="18"/>
                  <w:color w:val="1155CC"/>
                  <w:u w:val="single"/>
                </w:rPr>
                <w:t xml:space="preserve">pubmed.ncbi.nlm.nih.gov/28216726 — Desert Dermatoses (Thar)</w:t>
              </w:r>
            </w:hyperlink>
          </w:p>
          <w:p>
            <w:pPr>
              <w:spacing w:before="60" w:after="40"/>
            </w:pPr>
            <w:r>
              <w:rPr>
                <w:rFonts w:ascii="Calibri" w:hAnsi="Calibri"/>
                <w:b w:val="0"/>
                <w:i w:val="0"/>
                <w:color w:val="5A5A5A"/>
                <w:sz w:val="18"/>
              </w:rPr>
              <w:t>#highUVindex  #Thardesert  #tropics  #insolation  #reflectedUV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Altitude</w:t>
            </w:r>
          </w:p>
        </w:tc>
        <w:tc>
          <w:tcPr>
            <w:tcW w:type="dxa" w:w="2160"/>
            <w:vAlign w:val="top"/>
          </w:tcPr>
          <w:p>
            <w:pPr>
              <w:spacing w:after="40" w:before="0" w:line="259" w:lineRule="auto"/>
            </w:pPr>
            <w:r>
              <w:rPr>
                <w:rFonts w:ascii="Calibri" w:hAnsi="Calibri"/>
                <w:b w:val="0"/>
                <w:i w:val="0"/>
                <w:color w:val="212121"/>
                <w:sz w:val="19"/>
              </w:rPr>
              <w:t>High-altitude &amp; Himalayan populations</w:t>
            </w:r>
          </w:p>
        </w:tc>
        <w:tc>
          <w:tcPr>
            <w:tcW w:type="dxa" w:w="4276"/>
            <w:vAlign w:val="top"/>
          </w:tcPr>
          <w:p>
            <w:pPr>
              <w:spacing w:after="60" w:line="259" w:lineRule="auto"/>
            </w:pPr>
            <w:r>
              <w:rPr>
                <w:rFonts w:ascii="Calibri" w:hAnsi="Calibri"/>
                <w:b w:val="0"/>
                <w:i w:val="0"/>
                <w:color w:val="212121"/>
                <w:sz w:val="19"/>
              </w:rPr>
              <w:t>Ultraviolet intensity rises roughly 10–12% per 1000 m of altitude and is further amplified by snow reflection, so hill and high-altitude communities and trekkers sunburn and photodamage faster despite cooler temperatures.</w:t>
            </w:r>
          </w:p>
          <w:p>
            <w:pPr>
              <w:spacing w:after="40" w:before="60" w:line="259" w:lineRule="auto"/>
            </w:pPr>
            <w:r>
              <w:rPr>
                <w:rFonts w:ascii="Calibri" w:hAnsi="Calibri"/>
                <w:b w:val="0"/>
                <w:i w:val="0"/>
                <w:color w:val="212121"/>
                <w:sz w:val="19"/>
              </w:rPr>
              <w:t>UV exposure increases with altitude and is markedly amplified by highly reflective fresh snow, raising sunburn risk in mountain populations.</w:t>
            </w:r>
          </w:p>
          <w:p>
            <w:pPr>
              <w:spacing w:before="60" w:after="40"/>
            </w:pPr>
            <w:r>
              <w:rPr>
                <w:rFonts w:ascii="Calibri" w:hAnsi="Calibri"/>
                <w:b w:val="0"/>
                <w:i w:val="0"/>
                <w:color w:val="5A5A5A"/>
                <w:sz w:val="18"/>
              </w:rPr>
              <w:t>#altitude  #snowreflection  #Himalaya  #UVintensity  #trekkers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Outdoor recreation / sun-seeking</w:t>
            </w:r>
          </w:p>
        </w:tc>
        <w:tc>
          <w:tcPr>
            <w:tcW w:type="dxa" w:w="2160"/>
            <w:vAlign w:val="top"/>
          </w:tcPr>
          <w:p>
            <w:pPr>
              <w:spacing w:after="40" w:before="0" w:line="259" w:lineRule="auto"/>
            </w:pPr>
            <w:r>
              <w:rPr>
                <w:rFonts w:ascii="Calibri" w:hAnsi="Calibri"/>
                <w:b w:val="0"/>
                <w:i w:val="0"/>
                <w:color w:val="212121"/>
                <w:sz w:val="19"/>
              </w:rPr>
              <w:t>Beach-goers, trekkers, athletes, tanners</w:t>
            </w:r>
          </w:p>
        </w:tc>
        <w:tc>
          <w:tcPr>
            <w:tcW w:type="dxa" w:w="4276"/>
            <w:vAlign w:val="top"/>
          </w:tcPr>
          <w:p>
            <w:pPr>
              <w:spacing w:after="60" w:line="259" w:lineRule="auto"/>
            </w:pPr>
            <w:r>
              <w:rPr>
                <w:rFonts w:ascii="Calibri" w:hAnsi="Calibri"/>
                <w:b w:val="0"/>
                <w:i w:val="0"/>
                <w:color w:val="212121"/>
                <w:sz w:val="19"/>
              </w:rPr>
              <w:t>Intense, intermittent recreational UV — beaches, trekking, outdoor sport and deliberate tanning — produces acute blistering sunburn, the exposure pattern most strongly linked to melanoma.</w:t>
            </w:r>
          </w:p>
          <w:p>
            <w:pPr>
              <w:spacing w:after="40" w:before="60" w:line="259" w:lineRule="auto"/>
            </w:pPr>
            <w:r>
              <w:rPr>
                <w:rFonts w:ascii="Calibri" w:hAnsi="Calibri"/>
                <w:b w:val="0"/>
                <w:i w:val="0"/>
                <w:color w:val="212121"/>
                <w:sz w:val="19"/>
              </w:rPr>
              <w:t>Vacation activities can raise annual UV exposure by 30–50%, and a single blistering sunburn at least doubles the lifetime risk of melanoma.</w:t>
            </w:r>
          </w:p>
          <w:p>
            <w:pPr>
              <w:spacing w:after="40" w:line="252" w:lineRule="auto"/>
            </w:pPr>
            <w:hyperlink r:id="rId15">
              <w:r>
                <w:rPr>
                  <w:rFonts w:ascii="Calibri" w:hAnsi="Calibri" w:cs="Calibri"/>
                  <w:sz w:val="18"/>
                  <w:color w:val="1155CC"/>
                  <w:u w:val="single"/>
                </w:rPr>
                <w:t xml:space="preserve">ncbi.nlm.nih.gov — StatPearls: Sunburn</w:t>
              </w:r>
            </w:hyperlink>
          </w:p>
          <w:p>
            <w:pPr>
              <w:spacing w:before="60" w:after="40"/>
            </w:pPr>
            <w:r>
              <w:rPr>
                <w:rFonts w:ascii="Calibri" w:hAnsi="Calibri"/>
                <w:b w:val="0"/>
                <w:i w:val="0"/>
                <w:color w:val="5A5A5A"/>
                <w:sz w:val="18"/>
              </w:rPr>
              <w:t>#sunseeking  #tanning  #blisteringsunburn  #melanomarisk  #recreationalUV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Cosmetics &amp; fragrances (hygiene practices)</w:t>
            </w:r>
          </w:p>
        </w:tc>
        <w:tc>
          <w:tcPr>
            <w:tcW w:type="dxa" w:w="2160"/>
            <w:vAlign w:val="top"/>
          </w:tcPr>
          <w:p>
            <w:pPr>
              <w:spacing w:after="40" w:before="0" w:line="259" w:lineRule="auto"/>
            </w:pPr>
            <w:r>
              <w:rPr>
                <w:rFonts w:ascii="Calibri" w:hAnsi="Calibri"/>
                <w:b w:val="0"/>
                <w:i w:val="0"/>
                <w:color w:val="212121"/>
                <w:sz w:val="19"/>
              </w:rPr>
              <w:t>Users of scented cosmetics, deodorants, sunscreens</w:t>
            </w:r>
          </w:p>
        </w:tc>
        <w:tc>
          <w:tcPr>
            <w:tcW w:type="dxa" w:w="4276"/>
            <w:vAlign w:val="top"/>
          </w:tcPr>
          <w:p>
            <w:pPr>
              <w:spacing w:after="60" w:line="259" w:lineRule="auto"/>
            </w:pPr>
            <w:r>
              <w:rPr>
                <w:rFonts w:ascii="Calibri" w:hAnsi="Calibri"/>
                <w:b w:val="0"/>
                <w:i w:val="0"/>
                <w:color w:val="212121"/>
                <w:sz w:val="19"/>
              </w:rPr>
              <w:t>Perfumes and cosmetics containing bergamot/psoralens, and some organic sunscreen filters and topical medicaments, act as photosensitisers producing photoallergic or berloque dermatitis on light-exposed, product-applied skin.</w:t>
            </w:r>
          </w:p>
          <w:p>
            <w:pPr>
              <w:spacing w:after="40" w:before="60" w:line="259" w:lineRule="auto"/>
            </w:pPr>
            <w:r>
              <w:rPr>
                <w:rFonts w:ascii="Calibri" w:hAnsi="Calibri"/>
                <w:b w:val="0"/>
                <w:i w:val="0"/>
                <w:color w:val="212121"/>
                <w:sz w:val="19"/>
              </w:rPr>
              <w:t>Photopatch and patch testing of Indian patients with photo-exposed dermatitis identifies fragrances, sunscreen chemicals and plant allergens as key photocontact sensitisers.</w:t>
            </w:r>
          </w:p>
          <w:p>
            <w:pPr>
              <w:spacing w:after="40" w:line="252" w:lineRule="auto"/>
            </w:pPr>
            <w:hyperlink r:id="rId16">
              <w:r>
                <w:rPr>
                  <w:rFonts w:ascii="Calibri" w:hAnsi="Calibri" w:cs="Calibri"/>
                  <w:sz w:val="18"/>
                  <w:color w:val="1155CC"/>
                  <w:u w:val="single"/>
                </w:rPr>
                <w:t xml:space="preserve">pubmed.ncbi.nlm.nih.gov/27282531 — photopatch/patch testing (India)</w:t>
              </w:r>
            </w:hyperlink>
          </w:p>
          <w:p>
            <w:pPr>
              <w:spacing w:before="60" w:after="40"/>
            </w:pPr>
            <w:r>
              <w:rPr>
                <w:rFonts w:ascii="Calibri" w:hAnsi="Calibri"/>
                <w:b w:val="0"/>
                <w:i w:val="0"/>
                <w:color w:val="5A5A5A"/>
                <w:sz w:val="18"/>
              </w:rPr>
              <w:t>#photoallergy  #fragrance  #psoralen  #berloque  #photopatch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smoke impairs DNA repair and dermal microcirculation and generates oxidative stress, accelerating photoaging and acting synergistically with UV in the development of cutaneous squamous cell carcinoma.</w:t>
            </w:r>
          </w:p>
          <w:p>
            <w:pPr>
              <w:spacing w:after="40" w:before="60" w:line="259" w:lineRule="auto"/>
            </w:pPr>
            <w:r>
              <w:rPr>
                <w:rFonts w:ascii="Calibri" w:hAnsi="Calibri"/>
                <w:b w:val="0"/>
                <w:i w:val="0"/>
                <w:color w:val="212121"/>
                <w:sz w:val="19"/>
              </w:rPr>
              <w:t>Smoking compounds UV-induced oxidative and DNA damage, accelerating photoaging and raising non-melanoma skin-cancer risk.</w:t>
            </w:r>
          </w:p>
          <w:p>
            <w:pPr>
              <w:spacing w:before="60" w:after="40"/>
            </w:pPr>
            <w:r>
              <w:rPr>
                <w:rFonts w:ascii="Calibri" w:hAnsi="Calibri"/>
                <w:b w:val="0"/>
                <w:i w:val="0"/>
                <w:color w:val="5A5A5A"/>
                <w:sz w:val="18"/>
              </w:rPr>
              <w:t>#smoking  #photoaging  #oxidativestress  #SCC  #DNArepair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Excess alcohol is a recognised sunburn risk factor (impaired judgement and photoprotection during outdoor drinking) and, in chronic use, precipitates porphyria cutanea tarda and contributes to pellagra — both photosensitive dermatoses.</w:t>
            </w:r>
          </w:p>
          <w:p>
            <w:pPr>
              <w:spacing w:after="40" w:before="60" w:line="259" w:lineRule="auto"/>
            </w:pPr>
            <w:r>
              <w:rPr>
                <w:rFonts w:ascii="Calibri" w:hAnsi="Calibri"/>
                <w:b w:val="0"/>
                <w:i w:val="0"/>
                <w:color w:val="212121"/>
                <w:sz w:val="19"/>
              </w:rPr>
              <w:t>Excessive alcohol consumption is listed among the behavioural risk factors for sunburn.</w:t>
            </w:r>
          </w:p>
          <w:p>
            <w:pPr>
              <w:spacing w:after="40" w:line="252" w:lineRule="auto"/>
            </w:pPr>
            <w:hyperlink r:id="rId15">
              <w:r>
                <w:rPr>
                  <w:rFonts w:ascii="Calibri" w:hAnsi="Calibri" w:cs="Calibri"/>
                  <w:sz w:val="18"/>
                  <w:color w:val="1155CC"/>
                  <w:u w:val="single"/>
                </w:rPr>
                <w:t xml:space="preserve">ncbi.nlm.nih.gov — StatPearls: Sunburn</w:t>
              </w:r>
            </w:hyperlink>
          </w:p>
          <w:p>
            <w:pPr>
              <w:spacing w:before="60" w:after="40"/>
            </w:pPr>
            <w:r>
              <w:rPr>
                <w:rFonts w:ascii="Calibri" w:hAnsi="Calibri"/>
                <w:b w:val="0"/>
                <w:i w:val="0"/>
                <w:color w:val="5A5A5A"/>
                <w:sz w:val="18"/>
              </w:rPr>
              <w:t>#alcohol  #porphyriacutaneatarda  #pellagra  #sunburnrisk  #photosensitivity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Psoralen-containing plants &amp; foods</w:t>
            </w:r>
          </w:p>
        </w:tc>
        <w:tc>
          <w:tcPr>
            <w:tcW w:type="dxa" w:w="2160"/>
            <w:vAlign w:val="top"/>
          </w:tcPr>
          <w:p>
            <w:pPr>
              <w:spacing w:after="40" w:before="0" w:line="259" w:lineRule="auto"/>
            </w:pPr>
            <w:r>
              <w:rPr>
                <w:rFonts w:ascii="Calibri" w:hAnsi="Calibri"/>
                <w:b w:val="0"/>
                <w:i w:val="0"/>
                <w:color w:val="212121"/>
                <w:sz w:val="19"/>
              </w:rPr>
              <w:t>Handlers/consumers of lime, bergamot, celery, parsley, figs</w:t>
            </w:r>
          </w:p>
        </w:tc>
        <w:tc>
          <w:tcPr>
            <w:tcW w:type="dxa" w:w="4276"/>
            <w:vAlign w:val="top"/>
          </w:tcPr>
          <w:p>
            <w:pPr>
              <w:spacing w:after="60" w:line="259" w:lineRule="auto"/>
            </w:pPr>
            <w:r>
              <w:rPr>
                <w:rFonts w:ascii="Calibri" w:hAnsi="Calibri"/>
                <w:b w:val="0"/>
                <w:i w:val="0"/>
                <w:color w:val="212121"/>
                <w:sz w:val="19"/>
              </w:rPr>
              <w:t>Furocoumarins (psoralens) in lime, bergamot, celery, parsley, parsnip and figs photosensitise skin on contact and sun exposure, producing phytophotodermatitis (‘lime/margarita dermatitis’) with streaky erythema, blisters and lasting pigmentation.</w:t>
            </w:r>
          </w:p>
          <w:p>
            <w:pPr>
              <w:spacing w:after="40" w:before="60" w:line="259" w:lineRule="auto"/>
            </w:pPr>
            <w:r>
              <w:rPr>
                <w:rFonts w:ascii="Calibri" w:hAnsi="Calibri"/>
                <w:b w:val="0"/>
                <w:i w:val="0"/>
                <w:color w:val="212121"/>
                <w:sz w:val="19"/>
              </w:rPr>
              <w:t>Psoralen-rich plants and foods are well-recognised triggers of phototoxic phytophotodermatitis.</w:t>
            </w:r>
          </w:p>
          <w:p>
            <w:pPr>
              <w:spacing w:before="60" w:after="40"/>
            </w:pPr>
            <w:r>
              <w:rPr>
                <w:rFonts w:ascii="Calibri" w:hAnsi="Calibri"/>
                <w:b w:val="0"/>
                <w:i w:val="0"/>
                <w:color w:val="5A5A5A"/>
                <w:sz w:val="18"/>
              </w:rPr>
              <w:t>#phytophotodermatitis  #psoralen  #lime  #furocoumarin  #margaritaderm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Niacin-deficient diet</w:t>
            </w:r>
          </w:p>
        </w:tc>
        <w:tc>
          <w:tcPr>
            <w:tcW w:type="dxa" w:w="2160"/>
            <w:vAlign w:val="top"/>
          </w:tcPr>
          <w:p>
            <w:pPr>
              <w:spacing w:after="40" w:before="0" w:line="259" w:lineRule="auto"/>
            </w:pPr>
            <w:r>
              <w:rPr>
                <w:rFonts w:ascii="Calibri" w:hAnsi="Calibri"/>
                <w:b w:val="0"/>
                <w:i w:val="0"/>
                <w:color w:val="212121"/>
                <w:sz w:val="19"/>
              </w:rPr>
              <w:t>Maize/sorghum-dependent, poor &amp; alcoholic diets</w:t>
            </w:r>
          </w:p>
        </w:tc>
        <w:tc>
          <w:tcPr>
            <w:tcW w:type="dxa" w:w="4276"/>
            <w:vAlign w:val="top"/>
          </w:tcPr>
          <w:p>
            <w:pPr>
              <w:spacing w:after="60" w:line="259" w:lineRule="auto"/>
            </w:pPr>
            <w:r>
              <w:rPr>
                <w:rFonts w:ascii="Calibri" w:hAnsi="Calibri"/>
                <w:b w:val="0"/>
                <w:i w:val="0"/>
                <w:color w:val="212121"/>
                <w:sz w:val="19"/>
              </w:rPr>
              <w:t>Diets heavily dependent on maize or sorghum with little niacin/tryptophan cause pellagra, whose ‘4-D’ dermatitis is classically photosensitive — a symmetrical, well-demarcated eruption on sun-exposed skin (Casal’s necklace).</w:t>
            </w:r>
          </w:p>
          <w:p>
            <w:pPr>
              <w:spacing w:after="40" w:before="60" w:line="259" w:lineRule="auto"/>
            </w:pPr>
            <w:r>
              <w:rPr>
                <w:rFonts w:ascii="Calibri" w:hAnsi="Calibri"/>
                <w:b w:val="0"/>
                <w:i w:val="0"/>
                <w:color w:val="212121"/>
                <w:sz w:val="19"/>
              </w:rPr>
              <w:t>Pellagra (niacin deficiency) produces a characteristic photosensitive dermatitis on sun-exposed sites and remains relevant in undernourished and alcohol-dependent Indians.</w:t>
            </w:r>
          </w:p>
          <w:p>
            <w:pPr>
              <w:spacing w:before="60" w:after="40"/>
            </w:pPr>
            <w:r>
              <w:rPr>
                <w:rFonts w:ascii="Calibri" w:hAnsi="Calibri"/>
                <w:b w:val="0"/>
                <w:i w:val="0"/>
                <w:color w:val="5A5A5A"/>
                <w:sz w:val="18"/>
              </w:rPr>
              <w:t>#pellagra  #niacin  #Casalsnecklace  #maizediet  #nutritionalphotosensitivity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&amp; DNA-repair defects</w:t>
            </w:r>
          </w:p>
        </w:tc>
        <w:tc>
          <w:tcPr>
            <w:tcW w:type="dxa" w:w="2160"/>
            <w:vAlign w:val="top"/>
          </w:tcPr>
          <w:p>
            <w:pPr>
              <w:spacing w:after="40" w:before="0" w:line="259" w:lineRule="auto"/>
            </w:pPr>
            <w:r>
              <w:rPr>
                <w:rFonts w:ascii="Calibri" w:hAnsi="Calibri"/>
                <w:b w:val="0"/>
                <w:i w:val="0"/>
                <w:color w:val="212121"/>
                <w:sz w:val="19"/>
              </w:rPr>
              <w:t>Familial PLE; xeroderma pigmentosum; porphyria</w:t>
            </w:r>
          </w:p>
        </w:tc>
        <w:tc>
          <w:tcPr>
            <w:tcW w:type="dxa" w:w="4276"/>
            <w:vAlign w:val="top"/>
          </w:tcPr>
          <w:p>
            <w:pPr>
              <w:spacing w:after="60" w:line="259" w:lineRule="auto"/>
            </w:pPr>
            <w:r>
              <w:rPr>
                <w:rFonts w:ascii="Calibri" w:hAnsi="Calibri"/>
                <w:b w:val="0"/>
                <w:i w:val="0"/>
                <w:color w:val="212121"/>
                <w:sz w:val="19"/>
              </w:rPr>
              <w:t>A familial tendency to PLE is common, and inherited DNA-repair defects (xeroderma pigmentosum) and porphyrias produce intrinsic, often severe photosensitivity — xeroderma pigmentosum is over-represented in India where consanguineous marriage is frequent.</w:t>
            </w:r>
          </w:p>
          <w:p>
            <w:pPr>
              <w:spacing w:after="40" w:before="60" w:line="259" w:lineRule="auto"/>
            </w:pPr>
            <w:r>
              <w:rPr>
                <w:rFonts w:ascii="Calibri" w:hAnsi="Calibri"/>
                <w:b w:val="0"/>
                <w:i w:val="0"/>
                <w:color w:val="212121"/>
                <w:sz w:val="19"/>
              </w:rPr>
              <w:t>A family history of PLE is reported in roughly 15–46% of patients, indicating genetic susceptibility.</w:t>
            </w:r>
          </w:p>
          <w:p>
            <w:pPr>
              <w:spacing w:after="40" w:line="252" w:lineRule="auto"/>
            </w:pPr>
            <w:hyperlink r:id="rId17">
              <w:r>
                <w:rPr>
                  <w:rFonts w:ascii="Calibri" w:hAnsi="Calibri" w:cs="Calibri"/>
                  <w:sz w:val="18"/>
                  <w:color w:val="1155CC"/>
                  <w:u w:val="single"/>
                </w:rPr>
                <w:t xml:space="preserve">dermnetnz.org — Polymorphic light eruption</w:t>
              </w:r>
            </w:hyperlink>
          </w:p>
          <w:p>
            <w:pPr>
              <w:spacing w:before="60" w:after="40"/>
            </w:pPr>
            <w:r>
              <w:rPr>
                <w:rFonts w:ascii="Calibri" w:hAnsi="Calibri"/>
                <w:b w:val="0"/>
                <w:i w:val="0"/>
                <w:color w:val="5A5A5A"/>
                <w:sz w:val="18"/>
              </w:rPr>
              <w:t>#familyhistory  #xerodermapigmentosum  #porphyria  #consanguinity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Lupus erythematosus</w:t>
            </w:r>
          </w:p>
        </w:tc>
        <w:tc>
          <w:tcPr>
            <w:tcW w:type="dxa" w:w="2160"/>
            <w:vAlign w:val="top"/>
          </w:tcPr>
          <w:p>
            <w:pPr>
              <w:spacing w:after="40" w:before="0" w:line="259" w:lineRule="auto"/>
            </w:pPr>
            <w:r>
              <w:rPr>
                <w:rFonts w:ascii="Calibri" w:hAnsi="Calibri"/>
                <w:b w:val="0"/>
                <w:i w:val="0"/>
                <w:color w:val="212121"/>
                <w:sz w:val="19"/>
              </w:rPr>
              <w:t>Patients with SLE / cutaneous lupus</w:t>
            </w:r>
          </w:p>
        </w:tc>
        <w:tc>
          <w:tcPr>
            <w:tcW w:type="dxa" w:w="4276"/>
            <w:vAlign w:val="top"/>
          </w:tcPr>
          <w:p>
            <w:pPr>
              <w:spacing w:after="60" w:line="259" w:lineRule="auto"/>
            </w:pPr>
            <w:r>
              <w:rPr>
                <w:rFonts w:ascii="Calibri" w:hAnsi="Calibri"/>
                <w:b w:val="0"/>
                <w:i w:val="0"/>
                <w:color w:val="212121"/>
                <w:sz w:val="19"/>
              </w:rPr>
              <w:t>Photosensitivity is a diagnostic feature of lupus; UV exposure triggers or flares cutaneous and systemic lupus, so a photodistributed eruption must always prompt a lupus screen (ANA, anti-Ro/SSA).</w:t>
            </w:r>
          </w:p>
          <w:p>
            <w:pPr>
              <w:spacing w:after="40" w:before="60" w:line="259" w:lineRule="auto"/>
            </w:pPr>
            <w:r>
              <w:rPr>
                <w:rFonts w:ascii="Calibri" w:hAnsi="Calibri"/>
                <w:b w:val="0"/>
                <w:i w:val="0"/>
                <w:color w:val="212121"/>
                <w:sz w:val="19"/>
              </w:rPr>
              <w:t>Photosensitivity is one of the classification criteria for systemic lupus erythematosus and drives malar and subacute cutaneous lupus flares.</w:t>
            </w:r>
          </w:p>
          <w:p>
            <w:pPr>
              <w:spacing w:after="40" w:line="252" w:lineRule="auto"/>
            </w:pPr>
            <w:hyperlink r:id="rId10">
              <w:r>
                <w:rPr>
                  <w:rFonts w:ascii="Calibri" w:hAnsi="Calibri" w:cs="Calibri"/>
                  <w:sz w:val="18"/>
                  <w:color w:val="1155CC"/>
                  <w:u w:val="single"/>
                </w:rPr>
                <w:t xml:space="preserve">ijdvl.com — Photodermatoses in India</w:t>
              </w:r>
            </w:hyperlink>
          </w:p>
          <w:p>
            <w:pPr>
              <w:spacing w:before="60" w:after="40"/>
            </w:pPr>
            <w:r>
              <w:rPr>
                <w:rFonts w:ascii="Calibri" w:hAnsi="Calibri"/>
                <w:b w:val="0"/>
                <w:i w:val="0"/>
                <w:color w:val="5A5A5A"/>
                <w:sz w:val="18"/>
              </w:rPr>
              <w:t>#lupus  #SLE  #antiRo  #photoaggravated  #malarrash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Drug-induced photosensitivity</w:t>
            </w:r>
          </w:p>
        </w:tc>
        <w:tc>
          <w:tcPr>
            <w:tcW w:type="dxa" w:w="2160"/>
            <w:vAlign w:val="top"/>
          </w:tcPr>
          <w:p>
            <w:pPr>
              <w:spacing w:after="40" w:before="0" w:line="259" w:lineRule="auto"/>
            </w:pPr>
            <w:r>
              <w:rPr>
                <w:rFonts w:ascii="Calibri" w:hAnsi="Calibri"/>
                <w:b w:val="0"/>
                <w:i w:val="0"/>
                <w:color w:val="212121"/>
                <w:sz w:val="19"/>
              </w:rPr>
              <w:t>Patients on photosensitising drugs</w:t>
            </w:r>
          </w:p>
        </w:tc>
        <w:tc>
          <w:tcPr>
            <w:tcW w:type="dxa" w:w="4276"/>
            <w:vAlign w:val="top"/>
          </w:tcPr>
          <w:p>
            <w:pPr>
              <w:spacing w:after="60" w:line="259" w:lineRule="auto"/>
            </w:pPr>
            <w:r>
              <w:rPr>
                <w:rFonts w:ascii="Calibri" w:hAnsi="Calibri"/>
                <w:b w:val="0"/>
                <w:i w:val="0"/>
                <w:color w:val="212121"/>
                <w:sz w:val="19"/>
              </w:rPr>
              <w:t>Many widely used drugs absorb UV to cause phototoxic (sunburn-like) or photoallergic (eczematous) reactions — fluoroquinolones, doxycycline, thiazides, NSAIDs, amiodarone, voriconazole and phenothiazines; unregulated over-the-counter drug use in India adds to the burden.</w:t>
            </w:r>
          </w:p>
          <w:p>
            <w:pPr>
              <w:spacing w:after="40" w:before="60" w:line="259" w:lineRule="auto"/>
            </w:pPr>
            <w:r>
              <w:rPr>
                <w:rFonts w:ascii="Calibri" w:hAnsi="Calibri"/>
                <w:b w:val="0"/>
                <w:i w:val="0"/>
                <w:color w:val="212121"/>
                <w:sz w:val="19"/>
              </w:rPr>
              <w:t>Drug photosensitivity arises when a systemic or topical medication absorbs solar radiation and produces cellular damage (phototoxicity) or a photoallergic response.</w:t>
            </w:r>
          </w:p>
          <w:p>
            <w:pPr>
              <w:spacing w:after="40" w:line="252" w:lineRule="auto"/>
            </w:pPr>
            <w:hyperlink r:id="rId18">
              <w:r>
                <w:rPr>
                  <w:rFonts w:ascii="Calibri" w:hAnsi="Calibri" w:cs="Calibri"/>
                  <w:sz w:val="18"/>
                  <w:color w:val="1155CC"/>
                  <w:u w:val="single"/>
                </w:rPr>
                <w:t xml:space="preserve">pubmed.ncbi.nlm.nih.gov/27510322 — drug-induced photosensitivity</w:t>
              </w:r>
            </w:hyperlink>
          </w:p>
          <w:p>
            <w:pPr>
              <w:spacing w:before="60" w:after="40"/>
            </w:pPr>
            <w:r>
              <w:rPr>
                <w:rFonts w:ascii="Calibri" w:hAnsi="Calibri"/>
                <w:b w:val="0"/>
                <w:i w:val="0"/>
                <w:color w:val="5A5A5A"/>
                <w:sz w:val="18"/>
              </w:rPr>
              <w:t>#drugphotosensitivity  #phototoxic  #photoallergic  #fluoroquinolones  #thiazides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Intensively photoprotected / sun-avoidant individuals</w:t>
            </w:r>
          </w:p>
        </w:tc>
        <w:tc>
          <w:tcPr>
            <w:tcW w:type="dxa" w:w="4276"/>
            <w:vAlign w:val="top"/>
          </w:tcPr>
          <w:p>
            <w:pPr>
              <w:spacing w:after="60" w:line="259" w:lineRule="auto"/>
            </w:pPr>
            <w:r>
              <w:rPr>
                <w:rFonts w:ascii="Calibri" w:hAnsi="Calibri"/>
                <w:b w:val="0"/>
                <w:i w:val="0"/>
                <w:color w:val="212121"/>
                <w:sz w:val="19"/>
              </w:rPr>
              <w:t>Because photoprotection reduces cutaneous vitamin-D synthesis, patients with photodermatoses who avoid the sun are at added risk of deficiency in a population that is already widely deficient — the ‘photoprotection paradox’ needing dietary/supplemental vitamin D.</w:t>
            </w:r>
          </w:p>
          <w:p>
            <w:pPr>
              <w:spacing w:after="40" w:before="60" w:line="259" w:lineRule="auto"/>
            </w:pPr>
            <w:r>
              <w:rPr>
                <w:rFonts w:ascii="Calibri" w:hAnsi="Calibri"/>
                <w:b w:val="0"/>
                <w:i w:val="0"/>
                <w:color w:val="212121"/>
                <w:sz w:val="19"/>
              </w:rPr>
              <w:t>Vitamin-D deficiency is reported in about 70–100% of the general Indian population.</w:t>
            </w:r>
          </w:p>
          <w:p>
            <w:pPr>
              <w:spacing w:after="40" w:line="252" w:lineRule="auto"/>
            </w:pPr>
            <w:hyperlink r:id="rId19">
              <w:r>
                <w:rPr>
                  <w:rFonts w:ascii="Calibri" w:hAnsi="Calibri" w:cs="Calibri"/>
                  <w:sz w:val="18"/>
                  <w:color w:val="1155CC"/>
                  <w:u w:val="single"/>
                </w:rPr>
                <w:t xml:space="preserve">pubmed.ncbi.nlm.nih.gov/24566435 — Vitamin D deficiency in India</w:t>
              </w:r>
            </w:hyperlink>
          </w:p>
          <w:p>
            <w:pPr>
              <w:spacing w:before="60" w:after="40"/>
            </w:pPr>
            <w:r>
              <w:rPr>
                <w:rFonts w:ascii="Calibri" w:hAnsi="Calibri"/>
                <w:b w:val="0"/>
                <w:i w:val="0"/>
                <w:color w:val="5A5A5A"/>
                <w:sz w:val="18"/>
              </w:rPr>
              <w:t>#vitaminD  #photoprotectionparadox  #sunavoidance  #supplementation  #India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is beneficial, but outdoor sport, trekking and manual work performed in midday sun raise the ultraviolet dose and sunburn/PLE risk; scheduling activity for early morning or evening and using photoprotection makes it net-safe.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Furocoumarin (psoralen)-rich plants/foods (lime, bergamot, celery, parsley, figs) cause phototoxic phytophotodermatitis, and niacin-poor diets cause pellagra with a photosensitive dermatitis; antioxidant-rich diets may modestly raise the sunburn threshold.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acts indirectly — adequate rest supports cutaneous immune regulation and DNA-repair/tissue recovery after UV injury, whereas deprivation may impair healing of sun-damaged skin.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DNA repair and dermal microcirculation and adds oxidative stress, accelerating photoaging and acting synergistically with UV in cutaneous squamous cell carcinoma.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alcohol is a recognised sunburn risk factor and, in chronic use, precipitates porphyria cutanea tarda and contributes to pellagra — both photosensitive dermatoses.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visible or recurrent photodermatoses (PLE, chronic actinic dermatitis, lupus, xeroderma pigmentosum) and lifelong sun-avoidance cause appearance-related distress, anxiety and social restriction that reduce quality of life and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Systemic hydration matters mainly in severe/extensive sunburn, which can cause dehydration and electrolyte loss; generous fluids aid recovery, while cool water compresses relieve acute erythema.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some epidemiological data link caffeinated coffee intake with modestly lower non-melanoma skin-cancer risk, but there is no meaningful direct effect on acute photosensitivity.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‘Hygiene’ here is product hygiene — scented cosmetics, deodorants, some sunscreen chemicals and topical medicaments can photosensitise and cause photoallergic/berloque dermatitis; choosing fragrance-free, tested products and washing off plant sap prevents this.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Ultraviolet radiation (UVB and UVA), visible light in some subtypes, and photosensitising drugs, plants and chemicals are the direct provoking cause of every photodermatosis; midday sun, altitude, and reflection off snow/sand/water amplify the dose.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body posture has no established role in photodermatoses.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Ultraviolet (UV) Index</w:t>
            </w:r>
          </w:p>
        </w:tc>
        <w:tc>
          <w:tcPr>
            <w:tcW w:type="dxa" w:w="1655"/>
            <w:vAlign w:val="top"/>
          </w:tcPr>
          <w:p>
            <w:pPr>
              <w:spacing w:after="40" w:before="0" w:line="259" w:lineRule="auto"/>
            </w:pPr>
            <w:r>
              <w:rPr>
                <w:rFonts w:ascii="Calibri" w:hAnsi="Calibri"/>
                <w:b w:val="0"/>
                <w:i w:val="0"/>
                <w:color w:val="212121"/>
                <w:sz w:val="19"/>
              </w:rPr>
              <w:t>All, outdoor workers, fair skin</w:t>
            </w:r>
          </w:p>
        </w:tc>
        <w:tc>
          <w:tcPr>
            <w:tcW w:type="dxa" w:w="1512"/>
            <w:vAlign w:val="top"/>
          </w:tcPr>
          <w:p>
            <w:pPr>
              <w:spacing w:after="40" w:before="0" w:line="259" w:lineRule="auto"/>
            </w:pPr>
            <w:r>
              <w:rPr>
                <w:rFonts w:ascii="Calibri" w:hAnsi="Calibri"/>
                <w:b w:val="0"/>
                <w:i w:val="0"/>
                <w:color w:val="212121"/>
                <w:sz w:val="19"/>
              </w:rPr>
              <w:t>Plan/limit exposure and protect skin when UVI ≥ 3</w:t>
            </w:r>
          </w:p>
        </w:tc>
        <w:tc>
          <w:tcPr>
            <w:tcW w:type="dxa" w:w="1512"/>
            <w:vAlign w:val="top"/>
          </w:tcPr>
          <w:p>
            <w:pPr>
              <w:spacing w:after="40" w:before="0" w:line="259" w:lineRule="auto"/>
            </w:pPr>
            <w:r>
              <w:rPr>
                <w:rFonts w:ascii="Calibri" w:hAnsi="Calibri"/>
                <w:b w:val="0"/>
                <w:i w:val="0"/>
                <w:color w:val="212121"/>
                <w:sz w:val="19"/>
              </w:rPr>
              <w:t>UVI ≥ 6 (high); ≥ 8 (very high) — common at Indian midday</w:t>
            </w:r>
          </w:p>
        </w:tc>
        <w:tc>
          <w:tcPr>
            <w:tcW w:type="dxa" w:w="1468"/>
            <w:vAlign w:val="top"/>
          </w:tcPr>
          <w:p>
            <w:pPr>
              <w:spacing w:after="60" w:line="259" w:lineRule="auto"/>
            </w:pPr>
            <w:r>
              <w:rPr>
                <w:rFonts w:ascii="Calibri" w:hAnsi="Calibri"/>
                <w:b w:val="0"/>
                <w:i w:val="0"/>
                <w:color w:val="212121"/>
                <w:sz w:val="19"/>
              </w:rPr>
              <w:t>Higher UVI shortens time to burn; check the daily forecast</w:t>
            </w:r>
          </w:p>
          <w:p>
            <w:pPr>
              <w:spacing w:after="40" w:line="252" w:lineRule="auto"/>
            </w:pPr>
            <w:hyperlink r:id="rId13">
              <w:r>
                <w:rPr>
                  <w:rFonts w:ascii="Calibri" w:hAnsi="Calibri" w:cs="Calibri"/>
                  <w:sz w:val="18"/>
                  <w:color w:val="1155CC"/>
                  <w:u w:val="single"/>
                </w:rPr>
                <w:t xml:space="preserve">https://dermnetnz.org/topics/sunburn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Peak-sun exposure time</w:t>
            </w:r>
          </w:p>
        </w:tc>
        <w:tc>
          <w:tcPr>
            <w:tcW w:type="dxa" w:w="1655"/>
            <w:vAlign w:val="top"/>
          </w:tcPr>
          <w:p>
            <w:pPr>
              <w:spacing w:after="40" w:before="0" w:line="259" w:lineRule="auto"/>
            </w:pPr>
            <w:r>
              <w:rPr>
                <w:rFonts w:ascii="Calibri" w:hAnsi="Calibri"/>
                <w:b w:val="0"/>
                <w:i w:val="0"/>
                <w:color w:val="212121"/>
                <w:sz w:val="19"/>
              </w:rPr>
              <w:t>All, especially fair skin &amp; children</w:t>
            </w:r>
          </w:p>
        </w:tc>
        <w:tc>
          <w:tcPr>
            <w:tcW w:type="dxa" w:w="1512"/>
            <w:vAlign w:val="top"/>
          </w:tcPr>
          <w:p>
            <w:pPr>
              <w:spacing w:after="40" w:before="0" w:line="259" w:lineRule="auto"/>
            </w:pPr>
            <w:r>
              <w:rPr>
                <w:rFonts w:ascii="Calibri" w:hAnsi="Calibri"/>
                <w:b w:val="0"/>
                <w:i w:val="0"/>
                <w:color w:val="212121"/>
                <w:sz w:val="19"/>
              </w:rPr>
              <w:t>Avoid direct sun 10:00–16:00; seek shade</w:t>
            </w:r>
          </w:p>
        </w:tc>
        <w:tc>
          <w:tcPr>
            <w:tcW w:type="dxa" w:w="1512"/>
            <w:vAlign w:val="top"/>
          </w:tcPr>
          <w:p>
            <w:pPr>
              <w:spacing w:after="40" w:before="0" w:line="259" w:lineRule="auto"/>
            </w:pPr>
            <w:r>
              <w:rPr>
                <w:rFonts w:ascii="Calibri" w:hAnsi="Calibri"/>
                <w:b w:val="0"/>
                <w:i w:val="0"/>
                <w:color w:val="212121"/>
                <w:sz w:val="19"/>
              </w:rPr>
              <w:t>Prolonged midday (10:00–16:00) exposure</w:t>
            </w:r>
          </w:p>
        </w:tc>
        <w:tc>
          <w:tcPr>
            <w:tcW w:type="dxa" w:w="1468"/>
            <w:vAlign w:val="top"/>
          </w:tcPr>
          <w:p>
            <w:pPr>
              <w:spacing w:after="60" w:line="259" w:lineRule="auto"/>
            </w:pPr>
            <w:r>
              <w:rPr>
                <w:rFonts w:ascii="Calibri" w:hAnsi="Calibri"/>
                <w:b w:val="0"/>
                <w:i w:val="0"/>
                <w:color w:val="212121"/>
                <w:sz w:val="19"/>
              </w:rPr>
              <w:t>Erythema begins 2–6 h after and peaks at 12–24 h</w:t>
            </w:r>
          </w:p>
          <w:p>
            <w:pPr>
              <w:spacing w:after="40" w:line="252" w:lineRule="auto"/>
            </w:pPr>
            <w:hyperlink r:id="rId15">
              <w:r>
                <w:rPr>
                  <w:rFonts w:ascii="Calibri" w:hAnsi="Calibri" w:cs="Calibri"/>
                  <w:sz w:val="18"/>
                  <w:color w:val="1155CC"/>
                  <w:u w:val="single"/>
                </w:rPr>
                <w:t xml:space="preserve">https://www.ncbi.nlm.nih.gov/books/NBK534837/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Sunscreen SPF &amp; reapplication</w:t>
            </w:r>
          </w:p>
        </w:tc>
        <w:tc>
          <w:tcPr>
            <w:tcW w:type="dxa" w:w="1655"/>
            <w:vAlign w:val="top"/>
          </w:tcPr>
          <w:p>
            <w:pPr>
              <w:spacing w:after="40" w:before="0" w:line="259" w:lineRule="auto"/>
            </w:pPr>
            <w:r>
              <w:rPr>
                <w:rFonts w:ascii="Calibri" w:hAnsi="Calibri"/>
                <w:b w:val="0"/>
                <w:i w:val="0"/>
                <w:color w:val="212121"/>
                <w:sz w:val="19"/>
              </w:rPr>
              <w:t>All at-risk; PLE, lupus, drug photosensitivity</w:t>
            </w:r>
          </w:p>
        </w:tc>
        <w:tc>
          <w:tcPr>
            <w:tcW w:type="dxa" w:w="1512"/>
            <w:vAlign w:val="top"/>
          </w:tcPr>
          <w:p>
            <w:pPr>
              <w:spacing w:after="40" w:before="0" w:line="259" w:lineRule="auto"/>
            </w:pPr>
            <w:r>
              <w:rPr>
                <w:rFonts w:ascii="Calibri" w:hAnsi="Calibri"/>
                <w:b w:val="0"/>
                <w:i w:val="0"/>
                <w:color w:val="212121"/>
                <w:sz w:val="19"/>
              </w:rPr>
              <w:t>Broad-spectrum SPF 30–50+, ~2 mg/cm², reapply every 2 h &amp; after sweat/water</w:t>
            </w:r>
          </w:p>
        </w:tc>
        <w:tc>
          <w:tcPr>
            <w:tcW w:type="dxa" w:w="1512"/>
            <w:vAlign w:val="top"/>
          </w:tcPr>
          <w:p>
            <w:pPr>
              <w:spacing w:after="40" w:before="0" w:line="259" w:lineRule="auto"/>
            </w:pPr>
            <w:r>
              <w:rPr>
                <w:rFonts w:ascii="Calibri" w:hAnsi="Calibri"/>
                <w:b w:val="0"/>
                <w:i w:val="0"/>
                <w:color w:val="212121"/>
                <w:sz w:val="19"/>
              </w:rPr>
              <w:t>No or under-applied sunscreen; not reapplied</w:t>
            </w:r>
          </w:p>
        </w:tc>
        <w:tc>
          <w:tcPr>
            <w:tcW w:type="dxa" w:w="1468"/>
            <w:vAlign w:val="top"/>
          </w:tcPr>
          <w:p>
            <w:pPr>
              <w:spacing w:after="60" w:line="259" w:lineRule="auto"/>
            </w:pPr>
            <w:r>
              <w:rPr>
                <w:rFonts w:ascii="Calibri" w:hAnsi="Calibri"/>
                <w:b w:val="0"/>
                <w:i w:val="0"/>
                <w:color w:val="212121"/>
                <w:sz w:val="19"/>
              </w:rPr>
              <w:t>Broad-spectrum (UVA+UVB) cover is essential; India-specific guidance favours SPF 30–50+</w:t>
            </w:r>
          </w:p>
          <w:p>
            <w:pPr>
              <w:spacing w:after="40" w:line="252" w:lineRule="auto"/>
            </w:pPr>
            <w:hyperlink r:id="rId20">
              <w:r>
                <w:rPr>
                  <w:rFonts w:ascii="Calibri" w:hAnsi="Calibri" w:cs="Calibri"/>
                  <w:sz w:val="18"/>
                  <w:color w:val="1155CC"/>
                  <w:u w:val="single"/>
                </w:rPr>
                <w:t xml:space="preserve">https://pubmed.ncbi.nlm.nih.gov/40955142/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Protective clothing &amp; UPF</w:t>
            </w:r>
          </w:p>
        </w:tc>
        <w:tc>
          <w:tcPr>
            <w:tcW w:type="dxa" w:w="1655"/>
            <w:vAlign w:val="top"/>
          </w:tcPr>
          <w:p>
            <w:pPr>
              <w:spacing w:after="40" w:before="0" w:line="259" w:lineRule="auto"/>
            </w:pPr>
            <w:r>
              <w:rPr>
                <w:rFonts w:ascii="Calibri" w:hAnsi="Calibri"/>
                <w:b w:val="0"/>
                <w:i w:val="0"/>
                <w:color w:val="212121"/>
                <w:sz w:val="19"/>
              </w:rPr>
              <w:t>Outdoor workers, farmers, trekkers</w:t>
            </w:r>
          </w:p>
        </w:tc>
        <w:tc>
          <w:tcPr>
            <w:tcW w:type="dxa" w:w="1512"/>
            <w:vAlign w:val="top"/>
          </w:tcPr>
          <w:p>
            <w:pPr>
              <w:spacing w:after="40" w:before="0" w:line="259" w:lineRule="auto"/>
            </w:pPr>
            <w:r>
              <w:rPr>
                <w:rFonts w:ascii="Calibri" w:hAnsi="Calibri"/>
                <w:b w:val="0"/>
                <w:i w:val="0"/>
                <w:color w:val="212121"/>
                <w:sz w:val="19"/>
              </w:rPr>
              <w:t>UPF 40–50+ clothing, wide-brim hat, UV-blocking sunglasses</w:t>
            </w:r>
          </w:p>
        </w:tc>
        <w:tc>
          <w:tcPr>
            <w:tcW w:type="dxa" w:w="1512"/>
            <w:vAlign w:val="top"/>
          </w:tcPr>
          <w:p>
            <w:pPr>
              <w:spacing w:after="40" w:before="0" w:line="259" w:lineRule="auto"/>
            </w:pPr>
            <w:r>
              <w:rPr>
                <w:rFonts w:ascii="Calibri" w:hAnsi="Calibri"/>
                <w:b w:val="0"/>
                <w:i w:val="0"/>
                <w:color w:val="212121"/>
                <w:sz w:val="19"/>
              </w:rPr>
              <w:t>Light, sparse clothing; bare head/neck</w:t>
            </w:r>
          </w:p>
        </w:tc>
        <w:tc>
          <w:tcPr>
            <w:tcW w:type="dxa" w:w="1468"/>
            <w:vAlign w:val="top"/>
          </w:tcPr>
          <w:p>
            <w:pPr>
              <w:spacing w:after="40" w:before="0" w:line="259" w:lineRule="auto"/>
            </w:pPr>
            <w:r>
              <w:rPr>
                <w:rFonts w:ascii="Calibri" w:hAnsi="Calibri"/>
                <w:b w:val="0"/>
                <w:i w:val="0"/>
                <w:color w:val="212121"/>
                <w:sz w:val="19"/>
              </w:rPr>
              <w:t>Physical barriers outperform sunscreen for cumulative occupational exposure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Minimal erythema dose (MED)</w:t>
            </w:r>
          </w:p>
        </w:tc>
        <w:tc>
          <w:tcPr>
            <w:tcW w:type="dxa" w:w="1655"/>
            <w:vAlign w:val="top"/>
          </w:tcPr>
          <w:p>
            <w:pPr>
              <w:spacing w:after="40" w:before="0" w:line="259" w:lineRule="auto"/>
            </w:pPr>
            <w:r>
              <w:rPr>
                <w:rFonts w:ascii="Calibri" w:hAnsi="Calibri"/>
                <w:b w:val="0"/>
                <w:i w:val="0"/>
                <w:color w:val="212121"/>
                <w:sz w:val="19"/>
              </w:rPr>
              <w:t>Suspected photosensitivity, phototesting</w:t>
            </w:r>
          </w:p>
        </w:tc>
        <w:tc>
          <w:tcPr>
            <w:tcW w:type="dxa" w:w="1512"/>
            <w:vAlign w:val="top"/>
          </w:tcPr>
          <w:p>
            <w:pPr>
              <w:spacing w:after="40" w:before="0" w:line="259" w:lineRule="auto"/>
            </w:pPr>
            <w:r>
              <w:rPr>
                <w:rFonts w:ascii="Calibri" w:hAnsi="Calibri"/>
                <w:b w:val="0"/>
                <w:i w:val="0"/>
                <w:color w:val="212121"/>
                <w:sz w:val="19"/>
              </w:rPr>
              <w:t>Normal MED for phototype</w:t>
            </w:r>
          </w:p>
        </w:tc>
        <w:tc>
          <w:tcPr>
            <w:tcW w:type="dxa" w:w="1512"/>
            <w:vAlign w:val="top"/>
          </w:tcPr>
          <w:p>
            <w:pPr>
              <w:spacing w:after="40" w:before="0" w:line="259" w:lineRule="auto"/>
            </w:pPr>
            <w:r>
              <w:rPr>
                <w:rFonts w:ascii="Calibri" w:hAnsi="Calibri"/>
                <w:b w:val="0"/>
                <w:i w:val="0"/>
                <w:color w:val="212121"/>
                <w:sz w:val="19"/>
              </w:rPr>
              <w:t>Reduced MED to UVB and/or UVA</w:t>
            </w:r>
          </w:p>
        </w:tc>
        <w:tc>
          <w:tcPr>
            <w:tcW w:type="dxa" w:w="1468"/>
            <w:vAlign w:val="top"/>
          </w:tcPr>
          <w:p>
            <w:pPr>
              <w:spacing w:after="60" w:line="259" w:lineRule="auto"/>
            </w:pPr>
            <w:r>
              <w:rPr>
                <w:rFonts w:ascii="Calibri" w:hAnsi="Calibri"/>
                <w:b w:val="0"/>
                <w:i w:val="0"/>
                <w:color w:val="212121"/>
                <w:sz w:val="19"/>
              </w:rPr>
              <w:t>Objective measure of abnormal photosensitivity on phototesting</w:t>
            </w:r>
          </w:p>
          <w:p>
            <w:pPr>
              <w:spacing w:after="40" w:line="252" w:lineRule="auto"/>
            </w:pPr>
            <w:hyperlink r:id="rId9">
              <w:r>
                <w:rPr>
                  <w:rFonts w:ascii="Calibri" w:hAnsi="Calibri" w:cs="Calibri"/>
                  <w:sz w:val="18"/>
                  <w:color w:val="1155CC"/>
                  <w:u w:val="single"/>
                </w:rPr>
                <w:t xml:space="preserve">https://www.ncbi.nlm.nih.gov/books/NBK430886/</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Sun-avoidant / heavily photoprotected patients</w:t>
            </w:r>
          </w:p>
        </w:tc>
        <w:tc>
          <w:tcPr>
            <w:tcW w:type="dxa" w:w="1512"/>
            <w:vAlign w:val="top"/>
          </w:tcPr>
          <w:p>
            <w:pPr>
              <w:spacing w:after="40" w:before="0" w:line="259" w:lineRule="auto"/>
            </w:pPr>
            <w:r>
              <w:rPr>
                <w:rFonts w:ascii="Calibri" w:hAnsi="Calibri"/>
                <w:b w:val="0"/>
                <w:i w:val="0"/>
                <w:color w:val="212121"/>
                <w:sz w:val="19"/>
              </w:rPr>
              <w:t>&gt; 30 ng/mL (75 nmol/L)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Balance strict photoprotection against India’s very high baseline deficiency</w:t>
            </w:r>
          </w:p>
          <w:p>
            <w:pPr>
              <w:spacing w:after="40" w:line="252" w:lineRule="auto"/>
            </w:pPr>
            <w:hyperlink r:id="rId19">
              <w:r>
                <w:rPr>
                  <w:rFonts w:ascii="Calibri" w:hAnsi="Calibri" w:cs="Calibri"/>
                  <w:sz w:val="18"/>
                  <w:color w:val="1155CC"/>
                  <w:u w:val="single"/>
                </w:rPr>
                <w:t xml:space="preserve">https://pubmed.ncbi.nlm.nih.gov/24566435/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Photosensitising cosmetics/fragrances</w:t>
            </w:r>
          </w:p>
        </w:tc>
        <w:tc>
          <w:tcPr>
            <w:tcW w:type="dxa" w:w="1655"/>
            <w:vAlign w:val="top"/>
          </w:tcPr>
          <w:p>
            <w:pPr>
              <w:spacing w:after="40" w:before="0" w:line="259" w:lineRule="auto"/>
            </w:pPr>
            <w:r>
              <w:rPr>
                <w:rFonts w:ascii="Calibri" w:hAnsi="Calibri"/>
                <w:b w:val="0"/>
                <w:i w:val="0"/>
                <w:color w:val="212121"/>
                <w:sz w:val="19"/>
              </w:rPr>
              <w:t>Photoallergic/berloque dermatitis-prone</w:t>
            </w:r>
          </w:p>
        </w:tc>
        <w:tc>
          <w:tcPr>
            <w:tcW w:type="dxa" w:w="1512"/>
            <w:vAlign w:val="top"/>
          </w:tcPr>
          <w:p>
            <w:pPr>
              <w:spacing w:after="40" w:before="0" w:line="259" w:lineRule="auto"/>
            </w:pPr>
            <w:r>
              <w:rPr>
                <w:rFonts w:ascii="Calibri" w:hAnsi="Calibri"/>
                <w:b w:val="0"/>
                <w:i w:val="0"/>
                <w:color w:val="212121"/>
                <w:sz w:val="19"/>
              </w:rPr>
              <w:t>Fragrance-free, psoralen-free, photopatch-tested products</w:t>
            </w:r>
          </w:p>
        </w:tc>
        <w:tc>
          <w:tcPr>
            <w:tcW w:type="dxa" w:w="1512"/>
            <w:vAlign w:val="top"/>
          </w:tcPr>
          <w:p>
            <w:pPr>
              <w:spacing w:after="40" w:before="0" w:line="259" w:lineRule="auto"/>
            </w:pPr>
            <w:r>
              <w:rPr>
                <w:rFonts w:ascii="Calibri" w:hAnsi="Calibri"/>
                <w:b w:val="0"/>
                <w:i w:val="0"/>
                <w:color w:val="212121"/>
                <w:sz w:val="19"/>
              </w:rPr>
              <w:t>Bergamot/psoralen perfumes; culprit sunscreen filters</w:t>
            </w:r>
          </w:p>
        </w:tc>
        <w:tc>
          <w:tcPr>
            <w:tcW w:type="dxa" w:w="1468"/>
            <w:vAlign w:val="top"/>
          </w:tcPr>
          <w:p>
            <w:pPr>
              <w:spacing w:after="60" w:line="259" w:lineRule="auto"/>
            </w:pPr>
            <w:r>
              <w:rPr>
                <w:rFonts w:ascii="Calibri" w:hAnsi="Calibri"/>
                <w:b w:val="0"/>
                <w:i w:val="0"/>
                <w:color w:val="212121"/>
                <w:sz w:val="19"/>
              </w:rPr>
              <w:t>Confirm culprits by photopatch testing</w:t>
            </w:r>
          </w:p>
          <w:p>
            <w:pPr>
              <w:spacing w:after="40" w:line="252" w:lineRule="auto"/>
            </w:pPr>
            <w:hyperlink r:id="rId16">
              <w:r>
                <w:rPr>
                  <w:rFonts w:ascii="Calibri" w:hAnsi="Calibri" w:cs="Calibri"/>
                  <w:sz w:val="18"/>
                  <w:color w:val="1155CC"/>
                  <w:u w:val="single"/>
                </w:rPr>
                <w:t xml:space="preserve">https://pubmed.ncbi.nlm.nih.gov/27282531/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 with photodamage</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Accelerates photoaging and adds to UV-related skin-cancer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 porphyria-prone</w:t>
            </w:r>
          </w:p>
        </w:tc>
        <w:tc>
          <w:tcPr>
            <w:tcW w:type="dxa" w:w="1512"/>
            <w:vAlign w:val="top"/>
          </w:tcPr>
          <w:p>
            <w:pPr>
              <w:spacing w:after="40" w:before="0" w:line="259" w:lineRule="auto"/>
            </w:pPr>
            <w:r>
              <w:rPr>
                <w:rFonts w:ascii="Calibri" w:hAnsi="Calibri"/>
                <w:b w:val="0"/>
                <w:i w:val="0"/>
                <w:color w:val="212121"/>
                <w:sz w:val="19"/>
              </w:rPr>
              <w:t>Within safe limits; abstain if porphyria</w:t>
            </w:r>
          </w:p>
        </w:tc>
        <w:tc>
          <w:tcPr>
            <w:tcW w:type="dxa" w:w="1512"/>
            <w:vAlign w:val="top"/>
          </w:tcPr>
          <w:p>
            <w:pPr>
              <w:spacing w:after="40" w:before="0" w:line="259" w:lineRule="auto"/>
            </w:pPr>
            <w:r>
              <w:rPr>
                <w:rFonts w:ascii="Calibri" w:hAnsi="Calibri"/>
                <w:b w:val="0"/>
                <w:i w:val="0"/>
                <w:color w:val="212121"/>
                <w:sz w:val="19"/>
              </w:rPr>
              <w:t>Heavy/binge intake, especially with sun exposure</w:t>
            </w:r>
          </w:p>
        </w:tc>
        <w:tc>
          <w:tcPr>
            <w:tcW w:type="dxa" w:w="1468"/>
            <w:vAlign w:val="top"/>
          </w:tcPr>
          <w:p>
            <w:pPr>
              <w:spacing w:after="40" w:before="0" w:line="259" w:lineRule="auto"/>
            </w:pPr>
            <w:r>
              <w:rPr>
                <w:rFonts w:ascii="Calibri" w:hAnsi="Calibri"/>
                <w:b w:val="0"/>
                <w:i w:val="0"/>
                <w:color w:val="212121"/>
                <w:sz w:val="19"/>
              </w:rPr>
              <w:t>Triggers porphyria cutanea tarda and worsens sunburn behaviour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Phototesting</w:t>
            </w:r>
          </w:p>
        </w:tc>
        <w:tc>
          <w:tcPr>
            <w:tcW w:type="dxa" w:w="1036"/>
            <w:vAlign w:val="top"/>
          </w:tcPr>
          <w:p>
            <w:pPr>
              <w:spacing w:after="40" w:before="0" w:line="259" w:lineRule="auto"/>
            </w:pPr>
            <w:r>
              <w:rPr>
                <w:rFonts w:ascii="Calibri" w:hAnsi="Calibri"/>
                <w:b w:val="0"/>
                <w:i w:val="0"/>
                <w:color w:val="212121"/>
                <w:sz w:val="16"/>
              </w:rPr>
              <w:t>Minimal erythema dose &amp; provocation</w:t>
            </w:r>
          </w:p>
        </w:tc>
        <w:tc>
          <w:tcPr>
            <w:tcW w:type="dxa" w:w="892"/>
            <w:vAlign w:val="top"/>
          </w:tcPr>
          <w:p>
            <w:pPr>
              <w:spacing w:after="40" w:before="0" w:line="259" w:lineRule="auto"/>
            </w:pPr>
            <w:r>
              <w:rPr>
                <w:rFonts w:ascii="Calibri" w:hAnsi="Calibri"/>
                <w:b w:val="0"/>
                <w:i w:val="0"/>
                <w:color w:val="212121"/>
                <w:sz w:val="16"/>
              </w:rPr>
              <w:t>UVB/UVA phototesting (solar simulator/monochromator)</w:t>
            </w:r>
          </w:p>
        </w:tc>
        <w:tc>
          <w:tcPr>
            <w:tcW w:type="dxa" w:w="950"/>
            <w:vAlign w:val="top"/>
          </w:tcPr>
          <w:p>
            <w:pPr>
              <w:spacing w:after="40" w:before="0" w:line="259" w:lineRule="auto"/>
            </w:pPr>
            <w:r>
              <w:rPr>
                <w:rFonts w:ascii="Calibri" w:hAnsi="Calibri"/>
                <w:b w:val="0"/>
                <w:i w:val="0"/>
                <w:color w:val="212121"/>
                <w:sz w:val="16"/>
              </w:rPr>
              <w:t>Normal MED; no abnormal eruption</w:t>
            </w:r>
          </w:p>
        </w:tc>
        <w:tc>
          <w:tcPr>
            <w:tcW w:type="dxa" w:w="950"/>
            <w:vAlign w:val="top"/>
          </w:tcPr>
          <w:p>
            <w:pPr>
              <w:spacing w:after="40" w:before="0" w:line="259" w:lineRule="auto"/>
            </w:pPr>
            <w:r>
              <w:rPr>
                <w:rFonts w:ascii="Calibri" w:hAnsi="Calibri"/>
                <w:b w:val="0"/>
                <w:i w:val="0"/>
                <w:color w:val="212121"/>
                <w:sz w:val="16"/>
              </w:rPr>
              <w:t>Reduced MED and/or a reproduced eruption on repeated irradiation</w:t>
            </w:r>
          </w:p>
        </w:tc>
        <w:tc>
          <w:tcPr>
            <w:tcW w:type="dxa" w:w="1036"/>
            <w:vAlign w:val="top"/>
          </w:tcPr>
          <w:p>
            <w:pPr>
              <w:spacing w:after="40" w:before="0" w:line="259" w:lineRule="auto"/>
            </w:pPr>
            <w:r>
              <w:rPr>
                <w:rFonts w:ascii="Calibri" w:hAnsi="Calibri"/>
                <w:b w:val="0"/>
                <w:i w:val="0"/>
                <w:color w:val="212121"/>
                <w:sz w:val="16"/>
              </w:rPr>
              <w:t>Confirms abnormal photosensitivity and its wavelength; provokes PLE in ~60%</w:t>
            </w:r>
          </w:p>
        </w:tc>
        <w:tc>
          <w:tcPr>
            <w:tcW w:type="dxa" w:w="1036"/>
            <w:vAlign w:val="top"/>
          </w:tcPr>
          <w:p>
            <w:pPr>
              <w:spacing w:after="40" w:before="0" w:line="259" w:lineRule="auto"/>
            </w:pPr>
            <w:r>
              <w:rPr>
                <w:rFonts w:ascii="Calibri" w:hAnsi="Calibri"/>
                <w:b w:val="0"/>
                <w:i w:val="0"/>
                <w:color w:val="212121"/>
                <w:sz w:val="16"/>
              </w:rPr>
              <w:t>PLE, chronic actinic dermatitis, solar urticaria, drug photosensitivity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Best performed in a specialist photodermatology unit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Photopatch &amp; patch testing</w:t>
            </w:r>
          </w:p>
        </w:tc>
        <w:tc>
          <w:tcPr>
            <w:tcW w:type="dxa" w:w="1036"/>
            <w:vAlign w:val="top"/>
          </w:tcPr>
          <w:p>
            <w:pPr>
              <w:spacing w:after="40" w:before="0" w:line="259" w:lineRule="auto"/>
            </w:pPr>
            <w:r>
              <w:rPr>
                <w:rFonts w:ascii="Calibri" w:hAnsi="Calibri"/>
                <w:b w:val="0"/>
                <w:i w:val="0"/>
                <w:color w:val="212121"/>
                <w:sz w:val="16"/>
              </w:rPr>
              <w:t>Photoallergen / contact allergen</w:t>
            </w:r>
          </w:p>
        </w:tc>
        <w:tc>
          <w:tcPr>
            <w:tcW w:type="dxa" w:w="892"/>
            <w:vAlign w:val="top"/>
          </w:tcPr>
          <w:p>
            <w:pPr>
              <w:spacing w:after="40" w:before="0" w:line="259" w:lineRule="auto"/>
            </w:pPr>
            <w:r>
              <w:rPr>
                <w:rFonts w:ascii="Calibri" w:hAnsi="Calibri"/>
                <w:b w:val="0"/>
                <w:i w:val="0"/>
                <w:color w:val="212121"/>
                <w:sz w:val="16"/>
              </w:rPr>
              <w:t>Photopatch and standard patch tests</w:t>
            </w:r>
          </w:p>
        </w:tc>
        <w:tc>
          <w:tcPr>
            <w:tcW w:type="dxa" w:w="950"/>
            <w:vAlign w:val="top"/>
          </w:tcPr>
          <w:p>
            <w:pPr>
              <w:spacing w:after="40" w:before="0" w:line="259" w:lineRule="auto"/>
            </w:pPr>
            <w:r>
              <w:rPr>
                <w:rFonts w:ascii="Calibri" w:hAnsi="Calibri"/>
                <w:b w:val="0"/>
                <w:i w:val="0"/>
                <w:color w:val="212121"/>
                <w:sz w:val="16"/>
              </w:rPr>
              <w:t>No reaction</w:t>
            </w:r>
          </w:p>
        </w:tc>
        <w:tc>
          <w:tcPr>
            <w:tcW w:type="dxa" w:w="950"/>
            <w:vAlign w:val="top"/>
          </w:tcPr>
          <w:p>
            <w:pPr>
              <w:spacing w:after="40" w:before="0" w:line="259" w:lineRule="auto"/>
            </w:pPr>
            <w:r>
              <w:rPr>
                <w:rFonts w:ascii="Calibri" w:hAnsi="Calibri"/>
                <w:b w:val="0"/>
                <w:i w:val="0"/>
                <w:color w:val="212121"/>
                <w:sz w:val="16"/>
              </w:rPr>
              <w:t>Positive reaction to sunscreen filters, fragrances, NSAIDs or Parthenium</w:t>
            </w:r>
          </w:p>
        </w:tc>
        <w:tc>
          <w:tcPr>
            <w:tcW w:type="dxa" w:w="1036"/>
            <w:vAlign w:val="top"/>
          </w:tcPr>
          <w:p>
            <w:pPr>
              <w:spacing w:after="40" w:before="0" w:line="259" w:lineRule="auto"/>
            </w:pPr>
            <w:r>
              <w:rPr>
                <w:rFonts w:ascii="Calibri" w:hAnsi="Calibri"/>
                <w:b w:val="0"/>
                <w:i w:val="0"/>
                <w:color w:val="212121"/>
                <w:sz w:val="16"/>
              </w:rPr>
              <w:t>Identifies photoallergic and airborne/photo-aggravated contact allergens</w:t>
            </w:r>
          </w:p>
        </w:tc>
        <w:tc>
          <w:tcPr>
            <w:tcW w:type="dxa" w:w="1036"/>
            <w:vAlign w:val="top"/>
          </w:tcPr>
          <w:p>
            <w:pPr>
              <w:spacing w:after="40" w:before="0" w:line="259" w:lineRule="auto"/>
            </w:pPr>
            <w:r>
              <w:rPr>
                <w:rFonts w:ascii="Calibri" w:hAnsi="Calibri"/>
                <w:b w:val="0"/>
                <w:i w:val="0"/>
                <w:color w:val="212121"/>
                <w:sz w:val="16"/>
              </w:rPr>
              <w:t>Photo-exposed dermatitis, suspected photoallergy, Parthenium dermatitis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in the Indian setting where Parthenium is common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Sunburn cells; dermal oedema/infiltrate</w:t>
            </w:r>
          </w:p>
        </w:tc>
        <w:tc>
          <w:tcPr>
            <w:tcW w:type="dxa" w:w="892"/>
            <w:vAlign w:val="top"/>
          </w:tcPr>
          <w:p>
            <w:pPr>
              <w:spacing w:after="40" w:before="0" w:line="259" w:lineRule="auto"/>
            </w:pPr>
            <w:r>
              <w:rPr>
                <w:rFonts w:ascii="Calibri" w:hAnsi="Calibri"/>
                <w:b w:val="0"/>
                <w:i w:val="0"/>
                <w:color w:val="212121"/>
                <w:sz w:val="16"/>
              </w:rPr>
              <w:t>Skin biopsy (± direct immunofluorescence)</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Dyskeratotic ‘sunburn cells’ (sunburn); papillary oedema with perivascular lymphocytes (PLE); interface dermatitis with positive lupus band (lupus)</w:t>
            </w:r>
          </w:p>
        </w:tc>
        <w:tc>
          <w:tcPr>
            <w:tcW w:type="dxa" w:w="1036"/>
            <w:vAlign w:val="top"/>
          </w:tcPr>
          <w:p>
            <w:pPr>
              <w:spacing w:after="40" w:before="0" w:line="259" w:lineRule="auto"/>
            </w:pPr>
            <w:r>
              <w:rPr>
                <w:rFonts w:ascii="Calibri" w:hAnsi="Calibri"/>
                <w:b w:val="0"/>
                <w:i w:val="0"/>
                <w:color w:val="212121"/>
                <w:sz w:val="16"/>
              </w:rPr>
              <w:t>Distinguishes sunburn, PLE, CAD and photo-aggravated lupus</w:t>
            </w:r>
          </w:p>
        </w:tc>
        <w:tc>
          <w:tcPr>
            <w:tcW w:type="dxa" w:w="1036"/>
            <w:vAlign w:val="top"/>
          </w:tcPr>
          <w:p>
            <w:pPr>
              <w:spacing w:after="40" w:before="0" w:line="259" w:lineRule="auto"/>
            </w:pPr>
            <w:r>
              <w:rPr>
                <w:rFonts w:ascii="Calibri" w:hAnsi="Calibri"/>
                <w:b w:val="0"/>
                <w:i w:val="0"/>
                <w:color w:val="212121"/>
                <w:sz w:val="16"/>
              </w:rPr>
              <w:t>Atypical, persistent or diagnostically uncertain eruptions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DIF is negative in 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ANA, anti-Ro/SSA, anti-La/SSB, ENA</w:t>
            </w:r>
          </w:p>
        </w:tc>
        <w:tc>
          <w:tcPr>
            <w:tcW w:type="dxa" w:w="892"/>
            <w:vAlign w:val="top"/>
          </w:tcPr>
          <w:p>
            <w:pPr>
              <w:spacing w:after="40" w:before="0" w:line="259" w:lineRule="auto"/>
            </w:pPr>
            <w:r>
              <w:rPr>
                <w:rFonts w:ascii="Calibri" w:hAnsi="Calibri"/>
                <w:b w:val="0"/>
                <w:i w:val="0"/>
                <w:color w:val="212121"/>
                <w:sz w:val="16"/>
              </w:rPr>
              <w:t>Autoimmune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ANA/anti-Ro in photosensitive lupus</w:t>
            </w:r>
          </w:p>
        </w:tc>
        <w:tc>
          <w:tcPr>
            <w:tcW w:type="dxa" w:w="1036"/>
            <w:vAlign w:val="top"/>
          </w:tcPr>
          <w:p>
            <w:pPr>
              <w:spacing w:after="40" w:before="0" w:line="259" w:lineRule="auto"/>
            </w:pPr>
            <w:r>
              <w:rPr>
                <w:rFonts w:ascii="Calibri" w:hAnsi="Calibri"/>
                <w:b w:val="0"/>
                <w:i w:val="0"/>
                <w:color w:val="212121"/>
                <w:sz w:val="16"/>
              </w:rPr>
              <w:t>Excludes or confirms photo-aggravated systemic/subacute cutaneous lupus</w:t>
            </w:r>
          </w:p>
        </w:tc>
        <w:tc>
          <w:tcPr>
            <w:tcW w:type="dxa" w:w="1036"/>
            <w:vAlign w:val="top"/>
          </w:tcPr>
          <w:p>
            <w:pPr>
              <w:spacing w:after="40" w:before="0" w:line="259" w:lineRule="auto"/>
            </w:pPr>
            <w:r>
              <w:rPr>
                <w:rFonts w:ascii="Calibri" w:hAnsi="Calibri"/>
                <w:b w:val="0"/>
                <w:i w:val="0"/>
                <w:color w:val="212121"/>
                <w:sz w:val="16"/>
              </w:rPr>
              <w:t>Photodistributed rash, malar rash,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Anti-Ro strongly associated with photosensitive cutaneous lupus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Plasma/urine/stool porphyrins; erythrocyte protoporphyrin</w:t>
            </w:r>
          </w:p>
        </w:tc>
        <w:tc>
          <w:tcPr>
            <w:tcW w:type="dxa" w:w="892"/>
            <w:vAlign w:val="top"/>
          </w:tcPr>
          <w:p>
            <w:pPr>
              <w:spacing w:after="40" w:before="0" w:line="259" w:lineRule="auto"/>
            </w:pPr>
            <w:r>
              <w:rPr>
                <w:rFonts w:ascii="Calibri" w:hAnsi="Calibri"/>
                <w:b w:val="0"/>
                <w:i w:val="0"/>
                <w:color w:val="212121"/>
                <w:sz w:val="16"/>
              </w:rPr>
              <w:t>Porphyrin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porphyrins with characteristic fluorescence</w:t>
            </w:r>
          </w:p>
        </w:tc>
        <w:tc>
          <w:tcPr>
            <w:tcW w:type="dxa" w:w="1036"/>
            <w:vAlign w:val="top"/>
          </w:tcPr>
          <w:p>
            <w:pPr>
              <w:spacing w:after="40" w:before="0" w:line="259" w:lineRule="auto"/>
            </w:pPr>
            <w:r>
              <w:rPr>
                <w:rFonts w:ascii="Calibri" w:hAnsi="Calibri"/>
                <w:b w:val="0"/>
                <w:i w:val="0"/>
                <w:color w:val="212121"/>
                <w:sz w:val="16"/>
              </w:rPr>
              <w:t>Confirms porphyria cutanea tarda or erythropoietic protoporphyria</w:t>
            </w:r>
          </w:p>
        </w:tc>
        <w:tc>
          <w:tcPr>
            <w:tcW w:type="dxa" w:w="1036"/>
            <w:vAlign w:val="top"/>
          </w:tcPr>
          <w:p>
            <w:pPr>
              <w:spacing w:after="40" w:before="0" w:line="259" w:lineRule="auto"/>
            </w:pPr>
            <w:r>
              <w:rPr>
                <w:rFonts w:ascii="Calibri" w:hAnsi="Calibri"/>
                <w:b w:val="0"/>
                <w:i w:val="0"/>
                <w:color w:val="212121"/>
                <w:sz w:val="16"/>
              </w:rPr>
              <w:t>Fragile skin/blisters on hands; immediate burning photosensitivity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Reserved</w:t>
            </w:r>
          </w:p>
        </w:tc>
        <w:tc>
          <w:tcPr>
            <w:tcW w:type="dxa" w:w="720"/>
            <w:vAlign w:val="top"/>
          </w:tcPr>
          <w:p>
            <w:pPr>
              <w:spacing w:after="40" w:before="0" w:line="259" w:lineRule="auto"/>
            </w:pPr>
            <w:r>
              <w:rPr>
                <w:rFonts w:ascii="Calibri" w:hAnsi="Calibri"/>
                <w:b w:val="0"/>
                <w:i w:val="0"/>
                <w:color w:val="212121"/>
                <w:sz w:val="16"/>
              </w:rPr>
              <w:t>Request when a porphyria is clinically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Monitors the photoprotection–vitamin-D balance in sun-avoidant patients</w:t>
            </w:r>
          </w:p>
        </w:tc>
        <w:tc>
          <w:tcPr>
            <w:tcW w:type="dxa" w:w="1036"/>
            <w:vAlign w:val="top"/>
          </w:tcPr>
          <w:p>
            <w:pPr>
              <w:spacing w:after="40" w:before="0" w:line="259" w:lineRule="auto"/>
            </w:pPr>
            <w:r>
              <w:rPr>
                <w:rFonts w:ascii="Calibri" w:hAnsi="Calibri"/>
                <w:b w:val="0"/>
                <w:i w:val="0"/>
                <w:color w:val="212121"/>
                <w:sz w:val="16"/>
              </w:rPr>
              <w:t>Heavily photoprotected PLE/lupus/XP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Deficiency is highly prevalent in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Rash, burning, itch on sun-exposed skin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after sun exposure</w:t>
            </w:r>
          </w:p>
        </w:tc>
        <w:tc>
          <w:tcPr>
            <w:tcW w:type="dxa" w:w="1036"/>
            <w:vAlign w:val="top"/>
          </w:tcPr>
          <w:p>
            <w:pPr>
              <w:spacing w:after="40" w:before="0" w:line="259" w:lineRule="auto"/>
            </w:pPr>
            <w:r>
              <w:rPr>
                <w:rFonts w:ascii="Calibri" w:hAnsi="Calibri"/>
                <w:b w:val="0"/>
                <w:i w:val="0"/>
                <w:color w:val="212121"/>
                <w:sz w:val="16"/>
              </w:rPr>
              <w:t>Suggests a photodermatosis; morphology narrows the subtype</w:t>
            </w:r>
          </w:p>
        </w:tc>
        <w:tc>
          <w:tcPr>
            <w:tcW w:type="dxa" w:w="1036"/>
            <w:vAlign w:val="top"/>
          </w:tcPr>
          <w:p>
            <w:pPr>
              <w:spacing w:after="40" w:before="0" w:line="259" w:lineRule="auto"/>
            </w:pPr>
            <w:r>
              <w:rPr>
                <w:rFonts w:ascii="Calibri" w:hAnsi="Calibri"/>
                <w:b w:val="0"/>
                <w:i w:val="0"/>
                <w:color w:val="212121"/>
                <w:sz w:val="16"/>
              </w:rPr>
              <w:t>All age groups; women/housewives; outdoor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latency, season and site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Photo-exposure &amp; temporal pattern</w:t>
            </w:r>
          </w:p>
        </w:tc>
        <w:tc>
          <w:tcPr>
            <w:tcW w:type="dxa" w:w="979"/>
            <w:vAlign w:val="top"/>
          </w:tcPr>
          <w:p>
            <w:pPr>
              <w:spacing w:after="40" w:before="0" w:line="259" w:lineRule="auto"/>
            </w:pPr>
            <w:r>
              <w:rPr>
                <w:rFonts w:ascii="Calibri" w:hAnsi="Calibri"/>
                <w:b w:val="0"/>
                <w:i w:val="0"/>
                <w:color w:val="212121"/>
                <w:sz w:val="16"/>
              </w:rPr>
              <w:t>Latency, season, UV source (sun, welding, tanning)</w:t>
            </w:r>
          </w:p>
        </w:tc>
        <w:tc>
          <w:tcPr>
            <w:tcW w:type="dxa" w:w="950"/>
            <w:vAlign w:val="top"/>
          </w:tcPr>
          <w:p>
            <w:pPr>
              <w:spacing w:after="40" w:before="0" w:line="259" w:lineRule="auto"/>
            </w:pPr>
            <w:r>
              <w:rPr>
                <w:rFonts w:ascii="Calibri" w:hAnsi="Calibri"/>
                <w:b w:val="0"/>
                <w:i w:val="0"/>
                <w:color w:val="212121"/>
                <w:sz w:val="16"/>
              </w:rPr>
              <w:t>No temporal link</w:t>
            </w:r>
          </w:p>
        </w:tc>
        <w:tc>
          <w:tcPr>
            <w:tcW w:type="dxa" w:w="950"/>
            <w:vAlign w:val="top"/>
          </w:tcPr>
          <w:p>
            <w:pPr>
              <w:spacing w:after="40" w:before="0" w:line="259" w:lineRule="auto"/>
            </w:pPr>
            <w:r>
              <w:rPr>
                <w:rFonts w:ascii="Calibri" w:hAnsi="Calibri"/>
                <w:b w:val="0"/>
                <w:i w:val="0"/>
                <w:color w:val="212121"/>
                <w:sz w:val="16"/>
              </w:rPr>
              <w:t>Minutes (solar urticaria) to hours–days (sunburn/PLE); spring/summer recurrence</w:t>
            </w:r>
          </w:p>
        </w:tc>
        <w:tc>
          <w:tcPr>
            <w:tcW w:type="dxa" w:w="1036"/>
            <w:vAlign w:val="top"/>
          </w:tcPr>
          <w:p>
            <w:pPr>
              <w:spacing w:after="40" w:before="0" w:line="259" w:lineRule="auto"/>
            </w:pPr>
            <w:r>
              <w:rPr>
                <w:rFonts w:ascii="Calibri" w:hAnsi="Calibri"/>
                <w:b w:val="0"/>
                <w:i w:val="0"/>
                <w:color w:val="212121"/>
                <w:sz w:val="16"/>
              </w:rPr>
              <w:t>Timing and wavelength clues to the subtype</w:t>
            </w:r>
          </w:p>
        </w:tc>
        <w:tc>
          <w:tcPr>
            <w:tcW w:type="dxa" w:w="1036"/>
            <w:vAlign w:val="top"/>
          </w:tcPr>
          <w:p>
            <w:pPr>
              <w:spacing w:after="40" w:before="0" w:line="259" w:lineRule="auto"/>
            </w:pPr>
            <w:r>
              <w:rPr>
                <w:rFonts w:ascii="Calibri" w:hAnsi="Calibri"/>
                <w:b w:val="0"/>
                <w:i w:val="0"/>
                <w:color w:val="212121"/>
                <w:sz w:val="16"/>
              </w:rPr>
              <w:t>PLE, solar urticaria, phototoxic reactions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Improvement away from sunlight supports the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cosmetic &amp; contactant history</w:t>
            </w:r>
          </w:p>
        </w:tc>
        <w:tc>
          <w:tcPr>
            <w:tcW w:type="dxa" w:w="979"/>
            <w:vAlign w:val="top"/>
          </w:tcPr>
          <w:p>
            <w:pPr>
              <w:spacing w:after="40" w:before="0" w:line="259" w:lineRule="auto"/>
            </w:pPr>
            <w:r>
              <w:rPr>
                <w:rFonts w:ascii="Calibri" w:hAnsi="Calibri"/>
                <w:b w:val="0"/>
                <w:i w:val="0"/>
                <w:color w:val="212121"/>
                <w:sz w:val="16"/>
              </w:rPr>
              <w:t>Photosensitising drugs, fragrances, sunscreens, plants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Culprit systemic/topical agent or plant contact identified</w:t>
            </w:r>
          </w:p>
        </w:tc>
        <w:tc>
          <w:tcPr>
            <w:tcW w:type="dxa" w:w="1036"/>
            <w:vAlign w:val="top"/>
          </w:tcPr>
          <w:p>
            <w:pPr>
              <w:spacing w:after="40" w:before="0" w:line="259" w:lineRule="auto"/>
            </w:pPr>
            <w:r>
              <w:rPr>
                <w:rFonts w:ascii="Calibri" w:hAnsi="Calibri"/>
                <w:b w:val="0"/>
                <w:i w:val="0"/>
                <w:color w:val="212121"/>
                <w:sz w:val="16"/>
              </w:rPr>
              <w:t>Points to phototoxic/photoallergic or Parthenium-related disease</w:t>
            </w:r>
          </w:p>
        </w:tc>
        <w:tc>
          <w:tcPr>
            <w:tcW w:type="dxa" w:w="1036"/>
            <w:vAlign w:val="top"/>
          </w:tcPr>
          <w:p>
            <w:pPr>
              <w:spacing w:after="40" w:before="0" w:line="259" w:lineRule="auto"/>
            </w:pPr>
            <w:r>
              <w:rPr>
                <w:rFonts w:ascii="Calibri" w:hAnsi="Calibri"/>
                <w:b w:val="0"/>
                <w:i w:val="0"/>
                <w:color w:val="212121"/>
                <w:sz w:val="16"/>
              </w:rPr>
              <w:t>Drug photosensitivity, photoallergic &amp; airborne contact dermatitis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Review OTC and herbal products too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recreational exposure</w:t>
            </w:r>
          </w:p>
        </w:tc>
        <w:tc>
          <w:tcPr>
            <w:tcW w:type="dxa" w:w="979"/>
            <w:vAlign w:val="top"/>
          </w:tcPr>
          <w:p>
            <w:pPr>
              <w:spacing w:after="40" w:before="0" w:line="259" w:lineRule="auto"/>
            </w:pPr>
            <w:r>
              <w:rPr>
                <w:rFonts w:ascii="Calibri" w:hAnsi="Calibri"/>
                <w:b w:val="0"/>
                <w:i w:val="0"/>
                <w:color w:val="212121"/>
                <w:sz w:val="16"/>
              </w:rPr>
              <w:t>Outdoor hours, farming, trekking, tanning</w:t>
            </w:r>
          </w:p>
        </w:tc>
        <w:tc>
          <w:tcPr>
            <w:tcW w:type="dxa" w:w="950"/>
            <w:vAlign w:val="top"/>
          </w:tcPr>
          <w:p>
            <w:pPr>
              <w:spacing w:after="40" w:before="0" w:line="259" w:lineRule="auto"/>
            </w:pPr>
            <w:r>
              <w:rPr>
                <w:rFonts w:ascii="Calibri" w:hAnsi="Calibri"/>
                <w:b w:val="0"/>
                <w:i w:val="0"/>
                <w:color w:val="212121"/>
                <w:sz w:val="16"/>
              </w:rPr>
              <w:t>Minimal exposure</w:t>
            </w:r>
          </w:p>
        </w:tc>
        <w:tc>
          <w:tcPr>
            <w:tcW w:type="dxa" w:w="950"/>
            <w:vAlign w:val="top"/>
          </w:tcPr>
          <w:p>
            <w:pPr>
              <w:spacing w:after="40" w:before="0" w:line="259" w:lineRule="auto"/>
            </w:pPr>
            <w:r>
              <w:rPr>
                <w:rFonts w:ascii="Calibri" w:hAnsi="Calibri"/>
                <w:b w:val="0"/>
                <w:i w:val="0"/>
                <w:color w:val="212121"/>
                <w:sz w:val="16"/>
              </w:rPr>
              <w:t>High cumulative or intense intermittent UV</w:t>
            </w:r>
          </w:p>
        </w:tc>
        <w:tc>
          <w:tcPr>
            <w:tcW w:type="dxa" w:w="1036"/>
            <w:vAlign w:val="top"/>
          </w:tcPr>
          <w:p>
            <w:pPr>
              <w:spacing w:after="40" w:before="0" w:line="259" w:lineRule="auto"/>
            </w:pPr>
            <w:r>
              <w:rPr>
                <w:rFonts w:ascii="Calibri" w:hAnsi="Calibri"/>
                <w:b w:val="0"/>
                <w:i w:val="0"/>
                <w:color w:val="212121"/>
                <w:sz w:val="16"/>
              </w:rPr>
              <w:t>Grades cumulative photodamage and allergen exposure</w:t>
            </w:r>
          </w:p>
        </w:tc>
        <w:tc>
          <w:tcPr>
            <w:tcW w:type="dxa" w:w="1036"/>
            <w:vAlign w:val="top"/>
          </w:tcPr>
          <w:p>
            <w:pPr>
              <w:spacing w:after="40" w:before="0" w:line="259" w:lineRule="auto"/>
            </w:pPr>
            <w:r>
              <w:rPr>
                <w:rFonts w:ascii="Calibri" w:hAnsi="Calibri"/>
                <w:b w:val="0"/>
                <w:i w:val="0"/>
                <w:color w:val="212121"/>
                <w:sz w:val="16"/>
              </w:rPr>
              <w:t>Farmers, labourers, athletes, sun-seekers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prevention and workplace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consanguinity</w:t>
            </w:r>
          </w:p>
        </w:tc>
        <w:tc>
          <w:tcPr>
            <w:tcW w:type="dxa" w:w="979"/>
            <w:vAlign w:val="top"/>
          </w:tcPr>
          <w:p>
            <w:pPr>
              <w:spacing w:after="40" w:before="0" w:line="259" w:lineRule="auto"/>
            </w:pPr>
            <w:r>
              <w:rPr>
                <w:rFonts w:ascii="Calibri" w:hAnsi="Calibri"/>
                <w:b w:val="0"/>
                <w:i w:val="0"/>
                <w:color w:val="212121"/>
                <w:sz w:val="16"/>
              </w:rPr>
              <w:t>Familial PLE, xeroderma pigmentosum, porphyria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Affected relatives / consanguineous parentage</w:t>
            </w:r>
          </w:p>
        </w:tc>
        <w:tc>
          <w:tcPr>
            <w:tcW w:type="dxa" w:w="1036"/>
            <w:vAlign w:val="top"/>
          </w:tcPr>
          <w:p>
            <w:pPr>
              <w:spacing w:after="40" w:before="0" w:line="259" w:lineRule="auto"/>
            </w:pPr>
            <w:r>
              <w:rPr>
                <w:rFonts w:ascii="Calibri" w:hAnsi="Calibri"/>
                <w:b w:val="0"/>
                <w:i w:val="0"/>
                <w:color w:val="212121"/>
                <w:sz w:val="16"/>
              </w:rPr>
              <w:t>Flags genetic photosensitivity and genophotodermatoses</w:t>
            </w:r>
          </w:p>
        </w:tc>
        <w:tc>
          <w:tcPr>
            <w:tcW w:type="dxa" w:w="1036"/>
            <w:vAlign w:val="top"/>
          </w:tcPr>
          <w:p>
            <w:pPr>
              <w:spacing w:after="40" w:before="0" w:line="259" w:lineRule="auto"/>
            </w:pPr>
            <w:r>
              <w:rPr>
                <w:rFonts w:ascii="Calibri" w:hAnsi="Calibri"/>
                <w:b w:val="0"/>
                <w:i w:val="0"/>
                <w:color w:val="212121"/>
                <w:sz w:val="16"/>
              </w:rPr>
              <w:t>Childhood-onset or severe photosensitivity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Early, severe photosensitivity in a child warrants XP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Photodistribution &amp; shade-sparing</w:t>
            </w:r>
          </w:p>
        </w:tc>
        <w:tc>
          <w:tcPr>
            <w:tcW w:type="dxa" w:w="979"/>
            <w:vAlign w:val="top"/>
          </w:tcPr>
          <w:p>
            <w:pPr>
              <w:spacing w:after="40" w:before="0" w:line="259" w:lineRule="auto"/>
            </w:pPr>
            <w:r>
              <w:rPr>
                <w:rFonts w:ascii="Calibri" w:hAnsi="Calibri"/>
                <w:b w:val="0"/>
                <w:i w:val="0"/>
                <w:color w:val="212121"/>
                <w:sz w:val="16"/>
              </w:rPr>
              <w:t>Exposed-site rash with sparing of shaded areas</w:t>
            </w:r>
          </w:p>
        </w:tc>
        <w:tc>
          <w:tcPr>
            <w:tcW w:type="dxa" w:w="950"/>
            <w:vAlign w:val="top"/>
          </w:tcPr>
          <w:p>
            <w:pPr>
              <w:spacing w:after="40" w:before="0" w:line="259" w:lineRule="auto"/>
            </w:pPr>
            <w:r>
              <w:rPr>
                <w:rFonts w:ascii="Calibri" w:hAnsi="Calibri"/>
                <w:b w:val="0"/>
                <w:i w:val="0"/>
                <w:color w:val="212121"/>
                <w:sz w:val="16"/>
              </w:rPr>
              <w:t>No photodistribution</w:t>
            </w:r>
          </w:p>
        </w:tc>
        <w:tc>
          <w:tcPr>
            <w:tcW w:type="dxa" w:w="950"/>
            <w:vAlign w:val="top"/>
          </w:tcPr>
          <w:p>
            <w:pPr>
              <w:spacing w:after="40" w:before="0" w:line="259" w:lineRule="auto"/>
            </w:pPr>
            <w:r>
              <w:rPr>
                <w:rFonts w:ascii="Calibri" w:hAnsi="Calibri"/>
                <w:b w:val="0"/>
                <w:i w:val="0"/>
                <w:color w:val="212121"/>
                <w:sz w:val="16"/>
              </w:rPr>
              <w:t>Sharp cut-off with sparing of upper eyelids, submental, behind-ear and nasolabial skin</w:t>
            </w:r>
          </w:p>
        </w:tc>
        <w:tc>
          <w:tcPr>
            <w:tcW w:type="dxa" w:w="1036"/>
            <w:vAlign w:val="top"/>
          </w:tcPr>
          <w:p>
            <w:pPr>
              <w:spacing w:after="40" w:before="0" w:line="259" w:lineRule="auto"/>
            </w:pPr>
            <w:r>
              <w:rPr>
                <w:rFonts w:ascii="Calibri" w:hAnsi="Calibri"/>
                <w:b w:val="0"/>
                <w:i w:val="0"/>
                <w:color w:val="212121"/>
                <w:sz w:val="16"/>
              </w:rPr>
              <w:t>The hallmark that confirms a light-induced eruption</w:t>
            </w:r>
          </w:p>
        </w:tc>
        <w:tc>
          <w:tcPr>
            <w:tcW w:type="dxa" w:w="1036"/>
            <w:vAlign w:val="top"/>
          </w:tcPr>
          <w:p>
            <w:pPr>
              <w:spacing w:after="40" w:before="0" w:line="259" w:lineRule="auto"/>
            </w:pPr>
            <w:r>
              <w:rPr>
                <w:rFonts w:ascii="Calibri" w:hAnsi="Calibri"/>
                <w:b w:val="0"/>
                <w:i w:val="0"/>
                <w:color w:val="212121"/>
                <w:sz w:val="16"/>
              </w:rPr>
              <w:t>All photodermatoses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covered vs uncovered skin borders (e.g., watch-strap, collar line)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Redness of sun-exposed skin (erythema)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Well-demarcated erythema over exposed sites, appearing 2–6 h after exposure and peaking at 12–24 h in sunburn.</w:t>
            </w:r>
          </w:p>
        </w:tc>
      </w:tr>
      <w:tr>
        <w:trPr>
          <w:cantSplit/>
        </w:trPr>
        <w:tc>
          <w:tcPr>
            <w:tcW w:type="dxa" w:w="2304"/>
            <w:vAlign w:val="top"/>
          </w:tcPr>
          <w:p>
            <w:pPr>
              <w:spacing w:after="40" w:before="0" w:line="259" w:lineRule="auto"/>
            </w:pPr>
            <w:r>
              <w:rPr>
                <w:rFonts w:ascii="Calibri" w:hAnsi="Calibri"/>
                <w:b/>
                <w:i w:val="0"/>
                <w:color w:val="212121"/>
                <w:sz w:val="19"/>
              </w:rPr>
              <w:t>Burning / stinging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tender, hot skin over the sunburnt area, worse with touch or warmth.</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polymorphic light eruption and photoallergic reactions; often the dominant complaint.</w:t>
            </w:r>
          </w:p>
        </w:tc>
      </w:tr>
      <w:tr>
        <w:trPr>
          <w:cantSplit/>
        </w:trPr>
        <w:tc>
          <w:tcPr>
            <w:tcW w:type="dxa" w:w="2304"/>
            <w:vAlign w:val="top"/>
          </w:tcPr>
          <w:p>
            <w:pPr>
              <w:spacing w:after="40" w:before="0" w:line="259" w:lineRule="auto"/>
            </w:pPr>
            <w:r>
              <w:rPr>
                <w:rFonts w:ascii="Calibri" w:hAnsi="Calibri"/>
                <w:b/>
                <w:i w:val="0"/>
                <w:color w:val="212121"/>
                <w:sz w:val="19"/>
              </w:rPr>
              <w:t>Papules, papulovesicles or 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Crops of itchy bumps/small blisters or plaques on exposed skin, characteristic of PLE and repeating in the same pattern each summer.</w:t>
            </w:r>
          </w:p>
        </w:tc>
      </w:tr>
      <w:tr>
        <w:trPr>
          <w:cantSplit/>
        </w:trPr>
        <w:tc>
          <w:tcPr>
            <w:tcW w:type="dxa" w:w="2304"/>
            <w:vAlign w:val="top"/>
          </w:tcPr>
          <w:p>
            <w:pPr>
              <w:spacing w:after="40" w:before="0" w:line="259" w:lineRule="auto"/>
            </w:pPr>
            <w:r>
              <w:rPr>
                <w:rFonts w:ascii="Calibri" w:hAnsi="Calibri"/>
                <w:b/>
                <w:i w:val="0"/>
                <w:color w:val="212121"/>
                <w:sz w:val="19"/>
              </w:rPr>
              <w:t>Peeling / desquamation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Skin flakes and peels 4–7 days after sunburn as damaged epidermis is shed.</w:t>
            </w:r>
          </w:p>
        </w:tc>
      </w:tr>
      <w:tr>
        <w:trPr>
          <w:cantSplit/>
        </w:trPr>
        <w:tc>
          <w:tcPr>
            <w:tcW w:type="dxa" w:w="2304"/>
            <w:vAlign w:val="top"/>
          </w:tcPr>
          <w:p>
            <w:pPr>
              <w:spacing w:after="40" w:before="0" w:line="259" w:lineRule="auto"/>
            </w:pPr>
            <w:r>
              <w:rPr>
                <w:rFonts w:ascii="Calibri" w:hAnsi="Calibri"/>
                <w:b/>
                <w:i w:val="0"/>
                <w:color w:val="212121"/>
                <w:sz w:val="19"/>
              </w:rPr>
              <w:t>Tanning / darkening of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Delayed pigmentation after UV exposure; post-inflammatory hyperpigmentation is prominent in Indian (darker) skin.</w:t>
            </w:r>
          </w:p>
        </w:tc>
      </w:tr>
      <w:tr>
        <w:trPr>
          <w:cantSplit/>
        </w:trPr>
        <w:tc>
          <w:tcPr>
            <w:tcW w:type="dxa" w:w="2304"/>
            <w:vAlign w:val="top"/>
          </w:tcPr>
          <w:p>
            <w:pPr>
              <w:spacing w:after="40" w:before="0" w:line="259" w:lineRule="auto"/>
            </w:pPr>
            <w:r>
              <w:rPr>
                <w:rFonts w:ascii="Calibri" w:hAnsi="Calibri"/>
                <w:b/>
                <w:i w:val="0"/>
                <w:color w:val="212121"/>
                <w:sz w:val="19"/>
              </w:rPr>
              <w:t>Blistering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Tense blisters denote a severe, second-degree (partial-thickness) sunburn or a phototoxic drug reaction.</w:t>
            </w:r>
          </w:p>
        </w:tc>
      </w:tr>
      <w:tr>
        <w:trPr>
          <w:cantSplit/>
        </w:trPr>
        <w:tc>
          <w:tcPr>
            <w:tcW w:type="dxa" w:w="2304"/>
            <w:vAlign w:val="top"/>
          </w:tcPr>
          <w:p>
            <w:pPr>
              <w:spacing w:after="40" w:before="0" w:line="259" w:lineRule="auto"/>
            </w:pPr>
            <w:r>
              <w:rPr>
                <w:rFonts w:ascii="Calibri" w:hAnsi="Calibri"/>
                <w:b/>
                <w:i w:val="0"/>
                <w:color w:val="212121"/>
                <w:sz w:val="19"/>
              </w:rPr>
              <w:t>Swelling (oedema) of exposed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Puffiness of the face, lips or dorsal hands after intense exposure.</w:t>
            </w:r>
          </w:p>
        </w:tc>
      </w:tr>
      <w:tr>
        <w:trPr>
          <w:cantSplit/>
        </w:trPr>
        <w:tc>
          <w:tcPr>
            <w:tcW w:type="dxa" w:w="2304"/>
            <w:vAlign w:val="top"/>
          </w:tcPr>
          <w:p>
            <w:pPr>
              <w:spacing w:after="40" w:before="0" w:line="259" w:lineRule="auto"/>
            </w:pPr>
            <w:r>
              <w:rPr>
                <w:rFonts w:ascii="Calibri" w:hAnsi="Calibri"/>
                <w:b/>
                <w:i w:val="0"/>
                <w:color w:val="212121"/>
                <w:sz w:val="19"/>
              </w:rPr>
              <w:t>Hives / wheals within minutes of light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Immediate itchy wheals on light exposure suggest solar urticaria.</w:t>
            </w:r>
          </w:p>
        </w:tc>
      </w:tr>
      <w:tr>
        <w:trPr>
          <w:cantSplit/>
        </w:trPr>
        <w:tc>
          <w:tcPr>
            <w:tcW w:type="dxa" w:w="2304"/>
            <w:vAlign w:val="top"/>
          </w:tcPr>
          <w:p>
            <w:pPr>
              <w:spacing w:after="40" w:before="0" w:line="259" w:lineRule="auto"/>
            </w:pPr>
            <w:r>
              <w:rPr>
                <w:rFonts w:ascii="Calibri" w:hAnsi="Calibri"/>
                <w:b/>
                <w:i w:val="0"/>
                <w:color w:val="212121"/>
                <w:sz w:val="19"/>
              </w:rPr>
              <w:t>Systemic ‘sun-poisoning’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Fever, chills, nausea, vomiting, headache and malaise accompany extensive severe sunburn.</w:t>
            </w:r>
          </w:p>
        </w:tc>
      </w:tr>
      <w:tr>
        <w:trPr>
          <w:cantSplit/>
        </w:trPr>
        <w:tc>
          <w:tcPr>
            <w:tcW w:type="dxa" w:w="2304"/>
            <w:vAlign w:val="top"/>
          </w:tcPr>
          <w:p>
            <w:pPr>
              <w:spacing w:after="40" w:before="0" w:line="259" w:lineRule="auto"/>
            </w:pPr>
            <w:r>
              <w:rPr>
                <w:rFonts w:ascii="Calibri" w:hAnsi="Calibri"/>
                <w:b/>
                <w:i w:val="0"/>
                <w:color w:val="212121"/>
                <w:sz w:val="19"/>
              </w:rPr>
              <w:t>Thickened, leathery, intensely itchy chronic rash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Lichenified eczema of exposed skin in chronic actinic dermatitis, persisting beyond the sunny season.</w:t>
            </w:r>
          </w:p>
        </w:tc>
      </w:tr>
      <w:tr>
        <w:trPr>
          <w:cantSplit/>
        </w:trPr>
        <w:tc>
          <w:tcPr>
            <w:tcW w:type="dxa" w:w="2304"/>
            <w:vAlign w:val="top"/>
          </w:tcPr>
          <w:p>
            <w:pPr>
              <w:spacing w:after="40" w:before="0" w:line="259" w:lineRule="auto"/>
            </w:pPr>
            <w:r>
              <w:rPr>
                <w:rFonts w:ascii="Calibri" w:hAnsi="Calibri"/>
                <w:b/>
                <w:i w:val="0"/>
                <w:color w:val="212121"/>
                <w:sz w:val="19"/>
              </w:rPr>
              <w:t>Painful, watering, light-sensitive eyes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UV photokeratitis/conjunctivitis (‘snow blindness’) after intense reflected UV.</w:t>
            </w:r>
          </w:p>
        </w:tc>
      </w:tr>
      <w:tr>
        <w:trPr>
          <w:cantSplit/>
        </w:trPr>
        <w:tc>
          <w:tcPr>
            <w:tcW w:type="dxa" w:w="2304"/>
            <w:vAlign w:val="top"/>
          </w:tcPr>
          <w:p>
            <w:pPr>
              <w:spacing w:after="40" w:before="0" w:line="259" w:lineRule="auto"/>
            </w:pPr>
            <w:r>
              <w:rPr>
                <w:rFonts w:ascii="Calibri" w:hAnsi="Calibri"/>
                <w:b/>
                <w:i w:val="0"/>
                <w:color w:val="212121"/>
                <w:sz w:val="19"/>
              </w:rPr>
              <w:t>Fragile skin &amp; blisters on the backs of the hands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Skin fragility, blisters and milia on sun-exposed hands suggest porphyria cutanea tarda.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Sharply demarcated erythema confined to exposed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cardinal sign — redness stops abruptly at clothing/hair lines.</w:t>
            </w:r>
          </w:p>
        </w:tc>
      </w:tr>
      <w:tr>
        <w:trPr>
          <w:cantSplit/>
        </w:trPr>
        <w:tc>
          <w:tcPr>
            <w:tcW w:type="dxa" w:w="3456"/>
            <w:vAlign w:val="top"/>
          </w:tcPr>
          <w:p>
            <w:pPr>
              <w:spacing w:after="40" w:before="0" w:line="259" w:lineRule="auto"/>
            </w:pPr>
            <w:r>
              <w:rPr>
                <w:rFonts w:ascii="Calibri" w:hAnsi="Calibri"/>
                <w:b/>
                <w:i w:val="0"/>
                <w:color w:val="212121"/>
                <w:sz w:val="19"/>
              </w:rPr>
              <w:t>Sparing of naturally shaded sites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Upper eyelids, submental region, nasolabial folds and skin behind the ears are spared — a hallmark of light-induced eruptions.</w:t>
            </w:r>
          </w:p>
        </w:tc>
      </w:tr>
      <w:tr>
        <w:trPr>
          <w:cantSplit/>
        </w:trPr>
        <w:tc>
          <w:tcPr>
            <w:tcW w:type="dxa" w:w="3456"/>
            <w:vAlign w:val="top"/>
          </w:tcPr>
          <w:p>
            <w:pPr>
              <w:spacing w:after="40" w:before="0" w:line="259" w:lineRule="auto"/>
            </w:pPr>
            <w:r>
              <w:rPr>
                <w:rFonts w:ascii="Calibri" w:hAnsi="Calibri"/>
                <w:b/>
                <w:i w:val="0"/>
                <w:color w:val="212121"/>
                <w:sz w:val="19"/>
              </w:rPr>
              <w:t>Papulovesicles / plaques on exposed areas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crops on the ‘V’ of the neck, forearms and hands — typical of PLE.</w:t>
            </w:r>
          </w:p>
        </w:tc>
      </w:tr>
      <w:tr>
        <w:trPr>
          <w:cantSplit/>
        </w:trPr>
        <w:tc>
          <w:tcPr>
            <w:tcW w:type="dxa" w:w="3456"/>
            <w:vAlign w:val="top"/>
          </w:tcPr>
          <w:p>
            <w:pPr>
              <w:spacing w:after="40" w:before="0" w:line="259" w:lineRule="auto"/>
            </w:pPr>
            <w:r>
              <w:rPr>
                <w:rFonts w:ascii="Calibri" w:hAnsi="Calibri"/>
                <w:b/>
                <w:i w:val="0"/>
                <w:color w:val="212121"/>
                <w:sz w:val="19"/>
              </w:rPr>
              <w:t>Desquamation / peeling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Sheets of peeling epidermis over healing sunburn.</w:t>
            </w:r>
          </w:p>
        </w:tc>
      </w:tr>
      <w:tr>
        <w:trPr>
          <w:cantSplit/>
        </w:trPr>
        <w:tc>
          <w:tcPr>
            <w:tcW w:type="dxa" w:w="3456"/>
            <w:vAlign w:val="top"/>
          </w:tcPr>
          <w:p>
            <w:pPr>
              <w:spacing w:after="40" w:before="0" w:line="259" w:lineRule="auto"/>
            </w:pPr>
            <w:r>
              <w:rPr>
                <w:rFonts w:ascii="Calibri" w:hAnsi="Calibri"/>
                <w:b/>
                <w:i w:val="0"/>
                <w:color w:val="212121"/>
                <w:sz w:val="19"/>
              </w:rPr>
              <w:t>Post-inflammatory hyper- or hypo-pigmentation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Prominent, long-lasting dyspigmentation in Fitzpatrick IV–VI Indian skin.</w:t>
            </w:r>
          </w:p>
        </w:tc>
      </w:tr>
      <w:tr>
        <w:trPr>
          <w:cantSplit/>
        </w:trPr>
        <w:tc>
          <w:tcPr>
            <w:tcW w:type="dxa" w:w="3456"/>
            <w:vAlign w:val="top"/>
          </w:tcPr>
          <w:p>
            <w:pPr>
              <w:spacing w:after="40" w:before="0" w:line="259" w:lineRule="auto"/>
            </w:pPr>
            <w:r>
              <w:rPr>
                <w:rFonts w:ascii="Calibri" w:hAnsi="Calibri"/>
                <w:b/>
                <w:i w:val="0"/>
                <w:color w:val="212121"/>
                <w:sz w:val="19"/>
              </w:rPr>
              <w:t>Blisters / partial-thickness burn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Tense bullae over severely burnt skin indicate a second-degree sunburn.</w:t>
            </w:r>
          </w:p>
        </w:tc>
      </w:tr>
      <w:tr>
        <w:trPr>
          <w:cantSplit/>
        </w:trPr>
        <w:tc>
          <w:tcPr>
            <w:tcW w:type="dxa" w:w="3456"/>
            <w:vAlign w:val="top"/>
          </w:tcPr>
          <w:p>
            <w:pPr>
              <w:spacing w:after="40" w:before="0" w:line="259" w:lineRule="auto"/>
            </w:pPr>
            <w:r>
              <w:rPr>
                <w:rFonts w:ascii="Calibri" w:hAnsi="Calibri"/>
                <w:b/>
                <w:i w:val="0"/>
                <w:color w:val="212121"/>
                <w:sz w:val="19"/>
              </w:rPr>
              <w:t>Lichenification &amp; leonine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deeply furrowed exposed skin in advanced chronic actinic dermatitis.</w:t>
            </w:r>
          </w:p>
        </w:tc>
      </w:tr>
      <w:tr>
        <w:trPr>
          <w:cantSplit/>
        </w:trPr>
        <w:tc>
          <w:tcPr>
            <w:tcW w:type="dxa" w:w="3456"/>
            <w:vAlign w:val="top"/>
          </w:tcPr>
          <w:p>
            <w:pPr>
              <w:spacing w:after="40" w:before="0" w:line="259" w:lineRule="auto"/>
            </w:pPr>
            <w:r>
              <w:rPr>
                <w:rFonts w:ascii="Calibri" w:hAnsi="Calibri"/>
                <w:b/>
                <w:i w:val="0"/>
                <w:color w:val="212121"/>
                <w:sz w:val="19"/>
              </w:rPr>
              <w:t>Poikiloderma &amp; solar elastosis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Mottled pigmentation, telangiectasia and yellowish thickening from chronic photoaging.</w:t>
            </w:r>
          </w:p>
        </w:tc>
      </w:tr>
      <w:tr>
        <w:trPr>
          <w:cantSplit/>
        </w:trPr>
        <w:tc>
          <w:tcPr>
            <w:tcW w:type="dxa" w:w="3456"/>
            <w:vAlign w:val="top"/>
          </w:tcPr>
          <w:p>
            <w:pPr>
              <w:spacing w:after="40" w:before="0" w:line="259" w:lineRule="auto"/>
            </w:pPr>
            <w:r>
              <w:rPr>
                <w:rFonts w:ascii="Calibri" w:hAnsi="Calibri"/>
                <w:b/>
                <w:i w:val="0"/>
                <w:color w:val="212121"/>
                <w:sz w:val="19"/>
              </w:rPr>
              <w:t>Actinic keratoses / cutaneous horn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Rough, scaly pre-malignant lesions on chronically exposed skin.</w:t>
            </w:r>
          </w:p>
        </w:tc>
      </w:tr>
      <w:tr>
        <w:trPr>
          <w:cantSplit/>
        </w:trPr>
        <w:tc>
          <w:tcPr>
            <w:tcW w:type="dxa" w:w="3456"/>
            <w:vAlign w:val="top"/>
          </w:tcPr>
          <w:p>
            <w:pPr>
              <w:spacing w:after="40" w:before="0" w:line="259" w:lineRule="auto"/>
            </w:pPr>
            <w:r>
              <w:rPr>
                <w:rFonts w:ascii="Calibri" w:hAnsi="Calibri"/>
                <w:b/>
                <w:i w:val="0"/>
                <w:color w:val="212121"/>
                <w:sz w:val="19"/>
              </w:rPr>
              <w:t>Urticarial wheals on irradiated skin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Immediate wheal-and-flare on light exposure in solar urticaria; reproducible on phototesting.</w:t>
            </w:r>
          </w:p>
        </w:tc>
      </w:tr>
      <w:tr>
        <w:trPr>
          <w:cantSplit/>
        </w:trPr>
        <w:tc>
          <w:tcPr>
            <w:tcW w:type="dxa" w:w="3456"/>
            <w:vAlign w:val="top"/>
          </w:tcPr>
          <w:p>
            <w:pPr>
              <w:spacing w:after="40" w:before="0" w:line="259" w:lineRule="auto"/>
            </w:pPr>
            <w:r>
              <w:rPr>
                <w:rFonts w:ascii="Calibri" w:hAnsi="Calibri"/>
                <w:b/>
                <w:i w:val="0"/>
                <w:color w:val="212121"/>
                <w:sz w:val="19"/>
              </w:rPr>
              <w:t>Cutaneous malignancy on sun-exposed skin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Basal or squamous cell carcinoma or melanoma arising on chronically photodamaged skin; very early in xeroderma pigmentosum.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(second-degree) blistering sunburn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loss with extensive burns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denuded/blistered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‘sun-poisoning’ (fever, nausea, headache, malaise)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UV photokeratitis and conjunctivitis</w:t>
            </w:r>
          </w:p>
        </w:tc>
        <w:tc>
          <w:tcPr>
            <w:tcW w:type="dxa" w:w="2980"/>
            <w:vAlign w:val="top"/>
          </w:tcPr>
          <w:p>
            <w:pPr>
              <w:spacing w:after="40" w:before="0" w:line="259" w:lineRule="auto"/>
            </w:pPr>
            <w:r>
              <w:rPr>
                <w:rFonts w:ascii="Calibri" w:hAnsi="Calibri"/>
                <w:b w:val="0"/>
                <w:i w:val="0"/>
                <w:color w:val="212121"/>
                <w:sz w:val="19"/>
              </w:rPr>
              <w:t>Direct acute consequences of excessive UV injury to skin and eyes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 or hypo-pigmentation (marked in Indian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seasonal polymorphic light eruption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actinic dermatitis with lichenification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photosensitivity and photoallergic contact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Actinic keratoses (pre-malignant change)</w:t>
            </w:r>
          </w:p>
        </w:tc>
        <w:tc>
          <w:tcPr>
            <w:tcW w:type="dxa" w:w="2980"/>
            <w:vAlign w:val="top"/>
          </w:tcPr>
          <w:p>
            <w:pPr>
              <w:spacing w:after="40" w:before="0" w:line="259" w:lineRule="auto"/>
            </w:pPr>
            <w:r>
              <w:rPr>
                <w:rFonts w:ascii="Calibri" w:hAnsi="Calibri"/>
                <w:b w:val="0"/>
                <w:i w:val="0"/>
                <w:color w:val="212121"/>
                <w:sz w:val="19"/>
              </w:rPr>
              <w:t>Persistent or recurrent disease from ongoing photosensitivity and cumulative UV damage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Photoaging (wrinkling, solar elastosis, dyspigmentation)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 cancers — basal cell and squamous cell carcinoma and melanoma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UV ocular disease — cataract and pterygium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Disfigurement, scarring and lifelong sun-avoidance disability (e.g., xeroderma pigmentosum)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 deficiency and psychosocial impairment from strict photoprotection</w:t>
            </w:r>
          </w:p>
        </w:tc>
        <w:tc>
          <w:tcPr>
            <w:tcW w:type="dxa" w:w="2980"/>
            <w:vAlign w:val="top"/>
          </w:tcPr>
          <w:p>
            <w:pPr>
              <w:spacing w:after="40" w:before="0" w:line="259" w:lineRule="auto"/>
            </w:pPr>
            <w:r>
              <w:rPr>
                <w:rFonts w:ascii="Calibri" w:hAnsi="Calibri"/>
                <w:b w:val="0"/>
                <w:i w:val="0"/>
                <w:color w:val="212121"/>
                <w:sz w:val="19"/>
              </w:rPr>
              <w:t>Irreversible, disabling long-term outcomes of chronic photodamage and severe genetic photodermatoses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Systemic / cutaneous lupus erythematosus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Photosensitivity is a defining feature; UV triggers and flares malar, subacute cutaneous and systemic lupus, so a photodistributed rash mandates a lupus screen.</w:t>
            </w:r>
          </w:p>
        </w:tc>
      </w:tr>
      <w:tr>
        <w:trPr>
          <w:cantSplit/>
        </w:trPr>
        <w:tc>
          <w:tcPr>
            <w:tcW w:type="dxa" w:w="2232"/>
            <w:vAlign w:val="top"/>
          </w:tcPr>
          <w:p>
            <w:pPr>
              <w:spacing w:after="40" w:before="0" w:line="259" w:lineRule="auto"/>
            </w:pPr>
            <w:r>
              <w:rPr>
                <w:rFonts w:ascii="Calibri" w:hAnsi="Calibri"/>
                <w:b/>
                <w:i w:val="0"/>
                <w:color w:val="212121"/>
                <w:sz w:val="19"/>
              </w:rPr>
              <w:t>Dermatomyositis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photo-aggravated autoimmune disease with a characteristic photodistributed heliotrope and shawl-sign rash worsened by UV.</w:t>
            </w:r>
          </w:p>
        </w:tc>
      </w:tr>
      <w:tr>
        <w:trPr>
          <w:cantSplit/>
        </w:trPr>
        <w:tc>
          <w:tcPr>
            <w:tcW w:type="dxa" w:w="2232"/>
            <w:vAlign w:val="top"/>
          </w:tcPr>
          <w:p>
            <w:pPr>
              <w:spacing w:after="40" w:before="0" w:line="259" w:lineRule="auto"/>
            </w:pPr>
            <w:r>
              <w:rPr>
                <w:rFonts w:ascii="Calibri" w:hAnsi="Calibri"/>
                <w:b/>
                <w:i w:val="0"/>
                <w:color w:val="212121"/>
                <w:sz w:val="19"/>
              </w:rPr>
              <w:t>Porphyria (cutanea tarda / erythropoietic protoporphyria)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Accumulated photoactive porphyrins cause skin fragility and blistering (PCT) or immediate burning photosensitivity (EPP); alcohol and iron worsen PCT.</w:t>
            </w:r>
          </w:p>
        </w:tc>
      </w:tr>
      <w:tr>
        <w:trPr>
          <w:cantSplit/>
        </w:trPr>
        <w:tc>
          <w:tcPr>
            <w:tcW w:type="dxa" w:w="2232"/>
            <w:vAlign w:val="top"/>
          </w:tcPr>
          <w:p>
            <w:pPr>
              <w:spacing w:after="40" w:before="0" w:line="259" w:lineRule="auto"/>
            </w:pPr>
            <w:r>
              <w:rPr>
                <w:rFonts w:ascii="Calibri" w:hAnsi="Calibri"/>
                <w:b/>
                <w:i w:val="0"/>
                <w:color w:val="212121"/>
                <w:sz w:val="19"/>
              </w:rPr>
              <w:t>Xeroderma pigmentosum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Inherited DNA-repair defect producing extreme UV sensitivity and very early skin cancers; over-represented in India owing to consanguinity.</w:t>
            </w:r>
          </w:p>
        </w:tc>
      </w:tr>
      <w:tr>
        <w:trPr>
          <w:cantSplit/>
        </w:trPr>
        <w:tc>
          <w:tcPr>
            <w:tcW w:type="dxa" w:w="2232"/>
            <w:vAlign w:val="top"/>
          </w:tcPr>
          <w:p>
            <w:pPr>
              <w:spacing w:after="40" w:before="0" w:line="259" w:lineRule="auto"/>
            </w:pPr>
            <w:r>
              <w:rPr>
                <w:rFonts w:ascii="Calibri" w:hAnsi="Calibri"/>
                <w:b/>
                <w:i w:val="0"/>
                <w:color w:val="212121"/>
                <w:sz w:val="19"/>
              </w:rPr>
              <w:t>Skin cancer (melanoma &amp; non-melanoma)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UV and sunburn drive basal cell, squamous cell carcinoma and melanoma; a single blistering sunburn at least doubles melanoma risk.</w:t>
            </w:r>
          </w:p>
          <w:p>
            <w:pPr>
              <w:spacing w:after="40" w:before="0" w:line="259" w:lineRule="auto"/>
            </w:pPr>
            <w:r>
              <w:rPr>
                <w:rFonts w:ascii="Calibri" w:hAnsi="Calibri"/>
                <w:b/>
                <w:i w:val="0"/>
                <w:color w:val="212121"/>
                <w:sz w:val="19"/>
              </w:rPr>
              <w:t>Melanoma risk ≥ 2× after one blistering sunburn</w:t>
            </w:r>
          </w:p>
        </w:tc>
      </w:tr>
      <w:tr>
        <w:trPr>
          <w:cantSplit/>
        </w:trPr>
        <w:tc>
          <w:tcPr>
            <w:tcW w:type="dxa" w:w="2232"/>
            <w:vAlign w:val="top"/>
          </w:tcPr>
          <w:p>
            <w:pPr>
              <w:spacing w:after="40" w:before="0" w:line="259" w:lineRule="auto"/>
            </w:pPr>
            <w:r>
              <w:rPr>
                <w:rFonts w:ascii="Calibri" w:hAnsi="Calibri"/>
                <w:b/>
                <w:i w:val="0"/>
                <w:color w:val="212121"/>
                <w:sz w:val="19"/>
              </w:rPr>
              <w:t>Actinic keratosis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Chronic sun exposure produces these pre-malignant scaly lesions that can progress to squamous cell carcinoma.</w:t>
            </w:r>
          </w:p>
        </w:tc>
      </w:tr>
      <w:tr>
        <w:trPr>
          <w:cantSplit/>
        </w:trPr>
        <w:tc>
          <w:tcPr>
            <w:tcW w:type="dxa" w:w="2232"/>
            <w:vAlign w:val="top"/>
          </w:tcPr>
          <w:p>
            <w:pPr>
              <w:spacing w:after="40" w:before="0" w:line="259" w:lineRule="auto"/>
            </w:pPr>
            <w:r>
              <w:rPr>
                <w:rFonts w:ascii="Calibri" w:hAnsi="Calibri"/>
                <w:b/>
                <w:i w:val="0"/>
                <w:color w:val="212121"/>
                <w:sz w:val="19"/>
              </w:rPr>
              <w:t>Photoaging / solar elastosis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Cumulative UV causes wrinkling, telangiectasia, dyspigmentation and dermal elastosis.</w:t>
            </w:r>
          </w:p>
        </w:tc>
      </w:tr>
      <w:tr>
        <w:trPr>
          <w:cantSplit/>
        </w:trPr>
        <w:tc>
          <w:tcPr>
            <w:tcW w:type="dxa" w:w="2232"/>
            <w:vAlign w:val="top"/>
          </w:tcPr>
          <w:p>
            <w:pPr>
              <w:spacing w:after="40" w:before="0" w:line="259" w:lineRule="auto"/>
            </w:pPr>
            <w:r>
              <w:rPr>
                <w:rFonts w:ascii="Calibri" w:hAnsi="Calibri"/>
                <w:b/>
                <w:i w:val="0"/>
                <w:color w:val="212121"/>
                <w:sz w:val="19"/>
              </w:rPr>
              <w:t>Parthenium (airborne) contact dermatitis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plant dermatitis in India frequently becomes photo-aggravated and can evolve into a chronic-actinic-dermatitis pattern.</w:t>
            </w:r>
          </w:p>
          <w:p>
            <w:pPr>
              <w:spacing w:after="40" w:before="0" w:line="259" w:lineRule="auto"/>
            </w:pPr>
            <w:r>
              <w:rPr>
                <w:rFonts w:ascii="Calibri" w:hAnsi="Calibri"/>
                <w:b/>
                <w:i w:val="0"/>
                <w:color w:val="212121"/>
                <w:sz w:val="19"/>
              </w:rPr>
              <w:t>~40% of contact-dermatitis clinic patients</w:t>
            </w:r>
          </w:p>
        </w:tc>
      </w:tr>
      <w:tr>
        <w:trPr>
          <w:cantSplit/>
        </w:trPr>
        <w:tc>
          <w:tcPr>
            <w:tcW w:type="dxa" w:w="2232"/>
            <w:vAlign w:val="top"/>
          </w:tcPr>
          <w:p>
            <w:pPr>
              <w:spacing w:after="40" w:before="0" w:line="259" w:lineRule="auto"/>
            </w:pPr>
            <w:r>
              <w:rPr>
                <w:rFonts w:ascii="Calibri" w:hAnsi="Calibri"/>
                <w:b/>
                <w:i w:val="0"/>
                <w:color w:val="212121"/>
                <w:sz w:val="19"/>
              </w:rPr>
              <w:t>Drug-induced photosensitivity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Fluoroquinolones, doxycycline, thiazides, NSAIDs, amiodarone, voriconazole and phenothiazines cause phototoxic or photoallergic reactions that resolve on stopping the drug.</w:t>
            </w:r>
          </w:p>
        </w:tc>
      </w:tr>
      <w:tr>
        <w:trPr>
          <w:cantSplit/>
        </w:trPr>
        <w:tc>
          <w:tcPr>
            <w:tcW w:type="dxa" w:w="2232"/>
            <w:vAlign w:val="top"/>
          </w:tcPr>
          <w:p>
            <w:pPr>
              <w:spacing w:after="40" w:before="0" w:line="259" w:lineRule="auto"/>
            </w:pPr>
            <w:r>
              <w:rPr>
                <w:rFonts w:ascii="Calibri" w:hAnsi="Calibri"/>
                <w:b/>
                <w:i w:val="0"/>
                <w:color w:val="212121"/>
                <w:sz w:val="19"/>
              </w:rPr>
              <w:t>Pellagra (niacin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Nutritional deficiency causes a photosensitive dermatitis (Casal’s necklace) on sun-exposed skin in undernourished or alcohol-dependent people.</w:t>
            </w:r>
          </w:p>
        </w:tc>
      </w:tr>
      <w:tr>
        <w:trPr>
          <w:cantSplit/>
        </w:trPr>
        <w:tc>
          <w:tcPr>
            <w:tcW w:type="dxa" w:w="2232"/>
            <w:vAlign w:val="top"/>
          </w:tcPr>
          <w:p>
            <w:pPr>
              <w:spacing w:after="40" w:before="0" w:line="259" w:lineRule="auto"/>
            </w:pPr>
            <w:r>
              <w:rPr>
                <w:rFonts w:ascii="Calibri" w:hAnsi="Calibri"/>
                <w:b/>
                <w:i w:val="0"/>
                <w:color w:val="212121"/>
                <w:sz w:val="19"/>
              </w:rPr>
              <w:t>Vitamin-D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Strict photoprotection reduces cutaneous vitamin-D synthesis, compounding India’s already very high baseline deficiency — the photoprotection paradox.</w:t>
            </w:r>
          </w:p>
          <w:p>
            <w:pPr>
              <w:spacing w:after="40" w:before="0" w:line="259" w:lineRule="auto"/>
            </w:pPr>
            <w:r>
              <w:rPr>
                <w:rFonts w:ascii="Calibri" w:hAnsi="Calibri"/>
                <w:b/>
                <w:i w:val="0"/>
                <w:color w:val="212121"/>
                <w:sz w:val="19"/>
              </w:rPr>
              <w:t>70–100% of Indians deficient</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Depigmented patches lack protective melanin and burn readily, while sunburn (Koebner phenomenon) can precipitate new vitiligo lesions.</w:t>
            </w:r>
          </w:p>
        </w:tc>
      </w:tr>
      <w:tr>
        <w:trPr>
          <w:cantSplit/>
        </w:trPr>
        <w:tc>
          <w:tcPr>
            <w:tcW w:type="dxa" w:w="2232"/>
            <w:vAlign w:val="top"/>
          </w:tcPr>
          <w:p>
            <w:pPr>
              <w:spacing w:after="40" w:before="0" w:line="259" w:lineRule="auto"/>
            </w:pPr>
            <w:r>
              <w:rPr>
                <w:rFonts w:ascii="Calibri" w:hAnsi="Calibri"/>
                <w:b/>
                <w:i w:val="0"/>
                <w:color w:val="212121"/>
                <w:sz w:val="19"/>
              </w:rPr>
              <w:t>Oculocutaneous albinism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Absent melanin causes severe sunburn, early photoaging and a high risk of sun-induced skin cancer.</w:t>
            </w:r>
          </w:p>
        </w:tc>
      </w:tr>
      <w:tr>
        <w:trPr>
          <w:cantSplit/>
        </w:trPr>
        <w:tc>
          <w:tcPr>
            <w:tcW w:type="dxa" w:w="2232"/>
            <w:vAlign w:val="top"/>
          </w:tcPr>
          <w:p>
            <w:pPr>
              <w:spacing w:after="40" w:before="0" w:line="259" w:lineRule="auto"/>
            </w:pPr>
            <w:r>
              <w:rPr>
                <w:rFonts w:ascii="Calibri" w:hAnsi="Calibri"/>
                <w:b/>
                <w:i w:val="0"/>
                <w:color w:val="212121"/>
                <w:sz w:val="19"/>
              </w:rPr>
              <w:t>Rosacea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photo-aggravated facial dermatosis in which UV is a major flare trigger requiring daily photoprotection.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direct sun during peak hours (about 10:00–16:00) and seek shade; check the day’s UV index.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broad-spectrum SPF 30–50+ sunscreen generously (~2 mg/cm²) 15–30 minutes before exposure and reapply every 2 hours and after sweating or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protection — UPF 40–50+ clothing, a wide-brimmed hat and UV-blocking sunglasses — which is especially important for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tanning beds and deliberate tanning, and wash off plant sap (e.g., lime/Parthenium) promptly after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medicines and cosmetics for photosensitisers (fluoroquinolones, doxycycline, thiazides, NSAIDs, bergamot/psoralen fragrances) and discuss alternatives.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(itchy summer rash, easy burning) and do not over-restrict sun to the point of vitamin-D deficiency — balance photoprotection with diet/supplements.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 &amp; 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Fair-skinned people &amp;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PLE / lupus / drug-photosensitive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Sun-avoidant / vitamin-D-deficient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acute sunburn: move out of the sun, cool the skin with compresses or a cool bath, moisturise/aloe vera, take oral NSAIDs or paracetamol for pain and keep well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deroof intact blisters; keep ruptured blisters clean and covered to prevent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PLE flares use potent topical corticosteroids (weaker on the face) and a short oral corticosteroid course for severe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recurrent PLE consider seasonal hydroxychloroquine and pre-summer phototherapy ‘hardening’, under specialist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the culprit drug/contactant in phototoxic/photoallergic disease and manage chronic actinic dermatitis and lupus with strict photoprotection ± immunomodulators.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extensive blistering, systemic symptoms, painful eyes, or any non-healing or growing lesion on sun-damaged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sunburn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PLE &amp; solar urticaria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actinic dermatitis / lupus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Drug/chemical photosensitivity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or complicated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outdoor exercise and work for early morning or late afternoon to avoid peak UV.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sun-protective sportswear, a hat and sunglasses, and use water-resistant sunscreen for outdoor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rest breaks in the shade during prolonged outdoor activity and stay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extra cautious at altitude, near snow, water or sand where reflected UV is intensified.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athletes &amp; trekkers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&amp;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playing outdoors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(colourful fruits and vegetables; lycopene, beta-carotene) that may modestly raise the sunburn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photosensitive, avoid large amounts of psoralen-rich foods/plants (lime, celery, parsley, figs) immediately before intense sun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niacin (from pulses, groundnuts, whole grains, milk) to prevent pellagra, especially on maize/sorghum-based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vitamin D through diet and supplements rather than deliberate sun exposure, given the high baseline deficiency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Photosensitive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 alcohol-dependent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Sun-avoidant / vitamin-D-deficient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cutaneous immune regulation and repair of UV-damaged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sunburnt skin cool and comfortable at night to aid rest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recovering from sunburn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photodermatoses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slow photoaging and reduce the synergistic UV–tobacco risk of squamous cell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particularly in those with extensive photodamage.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heavy cumulative sun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and avoid binge drinking during outdoor/beach sun exposure, when sunburn risk rises.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if porphyria cutanea tarda is diagnosed, as it precipitates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porphyria or pellagra risk</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appearance-related distress and social limitation of recurrent or visible photodermatoses and lifelong sun-avoidance.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strict photoprotection in demanding conditions (xeroderma pigmentosum, lupus) and signpost counselling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seasonal frustration and anxiety in patients whose summers are restricted by PLE or solar urticaria.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photodermatoses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Xeroderma pigmentosum &amp; lupus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visible dyspigmentation or scarring</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0886/" TargetMode="External"/><Relationship Id="rId10" Type="http://schemas.openxmlformats.org/officeDocument/2006/relationships/hyperlink" Target="https://ijdvl.com/photodermatoses-in-india/" TargetMode="External"/><Relationship Id="rId11" Type="http://schemas.openxmlformats.org/officeDocument/2006/relationships/hyperlink" Target="https://ijdvl.com/parthenium-dermatitis-in-india-past-present-and-future/" TargetMode="External"/><Relationship Id="rId12" Type="http://schemas.openxmlformats.org/officeDocument/2006/relationships/hyperlink" Target="https://pubmed.ncbi.nlm.nih.gov/19040516/" TargetMode="External"/><Relationship Id="rId13" Type="http://schemas.openxmlformats.org/officeDocument/2006/relationships/hyperlink" Target="https://dermnetnz.org/topics/sunburn" TargetMode="External"/><Relationship Id="rId14" Type="http://schemas.openxmlformats.org/officeDocument/2006/relationships/hyperlink" Target="https://pubmed.ncbi.nlm.nih.gov/28216726/" TargetMode="External"/><Relationship Id="rId15" Type="http://schemas.openxmlformats.org/officeDocument/2006/relationships/hyperlink" Target="https://www.ncbi.nlm.nih.gov/books/NBK534837/" TargetMode="External"/><Relationship Id="rId16" Type="http://schemas.openxmlformats.org/officeDocument/2006/relationships/hyperlink" Target="https://pubmed.ncbi.nlm.nih.gov/27282531/" TargetMode="External"/><Relationship Id="rId17" Type="http://schemas.openxmlformats.org/officeDocument/2006/relationships/hyperlink" Target="https://dermnetnz.org/topics/polymorphic-light-eruption" TargetMode="External"/><Relationship Id="rId18" Type="http://schemas.openxmlformats.org/officeDocument/2006/relationships/hyperlink" Target="https://pubmed.ncbi.nlm.nih.gov/27510322/" TargetMode="External"/><Relationship Id="rId19" Type="http://schemas.openxmlformats.org/officeDocument/2006/relationships/hyperlink" Target="https://pubmed.ncbi.nlm.nih.gov/24566435/" TargetMode="External"/><Relationship Id="rId20" Type="http://schemas.openxmlformats.org/officeDocument/2006/relationships/hyperlink" Target="https://pubmed.ncbi.nlm.nih.gov/40955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