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Myopia</w:t>
      </w:r>
    </w:p>
    <w:p>
      <w:pPr>
        <w:spacing w:before="0" w:after="160"/>
      </w:pPr>
      <w:r>
        <w:rPr>
          <w:rFonts w:ascii="Calibri" w:hAnsi="Calibri"/>
          <w:b/>
          <w:i w:val="0"/>
          <w:color w:val="212121"/>
          <w:sz w:val="22"/>
        </w:rPr>
        <w:t xml:space="preserve">AKA </w:t>
      </w:r>
      <w:r>
        <w:rPr>
          <w:rFonts w:ascii="Calibri" w:hAnsi="Calibri"/>
          <w:b w:val="0"/>
          <w:i w:val="0"/>
          <w:color w:val="212121"/>
          <w:sz w:val="22"/>
        </w:rPr>
        <w:t>i.e., Nearsightedness, Short-sightedness, Near-sighted vision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Myopia (nearsightedness) is a refractive error in which parallel light rays entering the relaxed eye come to a focus in front of the retina rather than on it, so that distant objects appear blurred while near objects remain clear. It results most often from excessive front-to-back elongation of the eyeball (axial myopia); less commonly from an over-steep cornea or lens (refractive/curvature myopia) or from lens changes (lenticular/index myopia). When axial elongation is marked (spherical equivalent worse than -6.00 D or axial length ≥ 26 mm) the condition is termed high myopia and may progress to sight-threatening pathologic (degenerative) myopia.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 meta-analysis of Indian school-based surveys spanning four decades put the pooled prevalence of myopia at about 8.5% (95% CI 7.1–9.9%), and the trend is rising steeply, especially in urban children. Systematic-review estimates in school settings are higher still (~10.8%), and post-COVID home-confinement surveys in South Indian public schools found myopia in nearly 1 in 5 adolescents (19.5%), a three- to six-fold jump over pre-pandemic figures. Worldwide, roughly half of the population is projected to be myopic by 2050, with about 10% highly myopic, and uncorrected refractive error is already among the leading causes of avoidable vision impairment.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Myopia is diagnosed clinically by refraction; in children cycloplegia is used to eliminate accommodative spasm. Diagnosis and grading rest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uncorrected distance visual acuity (Snellen/logMAR) that improves with a pinhole or with a minus (concave) correcting lens;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autorefraction or retinoscopy showing a spherical-equivalent refraction of ≤ −0.50 D (children) — the standard diagnostic threshold for myopia;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subjective refraction with a phoropter to confirm the least minus power giving best-corrected acuity;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graded by spherical equivalent — mild (−0.50 to −3.00 D), moderate (−3.00 to −6.00 D) and high (worse than −6.00 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optical biometry of axial length (≥ 26 mm suggests high/pathologic myopia; each 1 mm of elongation ≈ 3 D of myopic shift);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dilated fundus examination ± OCT and, where indicated, corneal topography, to detect myopic retinal, optic-nerve or macular changes in moderate-to-high myopia.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Myopia is classified along several complementary axes:</w:t>
      </w:r>
    </w:p>
    <w:p>
      <w:pPr>
        <w:spacing w:before="0" w:after="80"/>
      </w:pPr>
      <w:r>
        <w:rPr>
          <w:rFonts w:ascii="Calibri" w:hAnsi="Calibri"/>
          <w:b w:val="0"/>
          <w:i w:val="0"/>
          <w:color w:val="212121"/>
          <w:sz w:val="21"/>
        </w:rPr>
        <w:t>(1) By degree of refractive error — mild/low (−0.50 to −3.00 D), moderate (−3.00 to −6.00 D), high (worse than −6.00 D) and extremely high (≤ −9.00 D); high myopia carries the greatest risk of structural complications;</w:t>
      </w:r>
    </w:p>
    <w:p>
      <w:pPr>
        <w:spacing w:before="0" w:after="80"/>
      </w:pPr>
      <w:r>
        <w:rPr>
          <w:rFonts w:ascii="Calibri" w:hAnsi="Calibri"/>
          <w:b w:val="0"/>
          <w:i w:val="0"/>
          <w:color w:val="212121"/>
          <w:sz w:val="21"/>
        </w:rPr>
        <w:t>(2) By anatomical mechanism — axial myopia (excessively long globe, the commonest form), refractive/curvature myopia (over-steep cornea or lens, e.g. keratoconus) and index/lenticular myopia (increased lens refractive index, classically from nuclear sclerotic cataract or transient osmotic lens swelling in uncontrolled diabetes);</w:t>
      </w:r>
    </w:p>
    <w:p>
      <w:pPr>
        <w:spacing w:before="0" w:after="80"/>
      </w:pPr>
      <w:r>
        <w:rPr>
          <w:rFonts w:ascii="Calibri" w:hAnsi="Calibri"/>
          <w:b w:val="0"/>
          <w:i w:val="0"/>
          <w:color w:val="212121"/>
          <w:sz w:val="21"/>
        </w:rPr>
        <w:t>(3) By age of onset and course — congenital (present at birth, often high), school-age/juvenile-onset (the dominant epidemic form, appearing between ~6 and 14 years and progressing through the teens), and adult/late-onset (including lenticular myopia of the elderly);</w:t>
      </w:r>
    </w:p>
    <w:p>
      <w:pPr>
        <w:spacing w:before="0" w:after="80"/>
      </w:pPr>
      <w:r>
        <w:rPr>
          <w:rFonts w:ascii="Calibri" w:hAnsi="Calibri"/>
          <w:b w:val="0"/>
          <w:i w:val="0"/>
          <w:color w:val="212121"/>
          <w:sz w:val="21"/>
        </w:rPr>
        <w:t>(4) By clinical behaviour — simple (physiological, non-progressive-to-stable, no degenerative changes) versus pathologic/degenerative myopia, defined by posterior-pole degenerative lesions (myopic maculopathy graded by the META-PM system: tessellated fundus → diffuse/patchy chorioretinal atrophy → macular atrophy, plus “plus” lesions such as lacquer cracks, choroidal neovascularisation and Fuchs spot, often with posterior staphyloma).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One myopic parent roughly doubles a child’s risk and two myopic parents raise it further; over 200 susceptibility loci are known, and syndromic forms (Stickler, Marfan, Down) cause early high myopia.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Prolonged near work and high educational load: Sustained accommodation and hyperopic peripheral retinal defocus during reading, study and close screen use drive axial elongation — a major factor behind India’s exam/coaching-intensive childhood.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Reduced outdoor light exposure: Time indoors lowers retinal dopamine release (a stop-signal for eye growth); bright outdoor light is strongly protective, so falling outdoor time is central to the childhood epidemic.</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Excessive axial elongation and scleral remodelling: Disrupted emmetropization with reduced scleral collagen synthesis and increased matrix-metalloproteinase activity allows the posterior globe to over-lengthen.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Urbanisation and screen-dominant lifestyles: City living, small living spaces, early smartphone/tablet use and shorter working distances accelerate onset and progression.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Secondary/lenticular causes: Nuclear sclerotic cataract, uncontrolled hyperglycaemia (transient osmotic lens swelling) and certain drugs induce an acquired myopic shift in adults.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(6–14 years)</w:t>
            </w:r>
          </w:p>
        </w:tc>
        <w:tc>
          <w:tcPr>
            <w:tcW w:type="dxa" w:w="4276"/>
            <w:vAlign w:val="top"/>
          </w:tcPr>
          <w:p>
            <w:pPr>
              <w:spacing w:after="60" w:line="259" w:lineRule="auto"/>
            </w:pPr>
            <w:r>
              <w:rPr>
                <w:rFonts w:ascii="Calibri" w:hAnsi="Calibri"/>
                <w:b w:val="0"/>
                <w:i w:val="0"/>
                <w:color w:val="212121"/>
                <w:sz w:val="19"/>
              </w:rPr>
              <w:t>Juvenile-onset myopia typically appears and progresses during this period of rapid ocular growth, when sustained near work and reduced outdoor play coincide with an eye still capable of axial elongation. Earlier onset (before age 8) predicts faster progression to high myopia.</w:t>
            </w:r>
          </w:p>
          <w:p>
            <w:pPr>
              <w:spacing w:after="40" w:before="60" w:line="259" w:lineRule="auto"/>
            </w:pPr>
            <w:r>
              <w:rPr>
                <w:rFonts w:ascii="Calibri" w:hAnsi="Calibri"/>
                <w:b w:val="0"/>
                <w:i w:val="0"/>
                <w:color w:val="212121"/>
                <w:sz w:val="19"/>
              </w:rPr>
              <w:t>A four-decade meta-analysis of Indian school surveys put pooled childhood myopia at ~8.5% (95% CI 7.1–9.9%), rising steeply in recent cohorts.</w:t>
            </w:r>
          </w:p>
          <w:p>
            <w:pPr>
              <w:spacing w:after="40" w:line="252" w:lineRule="auto"/>
            </w:pPr>
            <w:hyperlink r:id="rId9">
              <w:r>
                <w:rPr>
                  <w:rFonts w:ascii="Calibri" w:hAnsi="Calibri" w:cs="Calibri"/>
                  <w:sz w:val="18"/>
                  <w:color w:val="1155CC"/>
                  <w:u w:val="single"/>
                </w:rPr>
                <w:t xml:space="preserve">pubmed.ncbi.nlm.nih.gov/33075102 — Agarwal et al, PLoS One 2020</w:t>
              </w:r>
            </w:hyperlink>
          </w:p>
          <w:p>
            <w:pPr>
              <w:spacing w:before="60" w:after="40"/>
            </w:pPr>
            <w:r>
              <w:rPr>
                <w:rFonts w:ascii="Calibri" w:hAnsi="Calibri"/>
                <w:b w:val="0"/>
                <w:i w:val="0"/>
                <w:color w:val="5A5A5A"/>
                <w:sz w:val="18"/>
              </w:rPr>
              <w:t>#myopia  #schoolchildren  #axialelongation  #nearwork  #childhoodepidemic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 / students</w:t>
            </w:r>
          </w:p>
        </w:tc>
        <w:tc>
          <w:tcPr>
            <w:tcW w:type="dxa" w:w="4276"/>
            <w:vAlign w:val="top"/>
          </w:tcPr>
          <w:p>
            <w:pPr>
              <w:spacing w:after="60" w:line="259" w:lineRule="auto"/>
            </w:pPr>
            <w:r>
              <w:rPr>
                <w:rFonts w:ascii="Calibri" w:hAnsi="Calibri"/>
                <w:b w:val="0"/>
                <w:i w:val="0"/>
                <w:color w:val="212121"/>
                <w:sz w:val="19"/>
              </w:rPr>
              <w:t>Myopia continues to progress through the teens into the early twenties, aggravated by intense secondary-school and college study, coaching classes and heavy device use; stabilisation usually occurs around 15–16 years but can extend to the mid-twenties.</w:t>
            </w:r>
          </w:p>
          <w:p>
            <w:pPr>
              <w:spacing w:after="40" w:before="60" w:line="259" w:lineRule="auto"/>
            </w:pPr>
            <w:r>
              <w:rPr>
                <w:rFonts w:ascii="Calibri" w:hAnsi="Calibri"/>
                <w:b w:val="0"/>
                <w:i w:val="0"/>
                <w:color w:val="212121"/>
                <w:sz w:val="19"/>
              </w:rPr>
              <w:t>Post-confinement, ~19.5% of South Indian public-school adolescents (14–17 y) were myopic in at least one eye — a three- to six-fold rise over pre-pandemic figures.</w:t>
            </w:r>
          </w:p>
          <w:p>
            <w:pPr>
              <w:spacing w:after="40" w:line="252" w:lineRule="auto"/>
            </w:pPr>
            <w:hyperlink r:id="rId10">
              <w:r>
                <w:rPr>
                  <w:rFonts w:ascii="Calibri" w:hAnsi="Calibri" w:cs="Calibri"/>
                  <w:sz w:val="18"/>
                  <w:color w:val="1155CC"/>
                  <w:u w:val="single"/>
                </w:rPr>
                <w:t xml:space="preserve">pubmed.ncbi.nlm.nih.gov/35918969 — Saara et al, Indian J Ophthalmol 2022</w:t>
              </w:r>
            </w:hyperlink>
          </w:p>
          <w:p>
            <w:pPr>
              <w:spacing w:before="60" w:after="40"/>
            </w:pPr>
            <w:r>
              <w:rPr>
                <w:rFonts w:ascii="Calibri" w:hAnsi="Calibri"/>
                <w:b w:val="0"/>
                <w:i w:val="0"/>
                <w:color w:val="5A5A5A"/>
                <w:sz w:val="18"/>
              </w:rPr>
              <w:t>#adolescents  #students  #screentime  #progression  #exampressure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&amp; elderly</w:t>
            </w:r>
          </w:p>
        </w:tc>
        <w:tc>
          <w:tcPr>
            <w:tcW w:type="dxa" w:w="4276"/>
            <w:vAlign w:val="top"/>
          </w:tcPr>
          <w:p>
            <w:pPr>
              <w:spacing w:after="60" w:line="259" w:lineRule="auto"/>
            </w:pPr>
            <w:r>
              <w:rPr>
                <w:rFonts w:ascii="Calibri" w:hAnsi="Calibri"/>
                <w:b w:val="0"/>
                <w:i w:val="0"/>
                <w:color w:val="212121"/>
                <w:sz w:val="19"/>
              </w:rPr>
              <w:t>Two adult patterns exist — legacy high/pathologic myopes carrying lifelong risk of retinal and macular degeneration, and new lenticular (index) myopia in later life from nuclear sclerotic cataract or uncontrolled diabetes, producing a myopic shift ('second sight').</w:t>
            </w:r>
          </w:p>
          <w:p>
            <w:pPr>
              <w:spacing w:after="40" w:before="60" w:line="259" w:lineRule="auto"/>
            </w:pPr>
            <w:r>
              <w:rPr>
                <w:rFonts w:ascii="Calibri" w:hAnsi="Calibri"/>
                <w:b w:val="0"/>
                <w:i w:val="0"/>
                <w:color w:val="212121"/>
                <w:sz w:val="19"/>
              </w:rPr>
              <w:t>Lenticular myopia from nuclear sclerosis is a recognised age-related cause of acquired short-sightedness; an axial length ≥ 26 mm remains the strongest predictor of long-term complications.</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#lenticularmyopia  #nuclearsclerosis  #pathologicmyopia  #secondsight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children &amp; adolescents</w:t>
            </w:r>
          </w:p>
        </w:tc>
        <w:tc>
          <w:tcPr>
            <w:tcW w:type="dxa" w:w="4276"/>
            <w:vAlign w:val="top"/>
          </w:tcPr>
          <w:p>
            <w:pPr>
              <w:spacing w:after="60" w:line="259" w:lineRule="auto"/>
            </w:pPr>
            <w:r>
              <w:rPr>
                <w:rFonts w:ascii="Calibri" w:hAnsi="Calibri"/>
                <w:b w:val="0"/>
                <w:i w:val="0"/>
                <w:color w:val="212121"/>
                <w:sz w:val="19"/>
              </w:rPr>
              <w:t>Girls tend to show higher incidence and faster early progression, partly reflecting less time spent outdoors and more time in near-work in many settings; earlier puberty may also shorten the growth window.</w:t>
            </w:r>
          </w:p>
          <w:p>
            <w:pPr>
              <w:spacing w:after="40" w:before="60" w:line="259" w:lineRule="auto"/>
            </w:pPr>
            <w:r>
              <w:rPr>
                <w:rFonts w:ascii="Calibri" w:hAnsi="Calibri"/>
                <w:b w:val="0"/>
                <w:i w:val="0"/>
                <w:color w:val="212121"/>
                <w:sz w:val="19"/>
              </w:rPr>
              <w:t>In a South Indian post-confinement survey, 96.8% of girls had less than 3 hours/day of outdoor activity, and refractive error was 7.4× more likely with such low outdoor time.</w:t>
            </w:r>
          </w:p>
          <w:p>
            <w:pPr>
              <w:spacing w:after="40" w:line="252" w:lineRule="auto"/>
            </w:pPr>
            <w:hyperlink r:id="rId10">
              <w:r>
                <w:rPr>
                  <w:rFonts w:ascii="Calibri" w:hAnsi="Calibri" w:cs="Calibri"/>
                  <w:sz w:val="18"/>
                  <w:color w:val="1155CC"/>
                  <w:u w:val="single"/>
                </w:rPr>
                <w:t xml:space="preserve">pubmed.ncbi.nlm.nih.gov/35918969 — Saara et al, Indian J Ophthalmol 2022</w:t>
              </w:r>
            </w:hyperlink>
          </w:p>
          <w:p>
            <w:pPr>
              <w:spacing w:before="60" w:after="40"/>
            </w:pPr>
            <w:r>
              <w:rPr>
                <w:rFonts w:ascii="Calibri" w:hAnsi="Calibri"/>
                <w:b w:val="0"/>
                <w:i w:val="0"/>
                <w:color w:val="5A5A5A"/>
                <w:sz w:val="18"/>
              </w:rPr>
              <w:t>#female  #outdoortime  #progression  #genderdifference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higher-income, private-school children</w:t>
            </w:r>
          </w:p>
        </w:tc>
        <w:tc>
          <w:tcPr>
            <w:tcW w:type="dxa" w:w="4276"/>
            <w:vAlign w:val="top"/>
          </w:tcPr>
          <w:p>
            <w:pPr>
              <w:spacing w:after="60" w:line="259" w:lineRule="auto"/>
            </w:pPr>
            <w:r>
              <w:rPr>
                <w:rFonts w:ascii="Calibri" w:hAnsi="Calibri"/>
                <w:b w:val="0"/>
                <w:i w:val="0"/>
                <w:color w:val="212121"/>
                <w:sz w:val="19"/>
              </w:rPr>
              <w:t>Higher educational intensity, early and prolonged screen/tuition exposure, cramped indoor living and less unstructured outdoor play concentrate myopia risk in affluent urban families — an inversion of many other conditions.</w:t>
            </w:r>
          </w:p>
          <w:p>
            <w:pPr>
              <w:spacing w:after="40" w:before="60" w:line="259" w:lineRule="auto"/>
            </w:pPr>
            <w:r>
              <w:rPr>
                <w:rFonts w:ascii="Calibri" w:hAnsi="Calibri"/>
                <w:b w:val="0"/>
                <w:i w:val="0"/>
                <w:color w:val="212121"/>
                <w:sz w:val="19"/>
              </w:rPr>
              <w:t>Indian systematic-review estimates place school-setting myopia around 10.8%, with consistently higher rates in urban and higher-education-intensity cohorts.</w:t>
            </w:r>
          </w:p>
          <w:p>
            <w:pPr>
              <w:spacing w:after="40" w:line="252" w:lineRule="auto"/>
            </w:pPr>
            <w:hyperlink r:id="rId12">
              <w:r>
                <w:rPr>
                  <w:rFonts w:ascii="Calibri" w:hAnsi="Calibri" w:cs="Calibri"/>
                  <w:sz w:val="18"/>
                  <w:color w:val="1155CC"/>
                  <w:u w:val="single"/>
                </w:rPr>
                <w:t xml:space="preserve">pubmed.ncbi.nlm.nih.gov/29682791 — Sheeladevi et al, Clin Exp Optom 2018</w:t>
              </w:r>
            </w:hyperlink>
          </w:p>
          <w:p>
            <w:pPr>
              <w:spacing w:before="60" w:after="40"/>
            </w:pPr>
            <w:r>
              <w:rPr>
                <w:rFonts w:ascii="Calibri" w:hAnsi="Calibri"/>
                <w:b w:val="0"/>
                <w:i w:val="0"/>
                <w:color w:val="5A5A5A"/>
                <w:sz w:val="18"/>
              </w:rPr>
              <w:t>#urban  #privateschool  #education  #screenexposure  #tuition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East Asian ancestry</w:t>
            </w:r>
          </w:p>
        </w:tc>
        <w:tc>
          <w:tcPr>
            <w:tcW w:type="dxa" w:w="4276"/>
            <w:vAlign w:val="top"/>
          </w:tcPr>
          <w:p>
            <w:pPr>
              <w:spacing w:after="60" w:line="259" w:lineRule="auto"/>
            </w:pPr>
            <w:r>
              <w:rPr>
                <w:rFonts w:ascii="Calibri" w:hAnsi="Calibri"/>
                <w:b w:val="0"/>
                <w:i w:val="0"/>
                <w:color w:val="212121"/>
                <w:sz w:val="19"/>
              </w:rPr>
              <w:t>Populations of East Asian origin show the world’s highest myopia rates, reflecting strong gene–environment interaction with intensive early education; Indian rates are lower but are climbing along a similar urbanising trajectory.</w:t>
            </w:r>
          </w:p>
          <w:p>
            <w:pPr>
              <w:spacing w:after="40" w:before="60" w:line="259" w:lineRule="auto"/>
            </w:pPr>
            <w:r>
              <w:rPr>
                <w:rFonts w:ascii="Calibri" w:hAnsi="Calibri"/>
                <w:b w:val="0"/>
                <w:i w:val="0"/>
                <w:color w:val="212121"/>
                <w:sz w:val="19"/>
              </w:rPr>
              <w:t>Myopia reaches 80–90% in adolescents across parts of East Asia, versus single-digit-to-teens percentages historically reported in Indian children.</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#eastasian  #ethnicity  #geneenvironment  #highprevalence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urbanicity</w:t>
            </w:r>
          </w:p>
        </w:tc>
        <w:tc>
          <w:tcPr>
            <w:tcW w:type="dxa" w:w="2160"/>
            <w:vAlign w:val="top"/>
          </w:tcPr>
          <w:p>
            <w:pPr>
              <w:spacing w:after="40" w:before="0" w:line="259" w:lineRule="auto"/>
            </w:pPr>
            <w:r>
              <w:rPr>
                <w:rFonts w:ascii="Calibri" w:hAnsi="Calibri"/>
                <w:b w:val="0"/>
                <w:i w:val="0"/>
                <w:color w:val="212121"/>
                <w:sz w:val="19"/>
              </w:rPr>
              <w:t>Urban Indian children (metros, dense cities)</w:t>
            </w:r>
          </w:p>
        </w:tc>
        <w:tc>
          <w:tcPr>
            <w:tcW w:type="dxa" w:w="4276"/>
            <w:vAlign w:val="top"/>
          </w:tcPr>
          <w:p>
            <w:pPr>
              <w:spacing w:after="60" w:line="259" w:lineRule="auto"/>
            </w:pPr>
            <w:r>
              <w:rPr>
                <w:rFonts w:ascii="Calibri" w:hAnsi="Calibri"/>
                <w:b w:val="0"/>
                <w:i w:val="0"/>
                <w:color w:val="212121"/>
                <w:sz w:val="19"/>
              </w:rPr>
              <w:t>Urban children consistently show higher myopia than rural peers, driven by greater near-work and screen time, less outdoor light and smaller sight-lines; the gap is widening as Indian cities grow.</w:t>
            </w:r>
          </w:p>
          <w:p>
            <w:pPr>
              <w:spacing w:after="40" w:before="60" w:line="259" w:lineRule="auto"/>
            </w:pPr>
            <w:r>
              <w:rPr>
                <w:rFonts w:ascii="Calibri" w:hAnsi="Calibri"/>
                <w:b w:val="0"/>
                <w:i w:val="0"/>
                <w:color w:val="212121"/>
                <w:sz w:val="19"/>
              </w:rPr>
              <w:t>A Tamil Nadu study comparing urban and suburban school children documented higher myopia in the more urbanised group, consistent with the national urban–rural gradient.</w:t>
            </w:r>
          </w:p>
          <w:p>
            <w:pPr>
              <w:spacing w:after="40" w:line="252" w:lineRule="auto"/>
            </w:pPr>
            <w:hyperlink r:id="rId13">
              <w:r>
                <w:rPr>
                  <w:rFonts w:ascii="Calibri" w:hAnsi="Calibri" w:cs="Calibri"/>
                  <w:sz w:val="18"/>
                  <w:color w:val="1155CC"/>
                  <w:u w:val="single"/>
                </w:rPr>
                <w:t xml:space="preserve">pubmed.ncbi.nlm.nih.gov/35019150 — Gopalakrishnan et al, Ophthalmic Physiol Opt 2022</w:t>
              </w:r>
            </w:hyperlink>
          </w:p>
          <w:p>
            <w:pPr>
              <w:spacing w:before="60" w:after="40"/>
            </w:pPr>
            <w:r>
              <w:rPr>
                <w:rFonts w:ascii="Calibri" w:hAnsi="Calibri"/>
                <w:b w:val="0"/>
                <w:i w:val="0"/>
                <w:color w:val="5A5A5A"/>
                <w:sz w:val="18"/>
              </w:rPr>
              <w:t>#urbanrural  #india  #citylife  #nearwork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South &amp; metropolitan India cohorts</w:t>
            </w:r>
          </w:p>
        </w:tc>
        <w:tc>
          <w:tcPr>
            <w:tcW w:type="dxa" w:w="4276"/>
            <w:vAlign w:val="top"/>
          </w:tcPr>
          <w:p>
            <w:pPr>
              <w:spacing w:after="60" w:line="259" w:lineRule="auto"/>
            </w:pPr>
            <w:r>
              <w:rPr>
                <w:rFonts w:ascii="Calibri" w:hAnsi="Calibri"/>
                <w:b w:val="0"/>
                <w:i w:val="0"/>
                <w:color w:val="212121"/>
                <w:sz w:val="19"/>
              </w:rPr>
              <w:t>Some of the steepest recent rises have been documented in South Indian urban schools, where academic intensity and post-pandemic screen habits combined to accelerate onset.</w:t>
            </w:r>
          </w:p>
          <w:p>
            <w:pPr>
              <w:spacing w:after="40" w:before="60" w:line="259" w:lineRule="auto"/>
            </w:pPr>
            <w:r>
              <w:rPr>
                <w:rFonts w:ascii="Calibri" w:hAnsi="Calibri"/>
                <w:b w:val="0"/>
                <w:i w:val="0"/>
                <w:color w:val="212121"/>
                <w:sz w:val="19"/>
              </w:rPr>
              <w:t>A multistate Indian school survey and South Indian cohorts both report climbing refractive-error/myopia burden, with post-confinement South Indian rates near 19.5%.</w:t>
            </w:r>
          </w:p>
          <w:p>
            <w:pPr>
              <w:spacing w:after="40" w:line="252" w:lineRule="auto"/>
            </w:pPr>
            <w:hyperlink r:id="rId14">
              <w:r>
                <w:rPr>
                  <w:rFonts w:ascii="Calibri" w:hAnsi="Calibri" w:cs="Calibri"/>
                  <w:sz w:val="18"/>
                  <w:color w:val="1155CC"/>
                  <w:u w:val="single"/>
                </w:rPr>
                <w:t xml:space="preserve">pubmed.ncbi.nlm.nih.gov/36562766 — Joseph et al, Br J Ophthalmol 2023</w:t>
              </w:r>
            </w:hyperlink>
          </w:p>
          <w:p>
            <w:pPr>
              <w:spacing w:before="60" w:after="40"/>
            </w:pPr>
            <w:r>
              <w:rPr>
                <w:rFonts w:ascii="Calibri" w:hAnsi="Calibri"/>
                <w:b w:val="0"/>
                <w:i w:val="0"/>
                <w:color w:val="5A5A5A"/>
                <w:sz w:val="18"/>
              </w:rPr>
              <w:t>#southindia  #metros  #risingtrend  #multistate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Reduced outdoor time</w:t>
            </w:r>
          </w:p>
        </w:tc>
        <w:tc>
          <w:tcPr>
            <w:tcW w:type="dxa" w:w="2160"/>
            <w:vAlign w:val="top"/>
          </w:tcPr>
          <w:p>
            <w:pPr>
              <w:spacing w:after="40" w:before="0" w:line="259" w:lineRule="auto"/>
            </w:pPr>
            <w:r>
              <w:rPr>
                <w:rFonts w:ascii="Calibri" w:hAnsi="Calibri"/>
                <w:b w:val="0"/>
                <w:i w:val="0"/>
                <w:color w:val="212121"/>
                <w:sz w:val="19"/>
              </w:rPr>
              <w:t>Indoor-bound children (&lt;1–2 h outdoors/day)</w:t>
            </w:r>
          </w:p>
        </w:tc>
        <w:tc>
          <w:tcPr>
            <w:tcW w:type="dxa" w:w="4276"/>
            <w:vAlign w:val="top"/>
          </w:tcPr>
          <w:p>
            <w:pPr>
              <w:spacing w:after="60" w:line="259" w:lineRule="auto"/>
            </w:pPr>
            <w:r>
              <w:rPr>
                <w:rFonts w:ascii="Calibri" w:hAnsi="Calibri"/>
                <w:b w:val="0"/>
                <w:i w:val="0"/>
                <w:color w:val="212121"/>
                <w:sz w:val="19"/>
              </w:rPr>
              <w:t>Low exposure to bright outdoor light reduces retinal dopamine, a key inhibitor of axial elongation; conversely 90–120 minutes/day outdoors is protective against onset. This is the single most modifiable childhood lever.</w:t>
            </w:r>
          </w:p>
          <w:p>
            <w:pPr>
              <w:spacing w:after="40" w:before="60" w:line="259" w:lineRule="auto"/>
            </w:pPr>
            <w:r>
              <w:rPr>
                <w:rFonts w:ascii="Calibri" w:hAnsi="Calibri"/>
                <w:b w:val="0"/>
                <w:i w:val="0"/>
                <w:color w:val="212121"/>
                <w:sz w:val="19"/>
              </w:rPr>
              <w:t>Refractive error was 7.4× more prevalent among South Indian children with less than 3 hours/day of outdoor activity.</w:t>
            </w:r>
          </w:p>
          <w:p>
            <w:pPr>
              <w:spacing w:after="40" w:line="252" w:lineRule="auto"/>
            </w:pPr>
            <w:hyperlink r:id="rId10">
              <w:r>
                <w:rPr>
                  <w:rFonts w:ascii="Calibri" w:hAnsi="Calibri" w:cs="Calibri"/>
                  <w:sz w:val="18"/>
                  <w:color w:val="1155CC"/>
                  <w:u w:val="single"/>
                </w:rPr>
                <w:t xml:space="preserve">pubmed.ncbi.nlm.nih.gov/35918969 — Saara et al, Indian J Ophthalmol 2022</w:t>
              </w:r>
            </w:hyperlink>
          </w:p>
          <w:p>
            <w:pPr>
              <w:spacing w:before="60" w:after="40"/>
            </w:pPr>
            <w:r>
              <w:rPr>
                <w:rFonts w:ascii="Calibri" w:hAnsi="Calibri"/>
                <w:b w:val="0"/>
                <w:i w:val="0"/>
                <w:color w:val="5A5A5A"/>
                <w:sz w:val="18"/>
              </w:rPr>
              <w:t>#outdoortime  #daylight  #dopamine  #protective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Near work / screen use</w:t>
            </w:r>
          </w:p>
        </w:tc>
        <w:tc>
          <w:tcPr>
            <w:tcW w:type="dxa" w:w="2160"/>
            <w:vAlign w:val="top"/>
          </w:tcPr>
          <w:p>
            <w:pPr>
              <w:spacing w:after="40" w:before="0" w:line="259" w:lineRule="auto"/>
            </w:pPr>
            <w:r>
              <w:rPr>
                <w:rFonts w:ascii="Calibri" w:hAnsi="Calibri"/>
                <w:b w:val="0"/>
                <w:i w:val="0"/>
                <w:color w:val="212121"/>
                <w:sz w:val="19"/>
              </w:rPr>
              <w:t>Heavy readers, coaching students, device-heavy children</w:t>
            </w:r>
          </w:p>
        </w:tc>
        <w:tc>
          <w:tcPr>
            <w:tcW w:type="dxa" w:w="4276"/>
            <w:vAlign w:val="top"/>
          </w:tcPr>
          <w:p>
            <w:pPr>
              <w:spacing w:after="60" w:line="259" w:lineRule="auto"/>
            </w:pPr>
            <w:r>
              <w:rPr>
                <w:rFonts w:ascii="Calibri" w:hAnsi="Calibri"/>
                <w:b w:val="0"/>
                <w:i w:val="0"/>
                <w:color w:val="212121"/>
                <w:sz w:val="19"/>
              </w:rPr>
              <w:t>Prolonged continuous near work and short working distances impose sustained accommodative demand and hyperopic peripheral defocus that stimulate scleral remodelling and axial growth.</w:t>
            </w:r>
          </w:p>
          <w:p>
            <w:pPr>
              <w:spacing w:after="40" w:before="60" w:line="259" w:lineRule="auto"/>
            </w:pPr>
            <w:r>
              <w:rPr>
                <w:rFonts w:ascii="Calibri" w:hAnsi="Calibri"/>
                <w:b w:val="0"/>
                <w:i w:val="0"/>
                <w:color w:val="212121"/>
                <w:sz w:val="19"/>
              </w:rPr>
              <w:t>Prolonged near work and digital-device use are consistently associated with markedly increased myopia risk and faster progression.</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#nearwork  #screentime  #accommodation  #peripheraldefocus  #smartphones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Short sleep</w:t>
            </w:r>
          </w:p>
        </w:tc>
        <w:tc>
          <w:tcPr>
            <w:tcW w:type="dxa" w:w="2160"/>
            <w:vAlign w:val="top"/>
          </w:tcPr>
          <w:p>
            <w:pPr>
              <w:spacing w:after="40" w:before="0" w:line="259" w:lineRule="auto"/>
            </w:pPr>
            <w:r>
              <w:rPr>
                <w:rFonts w:ascii="Calibri" w:hAnsi="Calibri"/>
                <w:b w:val="0"/>
                <w:i w:val="0"/>
                <w:color w:val="212121"/>
                <w:sz w:val="19"/>
              </w:rPr>
              <w:t>Sleep-deprived students (&lt;7 h/night)</w:t>
            </w:r>
          </w:p>
        </w:tc>
        <w:tc>
          <w:tcPr>
            <w:tcW w:type="dxa" w:w="4276"/>
            <w:vAlign w:val="top"/>
          </w:tcPr>
          <w:p>
            <w:pPr>
              <w:spacing w:after="60" w:line="259" w:lineRule="auto"/>
            </w:pPr>
            <w:r>
              <w:rPr>
                <w:rFonts w:ascii="Calibri" w:hAnsi="Calibri"/>
                <w:b w:val="0"/>
                <w:i w:val="0"/>
                <w:color w:val="212121"/>
                <w:sz w:val="19"/>
              </w:rPr>
              <w:t>Inadequate sleep is linked to greater refractive error, plausibly through circadian disruption of ocular growth signalling and by displacing sleep with more near-work/screen time.</w:t>
            </w:r>
          </w:p>
          <w:p>
            <w:pPr>
              <w:spacing w:after="40" w:before="60" w:line="259" w:lineRule="auto"/>
            </w:pPr>
            <w:r>
              <w:rPr>
                <w:rFonts w:ascii="Calibri" w:hAnsi="Calibri"/>
                <w:b w:val="0"/>
                <w:i w:val="0"/>
                <w:color w:val="212121"/>
                <w:sz w:val="19"/>
              </w:rPr>
              <w:t>Refractive error was 2.8× more common among South Indian children sleeping less than 7 hours a night.</w:t>
            </w:r>
          </w:p>
          <w:p>
            <w:pPr>
              <w:spacing w:after="40" w:line="252" w:lineRule="auto"/>
            </w:pPr>
            <w:hyperlink r:id="rId10">
              <w:r>
                <w:rPr>
                  <w:rFonts w:ascii="Calibri" w:hAnsi="Calibri" w:cs="Calibri"/>
                  <w:sz w:val="18"/>
                  <w:color w:val="1155CC"/>
                  <w:u w:val="single"/>
                </w:rPr>
                <w:t xml:space="preserve">pubmed.ncbi.nlm.nih.gov/35918969 — Saara et al, Indian J Ophthalmol 2022</w:t>
              </w:r>
            </w:hyperlink>
          </w:p>
          <w:p>
            <w:pPr>
              <w:spacing w:before="60" w:after="40"/>
            </w:pPr>
            <w:r>
              <w:rPr>
                <w:rFonts w:ascii="Calibri" w:hAnsi="Calibri"/>
                <w:b w:val="0"/>
                <w:i w:val="0"/>
                <w:color w:val="5A5A5A"/>
                <w:sz w:val="18"/>
              </w:rPr>
              <w:t>#sleep  #circadian  #students  #screensatnight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High-glycaemic-load / refined-carbohydrate diets</w:t>
            </w:r>
          </w:p>
        </w:tc>
        <w:tc>
          <w:tcPr>
            <w:tcW w:type="dxa" w:w="4276"/>
            <w:vAlign w:val="top"/>
          </w:tcPr>
          <w:p>
            <w:pPr>
              <w:spacing w:after="60" w:line="259" w:lineRule="auto"/>
            </w:pPr>
            <w:r>
              <w:rPr>
                <w:rFonts w:ascii="Calibri" w:hAnsi="Calibri"/>
                <w:b w:val="0"/>
                <w:i w:val="0"/>
                <w:color w:val="212121"/>
                <w:sz w:val="19"/>
              </w:rPr>
              <w:t>A hyperinsulinaemia hypothesis proposes that diets high in refined carbohydrate raise insulin and free IGF-1, which may promote scleral growth and axial elongation; the evidence remains preliminary and is weaker than for near-work and outdoor time.</w:t>
            </w:r>
          </w:p>
          <w:p>
            <w:pPr>
              <w:spacing w:after="40" w:before="60" w:line="259" w:lineRule="auto"/>
            </w:pPr>
            <w:r>
              <w:rPr>
                <w:rFonts w:ascii="Calibri" w:hAnsi="Calibri"/>
                <w:b w:val="0"/>
                <w:i w:val="0"/>
                <w:color w:val="212121"/>
                <w:sz w:val="19"/>
              </w:rPr>
              <w:t>Emerging, not yet established; framed as a hypothesised contributor rather than a proven cause.</w:t>
            </w:r>
          </w:p>
          <w:p>
            <w:pPr>
              <w:spacing w:before="60" w:after="40"/>
            </w:pPr>
            <w:r>
              <w:rPr>
                <w:rFonts w:ascii="Calibri" w:hAnsi="Calibri"/>
                <w:b w:val="0"/>
                <w:i w:val="0"/>
                <w:color w:val="5A5A5A"/>
                <w:sz w:val="18"/>
              </w:rPr>
              <w:t>#glycaemicload  #insulin  #IGF1  #emergingevidence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 light-linked status</w:t>
            </w:r>
          </w:p>
        </w:tc>
        <w:tc>
          <w:tcPr>
            <w:tcW w:type="dxa" w:w="2160"/>
            <w:vAlign w:val="top"/>
          </w:tcPr>
          <w:p>
            <w:pPr>
              <w:spacing w:after="40" w:before="0" w:line="259" w:lineRule="auto"/>
            </w:pPr>
            <w:r>
              <w:rPr>
                <w:rFonts w:ascii="Calibri" w:hAnsi="Calibri"/>
                <w:b w:val="0"/>
                <w:i w:val="0"/>
                <w:color w:val="212121"/>
                <w:sz w:val="19"/>
              </w:rPr>
              <w:t>Low outdoor-light exposure (low vitamin D as a marker)</w:t>
            </w:r>
          </w:p>
        </w:tc>
        <w:tc>
          <w:tcPr>
            <w:tcW w:type="dxa" w:w="4276"/>
            <w:vAlign w:val="top"/>
          </w:tcPr>
          <w:p>
            <w:pPr>
              <w:spacing w:after="60" w:line="259" w:lineRule="auto"/>
            </w:pPr>
            <w:r>
              <w:rPr>
                <w:rFonts w:ascii="Calibri" w:hAnsi="Calibri"/>
                <w:b w:val="0"/>
                <w:i w:val="0"/>
                <w:color w:val="212121"/>
                <w:sz w:val="19"/>
              </w:rPr>
              <w:t>Low serum vitamin D chiefly reflects little time outdoors rather than a direct dietary effect; the protective factor is bright daylight and its retinal-dopamine pathway, not vitamin D supplementation per se.</w:t>
            </w:r>
          </w:p>
          <w:p>
            <w:pPr>
              <w:spacing w:after="40" w:before="60" w:line="259" w:lineRule="auto"/>
            </w:pPr>
            <w:r>
              <w:rPr>
                <w:rFonts w:ascii="Calibri" w:hAnsi="Calibri"/>
                <w:b w:val="0"/>
                <w:i w:val="0"/>
                <w:color w:val="212121"/>
                <w:sz w:val="19"/>
              </w:rPr>
              <w:t>Vitamin D status is best read as a proxy for outdoor-light exposure, which is robustly protective against myopia onset.</w:t>
            </w:r>
          </w:p>
          <w:p>
            <w:pPr>
              <w:spacing w:after="40" w:line="252" w:lineRule="auto"/>
            </w:pPr>
            <w:hyperlink r:id="rId15">
              <w:r>
                <w:rPr>
                  <w:rFonts w:ascii="Calibri" w:hAnsi="Calibri" w:cs="Calibri"/>
                  <w:sz w:val="18"/>
                  <w:color w:val="1155CC"/>
                  <w:u w:val="single"/>
                </w:rPr>
                <w:t xml:space="preserve">nei.nih.gov — Nearsightedness (Myopia)</w:t>
              </w:r>
            </w:hyperlink>
          </w:p>
          <w:p>
            <w:pPr>
              <w:spacing w:before="60" w:after="40"/>
            </w:pPr>
            <w:r>
              <w:rPr>
                <w:rFonts w:ascii="Calibri" w:hAnsi="Calibri"/>
                <w:b w:val="0"/>
                <w:i w:val="0"/>
                <w:color w:val="5A5A5A"/>
                <w:sz w:val="18"/>
              </w:rPr>
              <w:t>#vitamind  #outdoorlight  #proxy  #daylight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myopic parents</w:t>
            </w:r>
          </w:p>
        </w:tc>
        <w:tc>
          <w:tcPr>
            <w:tcW w:type="dxa" w:w="4276"/>
            <w:vAlign w:val="top"/>
          </w:tcPr>
          <w:p>
            <w:pPr>
              <w:spacing w:after="60" w:line="259" w:lineRule="auto"/>
            </w:pPr>
            <w:r>
              <w:rPr>
                <w:rFonts w:ascii="Calibri" w:hAnsi="Calibri"/>
                <w:b w:val="0"/>
                <w:i w:val="0"/>
                <w:color w:val="212121"/>
                <w:sz w:val="19"/>
              </w:rPr>
              <w:t>Myopia clusters strongly in families through both inherited susceptibility and shared near-work/indoor environments; risk rises with the number of affected parents.</w:t>
            </w:r>
          </w:p>
          <w:p>
            <w:pPr>
              <w:spacing w:after="40" w:before="60" w:line="259" w:lineRule="auto"/>
            </w:pPr>
            <w:r>
              <w:rPr>
                <w:rFonts w:ascii="Calibri" w:hAnsi="Calibri"/>
                <w:b w:val="0"/>
                <w:i w:val="0"/>
                <w:color w:val="212121"/>
                <w:sz w:val="19"/>
              </w:rPr>
              <w:t>One myopic parent confers roughly a 2-fold increased risk; two myopic parents raise it further, with more than 200 genetic loci identified.</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#familyhistory  #heritability  #parentalmyopia  #genes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 connective-tissue</w:t>
            </w:r>
          </w:p>
        </w:tc>
        <w:tc>
          <w:tcPr>
            <w:tcW w:type="dxa" w:w="2160"/>
            <w:vAlign w:val="top"/>
          </w:tcPr>
          <w:p>
            <w:pPr>
              <w:spacing w:after="40" w:before="0" w:line="259" w:lineRule="auto"/>
            </w:pPr>
            <w:r>
              <w:rPr>
                <w:rFonts w:ascii="Calibri" w:hAnsi="Calibri"/>
                <w:b w:val="0"/>
                <w:i w:val="0"/>
                <w:color w:val="212121"/>
                <w:sz w:val="19"/>
              </w:rPr>
              <w:t>Stickler, Marfan, Down syndrome</w:t>
            </w:r>
          </w:p>
        </w:tc>
        <w:tc>
          <w:tcPr>
            <w:tcW w:type="dxa" w:w="4276"/>
            <w:vAlign w:val="top"/>
          </w:tcPr>
          <w:p>
            <w:pPr>
              <w:spacing w:after="60" w:line="259" w:lineRule="auto"/>
            </w:pPr>
            <w:r>
              <w:rPr>
                <w:rFonts w:ascii="Calibri" w:hAnsi="Calibri"/>
                <w:b w:val="0"/>
                <w:i w:val="0"/>
                <w:color w:val="212121"/>
                <w:sz w:val="19"/>
              </w:rPr>
              <w:t>Inherited connective-tissue and chromosomal syndromes disturb scleral/lens structure, producing early-onset and often high myopia with elevated risk of retinal detachment and lens subluxation.</w:t>
            </w:r>
          </w:p>
          <w:p>
            <w:pPr>
              <w:spacing w:after="40" w:before="60" w:line="259" w:lineRule="auto"/>
            </w:pPr>
            <w:r>
              <w:rPr>
                <w:rFonts w:ascii="Calibri" w:hAnsi="Calibri"/>
                <w:b w:val="0"/>
                <w:i w:val="0"/>
                <w:color w:val="212121"/>
                <w:sz w:val="19"/>
              </w:rPr>
              <w:t>Syndromic myopia (e.g. Stickler, Marfan) characteristically presents as congenital or early high myopia requiring lifelong retinal surveillance.</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#stickler  #marfan  #downsyndrome  #highmyopia  #syndromic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Prematurity / low birth weight</w:t>
            </w:r>
          </w:p>
        </w:tc>
        <w:tc>
          <w:tcPr>
            <w:tcW w:type="dxa" w:w="2160"/>
            <w:vAlign w:val="top"/>
          </w:tcPr>
          <w:p>
            <w:pPr>
              <w:spacing w:after="40" w:before="0" w:line="259" w:lineRule="auto"/>
            </w:pPr>
            <w:r>
              <w:rPr>
                <w:rFonts w:ascii="Calibri" w:hAnsi="Calibri"/>
                <w:b w:val="0"/>
                <w:i w:val="0"/>
                <w:color w:val="212121"/>
                <w:sz w:val="19"/>
              </w:rPr>
              <w:t>Preterm infants, treated ROP</w:t>
            </w:r>
          </w:p>
        </w:tc>
        <w:tc>
          <w:tcPr>
            <w:tcW w:type="dxa" w:w="4276"/>
            <w:vAlign w:val="top"/>
          </w:tcPr>
          <w:p>
            <w:pPr>
              <w:spacing w:after="60" w:line="259" w:lineRule="auto"/>
            </w:pPr>
            <w:r>
              <w:rPr>
                <w:rFonts w:ascii="Calibri" w:hAnsi="Calibri"/>
                <w:b w:val="0"/>
                <w:i w:val="0"/>
                <w:color w:val="212121"/>
                <w:sz w:val="19"/>
              </w:rPr>
              <w:t>Premature birth and retinopathy of prematurity (especially after laser/anti-VEGF treatment) disturb normal eye growth, producing 'myopia of prematurity' that can be high and early.</w:t>
            </w:r>
          </w:p>
          <w:p>
            <w:pPr>
              <w:spacing w:after="40" w:before="60" w:line="259" w:lineRule="auto"/>
            </w:pPr>
            <w:r>
              <w:rPr>
                <w:rFonts w:ascii="Calibri" w:hAnsi="Calibri"/>
                <w:b w:val="0"/>
                <w:i w:val="0"/>
                <w:color w:val="212121"/>
                <w:sz w:val="19"/>
              </w:rPr>
              <w:t>Myopia of prematurity is a well-recognised sequel of preterm birth and ROP, warranting long-term refractive follow-up.</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#prematurity  #ROP  #lowbirthweight  #earlymyopia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Existing high myopia</w:t>
            </w:r>
          </w:p>
        </w:tc>
        <w:tc>
          <w:tcPr>
            <w:tcW w:type="dxa" w:w="2160"/>
            <w:vAlign w:val="top"/>
          </w:tcPr>
          <w:p>
            <w:pPr>
              <w:spacing w:after="40" w:before="0" w:line="259" w:lineRule="auto"/>
            </w:pPr>
            <w:r>
              <w:rPr>
                <w:rFonts w:ascii="Calibri" w:hAnsi="Calibri"/>
                <w:b w:val="0"/>
                <w:i w:val="0"/>
                <w:color w:val="212121"/>
                <w:sz w:val="19"/>
              </w:rPr>
              <w:t>High myopes (&gt; -6.00 D / axial length ≥ 26 mm)</w:t>
            </w:r>
          </w:p>
        </w:tc>
        <w:tc>
          <w:tcPr>
            <w:tcW w:type="dxa" w:w="4276"/>
            <w:vAlign w:val="top"/>
          </w:tcPr>
          <w:p>
            <w:pPr>
              <w:spacing w:after="60" w:line="259" w:lineRule="auto"/>
            </w:pPr>
            <w:r>
              <w:rPr>
                <w:rFonts w:ascii="Calibri" w:hAnsi="Calibri"/>
                <w:b w:val="0"/>
                <w:i w:val="0"/>
                <w:color w:val="212121"/>
                <w:sz w:val="19"/>
              </w:rPr>
              <w:t>Already-high myopia is itself the strongest risk state for progression to sight-threatening pathologic myopia; risk of degenerative maculopathy climbs sharply as axial length increases.</w:t>
            </w:r>
          </w:p>
          <w:p>
            <w:pPr>
              <w:spacing w:after="40" w:before="60" w:line="259" w:lineRule="auto"/>
            </w:pPr>
            <w:r>
              <w:rPr>
                <w:rFonts w:ascii="Calibri" w:hAnsi="Calibri"/>
                <w:b w:val="0"/>
                <w:i w:val="0"/>
                <w:color w:val="212121"/>
                <w:sz w:val="19"/>
              </w:rPr>
              <w:t>An axial length ≥ 26 mm is the most reliable predictor of long-term complications; eyes exceeding ~30 mm carry up to 40× the risk of myopic macular degeneration.</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#highmyopia  #axiallength  #pathologicmyopia  #maculopathy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poor glycaemic control</w:t>
            </w:r>
          </w:p>
        </w:tc>
        <w:tc>
          <w:tcPr>
            <w:tcW w:type="dxa" w:w="4276"/>
            <w:vAlign w:val="top"/>
          </w:tcPr>
          <w:p>
            <w:pPr>
              <w:spacing w:after="60" w:line="259" w:lineRule="auto"/>
            </w:pPr>
            <w:r>
              <w:rPr>
                <w:rFonts w:ascii="Calibri" w:hAnsi="Calibri"/>
                <w:b w:val="0"/>
                <w:i w:val="0"/>
                <w:color w:val="212121"/>
                <w:sz w:val="19"/>
              </w:rPr>
              <w:t>Acute hyperglycaemia osmotically swells the crystalline lens, transiently increasing its refractive power and producing reversible index myopia; longstanding diabetes also accelerates nuclear cataract.</w:t>
            </w:r>
          </w:p>
          <w:p>
            <w:pPr>
              <w:spacing w:after="40" w:before="60" w:line="259" w:lineRule="auto"/>
            </w:pPr>
            <w:r>
              <w:rPr>
                <w:rFonts w:ascii="Calibri" w:hAnsi="Calibri"/>
                <w:b w:val="0"/>
                <w:i w:val="0"/>
                <w:color w:val="212121"/>
                <w:sz w:val="19"/>
              </w:rPr>
              <w:t>Transient myopic shift with fluctuating blood glucose is a classic index (lenticular) cause of acquired myopia.</w:t>
            </w:r>
          </w:p>
          <w:p>
            <w:pPr>
              <w:spacing w:after="40" w:line="252" w:lineRule="auto"/>
            </w:pPr>
            <w:hyperlink r:id="rId11">
              <w:r>
                <w:rPr>
                  <w:rFonts w:ascii="Calibri" w:hAnsi="Calibri" w:cs="Calibri"/>
                  <w:sz w:val="18"/>
                  <w:color w:val="1155CC"/>
                  <w:u w:val="single"/>
                </w:rPr>
                <w:t xml:space="preserve">ncbi.nlm.nih.gov/books/NBK580529 — StatPearls: Myopia</w:t>
              </w:r>
            </w:hyperlink>
          </w:p>
          <w:p>
            <w:pPr>
              <w:spacing w:before="60" w:after="40"/>
            </w:pPr>
            <w:r>
              <w:rPr>
                <w:rFonts w:ascii="Calibri" w:hAnsi="Calibri"/>
                <w:b w:val="0"/>
                <w:i w:val="0"/>
                <w:color w:val="5A5A5A"/>
                <w:sz w:val="18"/>
              </w:rPr>
              <w:t>#diabetes  #indexmyopia  #lensswelling  #transient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protective element is time outdoors in bright light (retinal-dopamine mediated) rather than exercise itself; 90–120 min/day outdoors reduces onset, and Indian data show refractive error 7.4× higher with &lt;3 h/day outdoors.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hyperinsulinaemia/IGF-1 hypothesis links high-glycaemic-load diets to axial growth, but evidence is preliminary and far weaker than for near-work or outdoor time.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is associated with more refractive error (2.8× with &lt;7 h/night in Indian children), likely via circadian disruption of eye-growth signalling and displaced outdoor/screen time.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for the individual; associations of parental smoking with childhood myopia are inconsistent and confounded, so smoking is not a myopia-control lever (though relevant to overall ocular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link between alcohol and myopia development or progression in children or adults.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academic pressure drives near-work and reduces outdoor play, and progressive myopia can lower quality of life; there is no direct causal pathway.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myopia; the exception is osmotic lens swelling (transient index myopia) during severe hyperglycaemia, which is a glucose rather than water effect.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dietary-caffeine effect; the caffeine metabolite 7-methylxanthine has been studied experimentally for slowing axial growth but is not standard care.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for myopia, but lens hygiene is critical for the large myopic population using contact lenses and orthokeratology, where poor hygiene risks microbial keratitis.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uninterrupted near work (no breaks), dim lighting and very short working distances provoke accommodative stress and hyperopic defocus that drive progression; the 20-20-20 rule counteracts this.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Habitually short reading/working distance (&lt;20–30 cm), reading while lying down and slouched device use shorten the working distance and increase accommodative/defocus load linked to progression.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Time outdoors (hours/day)</w:t>
            </w:r>
          </w:p>
        </w:tc>
        <w:tc>
          <w:tcPr>
            <w:tcW w:type="dxa" w:w="1655"/>
            <w:vAlign w:val="top"/>
          </w:tcPr>
          <w:p>
            <w:pPr>
              <w:spacing w:after="40" w:before="0" w:line="259" w:lineRule="auto"/>
            </w:pPr>
            <w:r>
              <w:rPr>
                <w:rFonts w:ascii="Calibri" w:hAnsi="Calibri"/>
                <w:b w:val="0"/>
                <w:i w:val="0"/>
                <w:color w:val="212121"/>
                <w:sz w:val="19"/>
              </w:rPr>
              <w:t>Children, adolescents</w:t>
            </w:r>
          </w:p>
        </w:tc>
        <w:tc>
          <w:tcPr>
            <w:tcW w:type="dxa" w:w="1512"/>
            <w:vAlign w:val="top"/>
          </w:tcPr>
          <w:p>
            <w:pPr>
              <w:spacing w:after="40" w:before="0" w:line="259" w:lineRule="auto"/>
            </w:pPr>
            <w:r>
              <w:rPr>
                <w:rFonts w:ascii="Calibri" w:hAnsi="Calibri"/>
                <w:b w:val="0"/>
                <w:i w:val="0"/>
                <w:color w:val="212121"/>
                <w:sz w:val="19"/>
              </w:rPr>
              <w:t>≥ 1.5–2 h/day (90–120 min)</w:t>
            </w:r>
          </w:p>
        </w:tc>
        <w:tc>
          <w:tcPr>
            <w:tcW w:type="dxa" w:w="1512"/>
            <w:vAlign w:val="top"/>
          </w:tcPr>
          <w:p>
            <w:pPr>
              <w:spacing w:after="40" w:before="0" w:line="259" w:lineRule="auto"/>
            </w:pPr>
            <w:r>
              <w:rPr>
                <w:rFonts w:ascii="Calibri" w:hAnsi="Calibri"/>
                <w:b w:val="0"/>
                <w:i w:val="0"/>
                <w:color w:val="212121"/>
                <w:sz w:val="19"/>
              </w:rPr>
              <w:t>&lt; 1 h/day</w:t>
            </w:r>
          </w:p>
        </w:tc>
        <w:tc>
          <w:tcPr>
            <w:tcW w:type="dxa" w:w="1468"/>
            <w:vAlign w:val="top"/>
          </w:tcPr>
          <w:p>
            <w:pPr>
              <w:spacing w:after="60" w:line="259" w:lineRule="auto"/>
            </w:pPr>
            <w:r>
              <w:rPr>
                <w:rFonts w:ascii="Calibri" w:hAnsi="Calibri"/>
                <w:b w:val="0"/>
                <w:i w:val="0"/>
                <w:color w:val="212121"/>
                <w:sz w:val="19"/>
              </w:rPr>
              <w:t>Bright outdoor light is the key protective exposure against onset</w:t>
            </w:r>
          </w:p>
          <w:p>
            <w:pPr>
              <w:spacing w:after="40" w:line="252" w:lineRule="auto"/>
            </w:pPr>
            <w:hyperlink r:id="rId11">
              <w:r>
                <w:rPr>
                  <w:rFonts w:ascii="Calibri" w:hAnsi="Calibri" w:cs="Calibri"/>
                  <w:sz w:val="18"/>
                  <w:color w:val="1155CC"/>
                  <w:u w:val="single"/>
                </w:rPr>
                <w:t xml:space="preserve">https://www.ncbi.nlm.nih.gov/books/NBK580529/</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near-work duration</w:t>
            </w:r>
          </w:p>
        </w:tc>
        <w:tc>
          <w:tcPr>
            <w:tcW w:type="dxa" w:w="1655"/>
            <w:vAlign w:val="top"/>
          </w:tcPr>
          <w:p>
            <w:pPr>
              <w:spacing w:after="40" w:before="0" w:line="259" w:lineRule="auto"/>
            </w:pPr>
            <w:r>
              <w:rPr>
                <w:rFonts w:ascii="Calibri" w:hAnsi="Calibri"/>
                <w:b w:val="0"/>
                <w:i w:val="0"/>
                <w:color w:val="212121"/>
                <w:sz w:val="19"/>
              </w:rPr>
              <w:t>Students, screen users</w:t>
            </w:r>
          </w:p>
        </w:tc>
        <w:tc>
          <w:tcPr>
            <w:tcW w:type="dxa" w:w="1512"/>
            <w:vAlign w:val="top"/>
          </w:tcPr>
          <w:p>
            <w:pPr>
              <w:spacing w:after="40" w:before="0" w:line="259" w:lineRule="auto"/>
            </w:pPr>
            <w:r>
              <w:rPr>
                <w:rFonts w:ascii="Calibri" w:hAnsi="Calibri"/>
                <w:b w:val="0"/>
                <w:i w:val="0"/>
                <w:color w:val="212121"/>
                <w:sz w:val="19"/>
              </w:rPr>
              <w:t>Break every 20–30 min (20-20-20 rule)</w:t>
            </w:r>
          </w:p>
        </w:tc>
        <w:tc>
          <w:tcPr>
            <w:tcW w:type="dxa" w:w="1512"/>
            <w:vAlign w:val="top"/>
          </w:tcPr>
          <w:p>
            <w:pPr>
              <w:spacing w:after="40" w:before="0" w:line="259" w:lineRule="auto"/>
            </w:pPr>
            <w:r>
              <w:rPr>
                <w:rFonts w:ascii="Calibri" w:hAnsi="Calibri"/>
                <w:b w:val="0"/>
                <w:i w:val="0"/>
                <w:color w:val="212121"/>
                <w:sz w:val="19"/>
              </w:rPr>
              <w:t>&gt; 45–60 min uninterrupted</w:t>
            </w:r>
          </w:p>
        </w:tc>
        <w:tc>
          <w:tcPr>
            <w:tcW w:type="dxa" w:w="1468"/>
            <w:vAlign w:val="top"/>
          </w:tcPr>
          <w:p>
            <w:pPr>
              <w:spacing w:after="40" w:before="0" w:line="259" w:lineRule="auto"/>
            </w:pPr>
            <w:r>
              <w:rPr>
                <w:rFonts w:ascii="Calibri" w:hAnsi="Calibri"/>
                <w:b w:val="0"/>
                <w:i w:val="0"/>
                <w:color w:val="212121"/>
                <w:sz w:val="19"/>
              </w:rPr>
              <w:t>Sustained accommodation without breaks drives progression</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Reading / working distance (cm)</w:t>
            </w:r>
          </w:p>
        </w:tc>
        <w:tc>
          <w:tcPr>
            <w:tcW w:type="dxa" w:w="1655"/>
            <w:vAlign w:val="top"/>
          </w:tcPr>
          <w:p>
            <w:pPr>
              <w:spacing w:after="40" w:before="0" w:line="259" w:lineRule="auto"/>
            </w:pPr>
            <w:r>
              <w:rPr>
                <w:rFonts w:ascii="Calibri" w:hAnsi="Calibri"/>
                <w:b w:val="0"/>
                <w:i w:val="0"/>
                <w:color w:val="212121"/>
                <w:sz w:val="19"/>
              </w:rPr>
              <w:t>Children, readers</w:t>
            </w:r>
          </w:p>
        </w:tc>
        <w:tc>
          <w:tcPr>
            <w:tcW w:type="dxa" w:w="1512"/>
            <w:vAlign w:val="top"/>
          </w:tcPr>
          <w:p>
            <w:pPr>
              <w:spacing w:after="40" w:before="0" w:line="259" w:lineRule="auto"/>
            </w:pPr>
            <w:r>
              <w:rPr>
                <w:rFonts w:ascii="Calibri" w:hAnsi="Calibri"/>
                <w:b w:val="0"/>
                <w:i w:val="0"/>
                <w:color w:val="212121"/>
                <w:sz w:val="19"/>
              </w:rPr>
              <w:t>≥ 30–40 cm (Harmon distance)</w:t>
            </w:r>
          </w:p>
        </w:tc>
        <w:tc>
          <w:tcPr>
            <w:tcW w:type="dxa" w:w="1512"/>
            <w:vAlign w:val="top"/>
          </w:tcPr>
          <w:p>
            <w:pPr>
              <w:spacing w:after="40" w:before="0" w:line="259" w:lineRule="auto"/>
            </w:pPr>
            <w:r>
              <w:rPr>
                <w:rFonts w:ascii="Calibri" w:hAnsi="Calibri"/>
                <w:b w:val="0"/>
                <w:i w:val="0"/>
                <w:color w:val="212121"/>
                <w:sz w:val="19"/>
              </w:rPr>
              <w:t>&lt; 20–30 cm</w:t>
            </w:r>
          </w:p>
        </w:tc>
        <w:tc>
          <w:tcPr>
            <w:tcW w:type="dxa" w:w="1468"/>
            <w:vAlign w:val="top"/>
          </w:tcPr>
          <w:p>
            <w:pPr>
              <w:spacing w:after="40" w:before="0" w:line="259" w:lineRule="auto"/>
            </w:pPr>
            <w:r>
              <w:rPr>
                <w:rFonts w:ascii="Calibri" w:hAnsi="Calibri"/>
                <w:b w:val="0"/>
                <w:i w:val="0"/>
                <w:color w:val="212121"/>
                <w:sz w:val="19"/>
              </w:rPr>
              <w:t>Shorter distance raises accommodative and hyperopic-defocus load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Recreational screen time (hours/day)</w:t>
            </w:r>
          </w:p>
        </w:tc>
        <w:tc>
          <w:tcPr>
            <w:tcW w:type="dxa" w:w="1655"/>
            <w:vAlign w:val="top"/>
          </w:tcPr>
          <w:p>
            <w:pPr>
              <w:spacing w:after="40" w:before="0" w:line="259" w:lineRule="auto"/>
            </w:pPr>
            <w:r>
              <w:rPr>
                <w:rFonts w:ascii="Calibri" w:hAnsi="Calibri"/>
                <w:b w:val="0"/>
                <w:i w:val="0"/>
                <w:color w:val="212121"/>
                <w:sz w:val="19"/>
              </w:rPr>
              <w:t>Children, adolescents</w:t>
            </w:r>
          </w:p>
        </w:tc>
        <w:tc>
          <w:tcPr>
            <w:tcW w:type="dxa" w:w="1512"/>
            <w:vAlign w:val="top"/>
          </w:tcPr>
          <w:p>
            <w:pPr>
              <w:spacing w:after="40" w:before="0" w:line="259" w:lineRule="auto"/>
            </w:pPr>
            <w:r>
              <w:rPr>
                <w:rFonts w:ascii="Calibri" w:hAnsi="Calibri"/>
                <w:b w:val="0"/>
                <w:i w:val="0"/>
                <w:color w:val="212121"/>
                <w:sz w:val="19"/>
              </w:rPr>
              <w:t>&lt; 2 h/day</w:t>
            </w:r>
          </w:p>
        </w:tc>
        <w:tc>
          <w:tcPr>
            <w:tcW w:type="dxa" w:w="1512"/>
            <w:vAlign w:val="top"/>
          </w:tcPr>
          <w:p>
            <w:pPr>
              <w:spacing w:after="40" w:before="0" w:line="259" w:lineRule="auto"/>
            </w:pPr>
            <w:r>
              <w:rPr>
                <w:rFonts w:ascii="Calibri" w:hAnsi="Calibri"/>
                <w:b w:val="0"/>
                <w:i w:val="0"/>
                <w:color w:val="212121"/>
                <w:sz w:val="19"/>
              </w:rPr>
              <w:t>&gt; 2–4 h/day</w:t>
            </w:r>
          </w:p>
        </w:tc>
        <w:tc>
          <w:tcPr>
            <w:tcW w:type="dxa" w:w="1468"/>
            <w:vAlign w:val="top"/>
          </w:tcPr>
          <w:p>
            <w:pPr>
              <w:spacing w:after="40" w:before="0" w:line="259" w:lineRule="auto"/>
            </w:pPr>
            <w:r>
              <w:rPr>
                <w:rFonts w:ascii="Calibri" w:hAnsi="Calibri"/>
                <w:b w:val="0"/>
                <w:i w:val="0"/>
                <w:color w:val="212121"/>
                <w:sz w:val="19"/>
              </w:rPr>
              <w:t>Excess near-screen time correlates with higher myopia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quantity (hours/night)</w:t>
            </w:r>
          </w:p>
        </w:tc>
        <w:tc>
          <w:tcPr>
            <w:tcW w:type="dxa" w:w="1655"/>
            <w:vAlign w:val="top"/>
          </w:tcPr>
          <w:p>
            <w:pPr>
              <w:spacing w:after="40" w:before="0" w:line="259" w:lineRule="auto"/>
            </w:pPr>
            <w:r>
              <w:rPr>
                <w:rFonts w:ascii="Calibri" w:hAnsi="Calibri"/>
                <w:b w:val="0"/>
                <w:i w:val="0"/>
                <w:color w:val="212121"/>
                <w:sz w:val="19"/>
              </w:rPr>
              <w:t>School-age children</w:t>
            </w:r>
          </w:p>
        </w:tc>
        <w:tc>
          <w:tcPr>
            <w:tcW w:type="dxa" w:w="1512"/>
            <w:vAlign w:val="top"/>
          </w:tcPr>
          <w:p>
            <w:pPr>
              <w:spacing w:after="40" w:before="0" w:line="259" w:lineRule="auto"/>
            </w:pPr>
            <w:r>
              <w:rPr>
                <w:rFonts w:ascii="Calibri" w:hAnsi="Calibri"/>
                <w:b w:val="0"/>
                <w:i w:val="0"/>
                <w:color w:val="212121"/>
                <w:sz w:val="19"/>
              </w:rPr>
              <w:t>9–11 h (children); 7–9 h (adults)</w:t>
            </w:r>
          </w:p>
        </w:tc>
        <w:tc>
          <w:tcPr>
            <w:tcW w:type="dxa" w:w="1512"/>
            <w:vAlign w:val="top"/>
          </w:tcPr>
          <w:p>
            <w:pPr>
              <w:spacing w:after="40" w:before="0" w:line="259" w:lineRule="auto"/>
            </w:pPr>
            <w:r>
              <w:rPr>
                <w:rFonts w:ascii="Calibri" w:hAnsi="Calibri"/>
                <w:b w:val="0"/>
                <w:i w:val="0"/>
                <w:color w:val="212121"/>
                <w:sz w:val="19"/>
              </w:rPr>
              <w:t>&lt; 7 h/night</w:t>
            </w:r>
          </w:p>
        </w:tc>
        <w:tc>
          <w:tcPr>
            <w:tcW w:type="dxa" w:w="1468"/>
            <w:vAlign w:val="top"/>
          </w:tcPr>
          <w:p>
            <w:pPr>
              <w:spacing w:after="60" w:line="259" w:lineRule="auto"/>
            </w:pPr>
            <w:r>
              <w:rPr>
                <w:rFonts w:ascii="Calibri" w:hAnsi="Calibri"/>
                <w:b w:val="0"/>
                <w:i w:val="0"/>
                <w:color w:val="212121"/>
                <w:sz w:val="19"/>
              </w:rPr>
              <w:t>Short sleep associated with 2.8× more refractive error</w:t>
            </w:r>
          </w:p>
          <w:p>
            <w:pPr>
              <w:spacing w:after="40" w:line="252" w:lineRule="auto"/>
            </w:pPr>
            <w:hyperlink r:id="rId10">
              <w:r>
                <w:rPr>
                  <w:rFonts w:ascii="Calibri" w:hAnsi="Calibri" w:cs="Calibri"/>
                  <w:sz w:val="18"/>
                  <w:color w:val="1155CC"/>
                  <w:u w:val="single"/>
                </w:rPr>
                <w:t xml:space="preserve">https://pubmed.ncbi.nlm.nih.gov/35918969/</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Near-work lighting (lux)</w:t>
            </w:r>
          </w:p>
        </w:tc>
        <w:tc>
          <w:tcPr>
            <w:tcW w:type="dxa" w:w="1655"/>
            <w:vAlign w:val="top"/>
          </w:tcPr>
          <w:p>
            <w:pPr>
              <w:spacing w:after="40" w:before="0" w:line="259" w:lineRule="auto"/>
            </w:pPr>
            <w:r>
              <w:rPr>
                <w:rFonts w:ascii="Calibri" w:hAnsi="Calibri"/>
                <w:b w:val="0"/>
                <w:i w:val="0"/>
                <w:color w:val="212121"/>
                <w:sz w:val="19"/>
              </w:rPr>
              <w:t>Students at study desk</w:t>
            </w:r>
          </w:p>
        </w:tc>
        <w:tc>
          <w:tcPr>
            <w:tcW w:type="dxa" w:w="1512"/>
            <w:vAlign w:val="top"/>
          </w:tcPr>
          <w:p>
            <w:pPr>
              <w:spacing w:after="40" w:before="0" w:line="259" w:lineRule="auto"/>
            </w:pPr>
            <w:r>
              <w:rPr>
                <w:rFonts w:ascii="Calibri" w:hAnsi="Calibri"/>
                <w:b w:val="0"/>
                <w:i w:val="0"/>
                <w:color w:val="212121"/>
                <w:sz w:val="19"/>
              </w:rPr>
              <w:t>≥ 500 lux task lighting</w:t>
            </w:r>
          </w:p>
        </w:tc>
        <w:tc>
          <w:tcPr>
            <w:tcW w:type="dxa" w:w="1512"/>
            <w:vAlign w:val="top"/>
          </w:tcPr>
          <w:p>
            <w:pPr>
              <w:spacing w:after="40" w:before="0" w:line="259" w:lineRule="auto"/>
            </w:pPr>
            <w:r>
              <w:rPr>
                <w:rFonts w:ascii="Calibri" w:hAnsi="Calibri"/>
                <w:b w:val="0"/>
                <w:i w:val="0"/>
                <w:color w:val="212121"/>
                <w:sz w:val="19"/>
              </w:rPr>
              <w:t>&lt; 300 lux (dim)</w:t>
            </w:r>
          </w:p>
        </w:tc>
        <w:tc>
          <w:tcPr>
            <w:tcW w:type="dxa" w:w="1468"/>
            <w:vAlign w:val="top"/>
          </w:tcPr>
          <w:p>
            <w:pPr>
              <w:spacing w:after="40" w:before="0" w:line="259" w:lineRule="auto"/>
            </w:pPr>
            <w:r>
              <w:rPr>
                <w:rFonts w:ascii="Calibri" w:hAnsi="Calibri"/>
                <w:b w:val="0"/>
                <w:i w:val="0"/>
                <w:color w:val="212121"/>
                <w:sz w:val="19"/>
              </w:rPr>
              <w:t>Dim reading light is associated with accommodative strain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Spherical-equivalent refraction (D)</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 −0.50 D (emmetropic/mild)</w:t>
            </w:r>
          </w:p>
        </w:tc>
        <w:tc>
          <w:tcPr>
            <w:tcW w:type="dxa" w:w="1512"/>
            <w:vAlign w:val="top"/>
          </w:tcPr>
          <w:p>
            <w:pPr>
              <w:spacing w:after="40" w:before="0" w:line="259" w:lineRule="auto"/>
            </w:pPr>
            <w:r>
              <w:rPr>
                <w:rFonts w:ascii="Calibri" w:hAnsi="Calibri"/>
                <w:b w:val="0"/>
                <w:i w:val="0"/>
                <w:color w:val="212121"/>
                <w:sz w:val="19"/>
              </w:rPr>
              <w:t>Worse than −6.00 D (high myopia)</w:t>
            </w:r>
          </w:p>
        </w:tc>
        <w:tc>
          <w:tcPr>
            <w:tcW w:type="dxa" w:w="1468"/>
            <w:vAlign w:val="top"/>
          </w:tcPr>
          <w:p>
            <w:pPr>
              <w:spacing w:after="60" w:line="259" w:lineRule="auto"/>
            </w:pPr>
            <w:r>
              <w:rPr>
                <w:rFonts w:ascii="Calibri" w:hAnsi="Calibri"/>
                <w:b w:val="0"/>
                <w:i w:val="0"/>
                <w:color w:val="212121"/>
                <w:sz w:val="19"/>
              </w:rPr>
              <w:t>Diagnostic and severity metric; ≤ −0.50 D defines myopia</w:t>
            </w:r>
          </w:p>
          <w:p>
            <w:pPr>
              <w:spacing w:after="40" w:line="252" w:lineRule="auto"/>
            </w:pPr>
            <w:hyperlink r:id="rId16">
              <w:r>
                <w:rPr>
                  <w:rFonts w:ascii="Calibri" w:hAnsi="Calibri" w:cs="Calibri"/>
                  <w:sz w:val="18"/>
                  <w:color w:val="1155CC"/>
                  <w:u w:val="single"/>
                </w:rPr>
                <w:t xml:space="preserve">https://www.aao.org/eye-health/diseases/myopia-nearsightedness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Axial length (mm)</w:t>
            </w:r>
          </w:p>
        </w:tc>
        <w:tc>
          <w:tcPr>
            <w:tcW w:type="dxa" w:w="1655"/>
            <w:vAlign w:val="top"/>
          </w:tcPr>
          <w:p>
            <w:pPr>
              <w:spacing w:after="40" w:before="0" w:line="259" w:lineRule="auto"/>
            </w:pPr>
            <w:r>
              <w:rPr>
                <w:rFonts w:ascii="Calibri" w:hAnsi="Calibri"/>
                <w:b w:val="0"/>
                <w:i w:val="0"/>
                <w:color w:val="212121"/>
                <w:sz w:val="19"/>
              </w:rPr>
              <w:t>Progressing/high myopes</w:t>
            </w:r>
          </w:p>
        </w:tc>
        <w:tc>
          <w:tcPr>
            <w:tcW w:type="dxa" w:w="1512"/>
            <w:vAlign w:val="top"/>
          </w:tcPr>
          <w:p>
            <w:pPr>
              <w:spacing w:after="40" w:before="0" w:line="259" w:lineRule="auto"/>
            </w:pPr>
            <w:r>
              <w:rPr>
                <w:rFonts w:ascii="Calibri" w:hAnsi="Calibri"/>
                <w:b w:val="0"/>
                <w:i w:val="0"/>
                <w:color w:val="212121"/>
                <w:sz w:val="19"/>
              </w:rPr>
              <w:t>&lt; 24 mm</w:t>
            </w:r>
          </w:p>
        </w:tc>
        <w:tc>
          <w:tcPr>
            <w:tcW w:type="dxa" w:w="1512"/>
            <w:vAlign w:val="top"/>
          </w:tcPr>
          <w:p>
            <w:pPr>
              <w:spacing w:after="40" w:before="0" w:line="259" w:lineRule="auto"/>
            </w:pPr>
            <w:r>
              <w:rPr>
                <w:rFonts w:ascii="Calibri" w:hAnsi="Calibri"/>
                <w:b w:val="0"/>
                <w:i w:val="0"/>
                <w:color w:val="212121"/>
                <w:sz w:val="19"/>
              </w:rPr>
              <w:t>≥ 26 mm (high); &gt; 30 mm very high risk</w:t>
            </w:r>
          </w:p>
        </w:tc>
        <w:tc>
          <w:tcPr>
            <w:tcW w:type="dxa" w:w="1468"/>
            <w:vAlign w:val="top"/>
          </w:tcPr>
          <w:p>
            <w:pPr>
              <w:spacing w:after="60" w:line="259" w:lineRule="auto"/>
            </w:pPr>
            <w:r>
              <w:rPr>
                <w:rFonts w:ascii="Calibri" w:hAnsi="Calibri"/>
                <w:b w:val="0"/>
                <w:i w:val="0"/>
                <w:color w:val="212121"/>
                <w:sz w:val="19"/>
              </w:rPr>
              <w:t>Best predictor of long-term complications</w:t>
            </w:r>
          </w:p>
          <w:p>
            <w:pPr>
              <w:spacing w:after="40" w:line="252" w:lineRule="auto"/>
            </w:pPr>
            <w:hyperlink r:id="rId11">
              <w:r>
                <w:rPr>
                  <w:rFonts w:ascii="Calibri" w:hAnsi="Calibri" w:cs="Calibri"/>
                  <w:sz w:val="18"/>
                  <w:color w:val="1155CC"/>
                  <w:u w:val="single"/>
                </w:rPr>
                <w:t xml:space="preserve">https://www.ncbi.nlm.nih.gov/books/NBK580529/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Progression rate (D/year)</w:t>
            </w:r>
          </w:p>
        </w:tc>
        <w:tc>
          <w:tcPr>
            <w:tcW w:type="dxa" w:w="1655"/>
            <w:vAlign w:val="top"/>
          </w:tcPr>
          <w:p>
            <w:pPr>
              <w:spacing w:after="40" w:before="0" w:line="259" w:lineRule="auto"/>
            </w:pPr>
            <w:r>
              <w:rPr>
                <w:rFonts w:ascii="Calibri" w:hAnsi="Calibri"/>
                <w:b w:val="0"/>
                <w:i w:val="0"/>
                <w:color w:val="212121"/>
                <w:sz w:val="19"/>
              </w:rPr>
              <w:t>Children under monitoring</w:t>
            </w:r>
          </w:p>
        </w:tc>
        <w:tc>
          <w:tcPr>
            <w:tcW w:type="dxa" w:w="1512"/>
            <w:vAlign w:val="top"/>
          </w:tcPr>
          <w:p>
            <w:pPr>
              <w:spacing w:after="40" w:before="0" w:line="259" w:lineRule="auto"/>
            </w:pPr>
            <w:r>
              <w:rPr>
                <w:rFonts w:ascii="Calibri" w:hAnsi="Calibri"/>
                <w:b w:val="0"/>
                <w:i w:val="0"/>
                <w:color w:val="212121"/>
                <w:sz w:val="19"/>
              </w:rPr>
              <w:t>&lt; 0.50 D/year</w:t>
            </w:r>
          </w:p>
        </w:tc>
        <w:tc>
          <w:tcPr>
            <w:tcW w:type="dxa" w:w="1512"/>
            <w:vAlign w:val="top"/>
          </w:tcPr>
          <w:p>
            <w:pPr>
              <w:spacing w:after="40" w:before="0" w:line="259" w:lineRule="auto"/>
            </w:pPr>
            <w:r>
              <w:rPr>
                <w:rFonts w:ascii="Calibri" w:hAnsi="Calibri"/>
                <w:b w:val="0"/>
                <w:i w:val="0"/>
                <w:color w:val="212121"/>
                <w:sz w:val="19"/>
              </w:rPr>
              <w:t>≥ 1.00 D/year (rapid)</w:t>
            </w:r>
          </w:p>
        </w:tc>
        <w:tc>
          <w:tcPr>
            <w:tcW w:type="dxa" w:w="1468"/>
            <w:vAlign w:val="top"/>
          </w:tcPr>
          <w:p>
            <w:pPr>
              <w:spacing w:after="60" w:line="259" w:lineRule="auto"/>
            </w:pPr>
            <w:r>
              <w:rPr>
                <w:rFonts w:ascii="Calibri" w:hAnsi="Calibri"/>
                <w:b w:val="0"/>
                <w:i w:val="0"/>
                <w:color w:val="212121"/>
                <w:sz w:val="19"/>
              </w:rPr>
              <w:t>Rapid progression triggers myopia-control therapy</w:t>
            </w:r>
          </w:p>
          <w:p>
            <w:pPr>
              <w:spacing w:after="40" w:line="252" w:lineRule="auto"/>
            </w:pPr>
            <w:hyperlink r:id="rId17">
              <w:r>
                <w:rPr>
                  <w:rFonts w:ascii="Calibri" w:hAnsi="Calibri" w:cs="Calibri"/>
                  <w:sz w:val="18"/>
                  <w:color w:val="1155CC"/>
                  <w:u w:val="single"/>
                </w:rPr>
                <w:t xml:space="preserve">https://pubmed.ncbi.nlm.nih.gov/41109517/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 of myopic parents</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 (2× risk); 2 (higher)</w:t>
            </w:r>
          </w:p>
        </w:tc>
        <w:tc>
          <w:tcPr>
            <w:tcW w:type="dxa" w:w="1468"/>
            <w:vAlign w:val="top"/>
          </w:tcPr>
          <w:p>
            <w:pPr>
              <w:spacing w:after="60" w:line="259" w:lineRule="auto"/>
            </w:pPr>
            <w:r>
              <w:rPr>
                <w:rFonts w:ascii="Calibri" w:hAnsi="Calibri"/>
                <w:b w:val="0"/>
                <w:i w:val="0"/>
                <w:color w:val="212121"/>
                <w:sz w:val="19"/>
              </w:rPr>
              <w:t>Family history escalates baseline and progression risk</w:t>
            </w:r>
          </w:p>
          <w:p>
            <w:pPr>
              <w:spacing w:after="40" w:line="252" w:lineRule="auto"/>
            </w:pPr>
            <w:hyperlink r:id="rId11">
              <w:r>
                <w:rPr>
                  <w:rFonts w:ascii="Calibri" w:hAnsi="Calibri" w:cs="Calibri"/>
                  <w:sz w:val="18"/>
                  <w:color w:val="1155CC"/>
                  <w:u w:val="single"/>
                </w:rPr>
                <w:t xml:space="preserve">https://www.ncbi.nlm.nih.gov/books/NBK580529/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Cycloplegic spherical equivalent</w:t>
            </w:r>
          </w:p>
        </w:tc>
        <w:tc>
          <w:tcPr>
            <w:tcW w:type="dxa" w:w="892"/>
            <w:vAlign w:val="top"/>
          </w:tcPr>
          <w:p>
            <w:pPr>
              <w:spacing w:after="40" w:before="0" w:line="259" w:lineRule="auto"/>
            </w:pPr>
            <w:r>
              <w:rPr>
                <w:rFonts w:ascii="Calibri" w:hAnsi="Calibri"/>
                <w:b w:val="0"/>
                <w:i w:val="0"/>
                <w:color w:val="212121"/>
                <w:sz w:val="16"/>
              </w:rPr>
              <w:t>Cycloplegic autorefraction / retinoscopy</w:t>
            </w:r>
          </w:p>
        </w:tc>
        <w:tc>
          <w:tcPr>
            <w:tcW w:type="dxa" w:w="950"/>
            <w:vAlign w:val="top"/>
          </w:tcPr>
          <w:p>
            <w:pPr>
              <w:spacing w:after="40" w:before="0" w:line="259" w:lineRule="auto"/>
            </w:pPr>
            <w:r>
              <w:rPr>
                <w:rFonts w:ascii="Calibri" w:hAnsi="Calibri"/>
                <w:b w:val="0"/>
                <w:i w:val="0"/>
                <w:color w:val="212121"/>
                <w:sz w:val="16"/>
              </w:rPr>
              <w:t>≥ −0.50 D</w:t>
            </w:r>
          </w:p>
        </w:tc>
        <w:tc>
          <w:tcPr>
            <w:tcW w:type="dxa" w:w="950"/>
            <w:vAlign w:val="top"/>
          </w:tcPr>
          <w:p>
            <w:pPr>
              <w:spacing w:after="40" w:before="0" w:line="259" w:lineRule="auto"/>
            </w:pPr>
            <w:r>
              <w:rPr>
                <w:rFonts w:ascii="Calibri" w:hAnsi="Calibri"/>
                <w:b w:val="0"/>
                <w:i w:val="0"/>
                <w:color w:val="212121"/>
                <w:sz w:val="16"/>
              </w:rPr>
              <w:t>≤ −0.50 D (myopia)</w:t>
            </w:r>
          </w:p>
        </w:tc>
        <w:tc>
          <w:tcPr>
            <w:tcW w:type="dxa" w:w="1036"/>
            <w:vAlign w:val="top"/>
          </w:tcPr>
          <w:p>
            <w:pPr>
              <w:spacing w:after="40" w:before="0" w:line="259" w:lineRule="auto"/>
            </w:pPr>
            <w:r>
              <w:rPr>
                <w:rFonts w:ascii="Calibri" w:hAnsi="Calibri"/>
                <w:b w:val="0"/>
                <w:i w:val="0"/>
                <w:color w:val="212121"/>
                <w:sz w:val="16"/>
              </w:rPr>
              <w:t>Gold-standard diagnosis and grading; cycloplegia removes accommodative spasm in children</w:t>
            </w:r>
          </w:p>
        </w:tc>
        <w:tc>
          <w:tcPr>
            <w:tcW w:type="dxa" w:w="1036"/>
            <w:vAlign w:val="top"/>
          </w:tcPr>
          <w:p>
            <w:pPr>
              <w:spacing w:after="40" w:before="0" w:line="259" w:lineRule="auto"/>
            </w:pPr>
            <w:r>
              <w:rPr>
                <w:rFonts w:ascii="Calibri" w:hAnsi="Calibri"/>
                <w:b w:val="0"/>
                <w:i w:val="0"/>
                <w:color w:val="212121"/>
                <w:sz w:val="16"/>
              </w:rPr>
              <w:t>Children, adolescents, new-onset adults</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Mandatory in children to avoid pseudomyopia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Visual acuity</w:t>
            </w:r>
          </w:p>
        </w:tc>
        <w:tc>
          <w:tcPr>
            <w:tcW w:type="dxa" w:w="1036"/>
            <w:vAlign w:val="top"/>
          </w:tcPr>
          <w:p>
            <w:pPr>
              <w:spacing w:after="40" w:before="0" w:line="259" w:lineRule="auto"/>
            </w:pPr>
            <w:r>
              <w:rPr>
                <w:rFonts w:ascii="Calibri" w:hAnsi="Calibri"/>
                <w:b w:val="0"/>
                <w:i w:val="0"/>
                <w:color w:val="212121"/>
                <w:sz w:val="16"/>
              </w:rPr>
              <w:t>Uncorrected distance VA</w:t>
            </w:r>
          </w:p>
        </w:tc>
        <w:tc>
          <w:tcPr>
            <w:tcW w:type="dxa" w:w="892"/>
            <w:vAlign w:val="top"/>
          </w:tcPr>
          <w:p>
            <w:pPr>
              <w:spacing w:after="40" w:before="0" w:line="259" w:lineRule="auto"/>
            </w:pPr>
            <w:r>
              <w:rPr>
                <w:rFonts w:ascii="Calibri" w:hAnsi="Calibri"/>
                <w:b w:val="0"/>
                <w:i w:val="0"/>
                <w:color w:val="212121"/>
                <w:sz w:val="16"/>
              </w:rPr>
              <w:t>Snellen / logMAR chart, pinhole</w:t>
            </w:r>
          </w:p>
        </w:tc>
        <w:tc>
          <w:tcPr>
            <w:tcW w:type="dxa" w:w="950"/>
            <w:vAlign w:val="top"/>
          </w:tcPr>
          <w:p>
            <w:pPr>
              <w:spacing w:after="40" w:before="0" w:line="259" w:lineRule="auto"/>
            </w:pPr>
            <w:r>
              <w:rPr>
                <w:rFonts w:ascii="Calibri" w:hAnsi="Calibri"/>
                <w:b w:val="0"/>
                <w:i w:val="0"/>
                <w:color w:val="212121"/>
                <w:sz w:val="16"/>
              </w:rPr>
              <w:t>6/6 (20/20)</w:t>
            </w:r>
          </w:p>
        </w:tc>
        <w:tc>
          <w:tcPr>
            <w:tcW w:type="dxa" w:w="950"/>
            <w:vAlign w:val="top"/>
          </w:tcPr>
          <w:p>
            <w:pPr>
              <w:spacing w:after="40" w:before="0" w:line="259" w:lineRule="auto"/>
            </w:pPr>
            <w:r>
              <w:rPr>
                <w:rFonts w:ascii="Calibri" w:hAnsi="Calibri"/>
                <w:b w:val="0"/>
                <w:i w:val="0"/>
                <w:color w:val="212121"/>
                <w:sz w:val="16"/>
              </w:rPr>
              <w:t>Worse than 6/6, improves with pinhole/minus lens</w:t>
            </w:r>
          </w:p>
        </w:tc>
        <w:tc>
          <w:tcPr>
            <w:tcW w:type="dxa" w:w="1036"/>
            <w:vAlign w:val="top"/>
          </w:tcPr>
          <w:p>
            <w:pPr>
              <w:spacing w:after="40" w:before="0" w:line="259" w:lineRule="auto"/>
            </w:pPr>
            <w:r>
              <w:rPr>
                <w:rFonts w:ascii="Calibri" w:hAnsi="Calibri"/>
                <w:b w:val="0"/>
                <w:i w:val="0"/>
                <w:color w:val="212121"/>
                <w:sz w:val="16"/>
              </w:rPr>
              <w:t>Screening for reduced distance vision; pinhole improvement suggests refractive cause</w:t>
            </w:r>
          </w:p>
        </w:tc>
        <w:tc>
          <w:tcPr>
            <w:tcW w:type="dxa" w:w="1036"/>
            <w:vAlign w:val="top"/>
          </w:tcPr>
          <w:p>
            <w:pPr>
              <w:spacing w:after="40" w:before="0" w:line="259" w:lineRule="auto"/>
            </w:pPr>
            <w:r>
              <w:rPr>
                <w:rFonts w:ascii="Calibri" w:hAnsi="Calibri"/>
                <w:b w:val="0"/>
                <w:i w:val="0"/>
                <w:color w:val="212121"/>
                <w:sz w:val="16"/>
              </w:rPr>
              <w:t>School screening, 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Foundation of school vision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Best-corrected VA</w:t>
            </w:r>
          </w:p>
        </w:tc>
        <w:tc>
          <w:tcPr>
            <w:tcW w:type="dxa" w:w="892"/>
            <w:vAlign w:val="top"/>
          </w:tcPr>
          <w:p>
            <w:pPr>
              <w:spacing w:after="40" w:before="0" w:line="259" w:lineRule="auto"/>
            </w:pPr>
            <w:r>
              <w:rPr>
                <w:rFonts w:ascii="Calibri" w:hAnsi="Calibri"/>
                <w:b w:val="0"/>
                <w:i w:val="0"/>
                <w:color w:val="212121"/>
                <w:sz w:val="16"/>
              </w:rPr>
              <w:t>Subjective refraction (phoropter)</w:t>
            </w:r>
          </w:p>
        </w:tc>
        <w:tc>
          <w:tcPr>
            <w:tcW w:type="dxa" w:w="950"/>
            <w:vAlign w:val="top"/>
          </w:tcPr>
          <w:p>
            <w:pPr>
              <w:spacing w:after="40" w:before="0" w:line="259" w:lineRule="auto"/>
            </w:pPr>
            <w:r>
              <w:rPr>
                <w:rFonts w:ascii="Calibri" w:hAnsi="Calibri"/>
                <w:b w:val="0"/>
                <w:i w:val="0"/>
                <w:color w:val="212121"/>
                <w:sz w:val="16"/>
              </w:rPr>
              <w:t>6/6 with correction</w:t>
            </w:r>
          </w:p>
        </w:tc>
        <w:tc>
          <w:tcPr>
            <w:tcW w:type="dxa" w:w="950"/>
            <w:vAlign w:val="top"/>
          </w:tcPr>
          <w:p>
            <w:pPr>
              <w:spacing w:after="40" w:before="0" w:line="259" w:lineRule="auto"/>
            </w:pPr>
            <w:r>
              <w:rPr>
                <w:rFonts w:ascii="Calibri" w:hAnsi="Calibri"/>
                <w:b w:val="0"/>
                <w:i w:val="0"/>
                <w:color w:val="212121"/>
                <w:sz w:val="16"/>
              </w:rPr>
              <w:t>Sub-normal despite best correction</w:t>
            </w:r>
          </w:p>
        </w:tc>
        <w:tc>
          <w:tcPr>
            <w:tcW w:type="dxa" w:w="1036"/>
            <w:vAlign w:val="top"/>
          </w:tcPr>
          <w:p>
            <w:pPr>
              <w:spacing w:after="40" w:before="0" w:line="259" w:lineRule="auto"/>
            </w:pPr>
            <w:r>
              <w:rPr>
                <w:rFonts w:ascii="Calibri" w:hAnsi="Calibri"/>
                <w:b w:val="0"/>
                <w:i w:val="0"/>
                <w:color w:val="212121"/>
                <w:sz w:val="16"/>
              </w:rPr>
              <w:t>Confirms correcting minus power; poor BCVA suggests amblyopia or maculopathy</w:t>
            </w:r>
          </w:p>
        </w:tc>
        <w:tc>
          <w:tcPr>
            <w:tcW w:type="dxa" w:w="1036"/>
            <w:vAlign w:val="top"/>
          </w:tcPr>
          <w:p>
            <w:pPr>
              <w:spacing w:after="40" w:before="0" w:line="259" w:lineRule="auto"/>
            </w:pPr>
            <w:r>
              <w:rPr>
                <w:rFonts w:ascii="Calibri" w:hAnsi="Calibri"/>
                <w:b w:val="0"/>
                <w:i w:val="0"/>
                <w:color w:val="212121"/>
                <w:sz w:val="16"/>
              </w:rPr>
              <w:t>All myopes, anisometropes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Least-minus principle to avoid over-correction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Biometry</w:t>
            </w:r>
          </w:p>
        </w:tc>
        <w:tc>
          <w:tcPr>
            <w:tcW w:type="dxa" w:w="1036"/>
            <w:vAlign w:val="top"/>
          </w:tcPr>
          <w:p>
            <w:pPr>
              <w:spacing w:after="40" w:before="0" w:line="259" w:lineRule="auto"/>
            </w:pPr>
            <w:r>
              <w:rPr>
                <w:rFonts w:ascii="Calibri" w:hAnsi="Calibri"/>
                <w:b w:val="0"/>
                <w:i w:val="0"/>
                <w:color w:val="212121"/>
                <w:sz w:val="16"/>
              </w:rPr>
              <w:t>Axial length</w:t>
            </w:r>
          </w:p>
        </w:tc>
        <w:tc>
          <w:tcPr>
            <w:tcW w:type="dxa" w:w="892"/>
            <w:vAlign w:val="top"/>
          </w:tcPr>
          <w:p>
            <w:pPr>
              <w:spacing w:after="40" w:before="0" w:line="259" w:lineRule="auto"/>
            </w:pPr>
            <w:r>
              <w:rPr>
                <w:rFonts w:ascii="Calibri" w:hAnsi="Calibri"/>
                <w:b w:val="0"/>
                <w:i w:val="0"/>
                <w:color w:val="212121"/>
                <w:sz w:val="16"/>
              </w:rPr>
              <w:t>Optical biometry (e.g. IOLMaster)</w:t>
            </w:r>
          </w:p>
        </w:tc>
        <w:tc>
          <w:tcPr>
            <w:tcW w:type="dxa" w:w="950"/>
            <w:vAlign w:val="top"/>
          </w:tcPr>
          <w:p>
            <w:pPr>
              <w:spacing w:after="40" w:before="0" w:line="259" w:lineRule="auto"/>
            </w:pPr>
            <w:r>
              <w:rPr>
                <w:rFonts w:ascii="Calibri" w:hAnsi="Calibri"/>
                <w:b w:val="0"/>
                <w:i w:val="0"/>
                <w:color w:val="212121"/>
                <w:sz w:val="16"/>
              </w:rPr>
              <w:t>&lt; 24 mm</w:t>
            </w:r>
          </w:p>
        </w:tc>
        <w:tc>
          <w:tcPr>
            <w:tcW w:type="dxa" w:w="950"/>
            <w:vAlign w:val="top"/>
          </w:tcPr>
          <w:p>
            <w:pPr>
              <w:spacing w:after="40" w:before="0" w:line="259" w:lineRule="auto"/>
            </w:pPr>
            <w:r>
              <w:rPr>
                <w:rFonts w:ascii="Calibri" w:hAnsi="Calibri"/>
                <w:b w:val="0"/>
                <w:i w:val="0"/>
                <w:color w:val="212121"/>
                <w:sz w:val="16"/>
              </w:rPr>
              <w:t>≥ 26 mm (high); &gt; 30 mm very high</w:t>
            </w:r>
          </w:p>
        </w:tc>
        <w:tc>
          <w:tcPr>
            <w:tcW w:type="dxa" w:w="1036"/>
            <w:vAlign w:val="top"/>
          </w:tcPr>
          <w:p>
            <w:pPr>
              <w:spacing w:after="40" w:before="0" w:line="259" w:lineRule="auto"/>
            </w:pPr>
            <w:r>
              <w:rPr>
                <w:rFonts w:ascii="Calibri" w:hAnsi="Calibri"/>
                <w:b w:val="0"/>
                <w:i w:val="0"/>
                <w:color w:val="212121"/>
                <w:sz w:val="16"/>
              </w:rPr>
              <w:t>Structural marker of progression and complication risk; tracks control-therapy response</w:t>
            </w:r>
          </w:p>
        </w:tc>
        <w:tc>
          <w:tcPr>
            <w:tcW w:type="dxa" w:w="1036"/>
            <w:vAlign w:val="top"/>
          </w:tcPr>
          <w:p>
            <w:pPr>
              <w:spacing w:after="40" w:before="0" w:line="259" w:lineRule="auto"/>
            </w:pPr>
            <w:r>
              <w:rPr>
                <w:rFonts w:ascii="Calibri" w:hAnsi="Calibri"/>
                <w:b w:val="0"/>
                <w:i w:val="0"/>
                <w:color w:val="212121"/>
                <w:sz w:val="16"/>
              </w:rPr>
              <w:t>High/progressing myopes, children on control</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1 mm ≈ 3 D shift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Keratometry</w:t>
            </w:r>
          </w:p>
        </w:tc>
        <w:tc>
          <w:tcPr>
            <w:tcW w:type="dxa" w:w="1036"/>
            <w:vAlign w:val="top"/>
          </w:tcPr>
          <w:p>
            <w:pPr>
              <w:spacing w:after="40" w:before="0" w:line="259" w:lineRule="auto"/>
            </w:pPr>
            <w:r>
              <w:rPr>
                <w:rFonts w:ascii="Calibri" w:hAnsi="Calibri"/>
                <w:b w:val="0"/>
                <w:i w:val="0"/>
                <w:color w:val="212121"/>
                <w:sz w:val="16"/>
              </w:rPr>
              <w:t>Corneal curvature</w:t>
            </w:r>
          </w:p>
        </w:tc>
        <w:tc>
          <w:tcPr>
            <w:tcW w:type="dxa" w:w="892"/>
            <w:vAlign w:val="top"/>
          </w:tcPr>
          <w:p>
            <w:pPr>
              <w:spacing w:after="40" w:before="0" w:line="259" w:lineRule="auto"/>
            </w:pPr>
            <w:r>
              <w:rPr>
                <w:rFonts w:ascii="Calibri" w:hAnsi="Calibri"/>
                <w:b w:val="0"/>
                <w:i w:val="0"/>
                <w:color w:val="212121"/>
                <w:sz w:val="16"/>
              </w:rPr>
              <w:t>Keratometry / corneal topography</w:t>
            </w:r>
          </w:p>
        </w:tc>
        <w:tc>
          <w:tcPr>
            <w:tcW w:type="dxa" w:w="950"/>
            <w:vAlign w:val="top"/>
          </w:tcPr>
          <w:p>
            <w:pPr>
              <w:spacing w:after="40" w:before="0" w:line="259" w:lineRule="auto"/>
            </w:pPr>
            <w:r>
              <w:rPr>
                <w:rFonts w:ascii="Calibri" w:hAnsi="Calibri"/>
                <w:b w:val="0"/>
                <w:i w:val="0"/>
                <w:color w:val="212121"/>
                <w:sz w:val="16"/>
              </w:rPr>
              <w:t>~42–44 D</w:t>
            </w:r>
          </w:p>
        </w:tc>
        <w:tc>
          <w:tcPr>
            <w:tcW w:type="dxa" w:w="950"/>
            <w:vAlign w:val="top"/>
          </w:tcPr>
          <w:p>
            <w:pPr>
              <w:spacing w:after="40" w:before="0" w:line="259" w:lineRule="auto"/>
            </w:pPr>
            <w:r>
              <w:rPr>
                <w:rFonts w:ascii="Calibri" w:hAnsi="Calibri"/>
                <w:b w:val="0"/>
                <w:i w:val="0"/>
                <w:color w:val="212121"/>
                <w:sz w:val="16"/>
              </w:rPr>
              <w:t>Steep cornea; irregular astigmatism</w:t>
            </w:r>
          </w:p>
        </w:tc>
        <w:tc>
          <w:tcPr>
            <w:tcW w:type="dxa" w:w="1036"/>
            <w:vAlign w:val="top"/>
          </w:tcPr>
          <w:p>
            <w:pPr>
              <w:spacing w:after="40" w:before="0" w:line="259" w:lineRule="auto"/>
            </w:pPr>
            <w:r>
              <w:rPr>
                <w:rFonts w:ascii="Calibri" w:hAnsi="Calibri"/>
                <w:b w:val="0"/>
                <w:i w:val="0"/>
                <w:color w:val="212121"/>
                <w:sz w:val="16"/>
              </w:rPr>
              <w:t>Distinguishes refractive/curvature myopia; screens keratoconus and surgical suitability</w:t>
            </w:r>
          </w:p>
        </w:tc>
        <w:tc>
          <w:tcPr>
            <w:tcW w:type="dxa" w:w="1036"/>
            <w:vAlign w:val="top"/>
          </w:tcPr>
          <w:p>
            <w:pPr>
              <w:spacing w:after="40" w:before="0" w:line="259" w:lineRule="auto"/>
            </w:pPr>
            <w:r>
              <w:rPr>
                <w:rFonts w:ascii="Calibri" w:hAnsi="Calibri"/>
                <w:b w:val="0"/>
                <w:i w:val="0"/>
                <w:color w:val="212121"/>
                <w:sz w:val="16"/>
              </w:rPr>
              <w:t>High astigmats, refractive-surgery candidates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Pentacam/Orbscan for 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Tonometry</w:t>
            </w:r>
          </w:p>
        </w:tc>
        <w:tc>
          <w:tcPr>
            <w:tcW w:type="dxa" w:w="1036"/>
            <w:vAlign w:val="top"/>
          </w:tcPr>
          <w:p>
            <w:pPr>
              <w:spacing w:after="40" w:before="0" w:line="259" w:lineRule="auto"/>
            </w:pPr>
            <w:r>
              <w:rPr>
                <w:rFonts w:ascii="Calibri" w:hAnsi="Calibri"/>
                <w:b w:val="0"/>
                <w:i w:val="0"/>
                <w:color w:val="212121"/>
                <w:sz w:val="16"/>
              </w:rPr>
              <w:t>Intraocular pressure</w:t>
            </w:r>
          </w:p>
        </w:tc>
        <w:tc>
          <w:tcPr>
            <w:tcW w:type="dxa" w:w="892"/>
            <w:vAlign w:val="top"/>
          </w:tcPr>
          <w:p>
            <w:pPr>
              <w:spacing w:after="40" w:before="0" w:line="259" w:lineRule="auto"/>
            </w:pPr>
            <w:r>
              <w:rPr>
                <w:rFonts w:ascii="Calibri" w:hAnsi="Calibri"/>
                <w:b w:val="0"/>
                <w:i w:val="0"/>
                <w:color w:val="212121"/>
                <w:sz w:val="16"/>
              </w:rPr>
              <w:t>Applanation tonometry</w:t>
            </w:r>
          </w:p>
        </w:tc>
        <w:tc>
          <w:tcPr>
            <w:tcW w:type="dxa" w:w="950"/>
            <w:vAlign w:val="top"/>
          </w:tcPr>
          <w:p>
            <w:pPr>
              <w:spacing w:after="40" w:before="0" w:line="259" w:lineRule="auto"/>
            </w:pPr>
            <w:r>
              <w:rPr>
                <w:rFonts w:ascii="Calibri" w:hAnsi="Calibri"/>
                <w:b w:val="0"/>
                <w:i w:val="0"/>
                <w:color w:val="212121"/>
                <w:sz w:val="16"/>
              </w:rPr>
              <w:t>10–21 mmHg</w:t>
            </w:r>
          </w:p>
        </w:tc>
        <w:tc>
          <w:tcPr>
            <w:tcW w:type="dxa" w:w="950"/>
            <w:vAlign w:val="top"/>
          </w:tcPr>
          <w:p>
            <w:pPr>
              <w:spacing w:after="40" w:before="0" w:line="259" w:lineRule="auto"/>
            </w:pPr>
            <w:r>
              <w:rPr>
                <w:rFonts w:ascii="Calibri" w:hAnsi="Calibri"/>
                <w:b w:val="0"/>
                <w:i w:val="0"/>
                <w:color w:val="212121"/>
                <w:sz w:val="16"/>
              </w:rPr>
              <w:t>&gt; 21 mmHg or glaucomatous discs</w:t>
            </w:r>
          </w:p>
        </w:tc>
        <w:tc>
          <w:tcPr>
            <w:tcW w:type="dxa" w:w="1036"/>
            <w:vAlign w:val="top"/>
          </w:tcPr>
          <w:p>
            <w:pPr>
              <w:spacing w:after="40" w:before="0" w:line="259" w:lineRule="auto"/>
            </w:pPr>
            <w:r>
              <w:rPr>
                <w:rFonts w:ascii="Calibri" w:hAnsi="Calibri"/>
                <w:b w:val="0"/>
                <w:i w:val="0"/>
                <w:color w:val="212121"/>
                <w:sz w:val="16"/>
              </w:rPr>
              <w:t>High myopes carry raised open-angle glaucoma risk that can be masked by disc changes</w:t>
            </w:r>
          </w:p>
        </w:tc>
        <w:tc>
          <w:tcPr>
            <w:tcW w:type="dxa" w:w="1036"/>
            <w:vAlign w:val="top"/>
          </w:tcPr>
          <w:p>
            <w:pPr>
              <w:spacing w:after="40" w:before="0" w:line="259" w:lineRule="auto"/>
            </w:pPr>
            <w:r>
              <w:rPr>
                <w:rFonts w:ascii="Calibri" w:hAnsi="Calibri"/>
                <w:b w:val="0"/>
                <w:i w:val="0"/>
                <w:color w:val="212121"/>
                <w:sz w:val="16"/>
              </w:rPr>
              <w:t>Moderate-to-high myopes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Combine with disc/OCT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Macular / disc OCT + dilated fundus</w:t>
            </w:r>
          </w:p>
        </w:tc>
        <w:tc>
          <w:tcPr>
            <w:tcW w:type="dxa" w:w="892"/>
            <w:vAlign w:val="top"/>
          </w:tcPr>
          <w:p>
            <w:pPr>
              <w:spacing w:after="40" w:before="0" w:line="259" w:lineRule="auto"/>
            </w:pPr>
            <w:r>
              <w:rPr>
                <w:rFonts w:ascii="Calibri" w:hAnsi="Calibri"/>
                <w:b w:val="0"/>
                <w:i w:val="0"/>
                <w:color w:val="212121"/>
                <w:sz w:val="16"/>
              </w:rPr>
              <w:t>OCT, indirect ophthalmoscopy</w:t>
            </w:r>
          </w:p>
        </w:tc>
        <w:tc>
          <w:tcPr>
            <w:tcW w:type="dxa" w:w="950"/>
            <w:vAlign w:val="top"/>
          </w:tcPr>
          <w:p>
            <w:pPr>
              <w:spacing w:after="40" w:before="0" w:line="259" w:lineRule="auto"/>
            </w:pPr>
            <w:r>
              <w:rPr>
                <w:rFonts w:ascii="Calibri" w:hAnsi="Calibri"/>
                <w:b w:val="0"/>
                <w:i w:val="0"/>
                <w:color w:val="212121"/>
                <w:sz w:val="16"/>
              </w:rPr>
              <w:t>Normal macula, attached retina</w:t>
            </w:r>
          </w:p>
        </w:tc>
        <w:tc>
          <w:tcPr>
            <w:tcW w:type="dxa" w:w="950"/>
            <w:vAlign w:val="top"/>
          </w:tcPr>
          <w:p>
            <w:pPr>
              <w:spacing w:after="40" w:before="0" w:line="259" w:lineRule="auto"/>
            </w:pPr>
            <w:r>
              <w:rPr>
                <w:rFonts w:ascii="Calibri" w:hAnsi="Calibri"/>
                <w:b w:val="0"/>
                <w:i w:val="0"/>
                <w:color w:val="212121"/>
                <w:sz w:val="16"/>
              </w:rPr>
              <w:t>Staphyloma, foveoschisis, CNV, lattice, breaks</w:t>
            </w:r>
          </w:p>
        </w:tc>
        <w:tc>
          <w:tcPr>
            <w:tcW w:type="dxa" w:w="1036"/>
            <w:vAlign w:val="top"/>
          </w:tcPr>
          <w:p>
            <w:pPr>
              <w:spacing w:after="40" w:before="0" w:line="259" w:lineRule="auto"/>
            </w:pPr>
            <w:r>
              <w:rPr>
                <w:rFonts w:ascii="Calibri" w:hAnsi="Calibri"/>
                <w:b w:val="0"/>
                <w:i w:val="0"/>
                <w:color w:val="212121"/>
                <w:sz w:val="16"/>
              </w:rPr>
              <w:t>Detects sight-threatening myopic maculopathy and peripheral retinal disease</w:t>
            </w:r>
          </w:p>
        </w:tc>
        <w:tc>
          <w:tcPr>
            <w:tcW w:type="dxa" w:w="1036"/>
            <w:vAlign w:val="top"/>
          </w:tcPr>
          <w:p>
            <w:pPr>
              <w:spacing w:after="40" w:before="0" w:line="259" w:lineRule="auto"/>
            </w:pPr>
            <w:r>
              <w:rPr>
                <w:rFonts w:ascii="Calibri" w:hAnsi="Calibri"/>
                <w:b w:val="0"/>
                <w:i w:val="0"/>
                <w:color w:val="212121"/>
                <w:sz w:val="16"/>
              </w:rPr>
              <w:t>High/pathologic myopes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Baseline and periodic surveillance in high myopia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Distance blur, squinting, sitting close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Cardinal presentation of myopia, especially in children who narrow their lids or move closer</w:t>
            </w:r>
          </w:p>
        </w:tc>
        <w:tc>
          <w:tcPr>
            <w:tcW w:type="dxa" w:w="1036"/>
            <w:vAlign w:val="top"/>
          </w:tcPr>
          <w:p>
            <w:pPr>
              <w:spacing w:after="40" w:before="0" w:line="259" w:lineRule="auto"/>
            </w:pPr>
            <w:r>
              <w:rPr>
                <w:rFonts w:ascii="Calibri" w:hAnsi="Calibri"/>
                <w:b w:val="0"/>
                <w:i w:val="0"/>
                <w:color w:val="212121"/>
                <w:sz w:val="16"/>
              </w:rPr>
              <w:t>Children, students,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Children may not volunteer blur — look for behaviour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Near-work &amp; outdoor history</w:t>
            </w:r>
          </w:p>
        </w:tc>
        <w:tc>
          <w:tcPr>
            <w:tcW w:type="dxa" w:w="979"/>
            <w:vAlign w:val="top"/>
          </w:tcPr>
          <w:p>
            <w:pPr>
              <w:spacing w:after="40" w:before="0" w:line="259" w:lineRule="auto"/>
            </w:pPr>
            <w:r>
              <w:rPr>
                <w:rFonts w:ascii="Calibri" w:hAnsi="Calibri"/>
                <w:b w:val="0"/>
                <w:i w:val="0"/>
                <w:color w:val="212121"/>
                <w:sz w:val="16"/>
              </w:rPr>
              <w:t>Screen/study hours, outdoor time/day</w:t>
            </w:r>
          </w:p>
        </w:tc>
        <w:tc>
          <w:tcPr>
            <w:tcW w:type="dxa" w:w="950"/>
            <w:vAlign w:val="top"/>
          </w:tcPr>
          <w:p>
            <w:pPr>
              <w:spacing w:after="40" w:before="0" w:line="259" w:lineRule="auto"/>
            </w:pPr>
            <w:r>
              <w:rPr>
                <w:rFonts w:ascii="Calibri" w:hAnsi="Calibri"/>
                <w:b w:val="0"/>
                <w:i w:val="0"/>
                <w:color w:val="212121"/>
                <w:sz w:val="16"/>
              </w:rPr>
              <w:t>≥ 1.5–2 h outdoors; balanced near work</w:t>
            </w:r>
          </w:p>
        </w:tc>
        <w:tc>
          <w:tcPr>
            <w:tcW w:type="dxa" w:w="950"/>
            <w:vAlign w:val="top"/>
          </w:tcPr>
          <w:p>
            <w:pPr>
              <w:spacing w:after="40" w:before="0" w:line="259" w:lineRule="auto"/>
            </w:pPr>
            <w:r>
              <w:rPr>
                <w:rFonts w:ascii="Calibri" w:hAnsi="Calibri"/>
                <w:b w:val="0"/>
                <w:i w:val="0"/>
                <w:color w:val="212121"/>
                <w:sz w:val="16"/>
              </w:rPr>
              <w:t>&lt; 1 h outdoors; prolonged unbroken near work</w:t>
            </w:r>
          </w:p>
        </w:tc>
        <w:tc>
          <w:tcPr>
            <w:tcW w:type="dxa" w:w="1036"/>
            <w:vAlign w:val="top"/>
          </w:tcPr>
          <w:p>
            <w:pPr>
              <w:spacing w:after="40" w:before="0" w:line="259" w:lineRule="auto"/>
            </w:pPr>
            <w:r>
              <w:rPr>
                <w:rFonts w:ascii="Calibri" w:hAnsi="Calibri"/>
                <w:b w:val="0"/>
                <w:i w:val="0"/>
                <w:color w:val="212121"/>
                <w:sz w:val="16"/>
              </w:rPr>
              <w:t>Identifies the dominant modifiable drivers to target</w:t>
            </w:r>
          </w:p>
        </w:tc>
        <w:tc>
          <w:tcPr>
            <w:tcW w:type="dxa" w:w="1036"/>
            <w:vAlign w:val="top"/>
          </w:tcPr>
          <w:p>
            <w:pPr>
              <w:spacing w:after="40" w:before="0" w:line="259" w:lineRule="auto"/>
            </w:pPr>
            <w:r>
              <w:rPr>
                <w:rFonts w:ascii="Calibri" w:hAnsi="Calibri"/>
                <w:b w:val="0"/>
                <w:i w:val="0"/>
                <w:color w:val="212121"/>
                <w:sz w:val="16"/>
              </w:rPr>
              <w:t>All children, students</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Basis of lifestyle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birth history</w:t>
            </w:r>
          </w:p>
        </w:tc>
        <w:tc>
          <w:tcPr>
            <w:tcW w:type="dxa" w:w="979"/>
            <w:vAlign w:val="top"/>
          </w:tcPr>
          <w:p>
            <w:pPr>
              <w:spacing w:after="40" w:before="0" w:line="259" w:lineRule="auto"/>
            </w:pPr>
            <w:r>
              <w:rPr>
                <w:rFonts w:ascii="Calibri" w:hAnsi="Calibri"/>
                <w:b w:val="0"/>
                <w:i w:val="0"/>
                <w:color w:val="212121"/>
                <w:sz w:val="16"/>
              </w:rPr>
              <w:t>Parental myopia; prematurity/ROP; syndromes</w:t>
            </w:r>
          </w:p>
        </w:tc>
        <w:tc>
          <w:tcPr>
            <w:tcW w:type="dxa" w:w="950"/>
            <w:vAlign w:val="top"/>
          </w:tcPr>
          <w:p>
            <w:pPr>
              <w:spacing w:after="40" w:before="0" w:line="259" w:lineRule="auto"/>
            </w:pPr>
            <w:r>
              <w:rPr>
                <w:rFonts w:ascii="Calibri" w:hAnsi="Calibri"/>
                <w:b w:val="0"/>
                <w:i w:val="0"/>
                <w:color w:val="212121"/>
                <w:sz w:val="16"/>
              </w:rPr>
              <w:t>No family history, term birth</w:t>
            </w:r>
          </w:p>
        </w:tc>
        <w:tc>
          <w:tcPr>
            <w:tcW w:type="dxa" w:w="950"/>
            <w:vAlign w:val="top"/>
          </w:tcPr>
          <w:p>
            <w:pPr>
              <w:spacing w:after="40" w:before="0" w:line="259" w:lineRule="auto"/>
            </w:pPr>
            <w:r>
              <w:rPr>
                <w:rFonts w:ascii="Calibri" w:hAnsi="Calibri"/>
                <w:b w:val="0"/>
                <w:i w:val="0"/>
                <w:color w:val="212121"/>
                <w:sz w:val="16"/>
              </w:rPr>
              <w:t>≥ 1 myopic parent; preterm/ROP; syndromic features</w:t>
            </w:r>
          </w:p>
        </w:tc>
        <w:tc>
          <w:tcPr>
            <w:tcW w:type="dxa" w:w="1036"/>
            <w:vAlign w:val="top"/>
          </w:tcPr>
          <w:p>
            <w:pPr>
              <w:spacing w:after="40" w:before="0" w:line="259" w:lineRule="auto"/>
            </w:pPr>
            <w:r>
              <w:rPr>
                <w:rFonts w:ascii="Calibri" w:hAnsi="Calibri"/>
                <w:b w:val="0"/>
                <w:i w:val="0"/>
                <w:color w:val="212121"/>
                <w:sz w:val="16"/>
              </w:rPr>
              <w:t>Genetic and developmental predisposition; guides monitoring intensity</w:t>
            </w:r>
          </w:p>
        </w:tc>
        <w:tc>
          <w:tcPr>
            <w:tcW w:type="dxa" w:w="1036"/>
            <w:vAlign w:val="top"/>
          </w:tcPr>
          <w:p>
            <w:pPr>
              <w:spacing w:after="40" w:before="0" w:line="259" w:lineRule="auto"/>
            </w:pPr>
            <w:r>
              <w:rPr>
                <w:rFonts w:ascii="Calibri" w:hAnsi="Calibri"/>
                <w:b w:val="0"/>
                <w:i w:val="0"/>
                <w:color w:val="212121"/>
                <w:sz w:val="16"/>
              </w:rPr>
              <w:t>Children of myopes, preterm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Distance visual acuity</w:t>
            </w:r>
          </w:p>
        </w:tc>
        <w:tc>
          <w:tcPr>
            <w:tcW w:type="dxa" w:w="979"/>
            <w:vAlign w:val="top"/>
          </w:tcPr>
          <w:p>
            <w:pPr>
              <w:spacing w:after="40" w:before="0" w:line="259" w:lineRule="auto"/>
            </w:pPr>
            <w:r>
              <w:rPr>
                <w:rFonts w:ascii="Calibri" w:hAnsi="Calibri"/>
                <w:b w:val="0"/>
                <w:i w:val="0"/>
                <w:color w:val="212121"/>
                <w:sz w:val="16"/>
              </w:rPr>
              <w:t>Snellen/logMAR with pinhole</w:t>
            </w:r>
          </w:p>
        </w:tc>
        <w:tc>
          <w:tcPr>
            <w:tcW w:type="dxa" w:w="950"/>
            <w:vAlign w:val="top"/>
          </w:tcPr>
          <w:p>
            <w:pPr>
              <w:spacing w:after="40" w:before="0" w:line="259" w:lineRule="auto"/>
            </w:pPr>
            <w:r>
              <w:rPr>
                <w:rFonts w:ascii="Calibri" w:hAnsi="Calibri"/>
                <w:b w:val="0"/>
                <w:i w:val="0"/>
                <w:color w:val="212121"/>
                <w:sz w:val="16"/>
              </w:rPr>
              <w:t>6/6</w:t>
            </w:r>
          </w:p>
        </w:tc>
        <w:tc>
          <w:tcPr>
            <w:tcW w:type="dxa" w:w="950"/>
            <w:vAlign w:val="top"/>
          </w:tcPr>
          <w:p>
            <w:pPr>
              <w:spacing w:after="40" w:before="0" w:line="259" w:lineRule="auto"/>
            </w:pPr>
            <w:r>
              <w:rPr>
                <w:rFonts w:ascii="Calibri" w:hAnsi="Calibri"/>
                <w:b w:val="0"/>
                <w:i w:val="0"/>
                <w:color w:val="212121"/>
                <w:sz w:val="16"/>
              </w:rPr>
              <w:t>Improves with pinhole/minus lens</w:t>
            </w:r>
          </w:p>
        </w:tc>
        <w:tc>
          <w:tcPr>
            <w:tcW w:type="dxa" w:w="1036"/>
            <w:vAlign w:val="top"/>
          </w:tcPr>
          <w:p>
            <w:pPr>
              <w:spacing w:after="40" w:before="0" w:line="259" w:lineRule="auto"/>
            </w:pPr>
            <w:r>
              <w:rPr>
                <w:rFonts w:ascii="Calibri" w:hAnsi="Calibri"/>
                <w:b w:val="0"/>
                <w:i w:val="0"/>
                <w:color w:val="212121"/>
                <w:sz w:val="16"/>
              </w:rPr>
              <w:t>Separates refractive from non-refractive causes of reduced vision</w:t>
            </w:r>
          </w:p>
        </w:tc>
        <w:tc>
          <w:tcPr>
            <w:tcW w:type="dxa" w:w="1036"/>
            <w:vAlign w:val="top"/>
          </w:tcPr>
          <w:p>
            <w:pPr>
              <w:spacing w:after="40" w:before="0" w:line="259" w:lineRule="auto"/>
            </w:pPr>
            <w:r>
              <w:rPr>
                <w:rFonts w:ascii="Calibri" w:hAnsi="Calibri"/>
                <w:b w:val="0"/>
                <w:i w:val="0"/>
                <w:color w:val="212121"/>
                <w:sz w:val="16"/>
              </w:rPr>
              <w:t>All patients, school screening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First-line objective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Retinoscopy / autorefraction</w:t>
            </w:r>
          </w:p>
        </w:tc>
        <w:tc>
          <w:tcPr>
            <w:tcW w:type="dxa" w:w="979"/>
            <w:vAlign w:val="top"/>
          </w:tcPr>
          <w:p>
            <w:pPr>
              <w:spacing w:after="40" w:before="0" w:line="259" w:lineRule="auto"/>
            </w:pPr>
            <w:r>
              <w:rPr>
                <w:rFonts w:ascii="Calibri" w:hAnsi="Calibri"/>
                <w:b w:val="0"/>
                <w:i w:val="0"/>
                <w:color w:val="212121"/>
                <w:sz w:val="16"/>
              </w:rPr>
              <w:t>Reflex movement, refractive power</w:t>
            </w:r>
          </w:p>
        </w:tc>
        <w:tc>
          <w:tcPr>
            <w:tcW w:type="dxa" w:w="950"/>
            <w:vAlign w:val="top"/>
          </w:tcPr>
          <w:p>
            <w:pPr>
              <w:spacing w:after="40" w:before="0" w:line="259" w:lineRule="auto"/>
            </w:pPr>
            <w:r>
              <w:rPr>
                <w:rFonts w:ascii="Calibri" w:hAnsi="Calibri"/>
                <w:b w:val="0"/>
                <w:i w:val="0"/>
                <w:color w:val="212121"/>
                <w:sz w:val="16"/>
              </w:rPr>
              <w:t>Neutral/with movement</w:t>
            </w:r>
          </w:p>
        </w:tc>
        <w:tc>
          <w:tcPr>
            <w:tcW w:type="dxa" w:w="950"/>
            <w:vAlign w:val="top"/>
          </w:tcPr>
          <w:p>
            <w:pPr>
              <w:spacing w:after="40" w:before="0" w:line="259" w:lineRule="auto"/>
            </w:pPr>
            <w:r>
              <w:rPr>
                <w:rFonts w:ascii="Calibri" w:hAnsi="Calibri"/>
                <w:b w:val="0"/>
                <w:i w:val="0"/>
                <w:color w:val="212121"/>
                <w:sz w:val="16"/>
              </w:rPr>
              <w:t>Against movement (myopic reflex)</w:t>
            </w:r>
          </w:p>
        </w:tc>
        <w:tc>
          <w:tcPr>
            <w:tcW w:type="dxa" w:w="1036"/>
            <w:vAlign w:val="top"/>
          </w:tcPr>
          <w:p>
            <w:pPr>
              <w:spacing w:after="40" w:before="0" w:line="259" w:lineRule="auto"/>
            </w:pPr>
            <w:r>
              <w:rPr>
                <w:rFonts w:ascii="Calibri" w:hAnsi="Calibri"/>
                <w:b w:val="0"/>
                <w:i w:val="0"/>
                <w:color w:val="212121"/>
                <w:sz w:val="16"/>
              </w:rPr>
              <w:t>Objectively confirms and quantifies myopia, key in preverbal children</w:t>
            </w:r>
          </w:p>
        </w:tc>
        <w:tc>
          <w:tcPr>
            <w:tcW w:type="dxa" w:w="1036"/>
            <w:vAlign w:val="top"/>
          </w:tcPr>
          <w:p>
            <w:pPr>
              <w:spacing w:after="40" w:before="0" w:line="259" w:lineRule="auto"/>
            </w:pPr>
            <w:r>
              <w:rPr>
                <w:rFonts w:ascii="Calibri" w:hAnsi="Calibri"/>
                <w:b w:val="0"/>
                <w:i w:val="0"/>
                <w:color w:val="212121"/>
                <w:sz w:val="16"/>
              </w:rPr>
              <w:t>Infants, children, non-verbal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Perform under cycloplegia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Fundus / optic disc exam</w:t>
            </w:r>
          </w:p>
        </w:tc>
        <w:tc>
          <w:tcPr>
            <w:tcW w:type="dxa" w:w="979"/>
            <w:vAlign w:val="top"/>
          </w:tcPr>
          <w:p>
            <w:pPr>
              <w:spacing w:after="40" w:before="0" w:line="259" w:lineRule="auto"/>
            </w:pPr>
            <w:r>
              <w:rPr>
                <w:rFonts w:ascii="Calibri" w:hAnsi="Calibri"/>
                <w:b w:val="0"/>
                <w:i w:val="0"/>
                <w:color w:val="212121"/>
                <w:sz w:val="16"/>
              </w:rPr>
              <w:t>Tessellation, crescent, staphyloma, periphery</w:t>
            </w:r>
          </w:p>
        </w:tc>
        <w:tc>
          <w:tcPr>
            <w:tcW w:type="dxa" w:w="950"/>
            <w:vAlign w:val="top"/>
          </w:tcPr>
          <w:p>
            <w:pPr>
              <w:spacing w:after="40" w:before="0" w:line="259" w:lineRule="auto"/>
            </w:pPr>
            <w:r>
              <w:rPr>
                <w:rFonts w:ascii="Calibri" w:hAnsi="Calibri"/>
                <w:b w:val="0"/>
                <w:i w:val="0"/>
                <w:color w:val="212121"/>
                <w:sz w:val="16"/>
              </w:rPr>
              <w:t>Normal fundus</w:t>
            </w:r>
          </w:p>
        </w:tc>
        <w:tc>
          <w:tcPr>
            <w:tcW w:type="dxa" w:w="950"/>
            <w:vAlign w:val="top"/>
          </w:tcPr>
          <w:p>
            <w:pPr>
              <w:spacing w:after="40" w:before="0" w:line="259" w:lineRule="auto"/>
            </w:pPr>
            <w:r>
              <w:rPr>
                <w:rFonts w:ascii="Calibri" w:hAnsi="Calibri"/>
                <w:b w:val="0"/>
                <w:i w:val="0"/>
                <w:color w:val="212121"/>
                <w:sz w:val="16"/>
              </w:rPr>
              <w:t>Tigroid fundus, myopic crescent, tilted disc, lattice/breaks</w:t>
            </w:r>
          </w:p>
        </w:tc>
        <w:tc>
          <w:tcPr>
            <w:tcW w:type="dxa" w:w="1036"/>
            <w:vAlign w:val="top"/>
          </w:tcPr>
          <w:p>
            <w:pPr>
              <w:spacing w:after="40" w:before="0" w:line="259" w:lineRule="auto"/>
            </w:pPr>
            <w:r>
              <w:rPr>
                <w:rFonts w:ascii="Calibri" w:hAnsi="Calibri"/>
                <w:b w:val="0"/>
                <w:i w:val="0"/>
                <w:color w:val="212121"/>
                <w:sz w:val="16"/>
              </w:rPr>
              <w:t>Grades pathologic change and detects retinal-detachment precursors</w:t>
            </w:r>
          </w:p>
        </w:tc>
        <w:tc>
          <w:tcPr>
            <w:tcW w:type="dxa" w:w="1036"/>
            <w:vAlign w:val="top"/>
          </w:tcPr>
          <w:p>
            <w:pPr>
              <w:spacing w:after="40" w:before="0" w:line="259" w:lineRule="auto"/>
            </w:pPr>
            <w:r>
              <w:rPr>
                <w:rFonts w:ascii="Calibri" w:hAnsi="Calibri"/>
                <w:b w:val="0"/>
                <w:i w:val="0"/>
                <w:color w:val="212121"/>
                <w:sz w:val="16"/>
              </w:rPr>
              <w:t>Moderate-to-high myopes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Dilated peripheral exam essential in high myopia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Ocular alignment (cover test)</w:t>
            </w:r>
          </w:p>
        </w:tc>
        <w:tc>
          <w:tcPr>
            <w:tcW w:type="dxa" w:w="979"/>
            <w:vAlign w:val="top"/>
          </w:tcPr>
          <w:p>
            <w:pPr>
              <w:spacing w:after="40" w:before="0" w:line="259" w:lineRule="auto"/>
            </w:pPr>
            <w:r>
              <w:rPr>
                <w:rFonts w:ascii="Calibri" w:hAnsi="Calibri"/>
                <w:b w:val="0"/>
                <w:i w:val="0"/>
                <w:color w:val="212121"/>
                <w:sz w:val="16"/>
              </w:rPr>
              <w:t>Phoria/tropia at distance &amp; near</w:t>
            </w:r>
          </w:p>
        </w:tc>
        <w:tc>
          <w:tcPr>
            <w:tcW w:type="dxa" w:w="950"/>
            <w:vAlign w:val="top"/>
          </w:tcPr>
          <w:p>
            <w:pPr>
              <w:spacing w:after="40" w:before="0" w:line="259" w:lineRule="auto"/>
            </w:pPr>
            <w:r>
              <w:rPr>
                <w:rFonts w:ascii="Calibri" w:hAnsi="Calibri"/>
                <w:b w:val="0"/>
                <w:i w:val="0"/>
                <w:color w:val="212121"/>
                <w:sz w:val="16"/>
              </w:rPr>
              <w:t>Orthophoric</w:t>
            </w:r>
          </w:p>
        </w:tc>
        <w:tc>
          <w:tcPr>
            <w:tcW w:type="dxa" w:w="950"/>
            <w:vAlign w:val="top"/>
          </w:tcPr>
          <w:p>
            <w:pPr>
              <w:spacing w:after="40" w:before="0" w:line="259" w:lineRule="auto"/>
            </w:pPr>
            <w:r>
              <w:rPr>
                <w:rFonts w:ascii="Calibri" w:hAnsi="Calibri"/>
                <w:b w:val="0"/>
                <w:i w:val="0"/>
                <w:color w:val="212121"/>
                <w:sz w:val="16"/>
              </w:rPr>
              <w:t>Intermittent exotropia / esophoria</w:t>
            </w:r>
          </w:p>
        </w:tc>
        <w:tc>
          <w:tcPr>
            <w:tcW w:type="dxa" w:w="1036"/>
            <w:vAlign w:val="top"/>
          </w:tcPr>
          <w:p>
            <w:pPr>
              <w:spacing w:after="40" w:before="0" w:line="259" w:lineRule="auto"/>
            </w:pPr>
            <w:r>
              <w:rPr>
                <w:rFonts w:ascii="Calibri" w:hAnsi="Calibri"/>
                <w:b w:val="0"/>
                <w:i w:val="0"/>
                <w:color w:val="212121"/>
                <w:sz w:val="16"/>
              </w:rPr>
              <w:t>Myopia is commonly associated with intermittent exotropia and binocular-vision stress</w:t>
            </w:r>
          </w:p>
        </w:tc>
        <w:tc>
          <w:tcPr>
            <w:tcW w:type="dxa" w:w="1036"/>
            <w:vAlign w:val="top"/>
          </w:tcPr>
          <w:p>
            <w:pPr>
              <w:spacing w:after="40" w:before="0" w:line="259" w:lineRule="auto"/>
            </w:pPr>
            <w:r>
              <w:rPr>
                <w:rFonts w:ascii="Calibri" w:hAnsi="Calibri"/>
                <w:b w:val="0"/>
                <w:i w:val="0"/>
                <w:color w:val="212121"/>
                <w:sz w:val="16"/>
              </w:rPr>
              <w:t>Children with strabismus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stereopsis and control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Blurred distance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symptom — far objects (road signs, blackboard, TV) are unclear while near vision stays sharp.</w:t>
            </w:r>
          </w:p>
        </w:tc>
      </w:tr>
      <w:tr>
        <w:trPr>
          <w:cantSplit/>
        </w:trPr>
        <w:tc>
          <w:tcPr>
            <w:tcW w:type="dxa" w:w="2304"/>
            <w:vAlign w:val="top"/>
          </w:tcPr>
          <w:p>
            <w:pPr>
              <w:spacing w:after="40" w:before="0" w:line="259" w:lineRule="auto"/>
            </w:pPr>
            <w:r>
              <w:rPr>
                <w:rFonts w:ascii="Calibri" w:hAnsi="Calibri"/>
                <w:b/>
                <w:i w:val="0"/>
                <w:color w:val="212121"/>
                <w:sz w:val="19"/>
              </w:rPr>
              <w:t>Squinting / narrowing the 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Partially closing the lids creates a pinhole effect that transiently sharpens distance vision.</w:t>
            </w:r>
          </w:p>
        </w:tc>
      </w:tr>
      <w:tr>
        <w:trPr>
          <w:cantSplit/>
        </w:trPr>
        <w:tc>
          <w:tcPr>
            <w:tcW w:type="dxa" w:w="2304"/>
            <w:vAlign w:val="top"/>
          </w:tcPr>
          <w:p>
            <w:pPr>
              <w:spacing w:after="40" w:before="0" w:line="259" w:lineRule="auto"/>
            </w:pPr>
            <w:r>
              <w:rPr>
                <w:rFonts w:ascii="Calibri" w:hAnsi="Calibri"/>
                <w:b/>
                <w:i w:val="0"/>
                <w:color w:val="212121"/>
                <w:sz w:val="19"/>
              </w:rPr>
              <w:t>Sitting close to TV / holding books or phone very near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children, an unconscious adaptation to blurred distance vision; a key parental clue.</w:t>
            </w:r>
          </w:p>
        </w:tc>
      </w:tr>
      <w:tr>
        <w:trPr>
          <w:cantSplit/>
        </w:trPr>
        <w:tc>
          <w:tcPr>
            <w:tcW w:type="dxa" w:w="2304"/>
            <w:vAlign w:val="top"/>
          </w:tcPr>
          <w:p>
            <w:pPr>
              <w:spacing w:after="40" w:before="0" w:line="259" w:lineRule="auto"/>
            </w:pPr>
            <w:r>
              <w:rPr>
                <w:rFonts w:ascii="Calibri" w:hAnsi="Calibri"/>
                <w:b/>
                <w:i w:val="0"/>
                <w:color w:val="212121"/>
                <w:sz w:val="19"/>
              </w:rPr>
              <w:t>Eye strain (asthenopia)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tired eyes after visual tasks, particularly with uncorrected or under-corrected myopia.</w:t>
            </w:r>
          </w:p>
        </w:tc>
      </w:tr>
      <w:tr>
        <w:trPr>
          <w:cantSplit/>
        </w:trPr>
        <w:tc>
          <w:tcPr>
            <w:tcW w:type="dxa" w:w="2304"/>
            <w:vAlign w:val="top"/>
          </w:tcPr>
          <w:p>
            <w:pPr>
              <w:spacing w:after="40" w:before="0" w:line="259" w:lineRule="auto"/>
            </w:pPr>
            <w:r>
              <w:rPr>
                <w:rFonts w:ascii="Calibri" w:hAnsi="Calibri"/>
                <w:b/>
                <w:i w:val="0"/>
                <w:color w:val="212121"/>
                <w:sz w:val="19"/>
              </w:rPr>
              <w:t>Headaches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or brow-ache from persistent squinting and accommodative effort.</w:t>
            </w:r>
          </w:p>
        </w:tc>
      </w:tr>
      <w:tr>
        <w:trPr>
          <w:cantSplit/>
        </w:trPr>
        <w:tc>
          <w:tcPr>
            <w:tcW w:type="dxa" w:w="2304"/>
            <w:vAlign w:val="top"/>
          </w:tcPr>
          <w:p>
            <w:pPr>
              <w:spacing w:after="40" w:before="0" w:line="259" w:lineRule="auto"/>
            </w:pPr>
            <w:r>
              <w:rPr>
                <w:rFonts w:ascii="Calibri" w:hAnsi="Calibri"/>
                <w:b/>
                <w:i w:val="0"/>
                <w:color w:val="212121"/>
                <w:sz w:val="19"/>
              </w:rPr>
              <w:t>Difficulty seeing the blackboard / school performance issues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classroom vision can present as inattention, copying from neighbours or falling grades.</w:t>
            </w:r>
          </w:p>
        </w:tc>
      </w:tr>
      <w:tr>
        <w:trPr>
          <w:cantSplit/>
        </w:trPr>
        <w:tc>
          <w:tcPr>
            <w:tcW w:type="dxa" w:w="2304"/>
            <w:vAlign w:val="top"/>
          </w:tcPr>
          <w:p>
            <w:pPr>
              <w:spacing w:after="40" w:before="0" w:line="259" w:lineRule="auto"/>
            </w:pPr>
            <w:r>
              <w:rPr>
                <w:rFonts w:ascii="Calibri" w:hAnsi="Calibri"/>
                <w:b/>
                <w:i w:val="0"/>
                <w:color w:val="212121"/>
                <w:sz w:val="19"/>
              </w:rPr>
              <w:t>Frequent blinking or eye rubbing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childhood sign of visual discomfort and strain.</w:t>
            </w:r>
          </w:p>
        </w:tc>
      </w:tr>
      <w:tr>
        <w:trPr>
          <w:cantSplit/>
        </w:trPr>
        <w:tc>
          <w:tcPr>
            <w:tcW w:type="dxa" w:w="2304"/>
            <w:vAlign w:val="top"/>
          </w:tcPr>
          <w:p>
            <w:pPr>
              <w:spacing w:after="40" w:before="0" w:line="259" w:lineRule="auto"/>
            </w:pPr>
            <w:r>
              <w:rPr>
                <w:rFonts w:ascii="Calibri" w:hAnsi="Calibri"/>
                <w:b/>
                <w:i w:val="0"/>
                <w:color w:val="212121"/>
                <w:sz w:val="19"/>
              </w:rPr>
              <w:t>Difficulty with night vision / driving at night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 myopia — pupil dilation and dark-focus shift worsen blur in low light.</w:t>
            </w:r>
          </w:p>
        </w:tc>
      </w:tr>
      <w:tr>
        <w:trPr>
          <w:cantSplit/>
        </w:trPr>
        <w:tc>
          <w:tcPr>
            <w:tcW w:type="dxa" w:w="2304"/>
            <w:vAlign w:val="top"/>
          </w:tcPr>
          <w:p>
            <w:pPr>
              <w:spacing w:after="40" w:before="0" w:line="259" w:lineRule="auto"/>
            </w:pPr>
            <w:r>
              <w:rPr>
                <w:rFonts w:ascii="Calibri" w:hAnsi="Calibri"/>
                <w:b/>
                <w:i w:val="0"/>
                <w:color w:val="212121"/>
                <w:sz w:val="19"/>
              </w:rPr>
              <w:t>Eye fatigue with prolonged near work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binocular and accommodative stress rather than the refractive error itself.</w:t>
            </w:r>
          </w:p>
        </w:tc>
      </w:tr>
      <w:tr>
        <w:trPr>
          <w:cantSplit/>
        </w:trPr>
        <w:tc>
          <w:tcPr>
            <w:tcW w:type="dxa" w:w="2304"/>
            <w:vAlign w:val="top"/>
          </w:tcPr>
          <w:p>
            <w:pPr>
              <w:spacing w:after="40" w:before="0" w:line="259" w:lineRule="auto"/>
            </w:pPr>
            <w:r>
              <w:rPr>
                <w:rFonts w:ascii="Calibri" w:hAnsi="Calibri"/>
                <w:b/>
                <w:i w:val="0"/>
                <w:color w:val="212121"/>
                <w:sz w:val="19"/>
              </w:rPr>
              <w:t>Awareness of floaters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frequent in higher myopes due to early vitreous liquefaction and posterior vitreous detachment.</w:t>
            </w:r>
          </w:p>
        </w:tc>
      </w:tr>
      <w:tr>
        <w:trPr>
          <w:cantSplit/>
        </w:trPr>
        <w:tc>
          <w:tcPr>
            <w:tcW w:type="dxa" w:w="2304"/>
            <w:vAlign w:val="top"/>
          </w:tcPr>
          <w:p>
            <w:pPr>
              <w:spacing w:after="40" w:before="0" w:line="259" w:lineRule="auto"/>
            </w:pPr>
            <w:r>
              <w:rPr>
                <w:rFonts w:ascii="Calibri" w:hAnsi="Calibri"/>
                <w:b/>
                <w:i w:val="0"/>
                <w:color w:val="212121"/>
                <w:sz w:val="19"/>
              </w:rPr>
              <w:t>Sudden flashes, a shower of floaters or a curtain/shadow</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for retinal tear or detachment in high myopia — needs same-day ophthalmic review.</w:t>
            </w:r>
          </w:p>
        </w:tc>
      </w:tr>
      <w:tr>
        <w:trPr>
          <w:cantSplit/>
        </w:trPr>
        <w:tc>
          <w:tcPr>
            <w:tcW w:type="dxa" w:w="2304"/>
            <w:vAlign w:val="top"/>
          </w:tcPr>
          <w:p>
            <w:pPr>
              <w:spacing w:after="40" w:before="0" w:line="259" w:lineRule="auto"/>
            </w:pPr>
            <w:r>
              <w:rPr>
                <w:rFonts w:ascii="Calibri" w:hAnsi="Calibri"/>
                <w:b/>
                <w:i w:val="0"/>
                <w:color w:val="212121"/>
                <w:sz w:val="19"/>
              </w:rPr>
              <w:t>Central distortion or a dark central spot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myopic choroidal neovascularisation or maculopathy in pathologic myopia.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uncorrected distance acuity improving with pinhole/minus lens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that reduced vision is refractive.</w:t>
            </w:r>
          </w:p>
        </w:tc>
      </w:tr>
      <w:tr>
        <w:trPr>
          <w:cantSplit/>
        </w:trPr>
        <w:tc>
          <w:tcPr>
            <w:tcW w:type="dxa" w:w="3456"/>
            <w:vAlign w:val="top"/>
          </w:tcPr>
          <w:p>
            <w:pPr>
              <w:spacing w:after="40" w:before="0" w:line="259" w:lineRule="auto"/>
            </w:pPr>
            <w:r>
              <w:rPr>
                <w:rFonts w:ascii="Calibri" w:hAnsi="Calibri"/>
                <w:b/>
                <w:i w:val="0"/>
                <w:color w:val="212121"/>
                <w:sz w:val="19"/>
              </w:rPr>
              <w:t>Habitual squinting / short viewing or reading distance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behavioural sign, particularly in children.</w:t>
            </w:r>
          </w:p>
        </w:tc>
      </w:tr>
      <w:tr>
        <w:trPr>
          <w:cantSplit/>
        </w:trPr>
        <w:tc>
          <w:tcPr>
            <w:tcW w:type="dxa" w:w="3456"/>
            <w:vAlign w:val="top"/>
          </w:tcPr>
          <w:p>
            <w:pPr>
              <w:spacing w:after="40" w:before="0" w:line="259" w:lineRule="auto"/>
            </w:pPr>
            <w:r>
              <w:rPr>
                <w:rFonts w:ascii="Calibri" w:hAnsi="Calibri"/>
                <w:b/>
                <w:i w:val="0"/>
                <w:color w:val="212121"/>
                <w:sz w:val="19"/>
              </w:rPr>
              <w:t>Against (myopic) retinoscopic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retinoscopy finding; quantifiable under cycloplegia.</w:t>
            </w:r>
          </w:p>
        </w:tc>
      </w:tr>
      <w:tr>
        <w:trPr>
          <w:cantSplit/>
        </w:trPr>
        <w:tc>
          <w:tcPr>
            <w:tcW w:type="dxa" w:w="3456"/>
            <w:vAlign w:val="top"/>
          </w:tcPr>
          <w:p>
            <w:pPr>
              <w:spacing w:after="40" w:before="0" w:line="259" w:lineRule="auto"/>
            </w:pPr>
            <w:r>
              <w:rPr>
                <w:rFonts w:ascii="Calibri" w:hAnsi="Calibri"/>
                <w:b/>
                <w:i w:val="0"/>
                <w:color w:val="212121"/>
                <w:sz w:val="19"/>
              </w:rPr>
              <w:t>Increased axial length on biometry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Structural correlate of axial myopia; ≥ 26 mm marks high myopia.</w:t>
            </w:r>
          </w:p>
        </w:tc>
      </w:tr>
      <w:tr>
        <w:trPr>
          <w:cantSplit/>
        </w:trPr>
        <w:tc>
          <w:tcPr>
            <w:tcW w:type="dxa" w:w="3456"/>
            <w:vAlign w:val="top"/>
          </w:tcPr>
          <w:p>
            <w:pPr>
              <w:spacing w:after="40" w:before="0" w:line="259" w:lineRule="auto"/>
            </w:pPr>
            <w:r>
              <w:rPr>
                <w:rFonts w:ascii="Calibri" w:hAnsi="Calibri"/>
                <w:b/>
                <w:i w:val="0"/>
                <w:color w:val="212121"/>
                <w:sz w:val="19"/>
              </w:rPr>
              <w:t>Tessellated (tigroid) fundus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Thinned RPE/choroid revealing choroidal vessels — early sign of myopic degeneration.</w:t>
            </w:r>
          </w:p>
        </w:tc>
      </w:tr>
      <w:tr>
        <w:trPr>
          <w:cantSplit/>
        </w:trPr>
        <w:tc>
          <w:tcPr>
            <w:tcW w:type="dxa" w:w="3456"/>
            <w:vAlign w:val="top"/>
          </w:tcPr>
          <w:p>
            <w:pPr>
              <w:spacing w:after="40" w:before="0" w:line="259" w:lineRule="auto"/>
            </w:pPr>
            <w:r>
              <w:rPr>
                <w:rFonts w:ascii="Calibri" w:hAnsi="Calibri"/>
                <w:b/>
                <w:i w:val="0"/>
                <w:color w:val="212121"/>
                <w:sz w:val="19"/>
              </w:rPr>
              <w:t>Myopic crescent / peripapillary atrophy / tilted disc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Stretching of tissue around an obliquely inserted optic nerve in moderate-to-high myopia.</w:t>
            </w:r>
          </w:p>
        </w:tc>
      </w:tr>
      <w:tr>
        <w:trPr>
          <w:cantSplit/>
        </w:trPr>
        <w:tc>
          <w:tcPr>
            <w:tcW w:type="dxa" w:w="3456"/>
            <w:vAlign w:val="top"/>
          </w:tcPr>
          <w:p>
            <w:pPr>
              <w:spacing w:after="40" w:before="0" w:line="259" w:lineRule="auto"/>
            </w:pPr>
            <w:r>
              <w:rPr>
                <w:rFonts w:ascii="Calibri" w:hAnsi="Calibri"/>
                <w:b/>
                <w:i w:val="0"/>
                <w:color w:val="212121"/>
                <w:sz w:val="19"/>
              </w:rPr>
              <w:t>Posterior staphyloma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Outpouching of the posterior sclera; a defining feature of pathologic myopia.</w:t>
            </w:r>
          </w:p>
        </w:tc>
      </w:tr>
      <w:tr>
        <w:trPr>
          <w:cantSplit/>
        </w:trPr>
        <w:tc>
          <w:tcPr>
            <w:tcW w:type="dxa" w:w="3456"/>
            <w:vAlign w:val="top"/>
          </w:tcPr>
          <w:p>
            <w:pPr>
              <w:spacing w:after="40" w:before="0" w:line="259" w:lineRule="auto"/>
            </w:pPr>
            <w:r>
              <w:rPr>
                <w:rFonts w:ascii="Calibri" w:hAnsi="Calibri"/>
                <w:b/>
                <w:i w:val="0"/>
                <w:color w:val="212121"/>
                <w:sz w:val="19"/>
              </w:rPr>
              <w:t>Lattice degeneration / peripheral retinal thinning &amp; breaks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Predisposes to retinal tears and rhegmatogenous detachment.</w:t>
            </w:r>
          </w:p>
        </w:tc>
      </w:tr>
      <w:tr>
        <w:trPr>
          <w:cantSplit/>
        </w:trPr>
        <w:tc>
          <w:tcPr>
            <w:tcW w:type="dxa" w:w="3456"/>
            <w:vAlign w:val="top"/>
          </w:tcPr>
          <w:p>
            <w:pPr>
              <w:spacing w:after="40" w:before="0" w:line="259" w:lineRule="auto"/>
            </w:pPr>
            <w:r>
              <w:rPr>
                <w:rFonts w:ascii="Calibri" w:hAnsi="Calibri"/>
                <w:b/>
                <w:i w:val="0"/>
                <w:color w:val="212121"/>
                <w:sz w:val="19"/>
              </w:rPr>
              <w:t>Intermittent exotropia on cover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Myopia is commonly associated with intermittent divergent squint and binocular stress.</w:t>
            </w:r>
          </w:p>
        </w:tc>
      </w:tr>
      <w:tr>
        <w:trPr>
          <w:cantSplit/>
        </w:trPr>
        <w:tc>
          <w:tcPr>
            <w:tcW w:type="dxa" w:w="3456"/>
            <w:vAlign w:val="top"/>
          </w:tcPr>
          <w:p>
            <w:pPr>
              <w:spacing w:after="40" w:before="0" w:line="259" w:lineRule="auto"/>
            </w:pPr>
            <w:r>
              <w:rPr>
                <w:rFonts w:ascii="Calibri" w:hAnsi="Calibri"/>
                <w:b/>
                <w:i w:val="0"/>
                <w:color w:val="212121"/>
                <w:sz w:val="19"/>
              </w:rPr>
              <w:t>Lacquer cracks / Fuchs spot / choroidal neovascular membrane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Macular hallmarks of degenerative myopia causing central vision loss.</w:t>
            </w:r>
          </w:p>
        </w:tc>
      </w:tr>
      <w:tr>
        <w:trPr>
          <w:cantSplit/>
        </w:trPr>
        <w:tc>
          <w:tcPr>
            <w:tcW w:type="dxa" w:w="3456"/>
            <w:vAlign w:val="top"/>
          </w:tcPr>
          <w:p>
            <w:pPr>
              <w:spacing w:after="40" w:before="0" w:line="259" w:lineRule="auto"/>
            </w:pPr>
            <w:r>
              <w:rPr>
                <w:rFonts w:ascii="Calibri" w:hAnsi="Calibri"/>
                <w:b/>
                <w:i w:val="0"/>
                <w:color w:val="212121"/>
                <w:sz w:val="19"/>
              </w:rPr>
              <w:t>Foveoschisis on OCT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Splitting of macular layers over a staphyloma in high axial myopia.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Uncorrected/under-corrected blurred distance vision impairing schooling, work and driving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Asthenopia (eye strain) and squint-related headaches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Amblyopia (‘lazy eye’), especially with high or unequal (anisometropic) myopia in childhood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sporting participation and academic performance</w:t>
            </w:r>
          </w:p>
        </w:tc>
        <w:tc>
          <w:tcPr>
            <w:tcW w:type="dxa" w:w="2980"/>
            <w:vAlign w:val="top"/>
          </w:tcPr>
          <w:p>
            <w:pPr>
              <w:spacing w:after="40" w:before="0" w:line="259" w:lineRule="auto"/>
            </w:pPr>
            <w:r>
              <w:rPr>
                <w:rFonts w:ascii="Calibri" w:hAnsi="Calibri"/>
                <w:b w:val="0"/>
                <w:i w:val="0"/>
                <w:color w:val="212121"/>
                <w:sz w:val="19"/>
              </w:rPr>
              <w:t>Direct refractive and functional consequences, largely reversible with timely correction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retinal degeneration (lattice), retinal tears and rhegmatogenous retinal detachment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Posterior staphyloma and myopic macular degeneration (myopic maculopathy)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Myopic choroidal neovascularisation and foveoschisis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Myopia-associated open-angle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cataract (nuclear and posterior subcapsular)</w:t>
            </w:r>
          </w:p>
        </w:tc>
        <w:tc>
          <w:tcPr>
            <w:tcW w:type="dxa" w:w="2980"/>
            <w:vAlign w:val="top"/>
          </w:tcPr>
          <w:p>
            <w:pPr>
              <w:spacing w:after="40" w:before="0" w:line="259" w:lineRule="auto"/>
            </w:pPr>
            <w:r>
              <w:rPr>
                <w:rFonts w:ascii="Calibri" w:hAnsi="Calibri"/>
                <w:b w:val="0"/>
                <w:i w:val="0"/>
                <w:color w:val="212121"/>
                <w:sz w:val="19"/>
              </w:rPr>
              <w:t>Structural, sight-threatening changes of high/pathologic myopia; retinal-detachment risk up to ~20× that of emmetropes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central vision loss/blindness from myopic maculopathy or choroidal neovascularisation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from advanced or recurrent retinal detachment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Glaucomatous visual-field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low vision and visual disability</w:t>
            </w:r>
          </w:p>
        </w:tc>
        <w:tc>
          <w:tcPr>
            <w:tcW w:type="dxa" w:w="2980"/>
            <w:vAlign w:val="top"/>
          </w:tcPr>
          <w:p>
            <w:pPr>
              <w:spacing w:after="40" w:before="0" w:line="259" w:lineRule="auto"/>
            </w:pPr>
            <w:r>
              <w:rPr>
                <w:rFonts w:ascii="Calibri" w:hAnsi="Calibri"/>
                <w:b w:val="0"/>
                <w:i w:val="0"/>
                <w:color w:val="212121"/>
                <w:sz w:val="19"/>
              </w:rPr>
              <w:t>End-stage, irreversible outcomes; pathologic myopia is a leading cause of irreversible blindness, particularly in Asia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Open-angle glaucoma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Moderate-to-high myopia is significantly correlated with primary open-angle glaucoma; myopic disc changes can mask early diagnosis.</w:t>
            </w:r>
          </w:p>
        </w:tc>
      </w:tr>
      <w:tr>
        <w:trPr>
          <w:cantSplit/>
        </w:trPr>
        <w:tc>
          <w:tcPr>
            <w:tcW w:type="dxa" w:w="2232"/>
            <w:vAlign w:val="top"/>
          </w:tcPr>
          <w:p>
            <w:pPr>
              <w:spacing w:after="40" w:before="0" w:line="259" w:lineRule="auto"/>
            </w:pPr>
            <w:r>
              <w:rPr>
                <w:rFonts w:ascii="Calibri" w:hAnsi="Calibri"/>
                <w:b/>
                <w:i w:val="0"/>
                <w:color w:val="212121"/>
                <w:sz w:val="19"/>
              </w:rPr>
              <w:t>Rhegmatogenous retinal detachment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Peripheral lattice and vitreoretinal traction raise detachment risk markedly in high myopia (up to roughly 20× that of emmetropes).</w:t>
            </w:r>
          </w:p>
        </w:tc>
      </w:tr>
      <w:tr>
        <w:trPr>
          <w:cantSplit/>
        </w:trPr>
        <w:tc>
          <w:tcPr>
            <w:tcW w:type="dxa" w:w="2232"/>
            <w:vAlign w:val="top"/>
          </w:tcPr>
          <w:p>
            <w:pPr>
              <w:spacing w:after="40" w:before="0" w:line="259" w:lineRule="auto"/>
            </w:pPr>
            <w:r>
              <w:rPr>
                <w:rFonts w:ascii="Calibri" w:hAnsi="Calibri"/>
                <w:b/>
                <w:i w:val="0"/>
                <w:color w:val="212121"/>
                <w:sz w:val="19"/>
              </w:rPr>
              <w:t>Myopic macular degeneration (pathologic myopia)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Atrophic, tractional and neovascular maculopathy; risk rises steeply with axial length (up to ~40× in very long eyes).</w:t>
            </w:r>
          </w:p>
        </w:tc>
      </w:tr>
      <w:tr>
        <w:trPr>
          <w:cantSplit/>
        </w:trPr>
        <w:tc>
          <w:tcPr>
            <w:tcW w:type="dxa" w:w="2232"/>
            <w:vAlign w:val="top"/>
          </w:tcPr>
          <w:p>
            <w:pPr>
              <w:spacing w:after="40" w:before="0" w:line="259" w:lineRule="auto"/>
            </w:pPr>
            <w:r>
              <w:rPr>
                <w:rFonts w:ascii="Calibri" w:hAnsi="Calibri"/>
                <w:b/>
                <w:i w:val="0"/>
                <w:color w:val="212121"/>
                <w:sz w:val="19"/>
              </w:rPr>
              <w:t>Early cataract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Nuclear sclerotic and posterior subcapsular cataract occur earlier in myopes; nuclear sclerosis in turn causes index myopia.</w:t>
            </w:r>
          </w:p>
        </w:tc>
      </w:tr>
      <w:tr>
        <w:trPr>
          <w:cantSplit/>
        </w:trPr>
        <w:tc>
          <w:tcPr>
            <w:tcW w:type="dxa" w:w="2232"/>
            <w:vAlign w:val="top"/>
          </w:tcPr>
          <w:p>
            <w:pPr>
              <w:spacing w:after="40" w:before="0" w:line="259" w:lineRule="auto"/>
            </w:pPr>
            <w:r>
              <w:rPr>
                <w:rFonts w:ascii="Calibri" w:hAnsi="Calibri"/>
                <w:b/>
                <w:i w:val="0"/>
                <w:color w:val="212121"/>
                <w:sz w:val="19"/>
              </w:rPr>
              <w:t>Amblyopia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bilateral or anisometropic childhood myopia can cause reversible-if-treated-early amblyopia.</w:t>
            </w:r>
          </w:p>
        </w:tc>
      </w:tr>
      <w:tr>
        <w:trPr>
          <w:cantSplit/>
        </w:trPr>
        <w:tc>
          <w:tcPr>
            <w:tcW w:type="dxa" w:w="2232"/>
            <w:vAlign w:val="top"/>
          </w:tcPr>
          <w:p>
            <w:pPr>
              <w:spacing w:after="40" w:before="0" w:line="259" w:lineRule="auto"/>
            </w:pPr>
            <w:r>
              <w:rPr>
                <w:rFonts w:ascii="Calibri" w:hAnsi="Calibri"/>
                <w:b/>
                <w:i w:val="0"/>
                <w:color w:val="212121"/>
                <w:sz w:val="19"/>
              </w:rPr>
              <w:t>Intermittent exotropia / binocular-vision anomalies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Myopia is frequently associated with intermittent divergent squint and decompensating exophoria.</w:t>
            </w:r>
          </w:p>
        </w:tc>
      </w:tr>
      <w:tr>
        <w:trPr>
          <w:cantSplit/>
        </w:trPr>
        <w:tc>
          <w:tcPr>
            <w:tcW w:type="dxa" w:w="2232"/>
            <w:vAlign w:val="top"/>
          </w:tcPr>
          <w:p>
            <w:pPr>
              <w:spacing w:after="40" w:before="0" w:line="259" w:lineRule="auto"/>
            </w:pPr>
            <w:r>
              <w:rPr>
                <w:rFonts w:ascii="Calibri" w:hAnsi="Calibri"/>
                <w:b/>
                <w:i w:val="0"/>
                <w:color w:val="212121"/>
                <w:sz w:val="19"/>
              </w:rPr>
              <w:t>Retinopathy of prematurity (myopia of prematurity)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Preterm birth and treated ROP predispose to early, often high, myopia.</w:t>
            </w:r>
          </w:p>
        </w:tc>
      </w:tr>
      <w:tr>
        <w:trPr>
          <w:cantSplit/>
        </w:trPr>
        <w:tc>
          <w:tcPr>
            <w:tcW w:type="dxa" w:w="2232"/>
            <w:vAlign w:val="top"/>
          </w:tcPr>
          <w:p>
            <w:pPr>
              <w:spacing w:after="40" w:before="0" w:line="259" w:lineRule="auto"/>
            </w:pPr>
            <w:r>
              <w:rPr>
                <w:rFonts w:ascii="Calibri" w:hAnsi="Calibri"/>
                <w:b/>
                <w:i w:val="0"/>
                <w:color w:val="212121"/>
                <w:sz w:val="19"/>
              </w:rPr>
              <w:t>Connective-tissue &amp; chromosomal syndromes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Stickler, Marfan and Down syndromes feature high myopia with elevated retinal-detachment and lens-dislocation risk.</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Hyperglycaemia causes transient osmotic (index) myopia and accelerates cataract; refraction fluctuates with glucose control.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spend at least 90–120 minutes a day outdoors in daylight — the single most effective preventive measure against myopia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20-20-20 rule during near work: every 20 minutes, look at something ~20 feet (6 m) away for 20 seconds.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comfortable reading/working distance of at least 30–40 cm and avoid reading while lying down or in dim light.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recreational screen time (especially close hand-held devices) and ensure good task lighting (≥ 500 lux) for study.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school vision screening and periodic eye examinations; watch for squinting, sitting close, or falling grades as early clues.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of high myopia (sudden floaters, flashes, a curtain over vision) and seek same-day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of myopic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private-school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teachers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daily outdoor play and sports in natural light over indoor screen-based recreation.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outdoor breaks during long study or coaching sessions rather than switching to another near-screen task.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outdoor time into the school day (assemblies, PE, outdoor lessons) for children with limited home opportunity.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intense academic schedules with structured daylight activity throughout the week.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Coaching/tuition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Indoor-bound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myopia fully and promptly with well-fitted spectacles or contact lenses to restore function and prevent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progressing children, use evidence-based myopia control — low-dose (0.01–0.05%) atropine, orthokeratology, or myopia-control (defocus) spectacles/contact lenses.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progression with cycloplegic refraction and axial-length biometry, escalating therapy if progression ≥ 1.00 D/year.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high myopes for baseline and periodic dilated retinal examination and OCT to detect sight-threatening changes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Defer laser refractive surgery (LASIK/PRK/SMILE) until refraction is stable, typically age 18–21.</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myopes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High/pathologic myopes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 &amp; ortho-K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rich in vegetables, fruit and whole grains; moderate refined-carbohydrate and sugary intake (the diet–myopia link is preliminary).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Meet vitamin D and general micronutrient needs mainly through a healthy diet plus adequate safe daylight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framing diet as a substitute for the proven levers — outdoor time and sensible near-work habits.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sleep — about 9–11 hours for school-age children and 7–9 hours for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consistent bedtime and remove close-range screens for at least an hour before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sleep from being eroded by late-night study or device use, which also increases near-work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children’s environments smoke-free; while the direct myopia link is unproven, tobacco harms overall ocular and systemic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should avoid smoking to protect long-term retinal and macular health, particularly high myopes already at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myopes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academic pressure so that study is balanced with outdoor breaks and rest rather than continuous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children coping with new spectacle wear or progressive myopia to sustain adherence and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healthy study–play balance in high-pressure exam and coaching environments common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Exam-stressed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myopes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specific alcohol restriction applies to myopia; adults should follow general moderation guidance for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3075102/" TargetMode="External"/><Relationship Id="rId10" Type="http://schemas.openxmlformats.org/officeDocument/2006/relationships/hyperlink" Target="https://pubmed.ncbi.nlm.nih.gov/35918969/" TargetMode="External"/><Relationship Id="rId11" Type="http://schemas.openxmlformats.org/officeDocument/2006/relationships/hyperlink" Target="https://www.ncbi.nlm.nih.gov/books/NBK580529/" TargetMode="External"/><Relationship Id="rId12" Type="http://schemas.openxmlformats.org/officeDocument/2006/relationships/hyperlink" Target="https://pubmed.ncbi.nlm.nih.gov/29682791/" TargetMode="External"/><Relationship Id="rId13" Type="http://schemas.openxmlformats.org/officeDocument/2006/relationships/hyperlink" Target="https://pubmed.ncbi.nlm.nih.gov/35019150/" TargetMode="External"/><Relationship Id="rId14" Type="http://schemas.openxmlformats.org/officeDocument/2006/relationships/hyperlink" Target="https://pubmed.ncbi.nlm.nih.gov/36562766/" TargetMode="External"/><Relationship Id="rId15" Type="http://schemas.openxmlformats.org/officeDocument/2006/relationships/hyperlink" Target="https://www.nei.nih.gov/learn-about-eye-health/eye-conditions-and-diseases/nearsightedness-myopia" TargetMode="External"/><Relationship Id="rId16" Type="http://schemas.openxmlformats.org/officeDocument/2006/relationships/hyperlink" Target="https://www.aao.org/eye-health/diseases/myopia-nearsightedness" TargetMode="External"/><Relationship Id="rId17" Type="http://schemas.openxmlformats.org/officeDocument/2006/relationships/hyperlink" Target="https://pubmed.ncbi.nlm.nih.gov/41109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