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Astigmatism</w:t>
      </w:r>
    </w:p>
    <w:p>
      <w:pPr>
        <w:spacing w:before="0" w:after="160"/>
      </w:pPr>
      <w:r>
        <w:rPr>
          <w:rFonts w:ascii="Calibri" w:hAnsi="Calibri"/>
          <w:b/>
          <w:i w:val="0"/>
          <w:color w:val="212121"/>
          <w:sz w:val="22"/>
        </w:rPr>
        <w:t xml:space="preserve">AKA </w:t>
      </w:r>
      <w:r>
        <w:rPr>
          <w:rFonts w:ascii="Calibri" w:hAnsi="Calibri"/>
          <w:b w:val="0"/>
          <w:i w:val="0"/>
          <w:color w:val="212121"/>
          <w:sz w:val="22"/>
        </w:rPr>
        <w:t>i.e., Cylindrical error, Cylindrical refractive error, “oval-eye” blur, distorted or blurred vision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Astigmatism is a common refractive error in which the cornea or the crystalline lens is curved unequally in its different meridians (a “toric” rather than perfectly spherical surface), so that light entering the eye is focused at two or more points instead of a single point on the retina. This produces vision that is blurred or distorted at all distances, often with eye strain and headache. It frequently coexists with myopia or hyperopia and may be regular (correctable with cylindrical lenses) or irregular (as in keratoconus or corneal scarring, needing rigid/scleral lenses or surgery).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Astigmatism is one of the commonest refractive errors worldwide, with pooled estimates of clinically significant astigmatism (≥ 1.00 DC) of roughly 10% in children. In India, uncorrected refractive error is the single largest cause of avoidable visual impairment; school-based surveys report refractive error as the cause of 60–82% of childhood vision impairment. Among Indian adults aged 40 years and above presenting for cataract surgery, corneal astigmatism is almost universal (about 89%), and roughly two-thirds have clinically significant (≥ 1.0 D) astigmatism that must be planned for surgically.</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Astigmatism is diagnosed clinically by demonstrating a meridian-dependent refractive error that is corrected by a cylindrical lens, and is quantified by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reduced uncorrected visual acuity that improves with a pinhole and is fully corrected by a cylindrical (± spherical) lens;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objective retinoscopy showing a “scissoring” reflex and different neutralising powers in the two principal meridians;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subjective refraction / autorefraction yielding a cylinder power (dioptres cylinder, DC) and an axis (0–180°); clinically significant astigmatism is generally ≥ 0.75–1.00 DC;</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keratometry (unequal K readings in the two principal meridians) confirming corneal, i.e. toric, curvature;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cycloplegic refraction in children to unmask latent astigmatism and to detect amblyogenic errors (≥ 1.5 DC, or anisometropia ≥ 1.5 D between the eyes);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corneal topography / tomography (Placido or Scheimpflug) to distinguish regular from irregular astigmatism and to screen for keratoconus.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Astigmatism is classified along several complementary axes — by the structure responsible, by regularity, by the orientation of the steep meridian, and by the associated spherical error:</w:t>
      </w:r>
    </w:p>
    <w:p>
      <w:pPr>
        <w:spacing w:before="0" w:after="80"/>
      </w:pPr>
      <w:r>
        <w:rPr>
          <w:rFonts w:ascii="Calibri" w:hAnsi="Calibri"/>
          <w:b w:val="0"/>
          <w:i w:val="0"/>
          <w:color w:val="212121"/>
          <w:sz w:val="21"/>
        </w:rPr>
        <w:t>(1) By source: corneal astigmatism, arising from unequal anterior (or posterior) corneal curvature and by far the commonest form, versus lenticular (internal) astigmatism arising from the crystalline lens;</w:t>
      </w:r>
    </w:p>
    <w:p>
      <w:pPr>
        <w:spacing w:before="0" w:after="80"/>
      </w:pPr>
      <w:r>
        <w:rPr>
          <w:rFonts w:ascii="Calibri" w:hAnsi="Calibri"/>
          <w:b w:val="0"/>
          <w:i w:val="0"/>
          <w:color w:val="212121"/>
          <w:sz w:val="21"/>
        </w:rPr>
        <w:t>(2) By regularity: regular astigmatism, in which the two principal meridians are 90° apart and fully correctable with a cylindrical spectacle lens, versus irregular astigmatism (meridians not orthogonal — e.g. keratoconus, corneal scarring, post-surgical), which requires rigid gas-permeable/scleral contact lenses or surgery;</w:t>
      </w:r>
    </w:p>
    <w:p>
      <w:pPr>
        <w:spacing w:before="0" w:after="80"/>
      </w:pPr>
      <w:r>
        <w:rPr>
          <w:rFonts w:ascii="Calibri" w:hAnsi="Calibri"/>
          <w:b w:val="0"/>
          <w:i w:val="0"/>
          <w:color w:val="212121"/>
          <w:sz w:val="21"/>
        </w:rPr>
        <w:t>(3) By orientation of the steep meridian: with-the-rule (steep vertical meridian near 90°, typical of children and young adults), against-the-rule (steep horizontal meridian near 180°, increasingly common with age and after cataract surgery), and oblique astigmatism;</w:t>
      </w:r>
    </w:p>
    <w:p>
      <w:pPr>
        <w:spacing w:before="0" w:after="80"/>
      </w:pPr>
      <w:r>
        <w:rPr>
          <w:rFonts w:ascii="Calibri" w:hAnsi="Calibri"/>
          <w:b w:val="0"/>
          <w:i w:val="0"/>
          <w:color w:val="212121"/>
          <w:sz w:val="21"/>
        </w:rPr>
        <w:t>(4) By refractive combination: simple myopic, simple hyperopic, compound myopic, compound hyperopic, and mixed astigmatism, depending on where the two focal lines fall relative to the retina.</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Genetic/hereditary predisposition: Astigmatism is highly heritable — a parent with astigmatism markedly raises a child's risk, and genome-wide studies (CREAM consortium) have mapped multiple corneal-curvature and astigmatism loci.</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Corneal shape variation and ectasia: Keratoconus and other corneal ectatic disorders progressively steepen and distort the cornea, producing worsening irregular astigmatism.</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Eyelid mechanical pressure: Congenital ptosis, large chalazia, lid capillary haemangiomas and congenital entropion indent the cornea and induce astigmatism, especially in children.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Corneal scarring: Trauma, microbial keratitis, healed corneal ulcers and vitamin-A-deficiency xerophthalmia leave irregular corneal scars that distort curvature.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Ocular surgery: Cataract incisions, corneal grafts (keratoplasty) and refractive procedures create surgically induced astigmatism.</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Lens and developmental factors: Cataract and lens subluxation add lenticular astigmatism, while high infantile astigmatism that normally reduces with emmetropization may persist.</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Infants &amp; young children</w:t>
            </w:r>
          </w:p>
        </w:tc>
        <w:tc>
          <w:tcPr>
            <w:tcW w:type="dxa" w:w="4276"/>
            <w:vAlign w:val="top"/>
          </w:tcPr>
          <w:p>
            <w:pPr>
              <w:spacing w:after="60" w:line="259" w:lineRule="auto"/>
            </w:pPr>
            <w:r>
              <w:rPr>
                <w:rFonts w:ascii="Calibri" w:hAnsi="Calibri"/>
                <w:b w:val="0"/>
                <w:i w:val="0"/>
                <w:color w:val="212121"/>
                <w:sz w:val="19"/>
              </w:rPr>
              <w:t>Newborns often show relatively high physiological astigmatism that usually decreases with emmetropization by age 4–6 years. When high or anisometropic astigmatism persists through this critical period it blurs the retinal image in one meridian and can cause meridional (refractive) amblyopia.</w:t>
            </w:r>
          </w:p>
          <w:p>
            <w:pPr>
              <w:spacing w:after="40" w:before="60" w:line="259" w:lineRule="auto"/>
            </w:pPr>
            <w:r>
              <w:rPr>
                <w:rFonts w:ascii="Calibri" w:hAnsi="Calibri"/>
                <w:b w:val="0"/>
                <w:i w:val="0"/>
                <w:color w:val="212121"/>
                <w:sz w:val="19"/>
              </w:rPr>
              <w:t>Astigmatism is a recognised risk factor for both amblyopia and later myopia in children.</w:t>
            </w:r>
          </w:p>
          <w:p>
            <w:pPr>
              <w:spacing w:after="40" w:line="252" w:lineRule="auto"/>
            </w:pPr>
            <w:hyperlink r:id="rId9">
              <w:r>
                <w:rPr>
                  <w:rFonts w:ascii="Calibri" w:hAnsi="Calibri" w:cs="Calibri"/>
                  <w:sz w:val="18"/>
                  <w:color w:val="1155CC"/>
                  <w:u w:val="single"/>
                </w:rPr>
                <w:t xml:space="preserve">doi.org — astigmatism axis subtypes (RF for amblyopia/myopia)</w:t>
              </w:r>
            </w:hyperlink>
          </w:p>
          <w:p>
            <w:pPr>
              <w:spacing w:before="60" w:after="40"/>
            </w:pPr>
            <w:r>
              <w:rPr>
                <w:rFonts w:ascii="Calibri" w:hAnsi="Calibri"/>
                <w:b w:val="0"/>
                <w:i w:val="0"/>
                <w:color w:val="5A5A5A"/>
                <w:sz w:val="18"/>
              </w:rPr>
              <w:t>#astigmatism  #amblyopia  #emmetropization  #pediatriceye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School-aged children &amp; adolescents</w:t>
            </w:r>
          </w:p>
        </w:tc>
        <w:tc>
          <w:tcPr>
            <w:tcW w:type="dxa" w:w="4276"/>
            <w:vAlign w:val="top"/>
          </w:tcPr>
          <w:p>
            <w:pPr>
              <w:spacing w:after="60" w:line="259" w:lineRule="auto"/>
            </w:pPr>
            <w:r>
              <w:rPr>
                <w:rFonts w:ascii="Calibri" w:hAnsi="Calibri"/>
                <w:b w:val="0"/>
                <w:i w:val="0"/>
                <w:color w:val="212121"/>
                <w:sz w:val="19"/>
              </w:rPr>
              <w:t>Clinically significant astigmatism is common in school children and, when uncorrected, degrades acuity for the blackboard and books, causing squinting, headaches and underperformance that are easily reversed with spectacles.</w:t>
            </w:r>
          </w:p>
          <w:p>
            <w:pPr>
              <w:spacing w:after="40" w:before="60" w:line="259" w:lineRule="auto"/>
            </w:pPr>
            <w:r>
              <w:rPr>
                <w:rFonts w:ascii="Calibri" w:hAnsi="Calibri"/>
                <w:b w:val="0"/>
                <w:i w:val="0"/>
                <w:color w:val="212121"/>
                <w:sz w:val="19"/>
              </w:rPr>
              <w:t>Pooled prevalence of clinically significant astigmatism (≥ 1.00 DC) in children is about 10.3%.</w:t>
            </w:r>
          </w:p>
          <w:p>
            <w:pPr>
              <w:spacing w:after="40" w:line="252" w:lineRule="auto"/>
            </w:pPr>
            <w:hyperlink r:id="rId10">
              <w:r>
                <w:rPr>
                  <w:rFonts w:ascii="Calibri" w:hAnsi="Calibri" w:cs="Calibri"/>
                  <w:sz w:val="18"/>
                  <w:color w:val="1155CC"/>
                  <w:u w:val="single"/>
                </w:rPr>
                <w:t xml:space="preserve">journals.plos.org — childhood astigmatism meta-analysis</w:t>
              </w:r>
            </w:hyperlink>
          </w:p>
          <w:p>
            <w:pPr>
              <w:spacing w:before="60" w:after="40"/>
            </w:pPr>
            <w:r>
              <w:rPr>
                <w:rFonts w:ascii="Calibri" w:hAnsi="Calibri"/>
                <w:b w:val="0"/>
                <w:i w:val="0"/>
                <w:color w:val="5A5A5A"/>
                <w:sz w:val="18"/>
              </w:rPr>
              <w:t>#schoolvision  #refractiveerror  #uncorrected  #learning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60 years)</w:t>
            </w:r>
          </w:p>
        </w:tc>
        <w:tc>
          <w:tcPr>
            <w:tcW w:type="dxa" w:w="4276"/>
            <w:vAlign w:val="top"/>
          </w:tcPr>
          <w:p>
            <w:pPr>
              <w:spacing w:after="60" w:line="259" w:lineRule="auto"/>
            </w:pPr>
            <w:r>
              <w:rPr>
                <w:rFonts w:ascii="Calibri" w:hAnsi="Calibri"/>
                <w:b w:val="0"/>
                <w:i w:val="0"/>
                <w:color w:val="212121"/>
                <w:sz w:val="19"/>
              </w:rPr>
              <w:t>With ageing, corneal astigmatism tends to shift from with-the-rule toward against-the-rule, and developing cataract adds lenticular astigmatism — so total astigmatism rises and complicates spectacle and intra-ocular-lens correction.</w:t>
            </w:r>
          </w:p>
          <w:p>
            <w:pPr>
              <w:spacing w:after="40" w:before="60" w:line="259" w:lineRule="auto"/>
            </w:pPr>
            <w:r>
              <w:rPr>
                <w:rFonts w:ascii="Calibri" w:hAnsi="Calibri"/>
                <w:b w:val="0"/>
                <w:i w:val="0"/>
                <w:color w:val="212121"/>
                <w:sz w:val="19"/>
              </w:rPr>
              <w:t>Corneal astigmatism was present in 89.4% of Indian cataract-surgery candidates aged ≥ 40 y, with 68.1% ≥ 1.0 D.</w:t>
            </w:r>
          </w:p>
          <w:p>
            <w:pPr>
              <w:spacing w:after="40" w:line="252" w:lineRule="auto"/>
            </w:pPr>
            <w:hyperlink r:id="rId11">
              <w:r>
                <w:rPr>
                  <w:rFonts w:ascii="Calibri" w:hAnsi="Calibri" w:cs="Calibri"/>
                  <w:sz w:val="18"/>
                  <w:color w:val="1155CC"/>
                  <w:u w:val="single"/>
                </w:rPr>
                <w:t xml:space="preserve">pmc.ncbi.nlm.nih.gov — corneal astigmatism, Indian cataract patients</w:t>
              </w:r>
            </w:hyperlink>
          </w:p>
          <w:p>
            <w:pPr>
              <w:spacing w:before="60" w:after="40"/>
            </w:pPr>
            <w:r>
              <w:rPr>
                <w:rFonts w:ascii="Calibri" w:hAnsi="Calibri"/>
                <w:b w:val="0"/>
                <w:i w:val="0"/>
                <w:color w:val="5A5A5A"/>
                <w:sz w:val="18"/>
              </w:rPr>
              <w:t>#againsttherule  #cataract  #toricIOL  #ageing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Both sexes (small, variable difference)</w:t>
            </w:r>
          </w:p>
        </w:tc>
        <w:tc>
          <w:tcPr>
            <w:tcW w:type="dxa" w:w="4276"/>
            <w:vAlign w:val="top"/>
          </w:tcPr>
          <w:p>
            <w:pPr>
              <w:spacing w:after="60" w:line="259" w:lineRule="auto"/>
            </w:pPr>
            <w:r>
              <w:rPr>
                <w:rFonts w:ascii="Calibri" w:hAnsi="Calibri"/>
                <w:b w:val="0"/>
                <w:i w:val="0"/>
                <w:color w:val="212121"/>
                <w:sz w:val="19"/>
              </w:rPr>
              <w:t>Astigmatism affects males and females at broadly similar rates; population and clinic studies report only small and inconsistent sex differences in magnitude and axis, so sex is a weak predictor compared with age and heredity.</w:t>
            </w:r>
          </w:p>
          <w:p>
            <w:pPr>
              <w:spacing w:after="40" w:before="60" w:line="259" w:lineRule="auto"/>
            </w:pPr>
            <w:r>
              <w:rPr>
                <w:rFonts w:ascii="Calibri" w:hAnsi="Calibri"/>
                <w:b w:val="0"/>
                <w:i w:val="0"/>
                <w:color w:val="212121"/>
                <w:sz w:val="19"/>
              </w:rPr>
              <w:t>No consistent sex difference is seen; large meta-analyses report no significant sex effect on astigmatism prevalence.</w:t>
            </w:r>
          </w:p>
          <w:p>
            <w:pPr>
              <w:spacing w:after="40" w:line="252" w:lineRule="auto"/>
            </w:pPr>
            <w:hyperlink r:id="rId10">
              <w:r>
                <w:rPr>
                  <w:rFonts w:ascii="Calibri" w:hAnsi="Calibri" w:cs="Calibri"/>
                  <w:sz w:val="18"/>
                  <w:color w:val="1155CC"/>
                  <w:u w:val="single"/>
                </w:rPr>
                <w:t xml:space="preserve">journals.plos.org — no significant sex difference</w:t>
              </w:r>
            </w:hyperlink>
          </w:p>
          <w:p>
            <w:pPr>
              <w:spacing w:before="60" w:after="40"/>
            </w:pPr>
            <w:r>
              <w:rPr>
                <w:rFonts w:ascii="Calibri" w:hAnsi="Calibri"/>
                <w:b w:val="0"/>
                <w:i w:val="0"/>
                <w:color w:val="5A5A5A"/>
                <w:sz w:val="18"/>
              </w:rPr>
              <w:t>#sex  #refraction  #epidemiology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Ethnicity</w:t>
            </w:r>
          </w:p>
        </w:tc>
        <w:tc>
          <w:tcPr>
            <w:tcW w:type="dxa" w:w="2160"/>
            <w:vAlign w:val="top"/>
          </w:tcPr>
          <w:p>
            <w:pPr>
              <w:spacing w:after="40" w:before="0" w:line="259" w:lineRule="auto"/>
            </w:pPr>
            <w:r>
              <w:rPr>
                <w:rFonts w:ascii="Calibri" w:hAnsi="Calibri"/>
                <w:b w:val="0"/>
                <w:i w:val="0"/>
                <w:color w:val="212121"/>
                <w:sz w:val="19"/>
              </w:rPr>
              <w:t>Urban Indian school children (e.g., New Delhi)</w:t>
            </w:r>
          </w:p>
        </w:tc>
        <w:tc>
          <w:tcPr>
            <w:tcW w:type="dxa" w:w="4276"/>
            <w:vAlign w:val="top"/>
          </w:tcPr>
          <w:p>
            <w:pPr>
              <w:spacing w:after="60" w:line="259" w:lineRule="auto"/>
            </w:pPr>
            <w:r>
              <w:rPr>
                <w:rFonts w:ascii="Calibri" w:hAnsi="Calibri"/>
                <w:b w:val="0"/>
                <w:i w:val="0"/>
                <w:color w:val="212121"/>
                <w:sz w:val="19"/>
              </w:rPr>
              <w:t>Urban Indian children carry a substantial burden of refractive error, and much of the associated vision loss is simply uncorrected — amenable to spectacles. Astigmatism frequently accompanies the myopia and hyperopia documented in these surveys.</w:t>
            </w:r>
          </w:p>
          <w:p>
            <w:pPr>
              <w:spacing w:after="40" w:before="60" w:line="259" w:lineRule="auto"/>
            </w:pPr>
            <w:r>
              <w:rPr>
                <w:rFonts w:ascii="Calibri" w:hAnsi="Calibri"/>
                <w:b w:val="0"/>
                <w:i w:val="0"/>
                <w:color w:val="212121"/>
                <w:sz w:val="19"/>
              </w:rPr>
              <w:t>In urban New Delhi children, refractive error caused 81.7% of vision impairment and amblyopia 4.4%; myopia 7.4%, hyperopia 7.7%.</w:t>
            </w:r>
          </w:p>
          <w:p>
            <w:pPr>
              <w:spacing w:after="40" w:line="252" w:lineRule="auto"/>
            </w:pPr>
            <w:hyperlink r:id="rId12">
              <w:r>
                <w:rPr>
                  <w:rFonts w:ascii="Calibri" w:hAnsi="Calibri" w:cs="Calibri"/>
                  <w:sz w:val="18"/>
                  <w:color w:val="1155CC"/>
                  <w:u w:val="single"/>
                </w:rPr>
                <w:t xml:space="preserve">pubmed.ncbi.nlm.nih.gov — RESC urban New Delhi</w:t>
              </w:r>
            </w:hyperlink>
          </w:p>
          <w:p>
            <w:pPr>
              <w:spacing w:before="60" w:after="40"/>
            </w:pPr>
            <w:r>
              <w:rPr>
                <w:rFonts w:ascii="Calibri" w:hAnsi="Calibri"/>
                <w:b w:val="0"/>
                <w:i w:val="0"/>
                <w:color w:val="5A5A5A"/>
                <w:sz w:val="18"/>
              </w:rPr>
              <w:t>#India  #urban  #refractiveerror  #RESC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Access</w:t>
            </w:r>
          </w:p>
        </w:tc>
        <w:tc>
          <w:tcPr>
            <w:tcW w:type="dxa" w:w="2160"/>
            <w:vAlign w:val="top"/>
          </w:tcPr>
          <w:p>
            <w:pPr>
              <w:spacing w:after="40" w:before="0" w:line="259" w:lineRule="auto"/>
            </w:pPr>
            <w:r>
              <w:rPr>
                <w:rFonts w:ascii="Calibri" w:hAnsi="Calibri"/>
                <w:b w:val="0"/>
                <w:i w:val="0"/>
                <w:color w:val="212121"/>
                <w:sz w:val="19"/>
              </w:rPr>
              <w:t>Rural India (limited eye-care access)</w:t>
            </w:r>
          </w:p>
        </w:tc>
        <w:tc>
          <w:tcPr>
            <w:tcW w:type="dxa" w:w="4276"/>
            <w:vAlign w:val="top"/>
          </w:tcPr>
          <w:p>
            <w:pPr>
              <w:spacing w:after="60" w:line="259" w:lineRule="auto"/>
            </w:pPr>
            <w:r>
              <w:rPr>
                <w:rFonts w:ascii="Calibri" w:hAnsi="Calibri"/>
                <w:b w:val="0"/>
                <w:i w:val="0"/>
                <w:color w:val="212121"/>
                <w:sz w:val="19"/>
              </w:rPr>
              <w:t>Rural children have lower myopia but poorer access to eye examinations and spectacles, so uncorrected astigmatism and refractive error persist and remain a leading cause of avoidable childhood vision impairment.</w:t>
            </w:r>
          </w:p>
          <w:p>
            <w:pPr>
              <w:spacing w:after="40" w:before="60" w:line="259" w:lineRule="auto"/>
            </w:pPr>
            <w:r>
              <w:rPr>
                <w:rFonts w:ascii="Calibri" w:hAnsi="Calibri"/>
                <w:b w:val="0"/>
                <w:i w:val="0"/>
                <w:color w:val="212121"/>
                <w:sz w:val="19"/>
              </w:rPr>
              <w:t>In rural Andhra Pradesh, refractive error caused 61% of childhood vision impairment (myopia 4.1%, hyperopia 0.8%).</w:t>
            </w:r>
          </w:p>
          <w:p>
            <w:pPr>
              <w:spacing w:after="40" w:line="252" w:lineRule="auto"/>
            </w:pPr>
            <w:hyperlink r:id="rId13">
              <w:r>
                <w:rPr>
                  <w:rFonts w:ascii="Calibri" w:hAnsi="Calibri" w:cs="Calibri"/>
                  <w:sz w:val="18"/>
                  <w:color w:val="1155CC"/>
                  <w:u w:val="single"/>
                </w:rPr>
                <w:t xml:space="preserve">pubmed.ncbi.nlm.nih.gov — RESC rural Andhra Pradesh</w:t>
              </w:r>
            </w:hyperlink>
          </w:p>
          <w:p>
            <w:pPr>
              <w:spacing w:before="60" w:after="40"/>
            </w:pPr>
            <w:r>
              <w:rPr>
                <w:rFonts w:ascii="Calibri" w:hAnsi="Calibri"/>
                <w:b w:val="0"/>
                <w:i w:val="0"/>
                <w:color w:val="5A5A5A"/>
                <w:sz w:val="18"/>
              </w:rPr>
              <w:t>#rural  #spectacleaccess  #avoidable  #India</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Screen / near-work exposure</w:t>
            </w:r>
          </w:p>
        </w:tc>
        <w:tc>
          <w:tcPr>
            <w:tcW w:type="dxa" w:w="2160"/>
            <w:vAlign w:val="top"/>
          </w:tcPr>
          <w:p>
            <w:pPr>
              <w:spacing w:after="40" w:before="0" w:line="259" w:lineRule="auto"/>
            </w:pPr>
            <w:r>
              <w:rPr>
                <w:rFonts w:ascii="Calibri" w:hAnsi="Calibri"/>
                <w:b w:val="0"/>
                <w:i w:val="0"/>
                <w:color w:val="212121"/>
                <w:sz w:val="19"/>
              </w:rPr>
              <w:t>Students &amp; IT/desk workers with heavy screen time</w:t>
            </w:r>
          </w:p>
        </w:tc>
        <w:tc>
          <w:tcPr>
            <w:tcW w:type="dxa" w:w="4276"/>
            <w:vAlign w:val="top"/>
          </w:tcPr>
          <w:p>
            <w:pPr>
              <w:spacing w:after="60" w:line="259" w:lineRule="auto"/>
            </w:pPr>
            <w:r>
              <w:rPr>
                <w:rFonts w:ascii="Calibri" w:hAnsi="Calibri"/>
                <w:b w:val="0"/>
                <w:i w:val="0"/>
                <w:color w:val="212121"/>
                <w:sz w:val="19"/>
              </w:rPr>
              <w:t>Prolonged screen and near work does not itself create astigmatism, but any uncorrected astigmatism greatly amplifies digital eye strain — blur, headache, watering and fatigue — because the eye must constantly refocus a distorted image.</w:t>
            </w:r>
          </w:p>
          <w:p>
            <w:pPr>
              <w:spacing w:after="40" w:before="60" w:line="259" w:lineRule="auto"/>
            </w:pPr>
            <w:r>
              <w:rPr>
                <w:rFonts w:ascii="Calibri" w:hAnsi="Calibri"/>
                <w:b w:val="0"/>
                <w:i w:val="0"/>
                <w:color w:val="212121"/>
                <w:sz w:val="19"/>
              </w:rPr>
              <w:t>Digital eye strain is highly prevalent among Indian university students in the post-COVID era and correlates with screen time.</w:t>
            </w:r>
          </w:p>
          <w:p>
            <w:pPr>
              <w:spacing w:after="40" w:line="252" w:lineRule="auto"/>
            </w:pPr>
            <w:hyperlink r:id="rId14">
              <w:r>
                <w:rPr>
                  <w:rFonts w:ascii="Calibri" w:hAnsi="Calibri" w:cs="Calibri"/>
                  <w:sz w:val="18"/>
                  <w:color w:val="1155CC"/>
                  <w:u w:val="single"/>
                </w:rPr>
                <w:t xml:space="preserve">pmc.ncbi.nlm.nih.gov — digital eye strain, Indian students</w:t>
              </w:r>
            </w:hyperlink>
          </w:p>
          <w:p>
            <w:pPr>
              <w:spacing w:before="60" w:after="40"/>
            </w:pPr>
            <w:r>
              <w:rPr>
                <w:rFonts w:ascii="Calibri" w:hAnsi="Calibri"/>
                <w:b w:val="0"/>
                <w:i w:val="0"/>
                <w:color w:val="5A5A5A"/>
                <w:sz w:val="18"/>
              </w:rPr>
              <w:t>#screentime  #digitaleyestrain  #asthenopia  #20-20-20</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Eye rubbing (atopy/allergy)</w:t>
            </w:r>
          </w:p>
        </w:tc>
        <w:tc>
          <w:tcPr>
            <w:tcW w:type="dxa" w:w="2160"/>
            <w:vAlign w:val="top"/>
          </w:tcPr>
          <w:p>
            <w:pPr>
              <w:spacing w:after="40" w:before="0" w:line="259" w:lineRule="auto"/>
            </w:pPr>
            <w:r>
              <w:rPr>
                <w:rFonts w:ascii="Calibri" w:hAnsi="Calibri"/>
                <w:b w:val="0"/>
                <w:i w:val="0"/>
                <w:color w:val="212121"/>
                <w:sz w:val="19"/>
              </w:rPr>
              <w:t>Children/adults with allergic or vernal keratoconjunctivitis</w:t>
            </w:r>
          </w:p>
        </w:tc>
        <w:tc>
          <w:tcPr>
            <w:tcW w:type="dxa" w:w="4276"/>
            <w:vAlign w:val="top"/>
          </w:tcPr>
          <w:p>
            <w:pPr>
              <w:spacing w:after="60" w:line="259" w:lineRule="auto"/>
            </w:pPr>
            <w:r>
              <w:rPr>
                <w:rFonts w:ascii="Calibri" w:hAnsi="Calibri"/>
                <w:b w:val="0"/>
                <w:i w:val="0"/>
                <w:color w:val="212121"/>
                <w:sz w:val="19"/>
              </w:rPr>
              <w:t>Habitual vigorous eye rubbing — common in allergic and vernal keratoconjunctivitis, which is frequent in India's hot, dusty climate — mechanically weakens the cornea and is a major driver of keratoconus and progressive irregular astigmatism.</w:t>
            </w:r>
          </w:p>
          <w:p>
            <w:pPr>
              <w:spacing w:after="40" w:before="60" w:line="259" w:lineRule="auto"/>
            </w:pPr>
            <w:r>
              <w:rPr>
                <w:rFonts w:ascii="Calibri" w:hAnsi="Calibri"/>
                <w:b w:val="0"/>
                <w:i w:val="0"/>
                <w:color w:val="212121"/>
                <w:sz w:val="19"/>
              </w:rPr>
              <w:t>Stopping eye rubbing, alongside corneal cross-linking, is a cornerstone of halting keratoconus progression.</w:t>
            </w:r>
          </w:p>
          <w:p>
            <w:pPr>
              <w:spacing w:after="40" w:line="252" w:lineRule="auto"/>
            </w:pPr>
            <w:hyperlink r:id="rId15">
              <w:r>
                <w:rPr>
                  <w:rFonts w:ascii="Calibri" w:hAnsi="Calibri" w:cs="Calibri"/>
                  <w:sz w:val="18"/>
                  <w:color w:val="1155CC"/>
                  <w:u w:val="single"/>
                </w:rPr>
                <w:t xml:space="preserve">pmc.ncbi.nlm.nih.gov — keratoconus &amp; eye rubbing</w:t>
              </w:r>
            </w:hyperlink>
          </w:p>
          <w:p>
            <w:pPr>
              <w:spacing w:before="60" w:after="40"/>
            </w:pPr>
            <w:r>
              <w:rPr>
                <w:rFonts w:ascii="Calibri" w:hAnsi="Calibri"/>
                <w:b w:val="0"/>
                <w:i w:val="0"/>
                <w:color w:val="5A5A5A"/>
                <w:sz w:val="18"/>
              </w:rPr>
              <w:t>#eyerubbing  #VKC  #keratoconus  #irregularastigmatism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Contact-lens wear / hygiene</w:t>
            </w:r>
          </w:p>
        </w:tc>
        <w:tc>
          <w:tcPr>
            <w:tcW w:type="dxa" w:w="2160"/>
            <w:vAlign w:val="top"/>
          </w:tcPr>
          <w:p>
            <w:pPr>
              <w:spacing w:after="40" w:before="0" w:line="259" w:lineRule="auto"/>
            </w:pPr>
            <w:r>
              <w:rPr>
                <w:rFonts w:ascii="Calibri" w:hAnsi="Calibri"/>
                <w:b w:val="0"/>
                <w:i w:val="0"/>
                <w:color w:val="212121"/>
                <w:sz w:val="19"/>
              </w:rPr>
              <w:t>Contact-lens users with poor lens hygiene</w:t>
            </w:r>
          </w:p>
        </w:tc>
        <w:tc>
          <w:tcPr>
            <w:tcW w:type="dxa" w:w="4276"/>
            <w:vAlign w:val="top"/>
          </w:tcPr>
          <w:p>
            <w:pPr>
              <w:spacing w:after="60" w:line="259" w:lineRule="auto"/>
            </w:pPr>
            <w:r>
              <w:rPr>
                <w:rFonts w:ascii="Calibri" w:hAnsi="Calibri"/>
                <w:b w:val="0"/>
                <w:i w:val="0"/>
                <w:color w:val="212121"/>
                <w:sz w:val="19"/>
              </w:rPr>
              <w:t>Overnight or extended wear, tap-water rinsing and poor case hygiene predispose to microbial keratitis; the resulting corneal ulceration and scarring distort curvature and can leave permanent irregular astigmatism.</w:t>
            </w:r>
          </w:p>
          <w:p>
            <w:pPr>
              <w:spacing w:after="40" w:before="60" w:line="259" w:lineRule="auto"/>
            </w:pPr>
            <w:r>
              <w:rPr>
                <w:rFonts w:ascii="Calibri" w:hAnsi="Calibri"/>
                <w:b w:val="0"/>
                <w:i w:val="0"/>
                <w:color w:val="212121"/>
                <w:sz w:val="19"/>
              </w:rPr>
              <w:t>Microbial keratitis with corneal scarring is a recognised cause of acquired irregular astigmatism.</w:t>
            </w:r>
          </w:p>
          <w:p>
            <w:pPr>
              <w:spacing w:before="60" w:after="40"/>
            </w:pPr>
            <w:r>
              <w:rPr>
                <w:rFonts w:ascii="Calibri" w:hAnsi="Calibri"/>
                <w:b w:val="0"/>
                <w:i w:val="0"/>
                <w:color w:val="5A5A5A"/>
                <w:sz w:val="18"/>
              </w:rPr>
              <w:t>#contactlens  #keratitis  #hygiene  #cornealscar</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Vitamin A deficiency</w:t>
            </w:r>
          </w:p>
        </w:tc>
        <w:tc>
          <w:tcPr>
            <w:tcW w:type="dxa" w:w="2160"/>
            <w:vAlign w:val="top"/>
          </w:tcPr>
          <w:p>
            <w:pPr>
              <w:spacing w:after="40" w:before="0" w:line="259" w:lineRule="auto"/>
            </w:pPr>
            <w:r>
              <w:rPr>
                <w:rFonts w:ascii="Calibri" w:hAnsi="Calibri"/>
                <w:b w:val="0"/>
                <w:i w:val="0"/>
                <w:color w:val="212121"/>
                <w:sz w:val="19"/>
              </w:rPr>
              <w:t>Children with dietary vitamin-A deficiency</w:t>
            </w:r>
          </w:p>
        </w:tc>
        <w:tc>
          <w:tcPr>
            <w:tcW w:type="dxa" w:w="4276"/>
            <w:vAlign w:val="top"/>
          </w:tcPr>
          <w:p>
            <w:pPr>
              <w:spacing w:after="60" w:line="259" w:lineRule="auto"/>
            </w:pPr>
            <w:r>
              <w:rPr>
                <w:rFonts w:ascii="Calibri" w:hAnsi="Calibri"/>
                <w:b w:val="0"/>
                <w:i w:val="0"/>
                <w:color w:val="212121"/>
                <w:sz w:val="19"/>
              </w:rPr>
              <w:t>Regular astigmatism has no meaningful dietary cause, but severe vitamin-A deficiency — still seen in parts of India — causes corneal xerosis and keratomalacia; healing leaves irregular corneal scars and astigmatism.</w:t>
            </w:r>
          </w:p>
          <w:p>
            <w:pPr>
              <w:spacing w:after="40" w:before="60" w:line="259" w:lineRule="auto"/>
            </w:pPr>
            <w:r>
              <w:rPr>
                <w:rFonts w:ascii="Calibri" w:hAnsi="Calibri"/>
                <w:b w:val="0"/>
                <w:i w:val="0"/>
                <w:color w:val="212121"/>
                <w:sz w:val="19"/>
              </w:rPr>
              <w:t>Xerophthalmic corneal scarring from vitamin-A deficiency is a preventable cause of irregular astigmatism and childhood blindness.</w:t>
            </w:r>
          </w:p>
          <w:p>
            <w:pPr>
              <w:spacing w:after="40" w:line="252" w:lineRule="auto"/>
            </w:pPr>
            <w:hyperlink r:id="rId16">
              <w:r>
                <w:rPr>
                  <w:rFonts w:ascii="Calibri" w:hAnsi="Calibri" w:cs="Calibri"/>
                  <w:sz w:val="18"/>
                  <w:color w:val="1155CC"/>
                  <w:u w:val="single"/>
                </w:rPr>
                <w:t xml:space="preserve">who.int — vision impairment &amp; avoidable causes</w:t>
              </w:r>
            </w:hyperlink>
          </w:p>
          <w:p>
            <w:pPr>
              <w:spacing w:before="60" w:after="40"/>
            </w:pPr>
            <w:r>
              <w:rPr>
                <w:rFonts w:ascii="Calibri" w:hAnsi="Calibri"/>
                <w:b w:val="0"/>
                <w:i w:val="0"/>
                <w:color w:val="5A5A5A"/>
                <w:sz w:val="18"/>
              </w:rPr>
              <w:t>#vitaminA  #xerophthalmia  #cornealscar  #nutrition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General diet</w:t>
            </w:r>
          </w:p>
        </w:tc>
        <w:tc>
          <w:tcPr>
            <w:tcW w:type="dxa" w:w="2160"/>
            <w:vAlign w:val="top"/>
          </w:tcPr>
          <w:p>
            <w:pPr>
              <w:spacing w:after="40" w:before="0" w:line="259" w:lineRule="auto"/>
            </w:pPr>
            <w:r>
              <w:rPr>
                <w:rFonts w:ascii="Calibri" w:hAnsi="Calibri"/>
                <w:b w:val="0"/>
                <w:i w:val="0"/>
                <w:color w:val="212121"/>
                <w:sz w:val="19"/>
              </w:rPr>
              <w:t>General population (weak link)</w:t>
            </w:r>
          </w:p>
        </w:tc>
        <w:tc>
          <w:tcPr>
            <w:tcW w:type="dxa" w:w="4276"/>
            <w:vAlign w:val="top"/>
          </w:tcPr>
          <w:p>
            <w:pPr>
              <w:spacing w:after="60" w:line="259" w:lineRule="auto"/>
            </w:pPr>
            <w:r>
              <w:rPr>
                <w:rFonts w:ascii="Calibri" w:hAnsi="Calibri"/>
                <w:b w:val="0"/>
                <w:i w:val="0"/>
                <w:color w:val="212121"/>
                <w:sz w:val="19"/>
              </w:rPr>
              <w:t>There is no robust evidence that everyday diet, sugar or specific foods cause or worsen regular astigmatism; it is predominantly a structural and hereditary refractive error rather than a diet-driven one.</w:t>
            </w:r>
          </w:p>
          <w:p>
            <w:pPr>
              <w:spacing w:after="40" w:before="60" w:line="259" w:lineRule="auto"/>
            </w:pPr>
            <w:r>
              <w:rPr>
                <w:rFonts w:ascii="Calibri" w:hAnsi="Calibri"/>
                <w:b w:val="0"/>
                <w:i w:val="0"/>
                <w:color w:val="212121"/>
                <w:sz w:val="19"/>
              </w:rPr>
              <w:t>Dietary factors play a minimal role in the aetiology of regular (non-scarring) astigmatism.</w:t>
            </w:r>
          </w:p>
          <w:p>
            <w:pPr>
              <w:spacing w:before="60" w:after="40"/>
            </w:pPr>
            <w:r>
              <w:rPr>
                <w:rFonts w:ascii="Calibri" w:hAnsi="Calibri"/>
                <w:b w:val="0"/>
                <w:i w:val="0"/>
                <w:color w:val="5A5A5A"/>
                <w:sz w:val="18"/>
              </w:rPr>
              <w:t>#diet  #structural  #refraction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Children of astigmatic/spectacle-wearing parents</w:t>
            </w:r>
          </w:p>
        </w:tc>
        <w:tc>
          <w:tcPr>
            <w:tcW w:type="dxa" w:w="4276"/>
            <w:vAlign w:val="top"/>
          </w:tcPr>
          <w:p>
            <w:pPr>
              <w:spacing w:after="60" w:line="259" w:lineRule="auto"/>
            </w:pPr>
            <w:r>
              <w:rPr>
                <w:rFonts w:ascii="Calibri" w:hAnsi="Calibri"/>
                <w:b w:val="0"/>
                <w:i w:val="0"/>
                <w:color w:val="212121"/>
                <w:sz w:val="19"/>
              </w:rPr>
              <w:t>Astigmatism is strongly familial: parental astigmatism is an established risk factor for childhood astigmatism, reflecting inherited control of corneal curvature and shape.</w:t>
            </w:r>
          </w:p>
          <w:p>
            <w:pPr>
              <w:spacing w:after="40" w:before="60" w:line="259" w:lineRule="auto"/>
            </w:pPr>
            <w:r>
              <w:rPr>
                <w:rFonts w:ascii="Calibri" w:hAnsi="Calibri"/>
                <w:b w:val="0"/>
                <w:i w:val="0"/>
                <w:color w:val="212121"/>
                <w:sz w:val="19"/>
              </w:rPr>
              <w:t>Parental astigmatism is a known risk factor for childhood astigmatism; multiple corneal-curvature genes have been identified.</w:t>
            </w:r>
          </w:p>
          <w:p>
            <w:pPr>
              <w:spacing w:after="40" w:line="252" w:lineRule="auto"/>
            </w:pPr>
            <w:hyperlink r:id="rId17">
              <w:r>
                <w:rPr>
                  <w:rFonts w:ascii="Calibri" w:hAnsi="Calibri" w:cs="Calibri"/>
                  <w:sz w:val="18"/>
                  <w:color w:val="1155CC"/>
                  <w:u w:val="single"/>
                </w:rPr>
                <w:t xml:space="preserve">pmc.ncbi.nlm.nih.gov — gene polymorphisms &amp; childhood astigmatism</w:t>
              </w:r>
            </w:hyperlink>
          </w:p>
          <w:p>
            <w:pPr>
              <w:spacing w:before="60" w:after="40"/>
            </w:pPr>
            <w:r>
              <w:rPr>
                <w:rFonts w:ascii="Calibri" w:hAnsi="Calibri"/>
                <w:b w:val="0"/>
                <w:i w:val="0"/>
                <w:color w:val="5A5A5A"/>
                <w:sz w:val="18"/>
              </w:rPr>
              <w:t>#familyhistory  #heritable  #cornealcurvature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Ancestry / polygenic risk</w:t>
            </w:r>
          </w:p>
        </w:tc>
        <w:tc>
          <w:tcPr>
            <w:tcW w:type="dxa" w:w="2160"/>
            <w:vAlign w:val="top"/>
          </w:tcPr>
          <w:p>
            <w:pPr>
              <w:spacing w:after="40" w:before="0" w:line="259" w:lineRule="auto"/>
            </w:pPr>
            <w:r>
              <w:rPr>
                <w:rFonts w:ascii="Calibri" w:hAnsi="Calibri"/>
                <w:b w:val="0"/>
                <w:i w:val="0"/>
                <w:color w:val="212121"/>
                <w:sz w:val="19"/>
              </w:rPr>
              <w:t>Populations with high polygenic refractive-error risk</w:t>
            </w:r>
          </w:p>
        </w:tc>
        <w:tc>
          <w:tcPr>
            <w:tcW w:type="dxa" w:w="4276"/>
            <w:vAlign w:val="top"/>
          </w:tcPr>
          <w:p>
            <w:pPr>
              <w:spacing w:after="60" w:line="259" w:lineRule="auto"/>
            </w:pPr>
            <w:r>
              <w:rPr>
                <w:rFonts w:ascii="Calibri" w:hAnsi="Calibri"/>
                <w:b w:val="0"/>
                <w:i w:val="0"/>
                <w:color w:val="212121"/>
                <w:sz w:val="19"/>
              </w:rPr>
              <w:t>Refractive errors, including astigmatism, are highly polygenic; large multi-ancestry genome-wide studies have identified hundreds of variants influencing eye growth and corneal shape across ancestries.</w:t>
            </w:r>
          </w:p>
          <w:p>
            <w:pPr>
              <w:spacing w:after="40" w:before="60" w:line="259" w:lineRule="auto"/>
            </w:pPr>
            <w:r>
              <w:rPr>
                <w:rFonts w:ascii="Calibri" w:hAnsi="Calibri"/>
                <w:b w:val="0"/>
                <w:i w:val="0"/>
                <w:color w:val="212121"/>
                <w:sz w:val="19"/>
              </w:rPr>
              <w:t>Cross-ancestry GWAS identified 932 refractive-error-associated variants; REs affect over half the global population.</w:t>
            </w:r>
          </w:p>
          <w:p>
            <w:pPr>
              <w:spacing w:after="40" w:line="252" w:lineRule="auto"/>
            </w:pPr>
            <w:hyperlink r:id="rId18">
              <w:r>
                <w:rPr>
                  <w:rFonts w:ascii="Calibri" w:hAnsi="Calibri" w:cs="Calibri"/>
                  <w:sz w:val="18"/>
                  <w:color w:val="1155CC"/>
                  <w:u w:val="single"/>
                </w:rPr>
                <w:t xml:space="preserve">pmc.ncbi.nlm.nih.gov — multi-ancestry GWAS of refractive error</w:t>
              </w:r>
            </w:hyperlink>
          </w:p>
          <w:p>
            <w:pPr>
              <w:spacing w:before="60" w:after="40"/>
            </w:pPr>
            <w:r>
              <w:rPr>
                <w:rFonts w:ascii="Calibri" w:hAnsi="Calibri"/>
                <w:b w:val="0"/>
                <w:i w:val="0"/>
                <w:color w:val="5A5A5A"/>
                <w:sz w:val="18"/>
              </w:rPr>
              <w:t>#GWAS  #polygenic  #ancestry  #CREAM</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Keratoconus</w:t>
            </w:r>
          </w:p>
        </w:tc>
        <w:tc>
          <w:tcPr>
            <w:tcW w:type="dxa" w:w="2160"/>
            <w:vAlign w:val="top"/>
          </w:tcPr>
          <w:p>
            <w:pPr>
              <w:spacing w:after="40" w:before="0" w:line="259" w:lineRule="auto"/>
            </w:pPr>
            <w:r>
              <w:rPr>
                <w:rFonts w:ascii="Calibri" w:hAnsi="Calibri"/>
                <w:b w:val="0"/>
                <w:i w:val="0"/>
                <w:color w:val="212121"/>
                <w:sz w:val="19"/>
              </w:rPr>
              <w:t>Patients with keratoconus / corneal ectasia</w:t>
            </w:r>
          </w:p>
        </w:tc>
        <w:tc>
          <w:tcPr>
            <w:tcW w:type="dxa" w:w="4276"/>
            <w:vAlign w:val="top"/>
          </w:tcPr>
          <w:p>
            <w:pPr>
              <w:spacing w:after="60" w:line="259" w:lineRule="auto"/>
            </w:pPr>
            <w:r>
              <w:rPr>
                <w:rFonts w:ascii="Calibri" w:hAnsi="Calibri"/>
                <w:b w:val="0"/>
                <w:i w:val="0"/>
                <w:color w:val="212121"/>
                <w:sz w:val="19"/>
              </w:rPr>
              <w:t>Keratoconus is the archetypal cause of progressive irregular astigmatism: the cornea thins and bulges into a cone, producing rapidly changing high astigmatism poorly correctable by spectacles.</w:t>
            </w:r>
          </w:p>
          <w:p>
            <w:pPr>
              <w:spacing w:after="40" w:before="60" w:line="259" w:lineRule="auto"/>
            </w:pPr>
            <w:r>
              <w:rPr>
                <w:rFonts w:ascii="Calibri" w:hAnsi="Calibri"/>
                <w:b w:val="0"/>
                <w:i w:val="0"/>
                <w:color w:val="212121"/>
                <w:sz w:val="19"/>
              </w:rPr>
              <w:t>Keratoconus produces progressive irregular astigmatism; early detection and cross-linking (plus stopping eye rubbing) preserve vision.</w:t>
            </w:r>
          </w:p>
          <w:p>
            <w:pPr>
              <w:spacing w:after="40" w:line="252" w:lineRule="auto"/>
            </w:pPr>
            <w:hyperlink r:id="rId15">
              <w:r>
                <w:rPr>
                  <w:rFonts w:ascii="Calibri" w:hAnsi="Calibri" w:cs="Calibri"/>
                  <w:sz w:val="18"/>
                  <w:color w:val="1155CC"/>
                  <w:u w:val="single"/>
                </w:rPr>
                <w:t xml:space="preserve">pmc.ncbi.nlm.nih.gov — keratoconus early detection</w:t>
              </w:r>
            </w:hyperlink>
          </w:p>
          <w:p>
            <w:pPr>
              <w:spacing w:before="60" w:after="40"/>
            </w:pPr>
            <w:r>
              <w:rPr>
                <w:rFonts w:ascii="Calibri" w:hAnsi="Calibri"/>
                <w:b w:val="0"/>
                <w:i w:val="0"/>
                <w:color w:val="5A5A5A"/>
                <w:sz w:val="18"/>
              </w:rPr>
              <w:t>#keratoconus  #irregular  #crosslinking  #RGP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Cataract</w:t>
            </w:r>
          </w:p>
        </w:tc>
        <w:tc>
          <w:tcPr>
            <w:tcW w:type="dxa" w:w="2160"/>
            <w:vAlign w:val="top"/>
          </w:tcPr>
          <w:p>
            <w:pPr>
              <w:spacing w:after="40" w:before="0" w:line="259" w:lineRule="auto"/>
            </w:pPr>
            <w:r>
              <w:rPr>
                <w:rFonts w:ascii="Calibri" w:hAnsi="Calibri"/>
                <w:b w:val="0"/>
                <w:i w:val="0"/>
                <w:color w:val="212121"/>
                <w:sz w:val="19"/>
              </w:rPr>
              <w:t>Adults with cataract awaiting surgery</w:t>
            </w:r>
          </w:p>
        </w:tc>
        <w:tc>
          <w:tcPr>
            <w:tcW w:type="dxa" w:w="4276"/>
            <w:vAlign w:val="top"/>
          </w:tcPr>
          <w:p>
            <w:pPr>
              <w:spacing w:after="60" w:line="259" w:lineRule="auto"/>
            </w:pPr>
            <w:r>
              <w:rPr>
                <w:rFonts w:ascii="Calibri" w:hAnsi="Calibri"/>
                <w:b w:val="0"/>
                <w:i w:val="0"/>
                <w:color w:val="212121"/>
                <w:sz w:val="19"/>
              </w:rPr>
              <w:t>Cataract adds lenticular astigmatism, while pre-existing corneal astigmatism must be measured and neutralised (with toric IOLs or incisions) to achieve good spectacle-independent vision after surgery.</w:t>
            </w:r>
          </w:p>
          <w:p>
            <w:pPr>
              <w:spacing w:after="40" w:before="60" w:line="259" w:lineRule="auto"/>
            </w:pPr>
            <w:r>
              <w:rPr>
                <w:rFonts w:ascii="Calibri" w:hAnsi="Calibri"/>
                <w:b w:val="0"/>
                <w:i w:val="0"/>
                <w:color w:val="212121"/>
                <w:sz w:val="19"/>
              </w:rPr>
              <w:t>Corneal astigmatism was found in 89.4% of Indian cataract candidates; 68.1% had ≥ 1.0 D needing surgical planning.</w:t>
            </w:r>
          </w:p>
          <w:p>
            <w:pPr>
              <w:spacing w:after="40" w:line="252" w:lineRule="auto"/>
            </w:pPr>
            <w:hyperlink r:id="rId11">
              <w:r>
                <w:rPr>
                  <w:rFonts w:ascii="Calibri" w:hAnsi="Calibri" w:cs="Calibri"/>
                  <w:sz w:val="18"/>
                  <w:color w:val="1155CC"/>
                  <w:u w:val="single"/>
                </w:rPr>
                <w:t xml:space="preserve">pmc.ncbi.nlm.nih.gov — corneal astigmatism in cataract patients</w:t>
              </w:r>
            </w:hyperlink>
          </w:p>
          <w:p>
            <w:pPr>
              <w:spacing w:before="60" w:after="40"/>
            </w:pPr>
            <w:r>
              <w:rPr>
                <w:rFonts w:ascii="Calibri" w:hAnsi="Calibri"/>
                <w:b w:val="0"/>
                <w:i w:val="0"/>
                <w:color w:val="5A5A5A"/>
                <w:sz w:val="18"/>
              </w:rPr>
              <w:t>#cataract  #toricIOL  #lenticular  #surgicalplanning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Eyelid disorders</w:t>
            </w:r>
          </w:p>
        </w:tc>
        <w:tc>
          <w:tcPr>
            <w:tcW w:type="dxa" w:w="2160"/>
            <w:vAlign w:val="top"/>
          </w:tcPr>
          <w:p>
            <w:pPr>
              <w:spacing w:after="40" w:before="0" w:line="259" w:lineRule="auto"/>
            </w:pPr>
            <w:r>
              <w:rPr>
                <w:rFonts w:ascii="Calibri" w:hAnsi="Calibri"/>
                <w:b w:val="0"/>
                <w:i w:val="0"/>
                <w:color w:val="212121"/>
                <w:sz w:val="19"/>
              </w:rPr>
              <w:t>Children with ptosis, chalazion or congenital entropion</w:t>
            </w:r>
          </w:p>
        </w:tc>
        <w:tc>
          <w:tcPr>
            <w:tcW w:type="dxa" w:w="4276"/>
            <w:vAlign w:val="top"/>
          </w:tcPr>
          <w:p>
            <w:pPr>
              <w:spacing w:after="60" w:line="259" w:lineRule="auto"/>
            </w:pPr>
            <w:r>
              <w:rPr>
                <w:rFonts w:ascii="Calibri" w:hAnsi="Calibri"/>
                <w:b w:val="0"/>
                <w:i w:val="0"/>
                <w:color w:val="212121"/>
                <w:sz w:val="19"/>
              </w:rPr>
              <w:t>Mechanical pressure from a drooping lid, a large chalazion, a lid haemangioma or an in-turned lid indents the cornea and induces astigmatism that can be amblyogenic; correcting the lid problem often reduces the astigmatism.</w:t>
            </w:r>
          </w:p>
          <w:p>
            <w:pPr>
              <w:spacing w:after="40" w:before="60" w:line="259" w:lineRule="auto"/>
            </w:pPr>
            <w:r>
              <w:rPr>
                <w:rFonts w:ascii="Calibri" w:hAnsi="Calibri"/>
                <w:b w:val="0"/>
                <w:i w:val="0"/>
                <w:color w:val="212121"/>
                <w:sz w:val="19"/>
              </w:rPr>
              <w:t>Congenital lower-lid entropion correlates with corneal cylinder, which decreases after surgical correction.</w:t>
            </w:r>
          </w:p>
          <w:p>
            <w:pPr>
              <w:spacing w:after="40" w:line="252" w:lineRule="auto"/>
            </w:pPr>
            <w:hyperlink r:id="rId19">
              <w:r>
                <w:rPr>
                  <w:rFonts w:ascii="Calibri" w:hAnsi="Calibri" w:cs="Calibri"/>
                  <w:sz w:val="18"/>
                  <w:color w:val="1155CC"/>
                  <w:u w:val="single"/>
                </w:rPr>
                <w:t xml:space="preserve">pmc.ncbi.nlm.nih.gov — entropion correction &amp; pediatric astigmatism</w:t>
              </w:r>
            </w:hyperlink>
          </w:p>
          <w:p>
            <w:pPr>
              <w:spacing w:before="60" w:after="40"/>
            </w:pPr>
            <w:r>
              <w:rPr>
                <w:rFonts w:ascii="Calibri" w:hAnsi="Calibri"/>
                <w:b w:val="0"/>
                <w:i w:val="0"/>
                <w:color w:val="5A5A5A"/>
                <w:sz w:val="18"/>
              </w:rPr>
              <w:t>#ptosis  #chalazion  #entropion  #inducedastigmatism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Prematurity / ROP</w:t>
            </w:r>
          </w:p>
        </w:tc>
        <w:tc>
          <w:tcPr>
            <w:tcW w:type="dxa" w:w="2160"/>
            <w:vAlign w:val="top"/>
          </w:tcPr>
          <w:p>
            <w:pPr>
              <w:spacing w:after="40" w:before="0" w:line="259" w:lineRule="auto"/>
            </w:pPr>
            <w:r>
              <w:rPr>
                <w:rFonts w:ascii="Calibri" w:hAnsi="Calibri"/>
                <w:b w:val="0"/>
                <w:i w:val="0"/>
                <w:color w:val="212121"/>
                <w:sz w:val="19"/>
              </w:rPr>
              <w:t>Children born preterm or with retinopathy of prematurity</w:t>
            </w:r>
          </w:p>
        </w:tc>
        <w:tc>
          <w:tcPr>
            <w:tcW w:type="dxa" w:w="4276"/>
            <w:vAlign w:val="top"/>
          </w:tcPr>
          <w:p>
            <w:pPr>
              <w:spacing w:after="60" w:line="259" w:lineRule="auto"/>
            </w:pPr>
            <w:r>
              <w:rPr>
                <w:rFonts w:ascii="Calibri" w:hAnsi="Calibri"/>
                <w:b w:val="0"/>
                <w:i w:val="0"/>
                <w:color w:val="212121"/>
                <w:sz w:val="19"/>
              </w:rPr>
              <w:t>Preterm birth and retinopathy of prematurity are associated with altered corneal and anterior-segment development and a higher rate of astigmatism and other refractive errors in later childhood.</w:t>
            </w:r>
          </w:p>
          <w:p>
            <w:pPr>
              <w:spacing w:after="40" w:before="60" w:line="259" w:lineRule="auto"/>
            </w:pPr>
            <w:r>
              <w:rPr>
                <w:rFonts w:ascii="Calibri" w:hAnsi="Calibri"/>
                <w:b w:val="0"/>
                <w:i w:val="0"/>
                <w:color w:val="212121"/>
                <w:sz w:val="19"/>
              </w:rPr>
              <w:t>Preterm and laser-treated ROP eyes show altered anterior-segment parameters and higher astigmatism versus term-born children.</w:t>
            </w:r>
          </w:p>
          <w:p>
            <w:pPr>
              <w:spacing w:after="40" w:line="252" w:lineRule="auto"/>
            </w:pPr>
            <w:hyperlink r:id="rId20">
              <w:r>
                <w:rPr>
                  <w:rFonts w:ascii="Calibri" w:hAnsi="Calibri" w:cs="Calibri"/>
                  <w:sz w:val="18"/>
                  <w:color w:val="1155CC"/>
                  <w:u w:val="single"/>
                </w:rPr>
                <w:t xml:space="preserve">pmc.ncbi.nlm.nih.gov — anterior segment in ROP/preterm children</w:t>
              </w:r>
            </w:hyperlink>
          </w:p>
          <w:p>
            <w:pPr>
              <w:spacing w:before="60" w:after="40"/>
            </w:pPr>
            <w:r>
              <w:rPr>
                <w:rFonts w:ascii="Calibri" w:hAnsi="Calibri"/>
                <w:b w:val="0"/>
                <w:i w:val="0"/>
                <w:color w:val="5A5A5A"/>
                <w:sz w:val="18"/>
              </w:rPr>
              <w:t>#prematurity  #ROP  #anteriorsegment  #refractiveoutcome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Down syndrome</w:t>
            </w:r>
          </w:p>
        </w:tc>
        <w:tc>
          <w:tcPr>
            <w:tcW w:type="dxa" w:w="2160"/>
            <w:vAlign w:val="top"/>
          </w:tcPr>
          <w:p>
            <w:pPr>
              <w:spacing w:after="40" w:before="0" w:line="259" w:lineRule="auto"/>
            </w:pPr>
            <w:r>
              <w:rPr>
                <w:rFonts w:ascii="Calibri" w:hAnsi="Calibri"/>
                <w:b w:val="0"/>
                <w:i w:val="0"/>
                <w:color w:val="212121"/>
                <w:sz w:val="19"/>
              </w:rPr>
              <w:t>Individuals with Down syndrome (trisomy 21)</w:t>
            </w:r>
          </w:p>
        </w:tc>
        <w:tc>
          <w:tcPr>
            <w:tcW w:type="dxa" w:w="4276"/>
            <w:vAlign w:val="top"/>
          </w:tcPr>
          <w:p>
            <w:pPr>
              <w:spacing w:after="60" w:line="259" w:lineRule="auto"/>
            </w:pPr>
            <w:r>
              <w:rPr>
                <w:rFonts w:ascii="Calibri" w:hAnsi="Calibri"/>
                <w:b w:val="0"/>
                <w:i w:val="0"/>
                <w:color w:val="212121"/>
                <w:sz w:val="19"/>
              </w:rPr>
              <w:t>Down syndrome is associated with a markedly increased prevalence of high astigmatism (often oblique), together with keratoconus, so these children need early and repeated cycloplegic refraction.</w:t>
            </w:r>
          </w:p>
          <w:p>
            <w:pPr>
              <w:spacing w:after="40" w:before="60" w:line="259" w:lineRule="auto"/>
            </w:pPr>
            <w:r>
              <w:rPr>
                <w:rFonts w:ascii="Calibri" w:hAnsi="Calibri"/>
                <w:b w:val="0"/>
                <w:i w:val="0"/>
                <w:color w:val="212121"/>
                <w:sz w:val="19"/>
              </w:rPr>
              <w:t>High and oblique astigmatism, and keratoconus, are notably more common in Down syndrome and warrant early screening.</w:t>
            </w:r>
          </w:p>
          <w:p>
            <w:pPr>
              <w:spacing w:before="60" w:after="40"/>
            </w:pPr>
            <w:r>
              <w:rPr>
                <w:rFonts w:ascii="Calibri" w:hAnsi="Calibri"/>
                <w:b w:val="0"/>
                <w:i w:val="0"/>
                <w:color w:val="5A5A5A"/>
                <w:sz w:val="18"/>
              </w:rPr>
              <w:t>#Downsyndrome  #trisomy21  #highastigmatism  #screening</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and outdoor time protect chiefly against myopia onset/progression, not against astigmatism, which is largely structural and hereditary; the direct link to astigmatism magnitude is weak.</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Ordinary diet does not cause regular astigmatism. Only severe vitamin-A deficiency, via corneal xerosis and scarring, indirectly produces irregular astigmatism.</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is weak: sustained mechanical eye compression (habitual prone/one-side sleeping, floppy eyelid syndrome) may modestly alter corneal shape, but sleep is not a major determinant of astigmatism.</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has no established direct effect on astigmatism; its ocular harms operate through the ocular surface, cataract and vascular disease rather than corneal curvature.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relationship between alcohol intake and astigmatism.</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Uncorrected astigmatism causes asthenopia, headache and reduced concentration that can affect wellbeing and performance, but mental health does not cause astigmatism (a symptom-burden, not a causal, link).</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and tear-film status influence dry-eye symptoms and the stability of keratometric measurements, but do not change true refractive astigmatism.</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meaningful association between caffeine and astigmatism.</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Contact-lens hygiene matters: poor lens care, overnight wear and tap-water rinsing cause microbial keratitis, whose corneal scarring is an important preventable cause of acquired irregular astigmatism.</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Habitual eye rubbing (allergy/VKC), keratoconus, eyelid mechanical pressure, corneal trauma or infection, and prior ocular surgery are the principal modifiable/identifiable drivers of astigmatism, especially the irregular type.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 compensatory head tilt or turn is a consequence of oblique astigmatism, not a cause; sustained near-work posture contributes to eye strain but not to the astigmatism itself.</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Refractive cylinder power (DC)</w:t>
            </w:r>
          </w:p>
        </w:tc>
        <w:tc>
          <w:tcPr>
            <w:tcW w:type="dxa" w:w="1655"/>
            <w:vAlign w:val="top"/>
          </w:tcPr>
          <w:p>
            <w:pPr>
              <w:spacing w:after="40" w:before="0" w:line="259" w:lineRule="auto"/>
            </w:pPr>
            <w:r>
              <w:rPr>
                <w:rFonts w:ascii="Calibri" w:hAnsi="Calibri"/>
                <w:b w:val="0"/>
                <w:i w:val="0"/>
                <w:color w:val="212121"/>
                <w:sz w:val="19"/>
              </w:rPr>
              <w:t>All ages</w:t>
            </w:r>
          </w:p>
        </w:tc>
        <w:tc>
          <w:tcPr>
            <w:tcW w:type="dxa" w:w="1512"/>
            <w:vAlign w:val="top"/>
          </w:tcPr>
          <w:p>
            <w:pPr>
              <w:spacing w:after="40" w:before="0" w:line="259" w:lineRule="auto"/>
            </w:pPr>
            <w:r>
              <w:rPr>
                <w:rFonts w:ascii="Calibri" w:hAnsi="Calibri"/>
                <w:b w:val="0"/>
                <w:i w:val="0"/>
                <w:color w:val="212121"/>
                <w:sz w:val="19"/>
              </w:rPr>
              <w:t>&lt; 0.75 DC</w:t>
            </w:r>
          </w:p>
        </w:tc>
        <w:tc>
          <w:tcPr>
            <w:tcW w:type="dxa" w:w="1512"/>
            <w:vAlign w:val="top"/>
          </w:tcPr>
          <w:p>
            <w:pPr>
              <w:spacing w:after="40" w:before="0" w:line="259" w:lineRule="auto"/>
            </w:pPr>
            <w:r>
              <w:rPr>
                <w:rFonts w:ascii="Calibri" w:hAnsi="Calibri"/>
                <w:b w:val="0"/>
                <w:i w:val="0"/>
                <w:color w:val="212121"/>
                <w:sz w:val="19"/>
              </w:rPr>
              <w:t>≥ 1.00 DC (correct); ≥ 1.50 DC amblyogenic in young children</w:t>
            </w:r>
          </w:p>
        </w:tc>
        <w:tc>
          <w:tcPr>
            <w:tcW w:type="dxa" w:w="1468"/>
            <w:vAlign w:val="top"/>
          </w:tcPr>
          <w:p>
            <w:pPr>
              <w:spacing w:after="60" w:line="259" w:lineRule="auto"/>
            </w:pPr>
            <w:r>
              <w:rPr>
                <w:rFonts w:ascii="Calibri" w:hAnsi="Calibri"/>
                <w:b w:val="0"/>
                <w:i w:val="0"/>
                <w:color w:val="212121"/>
                <w:sz w:val="19"/>
              </w:rPr>
              <w:t>Magnitude of the cylindrical error on subjective/auto-refraction; drives correction and amblyopia risk.</w:t>
            </w:r>
          </w:p>
          <w:p>
            <w:pPr>
              <w:spacing w:after="40" w:line="252" w:lineRule="auto"/>
            </w:pPr>
            <w:hyperlink r:id="rId10">
              <w:r>
                <w:rPr>
                  <w:rFonts w:ascii="Calibri" w:hAnsi="Calibri" w:cs="Calibri"/>
                  <w:sz w:val="18"/>
                  <w:color w:val="1155CC"/>
                  <w:u w:val="single"/>
                </w:rPr>
                <w:t xml:space="preserve">https://journals.plos.org/plosone/article?id=10.1371/journal.pone.0335666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Anisometropic astigmatism (interocular cylinder difference)</w:t>
            </w:r>
          </w:p>
        </w:tc>
        <w:tc>
          <w:tcPr>
            <w:tcW w:type="dxa" w:w="1655"/>
            <w:vAlign w:val="top"/>
          </w:tcPr>
          <w:p>
            <w:pPr>
              <w:spacing w:after="40" w:before="0" w:line="259" w:lineRule="auto"/>
            </w:pPr>
            <w:r>
              <w:rPr>
                <w:rFonts w:ascii="Calibri" w:hAnsi="Calibri"/>
                <w:b w:val="0"/>
                <w:i w:val="0"/>
                <w:color w:val="212121"/>
                <w:sz w:val="19"/>
              </w:rPr>
              <w:t>Children</w:t>
            </w:r>
          </w:p>
        </w:tc>
        <w:tc>
          <w:tcPr>
            <w:tcW w:type="dxa" w:w="1512"/>
            <w:vAlign w:val="top"/>
          </w:tcPr>
          <w:p>
            <w:pPr>
              <w:spacing w:after="40" w:before="0" w:line="259" w:lineRule="auto"/>
            </w:pPr>
            <w:r>
              <w:rPr>
                <w:rFonts w:ascii="Calibri" w:hAnsi="Calibri"/>
                <w:b w:val="0"/>
                <w:i w:val="0"/>
                <w:color w:val="212121"/>
                <w:sz w:val="19"/>
              </w:rPr>
              <w:t>&lt; 1.00 D between eyes</w:t>
            </w:r>
          </w:p>
        </w:tc>
        <w:tc>
          <w:tcPr>
            <w:tcW w:type="dxa" w:w="1512"/>
            <w:vAlign w:val="top"/>
          </w:tcPr>
          <w:p>
            <w:pPr>
              <w:spacing w:after="40" w:before="0" w:line="259" w:lineRule="auto"/>
            </w:pPr>
            <w:r>
              <w:rPr>
                <w:rFonts w:ascii="Calibri" w:hAnsi="Calibri"/>
                <w:b w:val="0"/>
                <w:i w:val="0"/>
                <w:color w:val="212121"/>
                <w:sz w:val="19"/>
              </w:rPr>
              <w:t>≥ 1.50 D difference (amblyogenic)</w:t>
            </w:r>
          </w:p>
        </w:tc>
        <w:tc>
          <w:tcPr>
            <w:tcW w:type="dxa" w:w="1468"/>
            <w:vAlign w:val="top"/>
          </w:tcPr>
          <w:p>
            <w:pPr>
              <w:spacing w:after="40" w:before="0" w:line="259" w:lineRule="auto"/>
            </w:pPr>
            <w:r>
              <w:rPr>
                <w:rFonts w:ascii="Calibri" w:hAnsi="Calibri"/>
                <w:b w:val="0"/>
                <w:i w:val="0"/>
                <w:color w:val="212121"/>
                <w:sz w:val="19"/>
              </w:rPr>
              <w:t>Unequal astigmatism between the two eyes is strongly amblyogenic and needs prompt correction ± patching.</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Corneal (keratometric) astigmatism</w:t>
            </w:r>
          </w:p>
        </w:tc>
        <w:tc>
          <w:tcPr>
            <w:tcW w:type="dxa" w:w="1655"/>
            <w:vAlign w:val="top"/>
          </w:tcPr>
          <w:p>
            <w:pPr>
              <w:spacing w:after="40" w:before="0" w:line="259" w:lineRule="auto"/>
            </w:pPr>
            <w:r>
              <w:rPr>
                <w:rFonts w:ascii="Calibri" w:hAnsi="Calibri"/>
                <w:b w:val="0"/>
                <w:i w:val="0"/>
                <w:color w:val="212121"/>
                <w:sz w:val="19"/>
              </w:rPr>
              <w:t>Adults, cataract/keratoconus patients</w:t>
            </w:r>
          </w:p>
        </w:tc>
        <w:tc>
          <w:tcPr>
            <w:tcW w:type="dxa" w:w="1512"/>
            <w:vAlign w:val="top"/>
          </w:tcPr>
          <w:p>
            <w:pPr>
              <w:spacing w:after="40" w:before="0" w:line="259" w:lineRule="auto"/>
            </w:pPr>
            <w:r>
              <w:rPr>
                <w:rFonts w:ascii="Calibri" w:hAnsi="Calibri"/>
                <w:b w:val="0"/>
                <w:i w:val="0"/>
                <w:color w:val="212121"/>
                <w:sz w:val="19"/>
              </w:rPr>
              <w:t>&lt; 1.00 D</w:t>
            </w:r>
          </w:p>
        </w:tc>
        <w:tc>
          <w:tcPr>
            <w:tcW w:type="dxa" w:w="1512"/>
            <w:vAlign w:val="top"/>
          </w:tcPr>
          <w:p>
            <w:pPr>
              <w:spacing w:after="40" w:before="0" w:line="259" w:lineRule="auto"/>
            </w:pPr>
            <w:r>
              <w:rPr>
                <w:rFonts w:ascii="Calibri" w:hAnsi="Calibri"/>
                <w:b w:val="0"/>
                <w:i w:val="0"/>
                <w:color w:val="212121"/>
                <w:sz w:val="19"/>
              </w:rPr>
              <w:t>≥ 1.00 D; asymmetric/irregular bowtie on topography</w:t>
            </w:r>
          </w:p>
        </w:tc>
        <w:tc>
          <w:tcPr>
            <w:tcW w:type="dxa" w:w="1468"/>
            <w:vAlign w:val="top"/>
          </w:tcPr>
          <w:p>
            <w:pPr>
              <w:spacing w:after="60" w:line="259" w:lineRule="auto"/>
            </w:pPr>
            <w:r>
              <w:rPr>
                <w:rFonts w:ascii="Calibri" w:hAnsi="Calibri"/>
                <w:b w:val="0"/>
                <w:i w:val="0"/>
                <w:color w:val="212121"/>
                <w:sz w:val="19"/>
              </w:rPr>
              <w:t>Difference between the steep and flat K readings; ≥ 1.0 D commonly needs toric correction in cataract surgery.</w:t>
            </w:r>
          </w:p>
          <w:p>
            <w:pPr>
              <w:spacing w:after="40" w:line="252" w:lineRule="auto"/>
            </w:pPr>
            <w:hyperlink r:id="rId11">
              <w:r>
                <w:rPr>
                  <w:rFonts w:ascii="Calibri" w:hAnsi="Calibri" w:cs="Calibri"/>
                  <w:sz w:val="18"/>
                  <w:color w:val="1155CC"/>
                  <w:u w:val="single"/>
                </w:rPr>
                <w:t xml:space="preserve">https://pmc.ncbi.nlm.nih.gov/articles/PMC13018440/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Habitual eye-rubbing</w:t>
            </w:r>
          </w:p>
        </w:tc>
        <w:tc>
          <w:tcPr>
            <w:tcW w:type="dxa" w:w="1655"/>
            <w:vAlign w:val="top"/>
          </w:tcPr>
          <w:p>
            <w:pPr>
              <w:spacing w:after="40" w:before="0" w:line="259" w:lineRule="auto"/>
            </w:pPr>
            <w:r>
              <w:rPr>
                <w:rFonts w:ascii="Calibri" w:hAnsi="Calibri"/>
                <w:b w:val="0"/>
                <w:i w:val="0"/>
                <w:color w:val="212121"/>
                <w:sz w:val="19"/>
              </w:rPr>
              <w:t>Atopic children/adults, keratoconus suspects</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Frequent vigorous rubbing (allergy/VKC)</w:t>
            </w:r>
          </w:p>
        </w:tc>
        <w:tc>
          <w:tcPr>
            <w:tcW w:type="dxa" w:w="1468"/>
            <w:vAlign w:val="top"/>
          </w:tcPr>
          <w:p>
            <w:pPr>
              <w:spacing w:after="60" w:line="259" w:lineRule="auto"/>
            </w:pPr>
            <w:r>
              <w:rPr>
                <w:rFonts w:ascii="Calibri" w:hAnsi="Calibri"/>
                <w:b w:val="0"/>
                <w:i w:val="0"/>
                <w:color w:val="212121"/>
                <w:sz w:val="19"/>
              </w:rPr>
              <w:t>Mechanical corneal stress; a key modifiable driver of keratoconus and irregular astigmatism.</w:t>
            </w:r>
          </w:p>
          <w:p>
            <w:pPr>
              <w:spacing w:after="40" w:line="252" w:lineRule="auto"/>
            </w:pPr>
            <w:hyperlink r:id="rId15">
              <w:r>
                <w:rPr>
                  <w:rFonts w:ascii="Calibri" w:hAnsi="Calibri" w:cs="Calibri"/>
                  <w:sz w:val="18"/>
                  <w:color w:val="1155CC"/>
                  <w:u w:val="single"/>
                </w:rPr>
                <w:t xml:space="preserve">https://pmc.ncbi.nlm.nih.gov/articles/PMC13196797/</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Contact-lens wear pattern &amp; hygiene</w:t>
            </w:r>
          </w:p>
        </w:tc>
        <w:tc>
          <w:tcPr>
            <w:tcW w:type="dxa" w:w="1655"/>
            <w:vAlign w:val="top"/>
          </w:tcPr>
          <w:p>
            <w:pPr>
              <w:spacing w:after="40" w:before="0" w:line="259" w:lineRule="auto"/>
            </w:pPr>
            <w:r>
              <w:rPr>
                <w:rFonts w:ascii="Calibri" w:hAnsi="Calibri"/>
                <w:b w:val="0"/>
                <w:i w:val="0"/>
                <w:color w:val="212121"/>
                <w:sz w:val="19"/>
              </w:rPr>
              <w:t>Contact-lens users</w:t>
            </w:r>
          </w:p>
        </w:tc>
        <w:tc>
          <w:tcPr>
            <w:tcW w:type="dxa" w:w="1512"/>
            <w:vAlign w:val="top"/>
          </w:tcPr>
          <w:p>
            <w:pPr>
              <w:spacing w:after="40" w:before="0" w:line="259" w:lineRule="auto"/>
            </w:pPr>
            <w:r>
              <w:rPr>
                <w:rFonts w:ascii="Calibri" w:hAnsi="Calibri"/>
                <w:b w:val="0"/>
                <w:i w:val="0"/>
                <w:color w:val="212121"/>
                <w:sz w:val="19"/>
              </w:rPr>
              <w:t>Daily disposables / proper cleaning; no overnight wear</w:t>
            </w:r>
          </w:p>
        </w:tc>
        <w:tc>
          <w:tcPr>
            <w:tcW w:type="dxa" w:w="1512"/>
            <w:vAlign w:val="top"/>
          </w:tcPr>
          <w:p>
            <w:pPr>
              <w:spacing w:after="40" w:before="0" w:line="259" w:lineRule="auto"/>
            </w:pPr>
            <w:r>
              <w:rPr>
                <w:rFonts w:ascii="Calibri" w:hAnsi="Calibri"/>
                <w:b w:val="0"/>
                <w:i w:val="0"/>
                <w:color w:val="212121"/>
                <w:sz w:val="19"/>
              </w:rPr>
              <w:t>Overnight or extended wear, tap-water rinsing</w:t>
            </w:r>
          </w:p>
        </w:tc>
        <w:tc>
          <w:tcPr>
            <w:tcW w:type="dxa" w:w="1468"/>
            <w:vAlign w:val="top"/>
          </w:tcPr>
          <w:p>
            <w:pPr>
              <w:spacing w:after="40" w:before="0" w:line="259" w:lineRule="auto"/>
            </w:pPr>
            <w:r>
              <w:rPr>
                <w:rFonts w:ascii="Calibri" w:hAnsi="Calibri"/>
                <w:b w:val="0"/>
                <w:i w:val="0"/>
                <w:color w:val="212121"/>
                <w:sz w:val="19"/>
              </w:rPr>
              <w:t>Poor hygiene risks microbial keratitis and scarring, a cause of acquired irregular astigmatism.</w:t>
            </w:r>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Continuous screen / near-work time</w:t>
            </w:r>
          </w:p>
        </w:tc>
        <w:tc>
          <w:tcPr>
            <w:tcW w:type="dxa" w:w="1655"/>
            <w:vAlign w:val="top"/>
          </w:tcPr>
          <w:p>
            <w:pPr>
              <w:spacing w:after="40" w:before="0" w:line="259" w:lineRule="auto"/>
            </w:pPr>
            <w:r>
              <w:rPr>
                <w:rFonts w:ascii="Calibri" w:hAnsi="Calibri"/>
                <w:b w:val="0"/>
                <w:i w:val="0"/>
                <w:color w:val="212121"/>
                <w:sz w:val="19"/>
              </w:rPr>
              <w:t>Students, desk/IT workers</w:t>
            </w:r>
          </w:p>
        </w:tc>
        <w:tc>
          <w:tcPr>
            <w:tcW w:type="dxa" w:w="1512"/>
            <w:vAlign w:val="top"/>
          </w:tcPr>
          <w:p>
            <w:pPr>
              <w:spacing w:after="40" w:before="0" w:line="259" w:lineRule="auto"/>
            </w:pPr>
            <w:r>
              <w:rPr>
                <w:rFonts w:ascii="Calibri" w:hAnsi="Calibri"/>
                <w:b w:val="0"/>
                <w:i w:val="0"/>
                <w:color w:val="212121"/>
                <w:sz w:val="19"/>
              </w:rPr>
              <w:t>20–20–20 breaks; &lt; 2 h continuous</w:t>
            </w:r>
          </w:p>
        </w:tc>
        <w:tc>
          <w:tcPr>
            <w:tcW w:type="dxa" w:w="1512"/>
            <w:vAlign w:val="top"/>
          </w:tcPr>
          <w:p>
            <w:pPr>
              <w:spacing w:after="40" w:before="0" w:line="259" w:lineRule="auto"/>
            </w:pPr>
            <w:r>
              <w:rPr>
                <w:rFonts w:ascii="Calibri" w:hAnsi="Calibri"/>
                <w:b w:val="0"/>
                <w:i w:val="0"/>
                <w:color w:val="212121"/>
                <w:sz w:val="19"/>
              </w:rPr>
              <w:t>&gt; 2 h continuous without breaks</w:t>
            </w:r>
          </w:p>
        </w:tc>
        <w:tc>
          <w:tcPr>
            <w:tcW w:type="dxa" w:w="1468"/>
            <w:vAlign w:val="top"/>
          </w:tcPr>
          <w:p>
            <w:pPr>
              <w:spacing w:after="60" w:line="259" w:lineRule="auto"/>
            </w:pPr>
            <w:r>
              <w:rPr>
                <w:rFonts w:ascii="Calibri" w:hAnsi="Calibri"/>
                <w:b w:val="0"/>
                <w:i w:val="0"/>
                <w:color w:val="212121"/>
                <w:sz w:val="19"/>
              </w:rPr>
              <w:t>Prolonged near work amplifies digital eye strain when astigmatism is uncorrected.</w:t>
            </w:r>
          </w:p>
          <w:p>
            <w:pPr>
              <w:spacing w:after="40" w:line="252" w:lineRule="auto"/>
            </w:pPr>
            <w:hyperlink r:id="rId14">
              <w:r>
                <w:rPr>
                  <w:rFonts w:ascii="Calibri" w:hAnsi="Calibri" w:cs="Calibri"/>
                  <w:sz w:val="18"/>
                  <w:color w:val="1155CC"/>
                  <w:u w:val="single"/>
                </w:rPr>
                <w:t xml:space="preserve">https://pmc.ncbi.nlm.nih.gov/articles/PMC13284132/</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Daily outdoor time</w:t>
            </w:r>
          </w:p>
        </w:tc>
        <w:tc>
          <w:tcPr>
            <w:tcW w:type="dxa" w:w="1655"/>
            <w:vAlign w:val="top"/>
          </w:tcPr>
          <w:p>
            <w:pPr>
              <w:spacing w:after="40" w:before="0" w:line="259" w:lineRule="auto"/>
            </w:pPr>
            <w:r>
              <w:rPr>
                <w:rFonts w:ascii="Calibri" w:hAnsi="Calibri"/>
                <w:b w:val="0"/>
                <w:i w:val="0"/>
                <w:color w:val="212121"/>
                <w:sz w:val="19"/>
              </w:rPr>
              <w:t>Children</w:t>
            </w:r>
          </w:p>
        </w:tc>
        <w:tc>
          <w:tcPr>
            <w:tcW w:type="dxa" w:w="1512"/>
            <w:vAlign w:val="top"/>
          </w:tcPr>
          <w:p>
            <w:pPr>
              <w:spacing w:after="40" w:before="0" w:line="259" w:lineRule="auto"/>
            </w:pPr>
            <w:r>
              <w:rPr>
                <w:rFonts w:ascii="Calibri" w:hAnsi="Calibri"/>
                <w:b w:val="0"/>
                <w:i w:val="0"/>
                <w:color w:val="212121"/>
                <w:sz w:val="19"/>
              </w:rPr>
              <w:t>≥ 1.5–2 h/day</w:t>
            </w:r>
          </w:p>
        </w:tc>
        <w:tc>
          <w:tcPr>
            <w:tcW w:type="dxa" w:w="1512"/>
            <w:vAlign w:val="top"/>
          </w:tcPr>
          <w:p>
            <w:pPr>
              <w:spacing w:after="40" w:before="0" w:line="259" w:lineRule="auto"/>
            </w:pPr>
            <w:r>
              <w:rPr>
                <w:rFonts w:ascii="Calibri" w:hAnsi="Calibri"/>
                <w:b w:val="0"/>
                <w:i w:val="0"/>
                <w:color w:val="212121"/>
                <w:sz w:val="19"/>
              </w:rPr>
              <w:t>&lt; 1 h/day</w:t>
            </w:r>
          </w:p>
        </w:tc>
        <w:tc>
          <w:tcPr>
            <w:tcW w:type="dxa" w:w="1468"/>
            <w:vAlign w:val="top"/>
          </w:tcPr>
          <w:p>
            <w:pPr>
              <w:spacing w:after="40" w:before="0" w:line="259" w:lineRule="auto"/>
            </w:pPr>
            <w:r>
              <w:rPr>
                <w:rFonts w:ascii="Calibri" w:hAnsi="Calibri"/>
                <w:b w:val="0"/>
                <w:i w:val="0"/>
                <w:color w:val="212121"/>
                <w:sz w:val="19"/>
              </w:rPr>
              <w:t>Chiefly protective against myopia; benefit for astigmatism itself is limited but supports overall eye health.</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position / eye compression</w:t>
            </w:r>
          </w:p>
        </w:tc>
        <w:tc>
          <w:tcPr>
            <w:tcW w:type="dxa" w:w="1655"/>
            <w:vAlign w:val="top"/>
          </w:tcPr>
          <w:p>
            <w:pPr>
              <w:spacing w:after="40" w:before="0" w:line="259" w:lineRule="auto"/>
            </w:pPr>
            <w:r>
              <w:rPr>
                <w:rFonts w:ascii="Calibri" w:hAnsi="Calibri"/>
                <w:b w:val="0"/>
                <w:i w:val="0"/>
                <w:color w:val="212121"/>
                <w:sz w:val="19"/>
              </w:rPr>
              <w:t>All ages</w:t>
            </w:r>
          </w:p>
        </w:tc>
        <w:tc>
          <w:tcPr>
            <w:tcW w:type="dxa" w:w="1512"/>
            <w:vAlign w:val="top"/>
          </w:tcPr>
          <w:p>
            <w:pPr>
              <w:spacing w:after="40" w:before="0" w:line="259" w:lineRule="auto"/>
            </w:pPr>
            <w:r>
              <w:rPr>
                <w:rFonts w:ascii="Calibri" w:hAnsi="Calibri"/>
                <w:b w:val="0"/>
                <w:i w:val="0"/>
                <w:color w:val="212121"/>
                <w:sz w:val="19"/>
              </w:rPr>
              <w:t>Avoid sustained ocular pressure</w:t>
            </w:r>
          </w:p>
        </w:tc>
        <w:tc>
          <w:tcPr>
            <w:tcW w:type="dxa" w:w="1512"/>
            <w:vAlign w:val="top"/>
          </w:tcPr>
          <w:p>
            <w:pPr>
              <w:spacing w:after="40" w:before="0" w:line="259" w:lineRule="auto"/>
            </w:pPr>
            <w:r>
              <w:rPr>
                <w:rFonts w:ascii="Calibri" w:hAnsi="Calibri"/>
                <w:b w:val="0"/>
                <w:i w:val="0"/>
                <w:color w:val="212121"/>
                <w:sz w:val="19"/>
              </w:rPr>
              <w:t>Habitual prone or one-side sleeping with eye compression</w:t>
            </w:r>
          </w:p>
        </w:tc>
        <w:tc>
          <w:tcPr>
            <w:tcW w:type="dxa" w:w="1468"/>
            <w:vAlign w:val="top"/>
          </w:tcPr>
          <w:p>
            <w:pPr>
              <w:spacing w:after="40" w:before="0" w:line="259" w:lineRule="auto"/>
            </w:pPr>
            <w:r>
              <w:rPr>
                <w:rFonts w:ascii="Calibri" w:hAnsi="Calibri"/>
                <w:b w:val="0"/>
                <w:i w:val="0"/>
                <w:color w:val="212121"/>
                <w:sz w:val="19"/>
              </w:rPr>
              <w:t>May modestly influence corneal shape; weak evidence, still worth counselling in keratoconus.</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Uncorrected distance visual acuity</w:t>
            </w:r>
          </w:p>
        </w:tc>
        <w:tc>
          <w:tcPr>
            <w:tcW w:type="dxa" w:w="1655"/>
            <w:vAlign w:val="top"/>
          </w:tcPr>
          <w:p>
            <w:pPr>
              <w:spacing w:after="40" w:before="0" w:line="259" w:lineRule="auto"/>
            </w:pPr>
            <w:r>
              <w:rPr>
                <w:rFonts w:ascii="Calibri" w:hAnsi="Calibri"/>
                <w:b w:val="0"/>
                <w:i w:val="0"/>
                <w:color w:val="212121"/>
                <w:sz w:val="19"/>
              </w:rPr>
              <w:t>All ages</w:t>
            </w:r>
          </w:p>
        </w:tc>
        <w:tc>
          <w:tcPr>
            <w:tcW w:type="dxa" w:w="1512"/>
            <w:vAlign w:val="top"/>
          </w:tcPr>
          <w:p>
            <w:pPr>
              <w:spacing w:after="40" w:before="0" w:line="259" w:lineRule="auto"/>
            </w:pPr>
            <w:r>
              <w:rPr>
                <w:rFonts w:ascii="Calibri" w:hAnsi="Calibri"/>
                <w:b w:val="0"/>
                <w:i w:val="0"/>
                <w:color w:val="212121"/>
                <w:sz w:val="19"/>
              </w:rPr>
              <w:t>6/6 (20/20)</w:t>
            </w:r>
          </w:p>
        </w:tc>
        <w:tc>
          <w:tcPr>
            <w:tcW w:type="dxa" w:w="1512"/>
            <w:vAlign w:val="top"/>
          </w:tcPr>
          <w:p>
            <w:pPr>
              <w:spacing w:after="40" w:before="0" w:line="259" w:lineRule="auto"/>
            </w:pPr>
            <w:r>
              <w:rPr>
                <w:rFonts w:ascii="Calibri" w:hAnsi="Calibri"/>
                <w:b w:val="0"/>
                <w:i w:val="0"/>
                <w:color w:val="212121"/>
                <w:sz w:val="19"/>
              </w:rPr>
              <w:t>≤ 6/9, improving with pinhole/cylinder</w:t>
            </w:r>
          </w:p>
        </w:tc>
        <w:tc>
          <w:tcPr>
            <w:tcW w:type="dxa" w:w="1468"/>
            <w:vAlign w:val="top"/>
          </w:tcPr>
          <w:p>
            <w:pPr>
              <w:spacing w:after="40" w:before="0" w:line="259" w:lineRule="auto"/>
            </w:pPr>
            <w:r>
              <w:rPr>
                <w:rFonts w:ascii="Calibri" w:hAnsi="Calibri"/>
                <w:b w:val="0"/>
                <w:i w:val="0"/>
                <w:color w:val="212121"/>
                <w:sz w:val="19"/>
              </w:rPr>
              <w:t>Screening metric; sub-normal acuity that clears with a cylinder points to astigmatism.</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Age at first cycloplegic refraction (children)</w:t>
            </w:r>
          </w:p>
        </w:tc>
        <w:tc>
          <w:tcPr>
            <w:tcW w:type="dxa" w:w="1655"/>
            <w:vAlign w:val="top"/>
          </w:tcPr>
          <w:p>
            <w:pPr>
              <w:spacing w:after="40" w:before="0" w:line="259" w:lineRule="auto"/>
            </w:pPr>
            <w:r>
              <w:rPr>
                <w:rFonts w:ascii="Calibri" w:hAnsi="Calibri"/>
                <w:b w:val="0"/>
                <w:i w:val="0"/>
                <w:color w:val="212121"/>
                <w:sz w:val="19"/>
              </w:rPr>
              <w:t>Children</w:t>
            </w:r>
          </w:p>
        </w:tc>
        <w:tc>
          <w:tcPr>
            <w:tcW w:type="dxa" w:w="1512"/>
            <w:vAlign w:val="top"/>
          </w:tcPr>
          <w:p>
            <w:pPr>
              <w:spacing w:after="40" w:before="0" w:line="259" w:lineRule="auto"/>
            </w:pPr>
            <w:r>
              <w:rPr>
                <w:rFonts w:ascii="Calibri" w:hAnsi="Calibri"/>
                <w:b w:val="0"/>
                <w:i w:val="0"/>
                <w:color w:val="212121"/>
                <w:sz w:val="19"/>
              </w:rPr>
              <w:t>By 3–4 y if risk factors; at school entry</w:t>
            </w:r>
          </w:p>
        </w:tc>
        <w:tc>
          <w:tcPr>
            <w:tcW w:type="dxa" w:w="1512"/>
            <w:vAlign w:val="top"/>
          </w:tcPr>
          <w:p>
            <w:pPr>
              <w:spacing w:after="40" w:before="0" w:line="259" w:lineRule="auto"/>
            </w:pPr>
            <w:r>
              <w:rPr>
                <w:rFonts w:ascii="Calibri" w:hAnsi="Calibri"/>
                <w:b w:val="0"/>
                <w:i w:val="0"/>
                <w:color w:val="212121"/>
                <w:sz w:val="19"/>
              </w:rPr>
              <w:t>High astigmatism left uncorrected past age 4–6 (amblyopia window)</w:t>
            </w:r>
          </w:p>
        </w:tc>
        <w:tc>
          <w:tcPr>
            <w:tcW w:type="dxa" w:w="1468"/>
            <w:vAlign w:val="top"/>
          </w:tcPr>
          <w:p>
            <w:pPr>
              <w:spacing w:after="40" w:before="0" w:line="259" w:lineRule="auto"/>
            </w:pPr>
            <w:r>
              <w:rPr>
                <w:rFonts w:ascii="Calibri" w:hAnsi="Calibri"/>
                <w:b w:val="0"/>
                <w:i w:val="0"/>
                <w:color w:val="212121"/>
                <w:sz w:val="19"/>
              </w:rPr>
              <w:t>Timely detection prevents irreversible meridional amblyopia.</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Refraction</w:t>
            </w:r>
          </w:p>
        </w:tc>
        <w:tc>
          <w:tcPr>
            <w:tcW w:type="dxa" w:w="1036"/>
            <w:vAlign w:val="top"/>
          </w:tcPr>
          <w:p>
            <w:pPr>
              <w:spacing w:after="40" w:before="0" w:line="259" w:lineRule="auto"/>
            </w:pPr>
            <w:r>
              <w:rPr>
                <w:rFonts w:ascii="Calibri" w:hAnsi="Calibri"/>
                <w:b w:val="0"/>
                <w:i w:val="0"/>
                <w:color w:val="212121"/>
                <w:sz w:val="16"/>
              </w:rPr>
              <w:t>Cylinder power &amp; axis</w:t>
            </w:r>
          </w:p>
        </w:tc>
        <w:tc>
          <w:tcPr>
            <w:tcW w:type="dxa" w:w="892"/>
            <w:vAlign w:val="top"/>
          </w:tcPr>
          <w:p>
            <w:pPr>
              <w:spacing w:after="40" w:before="0" w:line="259" w:lineRule="auto"/>
            </w:pPr>
            <w:r>
              <w:rPr>
                <w:rFonts w:ascii="Calibri" w:hAnsi="Calibri"/>
                <w:b w:val="0"/>
                <w:i w:val="0"/>
                <w:color w:val="212121"/>
                <w:sz w:val="16"/>
              </w:rPr>
              <w:t>Subjective refraction / Autorefraction</w:t>
            </w:r>
          </w:p>
        </w:tc>
        <w:tc>
          <w:tcPr>
            <w:tcW w:type="dxa" w:w="950"/>
            <w:vAlign w:val="top"/>
          </w:tcPr>
          <w:p>
            <w:pPr>
              <w:spacing w:after="40" w:before="0" w:line="259" w:lineRule="auto"/>
            </w:pPr>
            <w:r>
              <w:rPr>
                <w:rFonts w:ascii="Calibri" w:hAnsi="Calibri"/>
                <w:b w:val="0"/>
                <w:i w:val="0"/>
                <w:color w:val="212121"/>
                <w:sz w:val="16"/>
              </w:rPr>
              <w:t>&lt; 0.75 DC</w:t>
            </w:r>
          </w:p>
        </w:tc>
        <w:tc>
          <w:tcPr>
            <w:tcW w:type="dxa" w:w="950"/>
            <w:vAlign w:val="top"/>
          </w:tcPr>
          <w:p>
            <w:pPr>
              <w:spacing w:after="40" w:before="0" w:line="259" w:lineRule="auto"/>
            </w:pPr>
            <w:r>
              <w:rPr>
                <w:rFonts w:ascii="Calibri" w:hAnsi="Calibri"/>
                <w:b w:val="0"/>
                <w:i w:val="0"/>
                <w:color w:val="212121"/>
                <w:sz w:val="16"/>
              </w:rPr>
              <w:t>≥ 1.00 DC (with axis 0–180°)</w:t>
            </w:r>
          </w:p>
        </w:tc>
        <w:tc>
          <w:tcPr>
            <w:tcW w:type="dxa" w:w="1036"/>
            <w:vAlign w:val="top"/>
          </w:tcPr>
          <w:p>
            <w:pPr>
              <w:spacing w:after="40" w:before="0" w:line="259" w:lineRule="auto"/>
            </w:pPr>
            <w:r>
              <w:rPr>
                <w:rFonts w:ascii="Calibri" w:hAnsi="Calibri"/>
                <w:b w:val="0"/>
                <w:i w:val="0"/>
                <w:color w:val="212121"/>
                <w:sz w:val="16"/>
              </w:rPr>
              <w:t>Quantifies and localises the astigmatic error; basis of the spectacle/contact-lens prescription</w:t>
            </w:r>
          </w:p>
        </w:tc>
        <w:tc>
          <w:tcPr>
            <w:tcW w:type="dxa" w:w="1036"/>
            <w:vAlign w:val="top"/>
          </w:tcPr>
          <w:p>
            <w:pPr>
              <w:spacing w:after="40" w:before="0" w:line="259" w:lineRule="auto"/>
            </w:pPr>
            <w:r>
              <w:rPr>
                <w:rFonts w:ascii="Calibri" w:hAnsi="Calibri"/>
                <w:b w:val="0"/>
                <w:i w:val="0"/>
                <w:color w:val="212121"/>
                <w:sz w:val="16"/>
              </w:rPr>
              <w:t>All symptomatic patients, school screening referrals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Cross-checked against retinoscopy; cycloplegia in children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Refraction</w:t>
            </w:r>
          </w:p>
        </w:tc>
        <w:tc>
          <w:tcPr>
            <w:tcW w:type="dxa" w:w="1036"/>
            <w:vAlign w:val="top"/>
          </w:tcPr>
          <w:p>
            <w:pPr>
              <w:spacing w:after="40" w:before="0" w:line="259" w:lineRule="auto"/>
            </w:pPr>
            <w:r>
              <w:rPr>
                <w:rFonts w:ascii="Calibri" w:hAnsi="Calibri"/>
                <w:b w:val="0"/>
                <w:i w:val="0"/>
                <w:color w:val="212121"/>
                <w:sz w:val="16"/>
              </w:rPr>
              <w:t>Objective cylinder</w:t>
            </w:r>
          </w:p>
        </w:tc>
        <w:tc>
          <w:tcPr>
            <w:tcW w:type="dxa" w:w="892"/>
            <w:vAlign w:val="top"/>
          </w:tcPr>
          <w:p>
            <w:pPr>
              <w:spacing w:after="40" w:before="0" w:line="259" w:lineRule="auto"/>
            </w:pPr>
            <w:r>
              <w:rPr>
                <w:rFonts w:ascii="Calibri" w:hAnsi="Calibri"/>
                <w:b w:val="0"/>
                <w:i w:val="0"/>
                <w:color w:val="212121"/>
                <w:sz w:val="16"/>
              </w:rPr>
              <w:t>Retinoscopy</w:t>
            </w:r>
          </w:p>
        </w:tc>
        <w:tc>
          <w:tcPr>
            <w:tcW w:type="dxa" w:w="950"/>
            <w:vAlign w:val="top"/>
          </w:tcPr>
          <w:p>
            <w:pPr>
              <w:spacing w:after="40" w:before="0" w:line="259" w:lineRule="auto"/>
            </w:pPr>
            <w:r>
              <w:rPr>
                <w:rFonts w:ascii="Calibri" w:hAnsi="Calibri"/>
                <w:b w:val="0"/>
                <w:i w:val="0"/>
                <w:color w:val="212121"/>
                <w:sz w:val="16"/>
              </w:rPr>
              <w:t>Uniform reflex, no scissoring</w:t>
            </w:r>
          </w:p>
        </w:tc>
        <w:tc>
          <w:tcPr>
            <w:tcW w:type="dxa" w:w="950"/>
            <w:vAlign w:val="top"/>
          </w:tcPr>
          <w:p>
            <w:pPr>
              <w:spacing w:after="40" w:before="0" w:line="259" w:lineRule="auto"/>
            </w:pPr>
            <w:r>
              <w:rPr>
                <w:rFonts w:ascii="Calibri" w:hAnsi="Calibri"/>
                <w:b w:val="0"/>
                <w:i w:val="0"/>
                <w:color w:val="212121"/>
                <w:sz w:val="16"/>
              </w:rPr>
              <w:t>Scissoring reflex; unequal meridional neutralisation</w:t>
            </w:r>
          </w:p>
        </w:tc>
        <w:tc>
          <w:tcPr>
            <w:tcW w:type="dxa" w:w="1036"/>
            <w:vAlign w:val="top"/>
          </w:tcPr>
          <w:p>
            <w:pPr>
              <w:spacing w:after="40" w:before="0" w:line="259" w:lineRule="auto"/>
            </w:pPr>
            <w:r>
              <w:rPr>
                <w:rFonts w:ascii="Calibri" w:hAnsi="Calibri"/>
                <w:b w:val="0"/>
                <w:i w:val="0"/>
                <w:color w:val="212121"/>
                <w:sz w:val="16"/>
              </w:rPr>
              <w:t>Objective confirmation of astigmatism, essential in children and non-verbal patients</w:t>
            </w:r>
          </w:p>
        </w:tc>
        <w:tc>
          <w:tcPr>
            <w:tcW w:type="dxa" w:w="1036"/>
            <w:vAlign w:val="top"/>
          </w:tcPr>
          <w:p>
            <w:pPr>
              <w:spacing w:after="40" w:before="0" w:line="259" w:lineRule="auto"/>
            </w:pPr>
            <w:r>
              <w:rPr>
                <w:rFonts w:ascii="Calibri" w:hAnsi="Calibri"/>
                <w:b w:val="0"/>
                <w:i w:val="0"/>
                <w:color w:val="212121"/>
                <w:sz w:val="16"/>
              </w:rPr>
              <w:t>Children, non-communicative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Independent of patient response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Keratometry</w:t>
            </w:r>
          </w:p>
        </w:tc>
        <w:tc>
          <w:tcPr>
            <w:tcW w:type="dxa" w:w="1036"/>
            <w:vAlign w:val="top"/>
          </w:tcPr>
          <w:p>
            <w:pPr>
              <w:spacing w:after="40" w:before="0" w:line="259" w:lineRule="auto"/>
            </w:pPr>
            <w:r>
              <w:rPr>
                <w:rFonts w:ascii="Calibri" w:hAnsi="Calibri"/>
                <w:b w:val="0"/>
                <w:i w:val="0"/>
                <w:color w:val="212121"/>
                <w:sz w:val="16"/>
              </w:rPr>
              <w:t>Corneal curvature (K1/K2)</w:t>
            </w:r>
          </w:p>
        </w:tc>
        <w:tc>
          <w:tcPr>
            <w:tcW w:type="dxa" w:w="892"/>
            <w:vAlign w:val="top"/>
          </w:tcPr>
          <w:p>
            <w:pPr>
              <w:spacing w:after="40" w:before="0" w:line="259" w:lineRule="auto"/>
            </w:pPr>
            <w:r>
              <w:rPr>
                <w:rFonts w:ascii="Calibri" w:hAnsi="Calibri"/>
                <w:b w:val="0"/>
                <w:i w:val="0"/>
                <w:color w:val="212121"/>
                <w:sz w:val="16"/>
              </w:rPr>
              <w:t>Keratometry / IOL biometry</w:t>
            </w:r>
          </w:p>
        </w:tc>
        <w:tc>
          <w:tcPr>
            <w:tcW w:type="dxa" w:w="950"/>
            <w:vAlign w:val="top"/>
          </w:tcPr>
          <w:p>
            <w:pPr>
              <w:spacing w:after="40" w:before="0" w:line="259" w:lineRule="auto"/>
            </w:pPr>
            <w:r>
              <w:rPr>
                <w:rFonts w:ascii="Calibri" w:hAnsi="Calibri"/>
                <w:b w:val="0"/>
                <w:i w:val="0"/>
                <w:color w:val="212121"/>
                <w:sz w:val="16"/>
              </w:rPr>
              <w:t>K1 ≈ K2 (Δ &lt; 1.0 D)</w:t>
            </w:r>
          </w:p>
        </w:tc>
        <w:tc>
          <w:tcPr>
            <w:tcW w:type="dxa" w:w="950"/>
            <w:vAlign w:val="top"/>
          </w:tcPr>
          <w:p>
            <w:pPr>
              <w:spacing w:after="40" w:before="0" w:line="259" w:lineRule="auto"/>
            </w:pPr>
            <w:r>
              <w:rPr>
                <w:rFonts w:ascii="Calibri" w:hAnsi="Calibri"/>
                <w:b w:val="0"/>
                <w:i w:val="0"/>
                <w:color w:val="212121"/>
                <w:sz w:val="16"/>
              </w:rPr>
              <w:t>Δ (K2−K1) ≥ 1.0 D (toric cornea)</w:t>
            </w:r>
          </w:p>
        </w:tc>
        <w:tc>
          <w:tcPr>
            <w:tcW w:type="dxa" w:w="1036"/>
            <w:vAlign w:val="top"/>
          </w:tcPr>
          <w:p>
            <w:pPr>
              <w:spacing w:after="40" w:before="0" w:line="259" w:lineRule="auto"/>
            </w:pPr>
            <w:r>
              <w:rPr>
                <w:rFonts w:ascii="Calibri" w:hAnsi="Calibri"/>
                <w:b w:val="0"/>
                <w:i w:val="0"/>
                <w:color w:val="212121"/>
                <w:sz w:val="16"/>
              </w:rPr>
              <w:t>Measures corneal astigmatism magnitude and axis; guides toric IOL/incision planning</w:t>
            </w:r>
          </w:p>
        </w:tc>
        <w:tc>
          <w:tcPr>
            <w:tcW w:type="dxa" w:w="1036"/>
            <w:vAlign w:val="top"/>
          </w:tcPr>
          <w:p>
            <w:pPr>
              <w:spacing w:after="40" w:before="0" w:line="259" w:lineRule="auto"/>
            </w:pPr>
            <w:r>
              <w:rPr>
                <w:rFonts w:ascii="Calibri" w:hAnsi="Calibri"/>
                <w:b w:val="0"/>
                <w:i w:val="0"/>
                <w:color w:val="212121"/>
                <w:sz w:val="16"/>
              </w:rPr>
              <w:t>Cataract-surgery candidates, contact-lens fitting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Automated or manual keratometry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Anterior corneal map / regularity</w:t>
            </w:r>
          </w:p>
        </w:tc>
        <w:tc>
          <w:tcPr>
            <w:tcW w:type="dxa" w:w="892"/>
            <w:vAlign w:val="top"/>
          </w:tcPr>
          <w:p>
            <w:pPr>
              <w:spacing w:after="40" w:before="0" w:line="259" w:lineRule="auto"/>
            </w:pPr>
            <w:r>
              <w:rPr>
                <w:rFonts w:ascii="Calibri" w:hAnsi="Calibri"/>
                <w:b w:val="0"/>
                <w:i w:val="0"/>
                <w:color w:val="212121"/>
                <w:sz w:val="16"/>
              </w:rPr>
              <w:t>Corneal topography / tomography (Placido / Scheimpflug)</w:t>
            </w:r>
          </w:p>
        </w:tc>
        <w:tc>
          <w:tcPr>
            <w:tcW w:type="dxa" w:w="950"/>
            <w:vAlign w:val="top"/>
          </w:tcPr>
          <w:p>
            <w:pPr>
              <w:spacing w:after="40" w:before="0" w:line="259" w:lineRule="auto"/>
            </w:pPr>
            <w:r>
              <w:rPr>
                <w:rFonts w:ascii="Calibri" w:hAnsi="Calibri"/>
                <w:b w:val="0"/>
                <w:i w:val="0"/>
                <w:color w:val="212121"/>
                <w:sz w:val="16"/>
              </w:rPr>
              <w:t>Symmetric regular bowtie, no ectasia</w:t>
            </w:r>
          </w:p>
        </w:tc>
        <w:tc>
          <w:tcPr>
            <w:tcW w:type="dxa" w:w="950"/>
            <w:vAlign w:val="top"/>
          </w:tcPr>
          <w:p>
            <w:pPr>
              <w:spacing w:after="40" w:before="0" w:line="259" w:lineRule="auto"/>
            </w:pPr>
            <w:r>
              <w:rPr>
                <w:rFonts w:ascii="Calibri" w:hAnsi="Calibri"/>
                <w:b w:val="0"/>
                <w:i w:val="0"/>
                <w:color w:val="212121"/>
                <w:sz w:val="16"/>
              </w:rPr>
              <w:t>Asymmetric/irregular pattern, inferior steepening, thinning</w:t>
            </w:r>
          </w:p>
        </w:tc>
        <w:tc>
          <w:tcPr>
            <w:tcW w:type="dxa" w:w="1036"/>
            <w:vAlign w:val="top"/>
          </w:tcPr>
          <w:p>
            <w:pPr>
              <w:spacing w:after="40" w:before="0" w:line="259" w:lineRule="auto"/>
            </w:pPr>
            <w:r>
              <w:rPr>
                <w:rFonts w:ascii="Calibri" w:hAnsi="Calibri"/>
                <w:b w:val="0"/>
                <w:i w:val="0"/>
                <w:color w:val="212121"/>
                <w:sz w:val="16"/>
              </w:rPr>
              <w:t>Distinguishes regular from irregular astigmatism and screens for keratoconus/ectasia</w:t>
            </w:r>
          </w:p>
        </w:tc>
        <w:tc>
          <w:tcPr>
            <w:tcW w:type="dxa" w:w="1036"/>
            <w:vAlign w:val="top"/>
          </w:tcPr>
          <w:p>
            <w:pPr>
              <w:spacing w:after="40" w:before="0" w:line="259" w:lineRule="auto"/>
            </w:pPr>
            <w:r>
              <w:rPr>
                <w:rFonts w:ascii="Calibri" w:hAnsi="Calibri"/>
                <w:b w:val="0"/>
                <w:i w:val="0"/>
                <w:color w:val="212121"/>
                <w:sz w:val="16"/>
              </w:rPr>
              <w:t>Keratoconus suspects, high/irregular astigmatism, pre-refractive-surgery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Add pachymetry for ectasia work-up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Visual acuity</w:t>
            </w:r>
          </w:p>
        </w:tc>
        <w:tc>
          <w:tcPr>
            <w:tcW w:type="dxa" w:w="1036"/>
            <w:vAlign w:val="top"/>
          </w:tcPr>
          <w:p>
            <w:pPr>
              <w:spacing w:after="40" w:before="0" w:line="259" w:lineRule="auto"/>
            </w:pPr>
            <w:r>
              <w:rPr>
                <w:rFonts w:ascii="Calibri" w:hAnsi="Calibri"/>
                <w:b w:val="0"/>
                <w:i w:val="0"/>
                <w:color w:val="212121"/>
                <w:sz w:val="16"/>
              </w:rPr>
              <w:t>UCVA &amp; BCVA</w:t>
            </w:r>
          </w:p>
        </w:tc>
        <w:tc>
          <w:tcPr>
            <w:tcW w:type="dxa" w:w="892"/>
            <w:vAlign w:val="top"/>
          </w:tcPr>
          <w:p>
            <w:pPr>
              <w:spacing w:after="40" w:before="0" w:line="259" w:lineRule="auto"/>
            </w:pPr>
            <w:r>
              <w:rPr>
                <w:rFonts w:ascii="Calibri" w:hAnsi="Calibri"/>
                <w:b w:val="0"/>
                <w:i w:val="0"/>
                <w:color w:val="212121"/>
                <w:sz w:val="16"/>
              </w:rPr>
              <w:t>Snellen / logMAR chart ± pinhole</w:t>
            </w:r>
          </w:p>
        </w:tc>
        <w:tc>
          <w:tcPr>
            <w:tcW w:type="dxa" w:w="950"/>
            <w:vAlign w:val="top"/>
          </w:tcPr>
          <w:p>
            <w:pPr>
              <w:spacing w:after="40" w:before="0" w:line="259" w:lineRule="auto"/>
            </w:pPr>
            <w:r>
              <w:rPr>
                <w:rFonts w:ascii="Calibri" w:hAnsi="Calibri"/>
                <w:b w:val="0"/>
                <w:i w:val="0"/>
                <w:color w:val="212121"/>
                <w:sz w:val="16"/>
              </w:rPr>
              <w:t>6/6 (20/20)</w:t>
            </w:r>
          </w:p>
        </w:tc>
        <w:tc>
          <w:tcPr>
            <w:tcW w:type="dxa" w:w="950"/>
            <w:vAlign w:val="top"/>
          </w:tcPr>
          <w:p>
            <w:pPr>
              <w:spacing w:after="40" w:before="0" w:line="259" w:lineRule="auto"/>
            </w:pPr>
            <w:r>
              <w:rPr>
                <w:rFonts w:ascii="Calibri" w:hAnsi="Calibri"/>
                <w:b w:val="0"/>
                <w:i w:val="0"/>
                <w:color w:val="212121"/>
                <w:sz w:val="16"/>
              </w:rPr>
              <w:t>Reduced UCVA improving with pinhole/cylinder; residual loss suggests amblyopia</w:t>
            </w:r>
          </w:p>
        </w:tc>
        <w:tc>
          <w:tcPr>
            <w:tcW w:type="dxa" w:w="1036"/>
            <w:vAlign w:val="top"/>
          </w:tcPr>
          <w:p>
            <w:pPr>
              <w:spacing w:after="40" w:before="0" w:line="259" w:lineRule="auto"/>
            </w:pPr>
            <w:r>
              <w:rPr>
                <w:rFonts w:ascii="Calibri" w:hAnsi="Calibri"/>
                <w:b w:val="0"/>
                <w:i w:val="0"/>
                <w:color w:val="212121"/>
                <w:sz w:val="16"/>
              </w:rPr>
              <w:t>Grades functional impact and separates refractive blur from amblyopia/pathology</w:t>
            </w:r>
          </w:p>
        </w:tc>
        <w:tc>
          <w:tcPr>
            <w:tcW w:type="dxa" w:w="1036"/>
            <w:vAlign w:val="top"/>
          </w:tcPr>
          <w:p>
            <w:pPr>
              <w:spacing w:after="40" w:before="0" w:line="259" w:lineRule="auto"/>
            </w:pPr>
            <w:r>
              <w:rPr>
                <w:rFonts w:ascii="Calibri" w:hAnsi="Calibri"/>
                <w:b w:val="0"/>
                <w:i w:val="0"/>
                <w:color w:val="212121"/>
                <w:sz w:val="16"/>
              </w:rPr>
              <w:t>All ages, school vision screening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Pinhole clears refractive but not organic causes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Aberrometry</w:t>
            </w:r>
          </w:p>
        </w:tc>
        <w:tc>
          <w:tcPr>
            <w:tcW w:type="dxa" w:w="1036"/>
            <w:vAlign w:val="top"/>
          </w:tcPr>
          <w:p>
            <w:pPr>
              <w:spacing w:after="40" w:before="0" w:line="259" w:lineRule="auto"/>
            </w:pPr>
            <w:r>
              <w:rPr>
                <w:rFonts w:ascii="Calibri" w:hAnsi="Calibri"/>
                <w:b w:val="0"/>
                <w:i w:val="0"/>
                <w:color w:val="212121"/>
                <w:sz w:val="16"/>
              </w:rPr>
              <w:t>Higher-order aberrations</w:t>
            </w:r>
          </w:p>
        </w:tc>
        <w:tc>
          <w:tcPr>
            <w:tcW w:type="dxa" w:w="892"/>
            <w:vAlign w:val="top"/>
          </w:tcPr>
          <w:p>
            <w:pPr>
              <w:spacing w:after="40" w:before="0" w:line="259" w:lineRule="auto"/>
            </w:pPr>
            <w:r>
              <w:rPr>
                <w:rFonts w:ascii="Calibri" w:hAnsi="Calibri"/>
                <w:b w:val="0"/>
                <w:i w:val="0"/>
                <w:color w:val="212121"/>
                <w:sz w:val="16"/>
              </w:rPr>
              <w:t>Wavefront aberrometry</w:t>
            </w:r>
          </w:p>
        </w:tc>
        <w:tc>
          <w:tcPr>
            <w:tcW w:type="dxa" w:w="950"/>
            <w:vAlign w:val="top"/>
          </w:tcPr>
          <w:p>
            <w:pPr>
              <w:spacing w:after="40" w:before="0" w:line="259" w:lineRule="auto"/>
            </w:pPr>
            <w:r>
              <w:rPr>
                <w:rFonts w:ascii="Calibri" w:hAnsi="Calibri"/>
                <w:b w:val="0"/>
                <w:i w:val="0"/>
                <w:color w:val="212121"/>
                <w:sz w:val="16"/>
              </w:rPr>
              <w:t>Low HOA</w:t>
            </w:r>
          </w:p>
        </w:tc>
        <w:tc>
          <w:tcPr>
            <w:tcW w:type="dxa" w:w="950"/>
            <w:vAlign w:val="top"/>
          </w:tcPr>
          <w:p>
            <w:pPr>
              <w:spacing w:after="40" w:before="0" w:line="259" w:lineRule="auto"/>
            </w:pPr>
            <w:r>
              <w:rPr>
                <w:rFonts w:ascii="Calibri" w:hAnsi="Calibri"/>
                <w:b w:val="0"/>
                <w:i w:val="0"/>
                <w:color w:val="212121"/>
                <w:sz w:val="16"/>
              </w:rPr>
              <w:t>Elevated coma/irregular HOA</w:t>
            </w:r>
          </w:p>
        </w:tc>
        <w:tc>
          <w:tcPr>
            <w:tcW w:type="dxa" w:w="1036"/>
            <w:vAlign w:val="top"/>
          </w:tcPr>
          <w:p>
            <w:pPr>
              <w:spacing w:after="40" w:before="0" w:line="259" w:lineRule="auto"/>
            </w:pPr>
            <w:r>
              <w:rPr>
                <w:rFonts w:ascii="Calibri" w:hAnsi="Calibri"/>
                <w:b w:val="0"/>
                <w:i w:val="0"/>
                <w:color w:val="212121"/>
                <w:sz w:val="16"/>
              </w:rPr>
              <w:t>Characterises irregular astigmatism not captured by sphero-cylinder; guides RGP/scleral or custom ablation</w:t>
            </w:r>
          </w:p>
        </w:tc>
        <w:tc>
          <w:tcPr>
            <w:tcW w:type="dxa" w:w="1036"/>
            <w:vAlign w:val="top"/>
          </w:tcPr>
          <w:p>
            <w:pPr>
              <w:spacing w:after="40" w:before="0" w:line="259" w:lineRule="auto"/>
            </w:pPr>
            <w:r>
              <w:rPr>
                <w:rFonts w:ascii="Calibri" w:hAnsi="Calibri"/>
                <w:b w:val="0"/>
                <w:i w:val="0"/>
                <w:color w:val="212121"/>
                <w:sz w:val="16"/>
              </w:rPr>
              <w:t>Irregular astigmatism, keratoconus, post-surgical</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Useful when spectacle acuity is poor despite full correction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Blurred/distorted vision at all distances, eye strain, headache, squinting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present</w:t>
            </w:r>
          </w:p>
        </w:tc>
        <w:tc>
          <w:tcPr>
            <w:tcW w:type="dxa" w:w="1036"/>
            <w:vAlign w:val="top"/>
          </w:tcPr>
          <w:p>
            <w:pPr>
              <w:spacing w:after="40" w:before="0" w:line="259" w:lineRule="auto"/>
            </w:pPr>
            <w:r>
              <w:rPr>
                <w:rFonts w:ascii="Calibri" w:hAnsi="Calibri"/>
                <w:b w:val="0"/>
                <w:i w:val="0"/>
                <w:color w:val="212121"/>
                <w:sz w:val="16"/>
              </w:rPr>
              <w:t>Symptom pattern typical of uncorrected astigmatism</w:t>
            </w:r>
          </w:p>
        </w:tc>
        <w:tc>
          <w:tcPr>
            <w:tcW w:type="dxa" w:w="1036"/>
            <w:vAlign w:val="top"/>
          </w:tcPr>
          <w:p>
            <w:pPr>
              <w:spacing w:after="40" w:before="0" w:line="259" w:lineRule="auto"/>
            </w:pPr>
            <w:r>
              <w:rPr>
                <w:rFonts w:ascii="Calibri" w:hAnsi="Calibri"/>
                <w:b w:val="0"/>
                <w:i w:val="0"/>
                <w:color w:val="212121"/>
                <w:sz w:val="16"/>
              </w:rPr>
              <w:t>Students, screen/desk workers, children with head tilt</w:t>
            </w:r>
          </w:p>
        </w:tc>
        <w:tc>
          <w:tcPr>
            <w:tcW w:type="dxa" w:w="720"/>
            <w:vAlign w:val="top"/>
          </w:tcPr>
          <w:p>
            <w:pPr>
              <w:spacing w:after="40" w:before="0" w:line="259" w:lineRule="auto"/>
            </w:pPr>
            <w:r>
              <w:rPr>
                <w:rFonts w:ascii="Calibri" w:hAnsi="Calibri"/>
                <w:b w:val="0"/>
                <w:i w:val="0"/>
                <w:color w:val="212121"/>
                <w:sz w:val="16"/>
              </w:rPr>
              <w:t>Posture;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Symptoms often worse with fatigue and near work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birth history</w:t>
            </w:r>
          </w:p>
        </w:tc>
        <w:tc>
          <w:tcPr>
            <w:tcW w:type="dxa" w:w="979"/>
            <w:vAlign w:val="top"/>
          </w:tcPr>
          <w:p>
            <w:pPr>
              <w:spacing w:after="40" w:before="0" w:line="259" w:lineRule="auto"/>
            </w:pPr>
            <w:r>
              <w:rPr>
                <w:rFonts w:ascii="Calibri" w:hAnsi="Calibri"/>
                <w:b w:val="0"/>
                <w:i w:val="0"/>
                <w:color w:val="212121"/>
                <w:sz w:val="16"/>
              </w:rPr>
              <w:t>Parental astigmatism/spectacles; prematurity/ROP</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Positive family or preterm/ROP history</w:t>
            </w:r>
          </w:p>
        </w:tc>
        <w:tc>
          <w:tcPr>
            <w:tcW w:type="dxa" w:w="1036"/>
            <w:vAlign w:val="top"/>
          </w:tcPr>
          <w:p>
            <w:pPr>
              <w:spacing w:after="40" w:before="0" w:line="259" w:lineRule="auto"/>
            </w:pPr>
            <w:r>
              <w:rPr>
                <w:rFonts w:ascii="Calibri" w:hAnsi="Calibri"/>
                <w:b w:val="0"/>
                <w:i w:val="0"/>
                <w:color w:val="212121"/>
                <w:sz w:val="16"/>
              </w:rPr>
              <w:t>Identifies inherited and developmental predisposition</w:t>
            </w:r>
          </w:p>
        </w:tc>
        <w:tc>
          <w:tcPr>
            <w:tcW w:type="dxa" w:w="1036"/>
            <w:vAlign w:val="top"/>
          </w:tcPr>
          <w:p>
            <w:pPr>
              <w:spacing w:after="40" w:before="0" w:line="259" w:lineRule="auto"/>
            </w:pPr>
            <w:r>
              <w:rPr>
                <w:rFonts w:ascii="Calibri" w:hAnsi="Calibri"/>
                <w:b w:val="0"/>
                <w:i w:val="0"/>
                <w:color w:val="212121"/>
                <w:sz w:val="16"/>
              </w:rPr>
              <w:t>Children of astigmatic parents, preterm children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earlier and repeated screening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Eye-rubbing &amp; atopy</w:t>
            </w:r>
          </w:p>
        </w:tc>
        <w:tc>
          <w:tcPr>
            <w:tcW w:type="dxa" w:w="979"/>
            <w:vAlign w:val="top"/>
          </w:tcPr>
          <w:p>
            <w:pPr>
              <w:spacing w:after="40" w:before="0" w:line="259" w:lineRule="auto"/>
            </w:pPr>
            <w:r>
              <w:rPr>
                <w:rFonts w:ascii="Calibri" w:hAnsi="Calibri"/>
                <w:b w:val="0"/>
                <w:i w:val="0"/>
                <w:color w:val="212121"/>
                <w:sz w:val="16"/>
              </w:rPr>
              <w:t>Habitual rubbing, allergic/vernal keratoconjunctivitis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Frequent vigorous rubbing / active allergy</w:t>
            </w:r>
          </w:p>
        </w:tc>
        <w:tc>
          <w:tcPr>
            <w:tcW w:type="dxa" w:w="1036"/>
            <w:vAlign w:val="top"/>
          </w:tcPr>
          <w:p>
            <w:pPr>
              <w:spacing w:after="40" w:before="0" w:line="259" w:lineRule="auto"/>
            </w:pPr>
            <w:r>
              <w:rPr>
                <w:rFonts w:ascii="Calibri" w:hAnsi="Calibri"/>
                <w:b w:val="0"/>
                <w:i w:val="0"/>
                <w:color w:val="212121"/>
                <w:sz w:val="16"/>
              </w:rPr>
              <w:t>Key modifiable driver of keratoconus and irregular astigmatism</w:t>
            </w:r>
          </w:p>
        </w:tc>
        <w:tc>
          <w:tcPr>
            <w:tcW w:type="dxa" w:w="1036"/>
            <w:vAlign w:val="top"/>
          </w:tcPr>
          <w:p>
            <w:pPr>
              <w:spacing w:after="40" w:before="0" w:line="259" w:lineRule="auto"/>
            </w:pPr>
            <w:r>
              <w:rPr>
                <w:rFonts w:ascii="Calibri" w:hAnsi="Calibri"/>
                <w:b w:val="0"/>
                <w:i w:val="0"/>
                <w:color w:val="212121"/>
                <w:sz w:val="16"/>
              </w:rPr>
              <w:t>Atopic children/adults, keratoconus suspects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Counsel to stop rubbing; treat allergy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Past ocular history</w:t>
            </w:r>
          </w:p>
        </w:tc>
        <w:tc>
          <w:tcPr>
            <w:tcW w:type="dxa" w:w="979"/>
            <w:vAlign w:val="top"/>
          </w:tcPr>
          <w:p>
            <w:pPr>
              <w:spacing w:after="40" w:before="0" w:line="259" w:lineRule="auto"/>
            </w:pPr>
            <w:r>
              <w:rPr>
                <w:rFonts w:ascii="Calibri" w:hAnsi="Calibri"/>
                <w:b w:val="0"/>
                <w:i w:val="0"/>
                <w:color w:val="212121"/>
                <w:sz w:val="16"/>
              </w:rPr>
              <w:t>Trauma, corneal infection/ulcer, prior eye surgery, contact-lens use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relevant event</w:t>
            </w:r>
          </w:p>
        </w:tc>
        <w:tc>
          <w:tcPr>
            <w:tcW w:type="dxa" w:w="1036"/>
            <w:vAlign w:val="top"/>
          </w:tcPr>
          <w:p>
            <w:pPr>
              <w:spacing w:after="40" w:before="0" w:line="259" w:lineRule="auto"/>
            </w:pPr>
            <w:r>
              <w:rPr>
                <w:rFonts w:ascii="Calibri" w:hAnsi="Calibri"/>
                <w:b w:val="0"/>
                <w:i w:val="0"/>
                <w:color w:val="212121"/>
                <w:sz w:val="16"/>
              </w:rPr>
              <w:t>Points to acquired/irregular and surgically induced astigmatism</w:t>
            </w:r>
          </w:p>
        </w:tc>
        <w:tc>
          <w:tcPr>
            <w:tcW w:type="dxa" w:w="1036"/>
            <w:vAlign w:val="top"/>
          </w:tcPr>
          <w:p>
            <w:pPr>
              <w:spacing w:after="40" w:before="0" w:line="259" w:lineRule="auto"/>
            </w:pPr>
            <w:r>
              <w:rPr>
                <w:rFonts w:ascii="Calibri" w:hAnsi="Calibri"/>
                <w:b w:val="0"/>
                <w:i w:val="0"/>
                <w:color w:val="212121"/>
                <w:sz w:val="16"/>
              </w:rPr>
              <w:t>Post-surgical, post-keratitis, contact-lens users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Correlate with topography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Slit-lamp biomicroscopy</w:t>
            </w:r>
          </w:p>
        </w:tc>
        <w:tc>
          <w:tcPr>
            <w:tcW w:type="dxa" w:w="979"/>
            <w:vAlign w:val="top"/>
          </w:tcPr>
          <w:p>
            <w:pPr>
              <w:spacing w:after="40" w:before="0" w:line="259" w:lineRule="auto"/>
            </w:pPr>
            <w:r>
              <w:rPr>
                <w:rFonts w:ascii="Calibri" w:hAnsi="Calibri"/>
                <w:b w:val="0"/>
                <w:i w:val="0"/>
                <w:color w:val="212121"/>
                <w:sz w:val="16"/>
              </w:rPr>
              <w:t>Corneal clarity, scarring, keratoconus signs (Vogt striae, Fleischer ring, Munson sign)</w:t>
            </w:r>
          </w:p>
        </w:tc>
        <w:tc>
          <w:tcPr>
            <w:tcW w:type="dxa" w:w="950"/>
            <w:vAlign w:val="top"/>
          </w:tcPr>
          <w:p>
            <w:pPr>
              <w:spacing w:after="40" w:before="0" w:line="259" w:lineRule="auto"/>
            </w:pPr>
            <w:r>
              <w:rPr>
                <w:rFonts w:ascii="Calibri" w:hAnsi="Calibri"/>
                <w:b w:val="0"/>
                <w:i w:val="0"/>
                <w:color w:val="212121"/>
                <w:sz w:val="16"/>
              </w:rPr>
              <w:t>Clear regular cornea</w:t>
            </w:r>
          </w:p>
        </w:tc>
        <w:tc>
          <w:tcPr>
            <w:tcW w:type="dxa" w:w="950"/>
            <w:vAlign w:val="top"/>
          </w:tcPr>
          <w:p>
            <w:pPr>
              <w:spacing w:after="40" w:before="0" w:line="259" w:lineRule="auto"/>
            </w:pPr>
            <w:r>
              <w:rPr>
                <w:rFonts w:ascii="Calibri" w:hAnsi="Calibri"/>
                <w:b w:val="0"/>
                <w:i w:val="0"/>
                <w:color w:val="212121"/>
                <w:sz w:val="16"/>
              </w:rPr>
              <w:t>Scar, thinning/cone, ectatic signs</w:t>
            </w:r>
          </w:p>
        </w:tc>
        <w:tc>
          <w:tcPr>
            <w:tcW w:type="dxa" w:w="1036"/>
            <w:vAlign w:val="top"/>
          </w:tcPr>
          <w:p>
            <w:pPr>
              <w:spacing w:after="40" w:before="0" w:line="259" w:lineRule="auto"/>
            </w:pPr>
            <w:r>
              <w:rPr>
                <w:rFonts w:ascii="Calibri" w:hAnsi="Calibri"/>
                <w:b w:val="0"/>
                <w:i w:val="0"/>
                <w:color w:val="212121"/>
                <w:sz w:val="16"/>
              </w:rPr>
              <w:t>Detects corneal causes of irregular astigmatism</w:t>
            </w:r>
          </w:p>
        </w:tc>
        <w:tc>
          <w:tcPr>
            <w:tcW w:type="dxa" w:w="1036"/>
            <w:vAlign w:val="top"/>
          </w:tcPr>
          <w:p>
            <w:pPr>
              <w:spacing w:after="40" w:before="0" w:line="259" w:lineRule="auto"/>
            </w:pPr>
            <w:r>
              <w:rPr>
                <w:rFonts w:ascii="Calibri" w:hAnsi="Calibri"/>
                <w:b w:val="0"/>
                <w:i w:val="0"/>
                <w:color w:val="212121"/>
                <w:sz w:val="16"/>
              </w:rPr>
              <w:t>Keratoconus suspects, post-keratitis, high astigmatism</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Assess ocular surface/tear film too</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Lid &amp; adnexal / pinhole assessment</w:t>
            </w:r>
          </w:p>
        </w:tc>
        <w:tc>
          <w:tcPr>
            <w:tcW w:type="dxa" w:w="979"/>
            <w:vAlign w:val="top"/>
          </w:tcPr>
          <w:p>
            <w:pPr>
              <w:spacing w:after="40" w:before="0" w:line="259" w:lineRule="auto"/>
            </w:pPr>
            <w:r>
              <w:rPr>
                <w:rFonts w:ascii="Calibri" w:hAnsi="Calibri"/>
                <w:b w:val="0"/>
                <w:i w:val="0"/>
                <w:color w:val="212121"/>
                <w:sz w:val="16"/>
              </w:rPr>
              <w:t>Ptosis, chalazion, entropion; pinhole response</w:t>
            </w:r>
          </w:p>
        </w:tc>
        <w:tc>
          <w:tcPr>
            <w:tcW w:type="dxa" w:w="950"/>
            <w:vAlign w:val="top"/>
          </w:tcPr>
          <w:p>
            <w:pPr>
              <w:spacing w:after="40" w:before="0" w:line="259" w:lineRule="auto"/>
            </w:pPr>
            <w:r>
              <w:rPr>
                <w:rFonts w:ascii="Calibri" w:hAnsi="Calibri"/>
                <w:b w:val="0"/>
                <w:i w:val="0"/>
                <w:color w:val="212121"/>
                <w:sz w:val="16"/>
              </w:rPr>
              <w:t>Normal lids; acuity clears with pinhole</w:t>
            </w:r>
          </w:p>
        </w:tc>
        <w:tc>
          <w:tcPr>
            <w:tcW w:type="dxa" w:w="950"/>
            <w:vAlign w:val="top"/>
          </w:tcPr>
          <w:p>
            <w:pPr>
              <w:spacing w:after="40" w:before="0" w:line="259" w:lineRule="auto"/>
            </w:pPr>
            <w:r>
              <w:rPr>
                <w:rFonts w:ascii="Calibri" w:hAnsi="Calibri"/>
                <w:b w:val="0"/>
                <w:i w:val="0"/>
                <w:color w:val="212121"/>
                <w:sz w:val="16"/>
              </w:rPr>
              <w:t>Lid mass/malposition; residual blur after pinhole</w:t>
            </w:r>
          </w:p>
        </w:tc>
        <w:tc>
          <w:tcPr>
            <w:tcW w:type="dxa" w:w="1036"/>
            <w:vAlign w:val="top"/>
          </w:tcPr>
          <w:p>
            <w:pPr>
              <w:spacing w:after="40" w:before="0" w:line="259" w:lineRule="auto"/>
            </w:pPr>
            <w:r>
              <w:rPr>
                <w:rFonts w:ascii="Calibri" w:hAnsi="Calibri"/>
                <w:b w:val="0"/>
                <w:i w:val="0"/>
                <w:color w:val="212121"/>
                <w:sz w:val="16"/>
              </w:rPr>
              <w:t>Identifies lid-induced astigmatism and separates refractive from organic causes</w:t>
            </w:r>
          </w:p>
        </w:tc>
        <w:tc>
          <w:tcPr>
            <w:tcW w:type="dxa" w:w="1036"/>
            <w:vAlign w:val="top"/>
          </w:tcPr>
          <w:p>
            <w:pPr>
              <w:spacing w:after="40" w:before="0" w:line="259" w:lineRule="auto"/>
            </w:pPr>
            <w:r>
              <w:rPr>
                <w:rFonts w:ascii="Calibri" w:hAnsi="Calibri"/>
                <w:b w:val="0"/>
                <w:i w:val="0"/>
                <w:color w:val="212121"/>
                <w:sz w:val="16"/>
              </w:rPr>
              <w:t>Children with lid lesions, amblyopia suspects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Treating lid pathology can reduce astigmatism</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Blurred vision at all distances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Hallmark of astigmatism — both near and distance images are unclear because light focuses at two points, unlike simple myopia or hyperopia.</w:t>
            </w:r>
          </w:p>
        </w:tc>
      </w:tr>
      <w:tr>
        <w:trPr>
          <w:cantSplit/>
        </w:trPr>
        <w:tc>
          <w:tcPr>
            <w:tcW w:type="dxa" w:w="2304"/>
            <w:vAlign w:val="top"/>
          </w:tcPr>
          <w:p>
            <w:pPr>
              <w:spacing w:after="40" w:before="0" w:line="259" w:lineRule="auto"/>
            </w:pPr>
            <w:r>
              <w:rPr>
                <w:rFonts w:ascii="Calibri" w:hAnsi="Calibri"/>
                <w:b/>
                <w:i w:val="0"/>
                <w:color w:val="212121"/>
                <w:sz w:val="19"/>
              </w:rPr>
              <w:t>Distorted or “wavy” vision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Straight lines appear tilted, doubled or smeared along one axis due to meridional defocus.</w:t>
            </w:r>
          </w:p>
        </w:tc>
      </w:tr>
      <w:tr>
        <w:trPr>
          <w:cantSplit/>
        </w:trPr>
        <w:tc>
          <w:tcPr>
            <w:tcW w:type="dxa" w:w="2304"/>
            <w:vAlign w:val="top"/>
          </w:tcPr>
          <w:p>
            <w:pPr>
              <w:spacing w:after="40" w:before="0" w:line="259" w:lineRule="auto"/>
            </w:pPr>
            <w:r>
              <w:rPr>
                <w:rFonts w:ascii="Calibri" w:hAnsi="Calibri"/>
                <w:b/>
                <w:i w:val="0"/>
                <w:color w:val="212121"/>
                <w:sz w:val="19"/>
              </w:rPr>
              <w:t>Eye strain / asthenopia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Constant accommodative effort to sharpen a distorted image causes tired, aching eyes, especially with sustained near work.</w:t>
            </w:r>
          </w:p>
        </w:tc>
      </w:tr>
      <w:tr>
        <w:trPr>
          <w:cantSplit/>
        </w:trPr>
        <w:tc>
          <w:tcPr>
            <w:tcW w:type="dxa" w:w="2304"/>
            <w:vAlign w:val="top"/>
          </w:tcPr>
          <w:p>
            <w:pPr>
              <w:spacing w:after="40" w:before="0" w:line="259" w:lineRule="auto"/>
            </w:pPr>
            <w:r>
              <w:rPr>
                <w:rFonts w:ascii="Calibri" w:hAnsi="Calibri"/>
                <w:b/>
                <w:i w:val="0"/>
                <w:color w:val="212121"/>
                <w:sz w:val="19"/>
              </w:rPr>
              <w:t>Headache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Typically frontal or brow-region, brought on by prolonged reading or screen use.</w:t>
            </w:r>
          </w:p>
        </w:tc>
      </w:tr>
      <w:tr>
        <w:trPr>
          <w:cantSplit/>
        </w:trPr>
        <w:tc>
          <w:tcPr>
            <w:tcW w:type="dxa" w:w="2304"/>
            <w:vAlign w:val="top"/>
          </w:tcPr>
          <w:p>
            <w:pPr>
              <w:spacing w:after="40" w:before="0" w:line="259" w:lineRule="auto"/>
            </w:pPr>
            <w:r>
              <w:rPr>
                <w:rFonts w:ascii="Calibri" w:hAnsi="Calibri"/>
                <w:b/>
                <w:i w:val="0"/>
                <w:color w:val="212121"/>
                <w:sz w:val="19"/>
              </w:rPr>
              <w:t>Squinting to focus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Partial lid closure creates a pinhole/stenopaeic effect that transiently sharpens vision.</w:t>
            </w:r>
          </w:p>
        </w:tc>
      </w:tr>
      <w:tr>
        <w:trPr>
          <w:cantSplit/>
        </w:trPr>
        <w:tc>
          <w:tcPr>
            <w:tcW w:type="dxa" w:w="2304"/>
            <w:vAlign w:val="top"/>
          </w:tcPr>
          <w:p>
            <w:pPr>
              <w:spacing w:after="40" w:before="0" w:line="259" w:lineRule="auto"/>
            </w:pPr>
            <w:r>
              <w:rPr>
                <w:rFonts w:ascii="Calibri" w:hAnsi="Calibri"/>
                <w:b/>
                <w:i w:val="0"/>
                <w:color w:val="212121"/>
                <w:sz w:val="19"/>
              </w:rPr>
              <w:t>Glare, haloes and poor night vision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Streaking of point lights (e.g. headlights) is worse in dim light when the pupil is large.</w:t>
            </w:r>
          </w:p>
        </w:tc>
      </w:tr>
      <w:tr>
        <w:trPr>
          <w:cantSplit/>
        </w:trPr>
        <w:tc>
          <w:tcPr>
            <w:tcW w:type="dxa" w:w="2304"/>
            <w:vAlign w:val="top"/>
          </w:tcPr>
          <w:p>
            <w:pPr>
              <w:spacing w:after="40" w:before="0" w:line="259" w:lineRule="auto"/>
            </w:pPr>
            <w:r>
              <w:rPr>
                <w:rFonts w:ascii="Calibri" w:hAnsi="Calibri"/>
                <w:b/>
                <w:i w:val="0"/>
                <w:color w:val="212121"/>
                <w:sz w:val="19"/>
              </w:rPr>
              <w:t>Visual fatigue with reading/screens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sustaining clear focus leads to frequent breaks, loss of place and reduced reading stamina.</w:t>
            </w:r>
          </w:p>
        </w:tc>
      </w:tr>
      <w:tr>
        <w:trPr>
          <w:cantSplit/>
        </w:trPr>
        <w:tc>
          <w:tcPr>
            <w:tcW w:type="dxa" w:w="2304"/>
            <w:vAlign w:val="top"/>
          </w:tcPr>
          <w:p>
            <w:pPr>
              <w:spacing w:after="40" w:before="0" w:line="259" w:lineRule="auto"/>
            </w:pPr>
            <w:r>
              <w:rPr>
                <w:rFonts w:ascii="Calibri" w:hAnsi="Calibri"/>
                <w:b/>
                <w:i w:val="0"/>
                <w:color w:val="212121"/>
                <w:sz w:val="19"/>
              </w:rPr>
              <w:t>Head tilt or turn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Children with oblique astigmatism may adopt a compensatory head posture to reduce blur.</w:t>
            </w:r>
          </w:p>
        </w:tc>
      </w:tr>
      <w:tr>
        <w:trPr>
          <w:cantSplit/>
        </w:trPr>
        <w:tc>
          <w:tcPr>
            <w:tcW w:type="dxa" w:w="2304"/>
            <w:vAlign w:val="top"/>
          </w:tcPr>
          <w:p>
            <w:pPr>
              <w:spacing w:after="40" w:before="0" w:line="259" w:lineRule="auto"/>
            </w:pPr>
            <w:r>
              <w:rPr>
                <w:rFonts w:ascii="Calibri" w:hAnsi="Calibri"/>
                <w:b/>
                <w:i w:val="0"/>
                <w:color w:val="212121"/>
                <w:sz w:val="19"/>
              </w:rPr>
              <w:t>Difficulty distinguishing similar letters/numbers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Confusing characters such as H/N or 3/8 because of directional blur.</w:t>
            </w:r>
          </w:p>
        </w:tc>
      </w:tr>
      <w:tr>
        <w:trPr>
          <w:cantSplit/>
        </w:trPr>
        <w:tc>
          <w:tcPr>
            <w:tcW w:type="dxa" w:w="2304"/>
            <w:vAlign w:val="top"/>
          </w:tcPr>
          <w:p>
            <w:pPr>
              <w:spacing w:after="40" w:before="0" w:line="259" w:lineRule="auto"/>
            </w:pPr>
            <w:r>
              <w:rPr>
                <w:rFonts w:ascii="Calibri" w:hAnsi="Calibri"/>
                <w:b/>
                <w:i w:val="0"/>
                <w:color w:val="212121"/>
                <w:sz w:val="19"/>
              </w:rPr>
              <w:t>Monocular ghosting/doubling of images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faint second image seen with one eye covered, unlike binocular diplopia from squint.</w:t>
            </w:r>
          </w:p>
        </w:tc>
      </w:tr>
      <w:tr>
        <w:trPr>
          <w:cantSplit/>
        </w:trPr>
        <w:tc>
          <w:tcPr>
            <w:tcW w:type="dxa" w:w="2304"/>
            <w:vAlign w:val="top"/>
          </w:tcPr>
          <w:p>
            <w:pPr>
              <w:spacing w:after="40" w:before="0" w:line="259" w:lineRule="auto"/>
            </w:pPr>
            <w:r>
              <w:rPr>
                <w:rFonts w:ascii="Calibri" w:hAnsi="Calibri"/>
                <w:b/>
                <w:i w:val="0"/>
                <w:color w:val="212121"/>
                <w:sz w:val="19"/>
              </w:rPr>
              <w:t>Frequent changes of spectacle prescription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Shifting cylinder power/axis, particularly when keratoconus is progressing.</w:t>
            </w:r>
          </w:p>
        </w:tc>
      </w:tr>
      <w:tr>
        <w:trPr>
          <w:cantSplit/>
        </w:trPr>
        <w:tc>
          <w:tcPr>
            <w:tcW w:type="dxa" w:w="2304"/>
            <w:vAlign w:val="top"/>
          </w:tcPr>
          <w:p>
            <w:pPr>
              <w:spacing w:after="40" w:before="0" w:line="259" w:lineRule="auto"/>
            </w:pPr>
            <w:r>
              <w:rPr>
                <w:rFonts w:ascii="Calibri" w:hAnsi="Calibri"/>
                <w:b/>
                <w:i w:val="0"/>
                <w:color w:val="212121"/>
                <w:sz w:val="19"/>
              </w:rPr>
              <w:t>Rapidly worsening, severely distorted vision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Marked increase in irregular astigmatism suggests progressing keratoconus or corneal ectasia.</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Reduced UCVA that improves with pinhole and a cylindrical lens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Refractive blur clears with a stenopaeic pinhole and is fully corrected only by a cylinder ± sphere.</w:t>
            </w:r>
          </w:p>
        </w:tc>
      </w:tr>
      <w:tr>
        <w:trPr>
          <w:cantSplit/>
        </w:trPr>
        <w:tc>
          <w:tcPr>
            <w:tcW w:type="dxa" w:w="3456"/>
            <w:vAlign w:val="top"/>
          </w:tcPr>
          <w:p>
            <w:pPr>
              <w:spacing w:after="40" w:before="0" w:line="259" w:lineRule="auto"/>
            </w:pPr>
            <w:r>
              <w:rPr>
                <w:rFonts w:ascii="Calibri" w:hAnsi="Calibri"/>
                <w:b/>
                <w:i w:val="0"/>
                <w:color w:val="212121"/>
                <w:sz w:val="19"/>
              </w:rPr>
              <w:t>Scissoring reflex on retinoscopy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retinoscopic reflex moves at different speeds/directions in the two meridians — a classic objective sign.</w:t>
            </w:r>
          </w:p>
        </w:tc>
      </w:tr>
      <w:tr>
        <w:trPr>
          <w:cantSplit/>
        </w:trPr>
        <w:tc>
          <w:tcPr>
            <w:tcW w:type="dxa" w:w="3456"/>
            <w:vAlign w:val="top"/>
          </w:tcPr>
          <w:p>
            <w:pPr>
              <w:spacing w:after="40" w:before="0" w:line="259" w:lineRule="auto"/>
            </w:pPr>
            <w:r>
              <w:rPr>
                <w:rFonts w:ascii="Calibri" w:hAnsi="Calibri"/>
                <w:b/>
                <w:i w:val="0"/>
                <w:color w:val="212121"/>
                <w:sz w:val="19"/>
              </w:rPr>
              <w:t>Unequal keratometry readings (toric cornea)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K1 and K2 differ by ≥ 1.0 D, confirming corneal astigmatism and its axis.</w:t>
            </w:r>
          </w:p>
        </w:tc>
      </w:tr>
      <w:tr>
        <w:trPr>
          <w:cantSplit/>
        </w:trPr>
        <w:tc>
          <w:tcPr>
            <w:tcW w:type="dxa" w:w="3456"/>
            <w:vAlign w:val="top"/>
          </w:tcPr>
          <w:p>
            <w:pPr>
              <w:spacing w:after="40" w:before="0" w:line="259" w:lineRule="auto"/>
            </w:pPr>
            <w:r>
              <w:rPr>
                <w:rFonts w:ascii="Calibri" w:hAnsi="Calibri"/>
                <w:b/>
                <w:i w:val="0"/>
                <w:color w:val="212121"/>
                <w:sz w:val="19"/>
              </w:rPr>
              <w:t>Bowtie pattern on corneal topography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Symmetric regular bowtie in regular astigmatism; asymmetric/skewed pattern suggests irregular astigmatism or keratoconus.</w:t>
            </w:r>
          </w:p>
        </w:tc>
      </w:tr>
      <w:tr>
        <w:trPr>
          <w:cantSplit/>
        </w:trPr>
        <w:tc>
          <w:tcPr>
            <w:tcW w:type="dxa" w:w="3456"/>
            <w:vAlign w:val="top"/>
          </w:tcPr>
          <w:p>
            <w:pPr>
              <w:spacing w:after="40" w:before="0" w:line="259" w:lineRule="auto"/>
            </w:pPr>
            <w:r>
              <w:rPr>
                <w:rFonts w:ascii="Calibri" w:hAnsi="Calibri"/>
                <w:b/>
                <w:i w:val="0"/>
                <w:color w:val="212121"/>
                <w:sz w:val="19"/>
              </w:rPr>
              <w:t>Distorted Placido rings / oblique red reflex</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Irregular mires or an oval, oblique retinoscopic red reflex indicate meridional curvature difference.</w:t>
            </w:r>
          </w:p>
        </w:tc>
      </w:tr>
      <w:tr>
        <w:trPr>
          <w:cantSplit/>
        </w:trPr>
        <w:tc>
          <w:tcPr>
            <w:tcW w:type="dxa" w:w="3456"/>
            <w:vAlign w:val="top"/>
          </w:tcPr>
          <w:p>
            <w:pPr>
              <w:spacing w:after="40" w:before="0" w:line="259" w:lineRule="auto"/>
            </w:pPr>
            <w:r>
              <w:rPr>
                <w:rFonts w:ascii="Calibri" w:hAnsi="Calibri"/>
                <w:b/>
                <w:i w:val="0"/>
                <w:color w:val="212121"/>
                <w:sz w:val="19"/>
              </w:rPr>
              <w:t>Keratoconus signs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Fleischer ring, Vogt striae, Munson sign, oil-droplet reflex and corneal thinning/protrusion mark ectatic irregular astigmatism.</w:t>
            </w:r>
          </w:p>
        </w:tc>
      </w:tr>
      <w:tr>
        <w:trPr>
          <w:cantSplit/>
        </w:trPr>
        <w:tc>
          <w:tcPr>
            <w:tcW w:type="dxa" w:w="3456"/>
            <w:vAlign w:val="top"/>
          </w:tcPr>
          <w:p>
            <w:pPr>
              <w:spacing w:after="40" w:before="0" w:line="259" w:lineRule="auto"/>
            </w:pPr>
            <w:r>
              <w:rPr>
                <w:rFonts w:ascii="Calibri" w:hAnsi="Calibri"/>
                <w:b/>
                <w:i w:val="0"/>
                <w:color w:val="212121"/>
                <w:sz w:val="19"/>
              </w:rPr>
              <w:t>Compensatory head tilt/turn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Adopted posture, chiefly in children with oblique astigmatism, to minimise blur.</w:t>
            </w:r>
          </w:p>
        </w:tc>
      </w:tr>
      <w:tr>
        <w:trPr>
          <w:cantSplit/>
        </w:trPr>
        <w:tc>
          <w:tcPr>
            <w:tcW w:type="dxa" w:w="3456"/>
            <w:vAlign w:val="top"/>
          </w:tcPr>
          <w:p>
            <w:pPr>
              <w:spacing w:after="40" w:before="0" w:line="259" w:lineRule="auto"/>
            </w:pPr>
            <w:r>
              <w:rPr>
                <w:rFonts w:ascii="Calibri" w:hAnsi="Calibri"/>
                <w:b/>
                <w:i w:val="0"/>
                <w:color w:val="212121"/>
                <w:sz w:val="19"/>
              </w:rPr>
              <w:t>Failed vision screening / amblyopia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Sub-normal best-corrected acuity in a child with high or anisometropic astigmatism indicates meridional amblyopia.</w:t>
            </w:r>
          </w:p>
        </w:tc>
      </w:tr>
      <w:tr>
        <w:trPr>
          <w:cantSplit/>
        </w:trPr>
        <w:tc>
          <w:tcPr>
            <w:tcW w:type="dxa" w:w="3456"/>
            <w:vAlign w:val="top"/>
          </w:tcPr>
          <w:p>
            <w:pPr>
              <w:spacing w:after="40" w:before="0" w:line="259" w:lineRule="auto"/>
            </w:pPr>
            <w:r>
              <w:rPr>
                <w:rFonts w:ascii="Calibri" w:hAnsi="Calibri"/>
                <w:b/>
                <w:i w:val="0"/>
                <w:color w:val="212121"/>
                <w:sz w:val="19"/>
              </w:rPr>
              <w:t>Eyelid lesion indenting the cornea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Ptosis, a large chalazion or lid haemangioma visibly compressing the globe, inducing astigmatism.</w:t>
            </w:r>
          </w:p>
        </w:tc>
      </w:tr>
      <w:tr>
        <w:trPr>
          <w:cantSplit/>
        </w:trPr>
        <w:tc>
          <w:tcPr>
            <w:tcW w:type="dxa" w:w="3456"/>
            <w:vAlign w:val="top"/>
          </w:tcPr>
          <w:p>
            <w:pPr>
              <w:spacing w:after="40" w:before="0" w:line="259" w:lineRule="auto"/>
            </w:pPr>
            <w:r>
              <w:rPr>
                <w:rFonts w:ascii="Calibri" w:hAnsi="Calibri"/>
                <w:b/>
                <w:i w:val="0"/>
                <w:color w:val="212121"/>
                <w:sz w:val="19"/>
              </w:rPr>
              <w:t>Corneal scar / opacity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Healed keratitis, ulcer or xerophthalmic scar distorting curvature and producing irregular astigmatism.</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blurred and distorted vision at all distances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Asthenopia (eye strain, ocular ache)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headache with near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Glare and impaired night vision</w:t>
            </w:r>
          </w:p>
        </w:tc>
        <w:tc>
          <w:tcPr>
            <w:tcW w:type="dxa" w:w="2980"/>
            <w:vAlign w:val="top"/>
          </w:tcPr>
          <w:p>
            <w:pPr>
              <w:spacing w:after="40" w:before="0" w:line="259" w:lineRule="auto"/>
            </w:pPr>
            <w:r>
              <w:rPr>
                <w:rFonts w:ascii="Calibri" w:hAnsi="Calibri"/>
                <w:b w:val="0"/>
                <w:i w:val="0"/>
                <w:color w:val="212121"/>
                <w:sz w:val="19"/>
              </w:rPr>
              <w:t>Direct optical consequences of a meridian-dependent, uncorrected refractive error.</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Meridional / refractive amblyopia (high or anisometropic astigmatism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academic performance and productivity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Falls, mishaps and reduced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Digital eye strain and reading intolerance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Association with strabismus in some children</w:t>
            </w:r>
          </w:p>
        </w:tc>
        <w:tc>
          <w:tcPr>
            <w:tcW w:type="dxa" w:w="2980"/>
            <w:vAlign w:val="top"/>
          </w:tcPr>
          <w:p>
            <w:pPr>
              <w:spacing w:after="40" w:before="0" w:line="259" w:lineRule="auto"/>
            </w:pPr>
            <w:r>
              <w:rPr>
                <w:rFonts w:ascii="Calibri" w:hAnsi="Calibri"/>
                <w:b w:val="0"/>
                <w:i w:val="0"/>
                <w:color w:val="212121"/>
                <w:sz w:val="19"/>
              </w:rPr>
              <w:t>Functional and developmental effects of persistently uncorrected astigmatism, especially in the amblyopia-critical period.</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Irreversible amblyopia if uncorrected during the critical period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Keratoconus progression to corneal scarring needing cross-linking or corneal transplant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Contact-lens/surgery dependence for functional vision in irregular astigmatism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Occupational and driving disability</w:t>
            </w:r>
          </w:p>
        </w:tc>
        <w:tc>
          <w:tcPr>
            <w:tcW w:type="dxa" w:w="2980"/>
            <w:vAlign w:val="top"/>
          </w:tcPr>
          <w:p>
            <w:pPr>
              <w:spacing w:after="40" w:before="0" w:line="259" w:lineRule="auto"/>
            </w:pPr>
            <w:r>
              <w:rPr>
                <w:rFonts w:ascii="Calibri" w:hAnsi="Calibri"/>
                <w:b w:val="0"/>
                <w:i w:val="0"/>
                <w:color w:val="212121"/>
                <w:sz w:val="19"/>
              </w:rPr>
              <w:t>Irreversible or high-burden outcomes of severe, progressive or long-untreated (often irregular) astigmatism.</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Myopia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Astigmatism very commonly coexists with myopia (compound myopic astigmatism) and is itself a risk factor for myopia development and progression.</w:t>
            </w:r>
          </w:p>
        </w:tc>
      </w:tr>
      <w:tr>
        <w:trPr>
          <w:cantSplit/>
        </w:trPr>
        <w:tc>
          <w:tcPr>
            <w:tcW w:type="dxa" w:w="2232"/>
            <w:vAlign w:val="top"/>
          </w:tcPr>
          <w:p>
            <w:pPr>
              <w:spacing w:after="40" w:before="0" w:line="259" w:lineRule="auto"/>
            </w:pPr>
            <w:r>
              <w:rPr>
                <w:rFonts w:ascii="Calibri" w:hAnsi="Calibri"/>
                <w:b/>
                <w:i w:val="0"/>
                <w:color w:val="212121"/>
                <w:sz w:val="19"/>
              </w:rPr>
              <w:t>Hyperopia</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Compound and simple hyperopic astigmatism are frequent in children; the spherical and cylindrical errors share developmental control of eye/corneal shape.</w:t>
            </w:r>
          </w:p>
        </w:tc>
      </w:tr>
      <w:tr>
        <w:trPr>
          <w:cantSplit/>
        </w:trPr>
        <w:tc>
          <w:tcPr>
            <w:tcW w:type="dxa" w:w="2232"/>
            <w:vAlign w:val="top"/>
          </w:tcPr>
          <w:p>
            <w:pPr>
              <w:spacing w:after="40" w:before="0" w:line="259" w:lineRule="auto"/>
            </w:pPr>
            <w:r>
              <w:rPr>
                <w:rFonts w:ascii="Calibri" w:hAnsi="Calibri"/>
                <w:b/>
                <w:i w:val="0"/>
                <w:color w:val="212121"/>
                <w:sz w:val="19"/>
              </w:rPr>
              <w:t>Amblyopia (meridional/refractive)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High or anisometropic astigmatism blurs one meridian during visual development and is a leading refractive cause of amblyopia; refractive error caused 81.7% and amblyopia 4.4% of childhood vision impairment in urban India.</w:t>
            </w:r>
          </w:p>
          <w:p>
            <w:pPr>
              <w:spacing w:after="40" w:before="0" w:line="259" w:lineRule="auto"/>
            </w:pPr>
            <w:r>
              <w:rPr>
                <w:rFonts w:ascii="Calibri" w:hAnsi="Calibri"/>
                <w:b/>
                <w:i w:val="0"/>
                <w:color w:val="212121"/>
                <w:sz w:val="19"/>
              </w:rPr>
              <w:t>amblyopia 4.4% of childhood VI (New Delhi)</w:t>
            </w:r>
          </w:p>
        </w:tc>
      </w:tr>
      <w:tr>
        <w:trPr>
          <w:cantSplit/>
        </w:trPr>
        <w:tc>
          <w:tcPr>
            <w:tcW w:type="dxa" w:w="2232"/>
            <w:vAlign w:val="top"/>
          </w:tcPr>
          <w:p>
            <w:pPr>
              <w:spacing w:after="40" w:before="0" w:line="259" w:lineRule="auto"/>
            </w:pPr>
            <w:r>
              <w:rPr>
                <w:rFonts w:ascii="Calibri" w:hAnsi="Calibri"/>
                <w:b/>
                <w:i w:val="0"/>
                <w:color w:val="212121"/>
                <w:sz w:val="19"/>
              </w:rPr>
              <w:t>Keratoconus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classic cause of progressive irregular astigmatism; shares mechanical (eye-rubbing) and connective-tissue mechanisms and dictates RGP/scleral or cross-linking management.</w:t>
            </w:r>
          </w:p>
        </w:tc>
      </w:tr>
      <w:tr>
        <w:trPr>
          <w:cantSplit/>
        </w:trPr>
        <w:tc>
          <w:tcPr>
            <w:tcW w:type="dxa" w:w="2232"/>
            <w:vAlign w:val="top"/>
          </w:tcPr>
          <w:p>
            <w:pPr>
              <w:spacing w:after="40" w:before="0" w:line="259" w:lineRule="auto"/>
            </w:pPr>
            <w:r>
              <w:rPr>
                <w:rFonts w:ascii="Calibri" w:hAnsi="Calibri"/>
                <w:b/>
                <w:i w:val="0"/>
                <w:color w:val="212121"/>
                <w:sz w:val="19"/>
              </w:rPr>
              <w:t>Cataract</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Cataract adds lenticular astigmatism, and coexisting corneal astigmatism (89.4% of Indian cataract candidates) governs toric-IOL/incision planning.</w:t>
            </w:r>
          </w:p>
          <w:p>
            <w:pPr>
              <w:spacing w:after="40" w:before="0" w:line="259" w:lineRule="auto"/>
            </w:pPr>
            <w:r>
              <w:rPr>
                <w:rFonts w:ascii="Calibri" w:hAnsi="Calibri"/>
                <w:b/>
                <w:i w:val="0"/>
                <w:color w:val="212121"/>
                <w:sz w:val="19"/>
              </w:rPr>
              <w:t>corneal astigmatism 89.4% of cataract candidates</w:t>
            </w:r>
          </w:p>
        </w:tc>
      </w:tr>
      <w:tr>
        <w:trPr>
          <w:cantSplit/>
        </w:trPr>
        <w:tc>
          <w:tcPr>
            <w:tcW w:type="dxa" w:w="2232"/>
            <w:vAlign w:val="top"/>
          </w:tcPr>
          <w:p>
            <w:pPr>
              <w:spacing w:after="40" w:before="0" w:line="259" w:lineRule="auto"/>
            </w:pPr>
            <w:r>
              <w:rPr>
                <w:rFonts w:ascii="Calibri" w:hAnsi="Calibri"/>
                <w:b/>
                <w:i w:val="0"/>
                <w:color w:val="212121"/>
                <w:sz w:val="19"/>
              </w:rPr>
              <w:t>Allergic / vernal keratoconjunctivitis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Drives habitual eye rubbing that promotes keratoconus and irregular astigmatism; common in India's climate.</w:t>
            </w:r>
          </w:p>
        </w:tc>
      </w:tr>
      <w:tr>
        <w:trPr>
          <w:cantSplit/>
        </w:trPr>
        <w:tc>
          <w:tcPr>
            <w:tcW w:type="dxa" w:w="2232"/>
            <w:vAlign w:val="top"/>
          </w:tcPr>
          <w:p>
            <w:pPr>
              <w:spacing w:after="40" w:before="0" w:line="259" w:lineRule="auto"/>
            </w:pPr>
            <w:r>
              <w:rPr>
                <w:rFonts w:ascii="Calibri" w:hAnsi="Calibri"/>
                <w:b/>
                <w:i w:val="0"/>
                <w:color w:val="212121"/>
                <w:sz w:val="19"/>
              </w:rPr>
              <w:t>Eyelid disorders (ptosis, chalazion, entropion)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Mechanical pressure on the cornea induces astigmatism; correcting the lid problem can reduce it.</w:t>
            </w:r>
          </w:p>
        </w:tc>
      </w:tr>
      <w:tr>
        <w:trPr>
          <w:cantSplit/>
        </w:trPr>
        <w:tc>
          <w:tcPr>
            <w:tcW w:type="dxa" w:w="2232"/>
            <w:vAlign w:val="top"/>
          </w:tcPr>
          <w:p>
            <w:pPr>
              <w:spacing w:after="40" w:before="0" w:line="259" w:lineRule="auto"/>
            </w:pPr>
            <w:r>
              <w:rPr>
                <w:rFonts w:ascii="Calibri" w:hAnsi="Calibri"/>
                <w:b/>
                <w:i w:val="0"/>
                <w:color w:val="212121"/>
                <w:sz w:val="19"/>
              </w:rPr>
              <w:t>Retinopathy of prematurity / preterm birth</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Altered corneal and anterior-segment development raises the rate of astigmatism and other refractive errors.</w:t>
            </w:r>
          </w:p>
        </w:tc>
      </w:tr>
      <w:tr>
        <w:trPr>
          <w:cantSplit/>
        </w:trPr>
        <w:tc>
          <w:tcPr>
            <w:tcW w:type="dxa" w:w="2232"/>
            <w:vAlign w:val="top"/>
          </w:tcPr>
          <w:p>
            <w:pPr>
              <w:spacing w:after="40" w:before="0" w:line="259" w:lineRule="auto"/>
            </w:pPr>
            <w:r>
              <w:rPr>
                <w:rFonts w:ascii="Calibri" w:hAnsi="Calibri"/>
                <w:b/>
                <w:i w:val="0"/>
                <w:color w:val="212121"/>
                <w:sz w:val="19"/>
              </w:rPr>
              <w:t>Down syndrome (trisomy 21)</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Associated with high, often oblique, astigmatism and keratoconus, warranting early and repeated cycloplegic refraction.</w:t>
            </w:r>
          </w:p>
        </w:tc>
      </w:tr>
      <w:tr>
        <w:trPr>
          <w:cantSplit/>
        </w:trPr>
        <w:tc>
          <w:tcPr>
            <w:tcW w:type="dxa" w:w="2232"/>
            <w:vAlign w:val="top"/>
          </w:tcPr>
          <w:p>
            <w:pPr>
              <w:spacing w:after="40" w:before="0" w:line="259" w:lineRule="auto"/>
            </w:pPr>
            <w:r>
              <w:rPr>
                <w:rFonts w:ascii="Calibri" w:hAnsi="Calibri"/>
                <w:b/>
                <w:i w:val="0"/>
                <w:color w:val="212121"/>
                <w:sz w:val="19"/>
              </w:rPr>
              <w:t>Dry eye / ocular-surface disease</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Tear-film instability degrades and destabilises keratometry/topography and worsens digital eye strain, complicating measurement and correction.</w:t>
            </w:r>
          </w:p>
        </w:tc>
      </w:tr>
      <w:tr>
        <w:trPr>
          <w:cantSplit/>
        </w:trPr>
        <w:tc>
          <w:tcPr>
            <w:tcW w:type="dxa" w:w="2232"/>
            <w:vAlign w:val="top"/>
          </w:tcPr>
          <w:p>
            <w:pPr>
              <w:spacing w:after="40" w:before="0" w:line="259" w:lineRule="auto"/>
            </w:pPr>
            <w:r>
              <w:rPr>
                <w:rFonts w:ascii="Calibri" w:hAnsi="Calibri"/>
                <w:b/>
                <w:i w:val="0"/>
                <w:color w:val="212121"/>
                <w:sz w:val="19"/>
              </w:rPr>
              <w:t>Strabismus</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Uncorrected refractive error including astigmatism can be associated with, and interact with, ocular misalignment.</w:t>
            </w:r>
          </w:p>
        </w:tc>
      </w:tr>
      <w:tr>
        <w:trPr>
          <w:cantSplit/>
        </w:trPr>
        <w:tc>
          <w:tcPr>
            <w:tcW w:type="dxa" w:w="2232"/>
            <w:vAlign w:val="top"/>
          </w:tcPr>
          <w:p>
            <w:pPr>
              <w:spacing w:after="40" w:before="0" w:line="259" w:lineRule="auto"/>
            </w:pPr>
            <w:r>
              <w:rPr>
                <w:rFonts w:ascii="Calibri" w:hAnsi="Calibri"/>
                <w:b/>
                <w:i w:val="0"/>
                <w:color w:val="212121"/>
                <w:sz w:val="19"/>
              </w:rPr>
              <w:t>Presbyopia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In adults ≥ 40 years astigmatism coexists with presbyopia, requiring combined toric/multifocal correction.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children's vision screened at school entry and every 1–2 years; arrange comprehensive eye examination for any squinting, head tilt, blurred/distorted vision, eye strain or headache.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astigmatism causes blur at BOTH near and far, and that uncorrected astigmatism in early childhood can cause permanent (amblyopic) vision loss — correct it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high or unequal (anisometropic) astigmatism promptly to prevent meridional amblyopia during the critical period.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use unprescribed kajal, herbal or steroid eye-drops; seek professional refraction rather than buying ready-made spectacles.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keratoconus warning signs (frequently changing prescription, worsening distorted vision) and seek topography if suspected.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Discourage habitual eye rubbing, especially in children with allergic/vernal conjunctivitis.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children &amp; parents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School-age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Atopic/allergic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new visual symptoms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the full prescribed cylindrical correction consistently; distorted vision on first wearing new astigmatic glasses usually settles within days.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irregular astigmatism/keratoconus, use rigid gas-permeable or scleral contact lenses and consider corneal cross-linking early to halt progression.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Plan toric intra-ocular lenses or astigmatic incisions when significant corneal astigmatism accompanies cataract.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follow-up refractions; update spectacles when axis/power shifts, particularly in growing children and progressing keratoconus.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astigmatism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Keratoconus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Cataract-surgery candidates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in amblyopia therapy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daily outdoor play (≥ 1.5–2 h) for children — chiefly to limit myopia, supporting overall refractive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the 20–20–20 rule during study/screen work (every 20 minutes, look 20 feet away for 20 seconds).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good, glare-free lighting and an appropriate screen distance for reading and device use.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Screen/desk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consistent spectacle/contact-lens wear during sport and near work to reduce eye strain and improve safety.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Adhere to amblyopia therapy (correction ± patching/atropine) as prescribed for astigmatic amblyopia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protective eyewear for sport and hazardous work to avoid corneal trauma that can induce irregular astigmatism.</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amblyopia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Contact-lens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Manual/sports participants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dietary vitamin A (green leafy vegetables, carrots, papaya, dairy/eggs) to prevent xerophthalmic corneal scarring, particularly in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ocular-surface health with a balanced diet and adequate hydration to keep keratometry stable and reduce dry-eye symptoms.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Nutritionally at-risk groups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Dry-eye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regular sleep and rest the eyes after prolonged near work to relieve accommodative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habitual heavy eye compression during sleep (sustained prone/one-side sleeping), and counsel keratoconus patients accordingly.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Keratoconus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and smoky environments; while not a direct cause of astigmatism, smoking harms the ocular surface and accelerates cataract.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children away from second-hand smoke to protect overall eye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children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moderate limits as part of general eye and systemic health; there is no established direct link to astigmatism.</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accurate refractive correction, as relieving chronic blur, eye strain and headache improves concentration, mood and daily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screen-break routines and ergonomic setups to limit digital eye strain and the frustration/fatigue it causes.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patients that first-time astigmatic glasses feel odd briefly and support adherence to reduce anxiety about wear.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Screen/desk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corrected astigmats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390/jcm15093522" TargetMode="External"/><Relationship Id="rId10" Type="http://schemas.openxmlformats.org/officeDocument/2006/relationships/hyperlink" Target="https://journals.plos.org/plosone/article?id=10.1371/journal.pone.0335666" TargetMode="External"/><Relationship Id="rId11" Type="http://schemas.openxmlformats.org/officeDocument/2006/relationships/hyperlink" Target="https://pmc.ncbi.nlm.nih.gov/articles/PMC13018440/" TargetMode="External"/><Relationship Id="rId12" Type="http://schemas.openxmlformats.org/officeDocument/2006/relationships/hyperlink" Target="https://pubmed.ncbi.nlm.nih.gov/11867576/" TargetMode="External"/><Relationship Id="rId13" Type="http://schemas.openxmlformats.org/officeDocument/2006/relationships/hyperlink" Target="https://pubmed.ncbi.nlm.nih.gov/11867575/" TargetMode="External"/><Relationship Id="rId14" Type="http://schemas.openxmlformats.org/officeDocument/2006/relationships/hyperlink" Target="https://pmc.ncbi.nlm.nih.gov/articles/PMC13284132/" TargetMode="External"/><Relationship Id="rId15" Type="http://schemas.openxmlformats.org/officeDocument/2006/relationships/hyperlink" Target="https://pmc.ncbi.nlm.nih.gov/articles/PMC13196797/" TargetMode="External"/><Relationship Id="rId16" Type="http://schemas.openxmlformats.org/officeDocument/2006/relationships/hyperlink" Target="https://www.who.int/news-room/fact-sheets/detail/blindness-and-visual-impairment" TargetMode="External"/><Relationship Id="rId17" Type="http://schemas.openxmlformats.org/officeDocument/2006/relationships/hyperlink" Target="https://pmc.ncbi.nlm.nih.gov/articles/PMC12667156/" TargetMode="External"/><Relationship Id="rId18" Type="http://schemas.openxmlformats.org/officeDocument/2006/relationships/hyperlink" Target="https://pmc.ncbi.nlm.nih.gov/articles/PMC13175889/" TargetMode="External"/><Relationship Id="rId19" Type="http://schemas.openxmlformats.org/officeDocument/2006/relationships/hyperlink" Target="https://pmc.ncbi.nlm.nih.gov/articles/PMC13121053/" TargetMode="External"/><Relationship Id="rId20" Type="http://schemas.openxmlformats.org/officeDocument/2006/relationships/hyperlink" Target="https://pmc.ncbi.nlm.nih.gov/articles/PMC131151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